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line="840" w:lineRule="exact"/>
        <w:jc w:val="center"/>
        <w:outlineLvl w:val="0"/>
        <w:rPr>
          <w:rFonts w:hint="default" w:ascii="Times New Roman" w:hAnsi="Times New Roman" w:eastAsia="宋体" w:cs="Times New Roman"/>
          <w:b/>
          <w:bCs/>
          <w:sz w:val="52"/>
        </w:rPr>
      </w:pPr>
    </w:p>
    <w:p>
      <w:pPr>
        <w:pStyle w:val="29"/>
        <w:spacing w:line="840" w:lineRule="exact"/>
        <w:jc w:val="center"/>
        <w:outlineLvl w:val="0"/>
        <w:rPr>
          <w:rFonts w:hint="default" w:ascii="Times New Roman" w:hAnsi="Times New Roman" w:eastAsia="宋体" w:cs="Times New Roman"/>
          <w:b/>
          <w:bCs/>
          <w:sz w:val="52"/>
        </w:rPr>
      </w:pPr>
    </w:p>
    <w:p>
      <w:pPr>
        <w:pStyle w:val="29"/>
        <w:jc w:val="center"/>
        <w:rPr>
          <w:rFonts w:hint="default" w:ascii="Times New Roman" w:hAnsi="Times New Roman" w:eastAsia="宋体" w:cs="Times New Roman"/>
          <w:b/>
          <w:bCs/>
          <w:sz w:val="52"/>
          <w:szCs w:val="52"/>
        </w:rPr>
      </w:pPr>
      <w:r>
        <w:rPr>
          <w:rFonts w:hint="default" w:ascii="Times New Roman" w:hAnsi="Times New Roman" w:eastAsia="宋体" w:cs="Times New Roman"/>
          <w:b/>
          <w:bCs/>
          <w:sz w:val="52"/>
          <w:szCs w:val="52"/>
        </w:rPr>
        <w:t>义乌市农业农村局</w:t>
      </w:r>
    </w:p>
    <w:p>
      <w:pPr>
        <w:pStyle w:val="29"/>
        <w:jc w:val="center"/>
        <w:rPr>
          <w:rFonts w:hint="default" w:ascii="Times New Roman" w:hAnsi="Times New Roman" w:eastAsia="宋体" w:cs="Times New Roman"/>
          <w:b/>
          <w:bCs/>
          <w:sz w:val="52"/>
          <w:szCs w:val="52"/>
        </w:rPr>
      </w:pPr>
      <w:r>
        <w:rPr>
          <w:rFonts w:hint="default" w:ascii="Times New Roman" w:hAnsi="Times New Roman" w:eastAsia="宋体" w:cs="Times New Roman"/>
          <w:b/>
          <w:bCs/>
          <w:sz w:val="52"/>
          <w:szCs w:val="52"/>
        </w:rPr>
        <w:t>义乌市农村宅基地基础信息调查项目</w:t>
      </w:r>
    </w:p>
    <w:p>
      <w:pPr>
        <w:spacing w:line="360" w:lineRule="auto"/>
        <w:jc w:val="center"/>
        <w:rPr>
          <w:rFonts w:hint="default" w:ascii="Times New Roman" w:hAnsi="Times New Roman" w:eastAsia="宋体" w:cs="Times New Roman"/>
          <w:sz w:val="72"/>
          <w:szCs w:val="72"/>
        </w:rPr>
      </w:pPr>
    </w:p>
    <w:p>
      <w:pPr>
        <w:spacing w:line="360" w:lineRule="auto"/>
        <w:jc w:val="center"/>
        <w:rPr>
          <w:rFonts w:hint="default" w:ascii="Times New Roman" w:hAnsi="Times New Roman" w:eastAsia="宋体" w:cs="Times New Roman"/>
          <w:sz w:val="72"/>
          <w:szCs w:val="72"/>
        </w:rPr>
      </w:pPr>
    </w:p>
    <w:p>
      <w:pPr>
        <w:spacing w:line="360" w:lineRule="auto"/>
        <w:jc w:val="center"/>
        <w:rPr>
          <w:rFonts w:hint="default" w:ascii="Times New Roman" w:hAnsi="Times New Roman" w:eastAsia="宋体" w:cs="Times New Roman"/>
          <w:sz w:val="72"/>
          <w:szCs w:val="72"/>
        </w:rPr>
      </w:pPr>
    </w:p>
    <w:p>
      <w:pPr>
        <w:spacing w:line="360" w:lineRule="auto"/>
        <w:jc w:val="center"/>
        <w:rPr>
          <w:rFonts w:hint="default" w:ascii="Times New Roman" w:hAnsi="Times New Roman" w:eastAsia="宋体" w:cs="Times New Roman"/>
          <w:sz w:val="84"/>
          <w:szCs w:val="84"/>
        </w:rPr>
      </w:pPr>
      <w:r>
        <w:rPr>
          <w:rFonts w:hint="default" w:ascii="Times New Roman" w:hAnsi="Times New Roman" w:eastAsia="宋体" w:cs="Times New Roman"/>
          <w:sz w:val="84"/>
          <w:szCs w:val="84"/>
        </w:rPr>
        <w:t>招标文件</w:t>
      </w:r>
    </w:p>
    <w:p>
      <w:pPr>
        <w:spacing w:line="360" w:lineRule="auto"/>
        <w:jc w:val="center"/>
        <w:rPr>
          <w:rFonts w:hint="default" w:ascii="Times New Roman" w:hAnsi="Times New Roman" w:eastAsia="宋体" w:cs="Times New Roman"/>
          <w:sz w:val="72"/>
          <w:szCs w:val="72"/>
        </w:rPr>
      </w:pPr>
    </w:p>
    <w:p>
      <w:pPr>
        <w:pStyle w:val="29"/>
        <w:snapToGrid w:val="0"/>
        <w:spacing w:before="120" w:after="120" w:line="360" w:lineRule="auto"/>
        <w:jc w:val="center"/>
        <w:rPr>
          <w:rFonts w:hint="eastAsia" w:ascii="Times New Roman" w:hAnsi="Times New Roman" w:eastAsia="宋体" w:cs="Times New Roman"/>
          <w:b/>
          <w:bCs/>
          <w:sz w:val="32"/>
          <w:szCs w:val="32"/>
          <w:lang w:eastAsia="zh-CN"/>
        </w:rPr>
      </w:pPr>
      <w:r>
        <w:rPr>
          <w:rFonts w:hint="default" w:ascii="Times New Roman" w:hAnsi="Times New Roman" w:eastAsia="宋体" w:cs="Times New Roman"/>
          <w:b/>
          <w:bCs/>
          <w:sz w:val="32"/>
          <w:szCs w:val="32"/>
        </w:rPr>
        <w:t>采购编号：YWCG2023</w:t>
      </w:r>
      <w:r>
        <w:rPr>
          <w:rFonts w:hint="eastAsia" w:ascii="Times New Roman" w:hAnsi="Times New Roman" w:cs="Times New Roman"/>
          <w:b/>
          <w:bCs/>
          <w:sz w:val="32"/>
          <w:szCs w:val="32"/>
          <w:lang w:eastAsia="zh-CN"/>
        </w:rPr>
        <w:t>008GK</w:t>
      </w:r>
    </w:p>
    <w:p>
      <w:pPr>
        <w:pStyle w:val="29"/>
        <w:snapToGrid w:val="0"/>
        <w:spacing w:before="120" w:after="120" w:line="360" w:lineRule="auto"/>
        <w:jc w:val="center"/>
        <w:rPr>
          <w:rFonts w:hint="default" w:ascii="Times New Roman" w:hAnsi="Times New Roman" w:eastAsia="宋体" w:cs="Times New Roman"/>
          <w:b/>
          <w:bCs/>
          <w:sz w:val="32"/>
          <w:szCs w:val="32"/>
        </w:rPr>
      </w:pPr>
    </w:p>
    <w:p>
      <w:pPr>
        <w:pStyle w:val="29"/>
        <w:snapToGrid w:val="0"/>
        <w:spacing w:before="120" w:after="120" w:line="360" w:lineRule="auto"/>
        <w:jc w:val="center"/>
        <w:rPr>
          <w:rFonts w:hint="default" w:ascii="Times New Roman" w:hAnsi="Times New Roman" w:eastAsia="宋体" w:cs="Times New Roman"/>
          <w:b/>
          <w:bCs/>
          <w:sz w:val="32"/>
          <w:szCs w:val="32"/>
        </w:rPr>
      </w:pPr>
    </w:p>
    <w:p>
      <w:pPr>
        <w:pStyle w:val="29"/>
        <w:snapToGrid w:val="0"/>
        <w:spacing w:before="120" w:after="120" w:line="360" w:lineRule="auto"/>
        <w:jc w:val="center"/>
        <w:rPr>
          <w:rFonts w:hint="default" w:ascii="Times New Roman" w:hAnsi="Times New Roman" w:eastAsia="宋体" w:cs="Times New Roman"/>
          <w:b/>
          <w:bCs/>
          <w:sz w:val="32"/>
          <w:szCs w:val="32"/>
        </w:rPr>
      </w:pPr>
    </w:p>
    <w:p>
      <w:pPr>
        <w:pStyle w:val="29"/>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w w:val="95"/>
          <w:sz w:val="32"/>
          <w:szCs w:val="32"/>
        </w:rPr>
        <w:t xml:space="preserve">     采购人：</w:t>
      </w:r>
      <w:r>
        <w:rPr>
          <w:rFonts w:hint="default" w:ascii="Times New Roman" w:hAnsi="Times New Roman" w:eastAsia="宋体" w:cs="Times New Roman"/>
          <w:b/>
          <w:bCs/>
          <w:sz w:val="32"/>
          <w:szCs w:val="32"/>
          <w:u w:val="single"/>
        </w:rPr>
        <w:t>义乌市农业农村局</w:t>
      </w:r>
      <w:r>
        <w:rPr>
          <w:rFonts w:hint="default" w:ascii="Times New Roman" w:hAnsi="Times New Roman" w:eastAsia="宋体" w:cs="Times New Roman"/>
          <w:b/>
          <w:bCs/>
          <w:sz w:val="32"/>
          <w:szCs w:val="32"/>
        </w:rPr>
        <w:t>（盖章）</w:t>
      </w:r>
    </w:p>
    <w:p>
      <w:pPr>
        <w:pStyle w:val="29"/>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w w:val="95"/>
          <w:sz w:val="32"/>
          <w:szCs w:val="32"/>
        </w:rPr>
        <w:t>采购代理机构：</w:t>
      </w:r>
      <w:r>
        <w:rPr>
          <w:rFonts w:hint="default" w:ascii="Times New Roman" w:hAnsi="Times New Roman" w:eastAsia="宋体" w:cs="Times New Roman"/>
          <w:b/>
          <w:bCs/>
          <w:sz w:val="32"/>
          <w:szCs w:val="32"/>
          <w:u w:val="single"/>
        </w:rPr>
        <w:t>义乌市政府采购中心</w:t>
      </w:r>
      <w:r>
        <w:rPr>
          <w:rFonts w:hint="default" w:ascii="Times New Roman" w:hAnsi="Times New Roman" w:eastAsia="宋体" w:cs="Times New Roman"/>
          <w:b/>
          <w:bCs/>
          <w:sz w:val="32"/>
          <w:szCs w:val="32"/>
        </w:rPr>
        <w:t>（盖章）</w:t>
      </w:r>
    </w:p>
    <w:p>
      <w:pPr>
        <w:pStyle w:val="29"/>
        <w:snapToGrid w:val="0"/>
        <w:spacing w:before="120" w:after="120" w:line="360" w:lineRule="auto"/>
        <w:ind w:firstLine="2891" w:firstLineChars="900"/>
        <w:jc w:val="both"/>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日期：</w:t>
      </w:r>
      <w:r>
        <w:rPr>
          <w:rFonts w:hint="default" w:ascii="Times New Roman" w:hAnsi="Times New Roman" w:eastAsia="宋体" w:cs="Times New Roman"/>
          <w:b/>
          <w:bCs/>
          <w:color w:val="FF0000"/>
          <w:sz w:val="32"/>
          <w:szCs w:val="32"/>
          <w:u w:val="single"/>
        </w:rPr>
        <w:t>2022年XX月XX日</w:t>
      </w:r>
    </w:p>
    <w:p>
      <w:pPr>
        <w:pStyle w:val="29"/>
        <w:spacing w:before="120" w:after="120" w:line="360" w:lineRule="auto"/>
        <w:ind w:firstLine="420" w:firstLineChars="200"/>
        <w:jc w:val="center"/>
        <w:rPr>
          <w:rFonts w:hint="default" w:ascii="Times New Roman" w:hAnsi="Times New Roman" w:eastAsia="宋体" w:cs="Times New Roman"/>
          <w:b/>
          <w:sz w:val="44"/>
          <w:szCs w:val="44"/>
        </w:rPr>
      </w:pPr>
      <w:r>
        <w:rPr>
          <w:rFonts w:hint="default" w:ascii="Times New Roman" w:hAnsi="Times New Roman" w:eastAsia="宋体" w:cs="Times New Roman"/>
        </w:rPr>
        <w:br w:type="page"/>
      </w:r>
      <w:r>
        <w:rPr>
          <w:rFonts w:hint="default" w:ascii="Times New Roman" w:hAnsi="Times New Roman" w:eastAsia="宋体" w:cs="Times New Roman"/>
          <w:b/>
          <w:sz w:val="44"/>
          <w:szCs w:val="44"/>
        </w:rPr>
        <w:t>招标文件目录</w:t>
      </w:r>
    </w:p>
    <w:p>
      <w:pPr>
        <w:pStyle w:val="37"/>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TOC \o "1-1" \h \u </w:instrText>
      </w:r>
      <w:r>
        <w:rPr>
          <w:rFonts w:hint="default" w:ascii="Times New Roman" w:hAnsi="Times New Roman" w:eastAsia="宋体"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"_Toc32671"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第一章　采购公告</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_Toc32671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7"/>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"_Toc17086"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第二章　投标须知和投标须知前附表</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_Toc17086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7"/>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"_Toc9111"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第三章 招标项目要求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_Toc9111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7"/>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"_Toc9757"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第四章 开标、评标和定标须知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_Toc9757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7"/>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"_Toc1097"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第五章 投标文件的无效情形</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_Toc1097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7"/>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"_Toc31163"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第六章 评标办法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_Toc31163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7"/>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"_Toc26103"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第七章 义乌市政府采购合同（样本）</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_Toc26103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7"/>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"_Toc1594"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第八章 投标文件部分格式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_Toc1594 \h </w:instrText>
      </w:r>
      <w:r>
        <w:rPr>
          <w:rFonts w:hint="default" w:ascii="Times New Roman" w:hAnsi="Times New Roman" w:eastAsia="宋体" w:cs="Times New Roman"/>
        </w:rPr>
        <w:fldChar w:fldCharType="separate"/>
      </w:r>
      <w:r>
        <w:rPr>
          <w:rFonts w:hint="default" w:ascii="Times New Roman" w:hAnsi="Times New Roman" w:eastAsia="宋体" w:cs="Times New Roman"/>
        </w:rPr>
        <w:t>40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rPr>
          <w:rFonts w:hint="default" w:ascii="Times New Roman" w:hAnsi="Times New Roman" w:eastAsia="宋体" w:cs="Times New Roman"/>
        </w:rPr>
      </w:pPr>
      <w:r>
        <w:rPr>
          <w:rFonts w:hint="default" w:ascii="Times New Roman" w:hAnsi="Times New Roman" w:eastAsia="宋体" w:cs="Times New Roman"/>
        </w:rPr>
        <w:fldChar w:fldCharType="end"/>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pStyle w:val="4"/>
        <w:spacing w:before="0" w:after="0" w:line="400" w:lineRule="atLeast"/>
        <w:jc w:val="center"/>
        <w:rPr>
          <w:rFonts w:hint="default" w:ascii="Times New Roman" w:hAnsi="Times New Roman" w:eastAsia="宋体" w:cs="Times New Roman"/>
          <w:sz w:val="36"/>
        </w:rPr>
      </w:pPr>
      <w:bookmarkStart w:id="0" w:name="_Toc25119"/>
      <w:bookmarkStart w:id="1" w:name="_Toc406413925"/>
      <w:bookmarkStart w:id="2" w:name="_Toc32671"/>
      <w:bookmarkStart w:id="3" w:name="_Toc20979"/>
      <w:bookmarkStart w:id="4" w:name="_Toc12092"/>
      <w:r>
        <w:rPr>
          <w:rFonts w:hint="default" w:ascii="Times New Roman" w:hAnsi="Times New Roman" w:eastAsia="宋体" w:cs="Times New Roman"/>
          <w:sz w:val="36"/>
        </w:rPr>
        <w:t>第一章　采购公告</w:t>
      </w:r>
      <w:bookmarkEnd w:id="0"/>
      <w:bookmarkEnd w:id="1"/>
      <w:bookmarkEnd w:id="2"/>
      <w:bookmarkEnd w:id="3"/>
      <w:bookmarkEnd w:id="4"/>
    </w:p>
    <w:p>
      <w:pPr>
        <w:snapToGrid w:val="0"/>
        <w:spacing w:line="360" w:lineRule="exact"/>
        <w:ind w:firstLine="470" w:firstLineChars="196"/>
        <w:rPr>
          <w:rFonts w:hint="default" w:ascii="Times New Roman" w:hAnsi="Times New Roman" w:eastAsia="宋体" w:cs="Times New Roman"/>
          <w:b/>
          <w:bCs/>
          <w:highlight w:val="none"/>
        </w:rPr>
      </w:pPr>
      <w:r>
        <w:rPr>
          <w:rFonts w:hint="default" w:ascii="Times New Roman" w:hAnsi="Times New Roman" w:eastAsia="宋体" w:cs="Times New Roman"/>
          <w:szCs w:val="21"/>
        </w:rPr>
        <w:t>根据《</w:t>
      </w:r>
      <w:r>
        <w:rPr>
          <w:rFonts w:hint="default" w:ascii="Times New Roman" w:hAnsi="Times New Roman" w:eastAsia="宋体" w:cs="Times New Roman"/>
          <w:szCs w:val="21"/>
          <w:highlight w:val="none"/>
        </w:rPr>
        <w:t>中华人民共和国政府采购法》等有关规定，义乌市政府采购中心受委托，就</w:t>
      </w:r>
      <w:r>
        <w:rPr>
          <w:rFonts w:hint="default" w:ascii="Times New Roman" w:hAnsi="Times New Roman" w:eastAsia="宋体" w:cs="Times New Roman"/>
          <w:color w:val="FF0000"/>
          <w:szCs w:val="21"/>
          <w:highlight w:val="none"/>
        </w:rPr>
        <w:t>义乌市农业农村局义乌市农村宅基地基础信息调查项目</w:t>
      </w:r>
      <w:r>
        <w:rPr>
          <w:rFonts w:hint="default" w:ascii="Times New Roman" w:hAnsi="Times New Roman" w:eastAsia="宋体" w:cs="Times New Roman"/>
          <w:szCs w:val="21"/>
          <w:highlight w:val="none"/>
        </w:rPr>
        <w:t>进行公开招标，欢迎国内合格的供应商参加投标。</w:t>
      </w:r>
    </w:p>
    <w:p>
      <w:pPr>
        <w:pStyle w:val="29"/>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一、项目基本情况</w:t>
      </w:r>
    </w:p>
    <w:p>
      <w:pPr>
        <w:snapToGrid w:val="0"/>
        <w:spacing w:line="360" w:lineRule="exact"/>
        <w:ind w:firstLine="470" w:firstLineChars="196"/>
        <w:rPr>
          <w:rFonts w:hint="eastAsia"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1.采购编号：</w:t>
      </w:r>
      <w:r>
        <w:rPr>
          <w:rFonts w:hint="default" w:ascii="Times New Roman" w:hAnsi="Times New Roman" w:eastAsia="宋体" w:cs="Times New Roman"/>
          <w:bCs/>
          <w:color w:val="FF0000"/>
          <w:szCs w:val="21"/>
          <w:highlight w:val="none"/>
        </w:rPr>
        <w:t>YWCG2023</w:t>
      </w:r>
      <w:r>
        <w:rPr>
          <w:rFonts w:hint="eastAsia" w:cs="Times New Roman"/>
          <w:bCs/>
          <w:color w:val="FF0000"/>
          <w:szCs w:val="21"/>
          <w:highlight w:val="none"/>
          <w:lang w:eastAsia="zh-CN"/>
        </w:rPr>
        <w:t>008GK</w:t>
      </w:r>
    </w:p>
    <w:p>
      <w:pPr>
        <w:snapToGrid w:val="0"/>
        <w:spacing w:line="360" w:lineRule="exact"/>
        <w:ind w:firstLine="470" w:firstLineChars="196"/>
        <w:rPr>
          <w:rFonts w:hint="default" w:ascii="Times New Roman" w:hAnsi="Times New Roman" w:eastAsia="宋体" w:cs="Times New Roman"/>
          <w:bCs/>
          <w:color w:val="FF0000"/>
          <w:szCs w:val="21"/>
          <w:highlight w:val="none"/>
        </w:rPr>
      </w:pPr>
      <w:r>
        <w:rPr>
          <w:rFonts w:hint="default" w:ascii="Times New Roman" w:hAnsi="Times New Roman" w:eastAsia="宋体" w:cs="Times New Roman"/>
          <w:szCs w:val="21"/>
          <w:highlight w:val="none"/>
        </w:rPr>
        <w:t>2.项目名称：</w:t>
      </w:r>
      <w:r>
        <w:rPr>
          <w:rFonts w:hint="default" w:ascii="Times New Roman" w:hAnsi="Times New Roman" w:eastAsia="宋体" w:cs="Times New Roman"/>
          <w:bCs/>
          <w:color w:val="FF0000"/>
          <w:szCs w:val="21"/>
          <w:highlight w:val="none"/>
        </w:rPr>
        <w:t>义乌市农业农村局义乌市农村宅基地基础信息调查项目</w:t>
      </w:r>
    </w:p>
    <w:p>
      <w:pPr>
        <w:snapToGrid w:val="0"/>
        <w:spacing w:line="36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3.项目预算：</w:t>
      </w:r>
      <w:r>
        <w:rPr>
          <w:rFonts w:hint="default" w:ascii="Times New Roman" w:hAnsi="Times New Roman" w:eastAsia="宋体" w:cs="Times New Roman"/>
          <w:color w:val="FF0000"/>
          <w:szCs w:val="21"/>
          <w:highlight w:val="none"/>
          <w:lang w:val="en-US" w:eastAsia="zh-CN"/>
        </w:rPr>
        <w:t>1760</w:t>
      </w:r>
      <w:r>
        <w:rPr>
          <w:rFonts w:hint="default" w:ascii="Times New Roman" w:hAnsi="Times New Roman" w:eastAsia="宋体" w:cs="Times New Roman"/>
          <w:color w:val="FF0000"/>
          <w:szCs w:val="21"/>
          <w:highlight w:val="none"/>
        </w:rPr>
        <w:t xml:space="preserve">万元 </w:t>
      </w:r>
      <w:r>
        <w:rPr>
          <w:rFonts w:hint="default" w:ascii="Times New Roman" w:hAnsi="Times New Roman" w:eastAsia="宋体" w:cs="Times New Roman"/>
          <w:szCs w:val="21"/>
          <w:highlight w:val="none"/>
        </w:rPr>
        <w:t xml:space="preserve"> 最高限价：</w:t>
      </w:r>
      <w:r>
        <w:rPr>
          <w:rFonts w:hint="default" w:ascii="Times New Roman" w:hAnsi="Times New Roman" w:eastAsia="宋体" w:cs="Times New Roman"/>
          <w:color w:val="FF0000"/>
          <w:szCs w:val="21"/>
          <w:highlight w:val="none"/>
          <w:lang w:val="en-US" w:eastAsia="zh-CN"/>
        </w:rPr>
        <w:t>1568.0246</w:t>
      </w:r>
      <w:r>
        <w:rPr>
          <w:rFonts w:hint="default" w:ascii="Times New Roman" w:hAnsi="Times New Roman" w:eastAsia="宋体" w:cs="Times New Roman"/>
          <w:color w:val="FF0000"/>
          <w:szCs w:val="21"/>
          <w:highlight w:val="none"/>
        </w:rPr>
        <w:t>万元</w:t>
      </w:r>
    </w:p>
    <w:p>
      <w:pPr>
        <w:snapToGrid w:val="0"/>
        <w:spacing w:line="360" w:lineRule="exact"/>
        <w:ind w:firstLine="470" w:firstLineChars="196"/>
        <w:rPr>
          <w:rFonts w:hint="default" w:ascii="Times New Roman" w:hAnsi="Times New Roman" w:eastAsia="宋体" w:cs="Times New Roman"/>
          <w:szCs w:val="21"/>
        </w:rPr>
      </w:pPr>
      <w:r>
        <w:rPr>
          <w:rFonts w:hint="default" w:ascii="Times New Roman" w:hAnsi="Times New Roman" w:eastAsia="宋体" w:cs="Times New Roman"/>
          <w:szCs w:val="21"/>
        </w:rPr>
        <w:t>4.采购需求</w:t>
      </w:r>
    </w:p>
    <w:tbl>
      <w:tblPr>
        <w:tblStyle w:val="5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30"/>
        <w:gridCol w:w="1500"/>
        <w:gridCol w:w="1005"/>
        <w:gridCol w:w="1665"/>
        <w:gridCol w:w="163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序号</w:t>
            </w:r>
          </w:p>
        </w:tc>
        <w:tc>
          <w:tcPr>
            <w:tcW w:w="1730" w:type="dxa"/>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项目内容</w:t>
            </w:r>
          </w:p>
        </w:tc>
        <w:tc>
          <w:tcPr>
            <w:tcW w:w="1500" w:type="dxa"/>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技术要求</w:t>
            </w:r>
          </w:p>
        </w:tc>
        <w:tc>
          <w:tcPr>
            <w:tcW w:w="1005" w:type="dxa"/>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数量</w:t>
            </w:r>
          </w:p>
        </w:tc>
        <w:tc>
          <w:tcPr>
            <w:tcW w:w="1665" w:type="dxa"/>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单价最高限价</w:t>
            </w:r>
          </w:p>
        </w:tc>
        <w:tc>
          <w:tcPr>
            <w:tcW w:w="1635" w:type="dxa"/>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最高限价</w:t>
            </w:r>
          </w:p>
        </w:tc>
        <w:tc>
          <w:tcPr>
            <w:tcW w:w="1325" w:type="dxa"/>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1730" w:type="dxa"/>
            <w:vAlign w:val="center"/>
          </w:tcPr>
          <w:p>
            <w:pPr>
              <w:widowControl w:val="0"/>
              <w:snapToGrid w:val="0"/>
              <w:spacing w:line="360" w:lineRule="exact"/>
              <w:jc w:val="center"/>
              <w:rPr>
                <w:rFonts w:hint="default" w:ascii="Times New Roman" w:hAnsi="Times New Roman" w:eastAsia="宋体" w:cs="Times New Roman"/>
                <w:color w:val="FF0000"/>
                <w:sz w:val="24"/>
                <w:szCs w:val="24"/>
                <w:highlight w:val="none"/>
                <w:lang w:eastAsia="zh-CN"/>
              </w:rPr>
            </w:pPr>
            <w:r>
              <w:rPr>
                <w:rFonts w:hint="default" w:ascii="Times New Roman" w:hAnsi="Times New Roman" w:eastAsia="宋体" w:cs="Times New Roman"/>
                <w:bCs/>
                <w:color w:val="FF0000"/>
                <w:sz w:val="24"/>
                <w:szCs w:val="24"/>
                <w:highlight w:val="none"/>
                <w:lang w:eastAsia="zh-CN"/>
              </w:rPr>
              <w:t>标项一</w:t>
            </w:r>
          </w:p>
        </w:tc>
        <w:tc>
          <w:tcPr>
            <w:tcW w:w="1500" w:type="dxa"/>
            <w:vMerge w:val="restart"/>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详见招标文件第三章</w:t>
            </w:r>
          </w:p>
        </w:tc>
        <w:tc>
          <w:tcPr>
            <w:tcW w:w="1005" w:type="dxa"/>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一批</w:t>
            </w:r>
          </w:p>
        </w:tc>
        <w:tc>
          <w:tcPr>
            <w:tcW w:w="1665" w:type="dxa"/>
            <w:vAlign w:val="center"/>
          </w:tcPr>
          <w:p>
            <w:pPr>
              <w:snapToGrid w:val="0"/>
              <w:spacing w:line="360" w:lineRule="exact"/>
              <w:jc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szCs w:val="24"/>
                <w:highlight w:val="none"/>
                <w:lang w:val="en-US" w:eastAsia="zh-CN"/>
              </w:rPr>
              <w:t>74元/宗</w:t>
            </w:r>
          </w:p>
        </w:tc>
        <w:tc>
          <w:tcPr>
            <w:tcW w:w="1635" w:type="dxa"/>
            <w:vAlign w:val="center"/>
          </w:tcPr>
          <w:p>
            <w:pPr>
              <w:snapToGrid w:val="0"/>
              <w:spacing w:line="360" w:lineRule="exact"/>
              <w:jc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szCs w:val="24"/>
                <w:highlight w:val="none"/>
                <w:lang w:val="en-US" w:eastAsia="zh-CN"/>
              </w:rPr>
              <w:t>549.9236万元</w:t>
            </w:r>
          </w:p>
        </w:tc>
        <w:tc>
          <w:tcPr>
            <w:tcW w:w="1325" w:type="dxa"/>
            <w:vAlign w:val="center"/>
          </w:tcPr>
          <w:p>
            <w:pPr>
              <w:snapToGrid w:val="0"/>
              <w:spacing w:line="360" w:lineRule="exact"/>
              <w:jc w:val="center"/>
              <w:rPr>
                <w:rFonts w:hint="default" w:ascii="Times New Roman" w:hAnsi="Times New Roman" w:eastAsia="宋体" w:cs="Times New Roman"/>
                <w:color w:val="FF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w:t>
            </w:r>
          </w:p>
        </w:tc>
        <w:tc>
          <w:tcPr>
            <w:tcW w:w="1730" w:type="dxa"/>
            <w:vAlign w:val="center"/>
          </w:tcPr>
          <w:p>
            <w:pPr>
              <w:widowControl w:val="0"/>
              <w:snapToGrid w:val="0"/>
              <w:spacing w:line="360" w:lineRule="exact"/>
              <w:jc w:val="center"/>
              <w:rPr>
                <w:rFonts w:hint="default" w:ascii="Times New Roman" w:hAnsi="Times New Roman" w:eastAsia="宋体" w:cs="Times New Roman"/>
                <w:bCs/>
                <w:color w:val="FF0000"/>
                <w:sz w:val="24"/>
                <w:szCs w:val="24"/>
                <w:highlight w:val="none"/>
                <w:lang w:eastAsia="zh-CN"/>
              </w:rPr>
            </w:pPr>
            <w:r>
              <w:rPr>
                <w:rFonts w:hint="default" w:ascii="Times New Roman" w:hAnsi="Times New Roman" w:eastAsia="宋体" w:cs="Times New Roman"/>
                <w:bCs/>
                <w:color w:val="FF0000"/>
                <w:sz w:val="24"/>
                <w:szCs w:val="24"/>
                <w:highlight w:val="none"/>
                <w:lang w:eastAsia="zh-CN"/>
              </w:rPr>
              <w:t>标项二</w:t>
            </w:r>
          </w:p>
        </w:tc>
        <w:tc>
          <w:tcPr>
            <w:tcW w:w="1500" w:type="dxa"/>
            <w:vMerge w:val="continue"/>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rPr>
            </w:pPr>
          </w:p>
        </w:tc>
        <w:tc>
          <w:tcPr>
            <w:tcW w:w="1005" w:type="dxa"/>
            <w:vAlign w:val="center"/>
          </w:tcPr>
          <w:p>
            <w:pPr>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一批</w:t>
            </w:r>
          </w:p>
        </w:tc>
        <w:tc>
          <w:tcPr>
            <w:tcW w:w="1665" w:type="dxa"/>
            <w:vAlign w:val="center"/>
          </w:tcPr>
          <w:p>
            <w:pPr>
              <w:snapToGrid w:val="0"/>
              <w:spacing w:line="360" w:lineRule="exact"/>
              <w:jc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szCs w:val="24"/>
                <w:highlight w:val="none"/>
                <w:lang w:val="en-US" w:eastAsia="zh-CN"/>
              </w:rPr>
              <w:t>70元/宗</w:t>
            </w:r>
          </w:p>
        </w:tc>
        <w:tc>
          <w:tcPr>
            <w:tcW w:w="1635" w:type="dxa"/>
            <w:vAlign w:val="center"/>
          </w:tcPr>
          <w:p>
            <w:pPr>
              <w:snapToGrid w:val="0"/>
              <w:spacing w:line="360" w:lineRule="exact"/>
              <w:jc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szCs w:val="24"/>
                <w:highlight w:val="none"/>
                <w:lang w:val="en-US" w:eastAsia="zh-CN"/>
              </w:rPr>
              <w:t>516.894万元</w:t>
            </w:r>
          </w:p>
        </w:tc>
        <w:tc>
          <w:tcPr>
            <w:tcW w:w="1325" w:type="dxa"/>
            <w:vAlign w:val="center"/>
          </w:tcPr>
          <w:p>
            <w:pPr>
              <w:snapToGrid w:val="0"/>
              <w:spacing w:line="360" w:lineRule="exact"/>
              <w:jc w:val="center"/>
              <w:rPr>
                <w:rFonts w:hint="default" w:ascii="Times New Roman" w:hAnsi="Times New Roman" w:eastAsia="宋体" w:cs="Times New Roman"/>
                <w:color w:val="FF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w:t>
            </w:r>
          </w:p>
        </w:tc>
        <w:tc>
          <w:tcPr>
            <w:tcW w:w="1730" w:type="dxa"/>
            <w:vAlign w:val="center"/>
          </w:tcPr>
          <w:p>
            <w:pPr>
              <w:widowControl w:val="0"/>
              <w:snapToGrid w:val="0"/>
              <w:spacing w:line="360" w:lineRule="exact"/>
              <w:jc w:val="center"/>
              <w:rPr>
                <w:rFonts w:hint="default" w:ascii="Times New Roman" w:hAnsi="Times New Roman" w:eastAsia="宋体" w:cs="Times New Roman"/>
                <w:bCs/>
                <w:color w:val="FF0000"/>
                <w:sz w:val="24"/>
                <w:szCs w:val="24"/>
                <w:highlight w:val="none"/>
                <w:lang w:eastAsia="zh-CN"/>
              </w:rPr>
            </w:pPr>
            <w:r>
              <w:rPr>
                <w:rFonts w:hint="default" w:ascii="Times New Roman" w:hAnsi="Times New Roman" w:eastAsia="宋体" w:cs="Times New Roman"/>
                <w:bCs/>
                <w:color w:val="FF0000"/>
                <w:sz w:val="24"/>
                <w:szCs w:val="24"/>
                <w:highlight w:val="none"/>
                <w:lang w:eastAsia="zh-CN"/>
              </w:rPr>
              <w:t>标项三</w:t>
            </w:r>
          </w:p>
        </w:tc>
        <w:tc>
          <w:tcPr>
            <w:tcW w:w="1500" w:type="dxa"/>
            <w:vMerge w:val="continue"/>
            <w:vAlign w:val="center"/>
          </w:tcPr>
          <w:p>
            <w:pPr>
              <w:pStyle w:val="55"/>
              <w:spacing w:after="0" w:line="360" w:lineRule="exact"/>
              <w:ind w:left="0" w:leftChars="0" w:firstLine="0" w:firstLineChars="0"/>
              <w:jc w:val="center"/>
              <w:rPr>
                <w:rFonts w:hint="default" w:ascii="Times New Roman" w:hAnsi="Times New Roman" w:eastAsia="宋体" w:cs="Times New Roman"/>
                <w:sz w:val="24"/>
                <w:szCs w:val="24"/>
                <w:highlight w:val="none"/>
              </w:rPr>
            </w:pPr>
          </w:p>
        </w:tc>
        <w:tc>
          <w:tcPr>
            <w:tcW w:w="1005" w:type="dxa"/>
            <w:vAlign w:val="center"/>
          </w:tcPr>
          <w:p>
            <w:pPr>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一批</w:t>
            </w:r>
          </w:p>
        </w:tc>
        <w:tc>
          <w:tcPr>
            <w:tcW w:w="1665" w:type="dxa"/>
            <w:vAlign w:val="center"/>
          </w:tcPr>
          <w:p>
            <w:pPr>
              <w:snapToGrid w:val="0"/>
              <w:spacing w:line="360" w:lineRule="exact"/>
              <w:jc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szCs w:val="24"/>
                <w:highlight w:val="none"/>
                <w:lang w:val="en-US" w:eastAsia="zh-CN"/>
              </w:rPr>
              <w:t>70元/宗</w:t>
            </w:r>
          </w:p>
        </w:tc>
        <w:tc>
          <w:tcPr>
            <w:tcW w:w="1635" w:type="dxa"/>
            <w:vAlign w:val="center"/>
          </w:tcPr>
          <w:p>
            <w:pPr>
              <w:snapToGrid w:val="0"/>
              <w:spacing w:line="360" w:lineRule="exact"/>
              <w:jc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szCs w:val="24"/>
                <w:highlight w:val="none"/>
                <w:lang w:val="en-US" w:eastAsia="zh-CN"/>
              </w:rPr>
              <w:t>501.207万元</w:t>
            </w:r>
          </w:p>
        </w:tc>
        <w:tc>
          <w:tcPr>
            <w:tcW w:w="1325" w:type="dxa"/>
            <w:vAlign w:val="center"/>
          </w:tcPr>
          <w:p>
            <w:pPr>
              <w:snapToGrid w:val="0"/>
              <w:spacing w:line="360" w:lineRule="exact"/>
              <w:jc w:val="center"/>
              <w:rPr>
                <w:rFonts w:hint="default" w:ascii="Times New Roman" w:hAnsi="Times New Roman" w:eastAsia="宋体" w:cs="Times New Roman"/>
                <w:color w:val="FF0000"/>
                <w:sz w:val="24"/>
                <w:szCs w:val="24"/>
                <w:highlight w:val="none"/>
                <w:lang w:val="en-US" w:eastAsia="zh-CN"/>
              </w:rPr>
            </w:pPr>
          </w:p>
        </w:tc>
      </w:tr>
    </w:tbl>
    <w:p>
      <w:pPr>
        <w:pStyle w:val="29"/>
        <w:adjustRightInd w:val="0"/>
        <w:snapToGrid w:val="0"/>
        <w:spacing w:line="360" w:lineRule="exact"/>
        <w:ind w:firstLine="470" w:firstLineChars="196"/>
        <w:rPr>
          <w:rFonts w:hint="default" w:ascii="Times New Roman" w:hAnsi="Times New Roman" w:eastAsia="宋体" w:cs="Times New Roman"/>
          <w:kern w:val="0"/>
          <w:sz w:val="24"/>
        </w:rPr>
      </w:pPr>
      <w:r>
        <w:rPr>
          <w:rFonts w:hint="default" w:ascii="Times New Roman" w:hAnsi="Times New Roman" w:eastAsia="宋体" w:cs="Times New Roman"/>
          <w:kern w:val="0"/>
          <w:sz w:val="24"/>
        </w:rPr>
        <w:t>5.合同履约期限：详见招标文件第三章。</w:t>
      </w:r>
    </w:p>
    <w:p>
      <w:pPr>
        <w:pStyle w:val="29"/>
        <w:adjustRightInd w:val="0"/>
        <w:snapToGrid w:val="0"/>
        <w:spacing w:line="36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二、投标人的资格要求，须同时满足以下条件：</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1.符合《中华人民共和国政府采购法》第二十二条供应商应当具备的条件</w:t>
      </w:r>
      <w:r>
        <w:rPr>
          <w:rFonts w:hint="default" w:ascii="Times New Roman" w:hAnsi="Times New Roman" w:eastAsia="宋体" w:cs="Times New Roman"/>
          <w:szCs w:val="21"/>
        </w:rPr>
        <w:t>或符合浙财采监【2013】24号《关于规范政府采购供应商资格设定及资格审查的通知》第六条规定的供应商</w:t>
      </w:r>
      <w:r>
        <w:rPr>
          <w:rFonts w:hint="default" w:ascii="Times New Roman" w:hAnsi="Times New Roman" w:eastAsia="宋体" w:cs="Times New Roman"/>
        </w:rPr>
        <w:t>；</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3.投标人自2020年01月01日起到中标公告期结束前无行贿犯罪记录；</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4.根据《关于在全市公共资源交易活动中应用信用报告的通知》（义行服管〔2017〕17号）的规定，综合信用报告评级不属于D类或E类的（无信用评价供应商不受此项条件限制，查询结果以网站页面显示内容为准）；</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5.单位负责人为同一人或者存在直接控股、管理关系的不同供应商，不得参加同一合同项（同一标项）下的政府采购活动；</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6.为采购项目提供整体设计、规范编制或者项目管理、监理、检测等服务的供应商，不得再参加该采购项目的其他采购活动；</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7.公益一类事业单位不属于政府购买服务的承接主体，不得参与承接购买服务采购项目；</w:t>
      </w:r>
    </w:p>
    <w:p>
      <w:pPr>
        <w:snapToGrid w:val="0"/>
        <w:spacing w:line="360" w:lineRule="exact"/>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rPr>
        <w:t>8.本项目接受联合体参与投标</w:t>
      </w:r>
      <w:r>
        <w:rPr>
          <w:rFonts w:hint="default" w:ascii="Times New Roman" w:hAnsi="Times New Roman" w:eastAsia="宋体" w:cs="Times New Roman"/>
          <w:lang w:eastAsia="zh-CN"/>
        </w:rPr>
        <w:t>；</w:t>
      </w:r>
    </w:p>
    <w:p>
      <w:pPr>
        <w:snapToGrid w:val="0"/>
        <w:spacing w:line="360" w:lineRule="exact"/>
        <w:ind w:firstLine="480" w:firstLineChars="200"/>
        <w:rPr>
          <w:rFonts w:hint="default" w:ascii="Times New Roman" w:hAnsi="Times New Roman" w:eastAsia="宋体" w:cs="Times New Roman"/>
          <w:color w:val="FF0000"/>
          <w:highlight w:val="none"/>
          <w:lang w:eastAsia="zh-CN"/>
        </w:rPr>
      </w:pPr>
      <w:r>
        <w:rPr>
          <w:rFonts w:hint="default" w:ascii="Times New Roman" w:hAnsi="Times New Roman" w:eastAsia="宋体" w:cs="Times New Roman"/>
          <w:color w:val="FF0000"/>
          <w:highlight w:val="none"/>
          <w:lang w:val="en-US" w:eastAsia="zh-CN"/>
        </w:rPr>
        <w:t>9.</w:t>
      </w:r>
      <w:r>
        <w:rPr>
          <w:rFonts w:hint="default" w:ascii="Times New Roman" w:hAnsi="Times New Roman" w:eastAsia="宋体" w:cs="Times New Roman"/>
          <w:color w:val="FF0000"/>
          <w:highlight w:val="none"/>
        </w:rPr>
        <w:t>本项目的特定资格要求：</w:t>
      </w:r>
      <w:r>
        <w:rPr>
          <w:rFonts w:hint="default" w:ascii="Times New Roman" w:hAnsi="Times New Roman" w:eastAsia="宋体" w:cs="Times New Roman"/>
          <w:color w:val="FF0000"/>
          <w:highlight w:val="none"/>
          <w:lang w:eastAsia="zh-CN"/>
        </w:rPr>
        <w:t>投标方</w:t>
      </w:r>
      <w:r>
        <w:rPr>
          <w:rFonts w:hint="default" w:ascii="Times New Roman" w:hAnsi="Times New Roman" w:eastAsia="宋体" w:cs="Times New Roman"/>
          <w:color w:val="FF0000"/>
          <w:highlight w:val="none"/>
        </w:rPr>
        <w:t>具有乙级及以上测绘资质（</w:t>
      </w:r>
      <w:r>
        <w:rPr>
          <w:rFonts w:hint="default" w:ascii="Times New Roman" w:hAnsi="Times New Roman" w:eastAsia="宋体" w:cs="Times New Roman"/>
          <w:color w:val="FF0000"/>
          <w:highlight w:val="none"/>
          <w:lang w:eastAsia="zh-CN"/>
        </w:rPr>
        <w:t>需包含</w:t>
      </w:r>
      <w:r>
        <w:rPr>
          <w:rFonts w:hint="default" w:ascii="Times New Roman" w:hAnsi="Times New Roman" w:eastAsia="宋体" w:cs="Times New Roman"/>
          <w:color w:val="FF0000"/>
          <w:highlight w:val="none"/>
        </w:rPr>
        <w:t>不动产测绘</w:t>
      </w:r>
      <w:r>
        <w:rPr>
          <w:rFonts w:hint="eastAsia" w:cs="Times New Roman"/>
          <w:color w:val="FF0000"/>
          <w:highlight w:val="none"/>
          <w:lang w:eastAsia="zh-CN"/>
        </w:rPr>
        <w:t>和</w:t>
      </w:r>
      <w:r>
        <w:rPr>
          <w:rFonts w:hint="default" w:ascii="Times New Roman" w:hAnsi="Times New Roman" w:eastAsia="宋体" w:cs="Times New Roman"/>
          <w:color w:val="FF0000"/>
          <w:highlight w:val="none"/>
        </w:rPr>
        <w:t>地理信息系统工程）</w:t>
      </w:r>
      <w:r>
        <w:rPr>
          <w:rFonts w:hint="default" w:ascii="Times New Roman" w:hAnsi="Times New Roman" w:eastAsia="宋体" w:cs="Times New Roman"/>
          <w:color w:val="FF0000"/>
          <w:highlight w:val="none"/>
          <w:lang w:eastAsia="zh-CN"/>
        </w:rPr>
        <w:t>。</w:t>
      </w:r>
    </w:p>
    <w:p>
      <w:pPr>
        <w:pStyle w:val="29"/>
        <w:adjustRightInd w:val="0"/>
        <w:snapToGrid w:val="0"/>
        <w:spacing w:line="36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三、采购文件（即招标文件，下同）获取时间、地点及方式：</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1.时间：公告发布时间起至投标截止时间止。</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2.地点：浙江政府采购网（http://zfcg.czt.zj.gov.cn/）。</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3.方式：潜在供应商应按照浙江省政府采购网上所提示的方式免费获取采购文件。</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潜在供应商未在规定的期限内按照上述方式获取招标文件的，采购人、采购代理机构可以不予受理其所提出的对招标文件的质疑。</w:t>
      </w:r>
    </w:p>
    <w:p>
      <w:pPr>
        <w:pStyle w:val="29"/>
        <w:adjustRightInd w:val="0"/>
        <w:snapToGrid w:val="0"/>
        <w:spacing w:line="36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四、投标截止时间及地点：</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1.提交投标文件截止时间：</w:t>
      </w:r>
      <w:r>
        <w:rPr>
          <w:rFonts w:hint="default" w:ascii="Times New Roman" w:hAnsi="Times New Roman" w:eastAsia="宋体" w:cs="Times New Roman"/>
          <w:color w:val="FF0000"/>
        </w:rPr>
        <w:t>2023年XX月XX日</w:t>
      </w:r>
      <w:r>
        <w:rPr>
          <w:rFonts w:hint="default" w:ascii="Times New Roman" w:hAnsi="Times New Roman" w:eastAsia="宋体" w:cs="Times New Roman"/>
        </w:rPr>
        <w:t>09:30（北京时间）</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2.投标地点：用帐号登录政府采购云平台（简称“政采云”下同，https://www.zcygov.cn/），上传电子加密标书至“政采云”，逾期或未上传成功的将导致无法投标或投标无效。</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3.开标时间：</w:t>
      </w:r>
      <w:r>
        <w:rPr>
          <w:rFonts w:hint="default" w:ascii="Times New Roman" w:hAnsi="Times New Roman" w:eastAsia="宋体" w:cs="Times New Roman"/>
          <w:color w:val="FF0000"/>
        </w:rPr>
        <w:t>2023年XX月XX日</w:t>
      </w:r>
      <w:r>
        <w:rPr>
          <w:rFonts w:hint="default" w:ascii="Times New Roman" w:hAnsi="Times New Roman" w:eastAsia="宋体" w:cs="Times New Roman"/>
        </w:rPr>
        <w:t>09:30 </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4.开标地点：“政采云”（https://www.zcygov.cn/）</w:t>
      </w:r>
    </w:p>
    <w:p>
      <w:pPr>
        <w:pStyle w:val="29"/>
        <w:adjustRightInd w:val="0"/>
        <w:snapToGrid w:val="0"/>
        <w:spacing w:line="360" w:lineRule="exact"/>
        <w:ind w:firstLine="472" w:firstLineChars="196"/>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五、公告期限：</w:t>
      </w:r>
    </w:p>
    <w:p>
      <w:pPr>
        <w:pStyle w:val="29"/>
        <w:adjustRightInd w:val="0"/>
        <w:snapToGrid w:val="0"/>
        <w:spacing w:line="360" w:lineRule="exact"/>
        <w:ind w:firstLine="470" w:firstLineChars="196"/>
        <w:rPr>
          <w:rFonts w:hint="default" w:ascii="Times New Roman" w:hAnsi="Times New Roman" w:eastAsia="宋体" w:cs="Times New Roman"/>
          <w:kern w:val="0"/>
          <w:sz w:val="24"/>
        </w:rPr>
      </w:pPr>
      <w:r>
        <w:rPr>
          <w:rFonts w:hint="default" w:ascii="Times New Roman" w:hAnsi="Times New Roman" w:eastAsia="宋体" w:cs="Times New Roman"/>
          <w:kern w:val="0"/>
          <w:sz w:val="24"/>
        </w:rPr>
        <w:t>自本公告发布之日起5个工作日。</w:t>
      </w:r>
    </w:p>
    <w:p>
      <w:pPr>
        <w:pStyle w:val="29"/>
        <w:spacing w:line="36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六、其他补充事宜</w:t>
      </w:r>
    </w:p>
    <w:p>
      <w:pPr>
        <w:pStyle w:val="29"/>
        <w:spacing w:line="360" w:lineRule="exact"/>
        <w:ind w:firstLine="470" w:firstLineChars="196"/>
        <w:rPr>
          <w:rFonts w:hint="default" w:ascii="Times New Roman" w:hAnsi="Times New Roman" w:eastAsia="宋体" w:cs="Times New Roman"/>
          <w:kern w:val="0"/>
          <w:sz w:val="24"/>
        </w:rPr>
      </w:pPr>
      <w:r>
        <w:rPr>
          <w:rFonts w:hint="default" w:ascii="Times New Roman" w:hAnsi="Times New Roman" w:eastAsia="宋体" w:cs="Times New Roman"/>
          <w:kern w:val="0"/>
          <w:sz w:val="24"/>
        </w:rPr>
        <w:t>1. 质疑与投诉：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9"/>
        <w:spacing w:line="360" w:lineRule="exact"/>
        <w:ind w:firstLine="470" w:firstLineChars="19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2.投标保证金：无</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3.投标与开标注意事项：</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①标前准备：本项目通过“政采云”实行在线投标（电子投标），各供应商在投标前应确保成为浙江政府采购网正式注册入库供应商，并完成CA数字证书办理。【办理流程详见电子投标工具链接：（</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"file:///C:\\Users\\Administrator\\AppData\\Roaming\\Microsoft\\Word\\CA申领操作指南.pdf" </w:instrText>
      </w:r>
      <w:r>
        <w:rPr>
          <w:rFonts w:hint="default" w:ascii="Times New Roman" w:hAnsi="Times New Roman" w:eastAsia="宋体" w:cs="Times New Roman"/>
        </w:rPr>
        <w:fldChar w:fldCharType="separate"/>
      </w:r>
      <w:r>
        <w:rPr>
          <w:rFonts w:hint="default" w:ascii="Times New Roman" w:hAnsi="Times New Roman" w:eastAsia="宋体" w:cs="Times New Roman"/>
        </w:rPr>
        <w:t>目前“政采云”仅支持浙江汇信或天谷CA锁，个体工商户投标仅支持浙江汇信CA锁）申领操作流程</w:t>
      </w:r>
      <w:r>
        <w:rPr>
          <w:rFonts w:hint="default" w:ascii="Times New Roman" w:hAnsi="Times New Roman" w:eastAsia="宋体" w:cs="Times New Roman"/>
        </w:rPr>
        <w:fldChar w:fldCharType="end"/>
      </w:r>
      <w:r>
        <w:rPr>
          <w:rFonts w:hint="default" w:ascii="Times New Roman" w:hAnsi="Times New Roman" w:eastAsia="宋体" w:cs="Times New Roman"/>
        </w:rPr>
        <w:t>”】。因未注册入库、未办理CA数字证书等原因造成无法投标或投标失败等后果由供应商自行承担。</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②投标文件制作：投标人通过“政采云”电子投标工具制作投标文件，电子投标工具请供应商自行前往浙江省政府采购网(https://zfcg.czt.zj.gov.cn/)下载并安装，投标文件制作具体流程详见“政采云”供应商项目采购-电子招投标操作指南”（请投标供应商登录“政采云”政府采购电子卖场后，点击链接https://edu.zcygov.cn/luban/e-biding）以获取最新操作指南。</w:t>
      </w:r>
    </w:p>
    <w:p>
      <w:pPr>
        <w:pStyle w:val="29"/>
        <w:adjustRightInd w:val="0"/>
        <w:snapToGrid w:val="0"/>
        <w:spacing w:line="360" w:lineRule="exact"/>
        <w:ind w:firstLine="480" w:firstLineChars="200"/>
        <w:rPr>
          <w:rFonts w:hint="default" w:ascii="Times New Roman" w:hAnsi="Times New Roman" w:eastAsia="宋体" w:cs="Times New Roman"/>
          <w:b/>
        </w:rPr>
      </w:pPr>
      <w:r>
        <w:rPr>
          <w:rFonts w:hint="default" w:ascii="Times New Roman" w:hAnsi="Times New Roman" w:eastAsia="宋体" w:cs="Times New Roman"/>
          <w:kern w:val="0"/>
          <w:sz w:val="24"/>
          <w:szCs w:val="24"/>
        </w:rPr>
        <w:t>③投标文件上传：投标人应在投标截止时间（</w:t>
      </w:r>
      <w:r>
        <w:rPr>
          <w:rFonts w:hint="default" w:ascii="Times New Roman" w:hAnsi="Times New Roman" w:eastAsia="宋体" w:cs="Times New Roman"/>
          <w:color w:val="FF0000"/>
          <w:kern w:val="0"/>
          <w:sz w:val="24"/>
          <w:szCs w:val="24"/>
        </w:rPr>
        <w:t>2023年XX月XX日</w:t>
      </w:r>
      <w:r>
        <w:rPr>
          <w:rFonts w:hint="default" w:ascii="Times New Roman" w:hAnsi="Times New Roman" w:eastAsia="宋体" w:cs="Times New Roman"/>
          <w:sz w:val="24"/>
          <w:szCs w:val="24"/>
        </w:rPr>
        <w:t>0</w:t>
      </w:r>
      <w:r>
        <w:rPr>
          <w:rFonts w:hint="default" w:ascii="Times New Roman" w:hAnsi="Times New Roman" w:eastAsia="宋体" w:cs="Times New Roman"/>
          <w:kern w:val="0"/>
          <w:sz w:val="24"/>
          <w:szCs w:val="24"/>
        </w:rPr>
        <w:t>9:30）之前上传投标文件，同时，投标人可在投标截止时间前将在 “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sz w:val="24"/>
          <w:szCs w:val="24"/>
        </w:rPr>
        <w:t>投标供应商仅递交备份投标文件的，投标无效。</w:t>
      </w:r>
    </w:p>
    <w:p>
      <w:pPr>
        <w:snapToGrid w:val="0"/>
        <w:spacing w:line="360" w:lineRule="exact"/>
        <w:ind w:firstLine="470" w:firstLineChars="196"/>
        <w:rPr>
          <w:rFonts w:hint="default" w:ascii="Times New Roman" w:hAnsi="Times New Roman" w:eastAsia="宋体" w:cs="Times New Roman"/>
          <w:szCs w:val="21"/>
        </w:rPr>
      </w:pPr>
      <w:r>
        <w:rPr>
          <w:rFonts w:hint="default" w:ascii="Times New Roman" w:hAnsi="Times New Roman" w:eastAsia="宋体" w:cs="Times New Roman"/>
        </w:rPr>
        <w:t>④开标与投标文件解密：</w:t>
      </w:r>
      <w:r>
        <w:rPr>
          <w:rFonts w:hint="default" w:ascii="Times New Roman" w:hAnsi="Times New Roman" w:eastAsia="宋体" w:cs="Times New Roman"/>
          <w:szCs w:val="21"/>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eastAsia="宋体" w:cs="Times New Roman"/>
          <w:color w:val="FF0000"/>
        </w:rPr>
        <w:t>2023年XX月XX日</w:t>
      </w:r>
      <w:r>
        <w:rPr>
          <w:rFonts w:hint="default" w:ascii="Times New Roman" w:hAnsi="Times New Roman" w:eastAsia="宋体" w:cs="Times New Roman"/>
        </w:rPr>
        <w:t>上午9:30前）及要求提供有效备份标书，同时政采云上投标文件解密失败的，将导致投标无效。</w:t>
      </w:r>
    </w:p>
    <w:p>
      <w:pPr>
        <w:pStyle w:val="29"/>
        <w:adjustRightInd w:val="0"/>
        <w:snapToGrid w:val="0"/>
        <w:spacing w:line="360" w:lineRule="exact"/>
        <w:ind w:firstLine="480" w:firstLineChars="200"/>
        <w:rPr>
          <w:rFonts w:hint="default" w:ascii="Times New Roman" w:hAnsi="Times New Roman" w:eastAsia="宋体" w:cs="Times New Roman"/>
          <w:b/>
        </w:rPr>
      </w:pPr>
      <w:r>
        <w:rPr>
          <w:rFonts w:hint="default" w:ascii="Times New Roman" w:hAnsi="Times New Roman" w:eastAsia="宋体" w:cs="Times New Roman"/>
          <w:kern w:val="0"/>
          <w:sz w:val="24"/>
          <w:szCs w:val="24"/>
        </w:rPr>
        <w:t>如果投标人发送两份以上备份文件的，以最后收到的那一份为准，</w:t>
      </w:r>
      <w:r>
        <w:rPr>
          <w:rFonts w:hint="default" w:ascii="Times New Roman" w:hAnsi="Times New Roman" w:eastAsia="宋体" w:cs="Times New Roman"/>
          <w:sz w:val="24"/>
          <w:szCs w:val="24"/>
        </w:rPr>
        <w:t>通过</w:t>
      </w:r>
      <w:r>
        <w:rPr>
          <w:rFonts w:hint="default" w:ascii="Times New Roman" w:hAnsi="Times New Roman" w:eastAsia="宋体" w:cs="Times New Roman"/>
          <w:kern w:val="0"/>
          <w:sz w:val="24"/>
          <w:szCs w:val="24"/>
        </w:rPr>
        <w:t>“政采云”上</w:t>
      </w:r>
      <w:r>
        <w:rPr>
          <w:rFonts w:hint="default" w:ascii="Times New Roman" w:hAnsi="Times New Roman" w:eastAsia="宋体" w:cs="Times New Roman"/>
          <w:sz w:val="24"/>
          <w:szCs w:val="24"/>
        </w:rPr>
        <w:t>传递交的“加密投标文件”已按时解密的，“备份投标文件”自动失效。</w:t>
      </w:r>
    </w:p>
    <w:p>
      <w:pPr>
        <w:snapToGrid w:val="0"/>
        <w:spacing w:line="360" w:lineRule="exact"/>
        <w:ind w:firstLine="470" w:firstLineChars="196"/>
        <w:rPr>
          <w:rFonts w:hint="default" w:ascii="Times New Roman" w:hAnsi="Times New Roman" w:eastAsia="宋体" w:cs="Times New Roman"/>
        </w:rPr>
      </w:pPr>
      <w:r>
        <w:rPr>
          <w:rFonts w:hint="default" w:ascii="Times New Roman" w:hAnsi="Times New Roman" w:eastAsia="宋体" w:cs="Times New Roman"/>
        </w:rPr>
        <w:t>4. 参与在线投标时如遇平台技术问题详询400-881-7190，电子投标制作问题详询汪先生0579－85583800。</w:t>
      </w:r>
    </w:p>
    <w:p>
      <w:pPr>
        <w:pStyle w:val="29"/>
        <w:adjustRightInd w:val="0"/>
        <w:snapToGrid w:val="0"/>
        <w:spacing w:line="360" w:lineRule="exact"/>
        <w:ind w:firstLine="472" w:firstLineChars="196"/>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七、对本次招标提出询问、质疑、投诉，请按以下方式联系。</w:t>
      </w:r>
    </w:p>
    <w:p>
      <w:pPr>
        <w:pStyle w:val="29"/>
        <w:adjustRightInd w:val="0"/>
        <w:snapToGrid w:val="0"/>
        <w:spacing w:line="360" w:lineRule="exact"/>
        <w:ind w:firstLine="482"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1.采购人信息</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名  称：</w:t>
      </w:r>
      <w:r>
        <w:rPr>
          <w:rFonts w:hint="default" w:ascii="Times New Roman" w:hAnsi="Times New Roman" w:eastAsia="宋体" w:cs="Times New Roman"/>
          <w:color w:val="FF0000"/>
          <w:sz w:val="24"/>
          <w:szCs w:val="24"/>
          <w:lang w:eastAsia="zh-CN"/>
        </w:rPr>
        <w:t>义乌市农业农村局</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  址：</w:t>
      </w:r>
      <w:r>
        <w:rPr>
          <w:rFonts w:hint="default" w:ascii="Times New Roman" w:hAnsi="Times New Roman" w:eastAsia="宋体" w:cs="Times New Roman"/>
          <w:color w:val="FF0000"/>
          <w:sz w:val="24"/>
          <w:szCs w:val="24"/>
        </w:rPr>
        <w:t>义乌市江东中路369号</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项目联系人：</w:t>
      </w:r>
      <w:r>
        <w:rPr>
          <w:rFonts w:hint="default" w:ascii="Times New Roman" w:hAnsi="Times New Roman" w:eastAsia="宋体" w:cs="Times New Roman"/>
          <w:color w:val="FF0000"/>
          <w:sz w:val="24"/>
          <w:szCs w:val="24"/>
          <w:lang w:eastAsia="zh-CN"/>
        </w:rPr>
        <w:t>陈先生</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项目联系方式：</w:t>
      </w:r>
      <w:r>
        <w:rPr>
          <w:rFonts w:hint="default" w:ascii="Times New Roman" w:hAnsi="Times New Roman" w:eastAsia="宋体" w:cs="Times New Roman"/>
          <w:color w:val="FF0000"/>
          <w:sz w:val="24"/>
          <w:szCs w:val="24"/>
        </w:rPr>
        <w:t>15825777362</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质疑联系人：</w:t>
      </w:r>
      <w:r>
        <w:rPr>
          <w:rFonts w:hint="default" w:ascii="Times New Roman" w:hAnsi="Times New Roman" w:eastAsia="宋体" w:cs="Times New Roman"/>
          <w:color w:val="FF0000"/>
          <w:sz w:val="24"/>
          <w:szCs w:val="24"/>
          <w:highlight w:val="none"/>
          <w:lang w:eastAsia="zh-CN"/>
        </w:rPr>
        <w:t>骆先生</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质疑联系方式：</w:t>
      </w:r>
      <w:r>
        <w:rPr>
          <w:rFonts w:hint="default" w:ascii="Times New Roman" w:hAnsi="Times New Roman" w:eastAsia="宋体" w:cs="Times New Roman"/>
          <w:color w:val="FF0000"/>
          <w:kern w:val="0"/>
          <w:sz w:val="24"/>
          <w:szCs w:val="24"/>
          <w:highlight w:val="none"/>
          <w:lang w:val="en-US" w:eastAsia="zh-CN"/>
        </w:rPr>
        <w:t>18257899996</w:t>
      </w:r>
    </w:p>
    <w:p>
      <w:pPr>
        <w:pStyle w:val="29"/>
        <w:adjustRightInd w:val="0"/>
        <w:snapToGrid w:val="0"/>
        <w:spacing w:line="360" w:lineRule="exact"/>
        <w:ind w:firstLine="482"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2.采购代理机构信息</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名  称：义乌市政府采购中心</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  址：义乌市望道路300号4楼</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传   真：0579-85570067</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项目联系人：方先生</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项目联系方式：0579-85583802</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质疑联系人：洪艳 </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质疑联系方式：0579-85232979　</w:t>
      </w:r>
    </w:p>
    <w:p>
      <w:pPr>
        <w:pStyle w:val="29"/>
        <w:adjustRightInd w:val="0"/>
        <w:snapToGrid w:val="0"/>
        <w:spacing w:line="360" w:lineRule="exact"/>
        <w:ind w:firstLine="482"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3.同级政府采购监督管理部门</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名  称：义乌市财政局</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  址：义乌市望道路300号5楼</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联系人 ：骆女士</w:t>
      </w: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监督投诉电话：0579-89915066</w:t>
      </w:r>
    </w:p>
    <w:p>
      <w:pPr>
        <w:rPr>
          <w:rFonts w:hint="default" w:ascii="Times New Roman" w:hAnsi="Times New Roman" w:eastAsia="宋体" w:cs="Times New Roman"/>
        </w:rPr>
      </w:pPr>
    </w:p>
    <w:p>
      <w:pPr>
        <w:pStyle w:val="29"/>
        <w:adjustRightInd w:val="0"/>
        <w:snapToGrid w:val="0"/>
        <w:spacing w:line="360" w:lineRule="exact"/>
        <w:ind w:firstLine="480" w:firstLineChars="200"/>
        <w:rPr>
          <w:rFonts w:hint="default" w:ascii="Times New Roman" w:hAnsi="Times New Roman" w:eastAsia="宋体" w:cs="Times New Roman"/>
          <w:kern w:val="0"/>
          <w:sz w:val="24"/>
          <w:szCs w:val="24"/>
        </w:rPr>
      </w:pPr>
    </w:p>
    <w:p>
      <w:pPr>
        <w:pStyle w:val="29"/>
        <w:adjustRightInd w:val="0"/>
        <w:snapToGrid w:val="0"/>
        <w:spacing w:line="360" w:lineRule="exact"/>
        <w:ind w:firstLine="480" w:firstLineChars="200"/>
        <w:jc w:val="right"/>
        <w:rPr>
          <w:rFonts w:hint="default" w:ascii="Times New Roman" w:hAnsi="Times New Roman" w:eastAsia="宋体" w:cs="Times New Roman"/>
          <w:color w:val="FF0000"/>
          <w:kern w:val="0"/>
          <w:sz w:val="24"/>
          <w:szCs w:val="24"/>
          <w:lang w:eastAsia="zh-CN"/>
        </w:rPr>
      </w:pPr>
      <w:r>
        <w:rPr>
          <w:rFonts w:hint="default" w:ascii="Times New Roman" w:hAnsi="Times New Roman" w:eastAsia="宋体" w:cs="Times New Roman"/>
          <w:color w:val="FF0000"/>
          <w:sz w:val="24"/>
          <w:szCs w:val="24"/>
        </w:rPr>
        <w:t>义乌市</w:t>
      </w:r>
      <w:r>
        <w:rPr>
          <w:rFonts w:hint="default" w:ascii="Times New Roman" w:hAnsi="Times New Roman" w:eastAsia="宋体" w:cs="Times New Roman"/>
          <w:color w:val="FF0000"/>
          <w:sz w:val="24"/>
          <w:szCs w:val="24"/>
          <w:lang w:eastAsia="zh-CN"/>
        </w:rPr>
        <w:t>农业农村局</w:t>
      </w:r>
    </w:p>
    <w:p>
      <w:pPr>
        <w:pStyle w:val="29"/>
        <w:adjustRightInd w:val="0"/>
        <w:snapToGrid w:val="0"/>
        <w:spacing w:line="360" w:lineRule="exact"/>
        <w:ind w:firstLine="480" w:firstLineChars="200"/>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义乌市政府采购中心</w:t>
      </w:r>
    </w:p>
    <w:p>
      <w:pPr>
        <w:pStyle w:val="29"/>
        <w:adjustRightInd w:val="0"/>
        <w:snapToGrid w:val="0"/>
        <w:spacing w:line="360" w:lineRule="exact"/>
        <w:ind w:firstLine="480" w:firstLineChars="200"/>
        <w:jc w:val="right"/>
        <w:rPr>
          <w:rFonts w:hint="default" w:ascii="Times New Roman" w:hAnsi="Times New Roman" w:eastAsia="宋体" w:cs="Times New Roman"/>
          <w:color w:val="FF0000"/>
          <w:kern w:val="0"/>
          <w:sz w:val="24"/>
          <w:szCs w:val="24"/>
        </w:rPr>
      </w:pPr>
      <w:r>
        <w:rPr>
          <w:rFonts w:hint="default" w:ascii="Times New Roman" w:hAnsi="Times New Roman" w:eastAsia="宋体" w:cs="Times New Roman"/>
          <w:color w:val="FF0000"/>
          <w:kern w:val="0"/>
          <w:sz w:val="24"/>
          <w:szCs w:val="24"/>
        </w:rPr>
        <w:t>202</w:t>
      </w:r>
      <w:r>
        <w:rPr>
          <w:rFonts w:hint="default" w:ascii="Times New Roman" w:hAnsi="Times New Roman" w:eastAsia="宋体" w:cs="Times New Roman"/>
          <w:color w:val="FF0000"/>
          <w:kern w:val="0"/>
          <w:sz w:val="24"/>
          <w:szCs w:val="24"/>
          <w:lang w:val="en-US" w:eastAsia="zh-CN"/>
        </w:rPr>
        <w:t>3</w:t>
      </w:r>
      <w:r>
        <w:rPr>
          <w:rFonts w:hint="default" w:ascii="Times New Roman" w:hAnsi="Times New Roman" w:eastAsia="宋体" w:cs="Times New Roman"/>
          <w:color w:val="FF0000"/>
          <w:kern w:val="0"/>
          <w:sz w:val="24"/>
          <w:szCs w:val="24"/>
        </w:rPr>
        <w:t>年</w:t>
      </w:r>
      <w:r>
        <w:rPr>
          <w:rFonts w:hint="default" w:ascii="Times New Roman" w:hAnsi="Times New Roman" w:eastAsia="宋体" w:cs="Times New Roman"/>
          <w:color w:val="FF0000"/>
          <w:kern w:val="0"/>
          <w:sz w:val="24"/>
          <w:szCs w:val="24"/>
          <w:lang w:val="en-US" w:eastAsia="zh-CN"/>
        </w:rPr>
        <w:t>X</w:t>
      </w:r>
      <w:r>
        <w:rPr>
          <w:rFonts w:hint="default" w:ascii="Times New Roman" w:hAnsi="Times New Roman" w:eastAsia="宋体" w:cs="Times New Roman"/>
          <w:color w:val="FF0000"/>
          <w:kern w:val="0"/>
          <w:sz w:val="24"/>
          <w:szCs w:val="24"/>
        </w:rPr>
        <w:t>月XX日</w:t>
      </w:r>
    </w:p>
    <w:p>
      <w:pPr>
        <w:pStyle w:val="4"/>
        <w:spacing w:before="0" w:after="0" w:line="400" w:lineRule="atLeast"/>
        <w:jc w:val="center"/>
        <w:rPr>
          <w:rFonts w:hint="default" w:ascii="Times New Roman" w:hAnsi="Times New Roman" w:eastAsia="宋体" w:cs="Times New Roman"/>
          <w:sz w:val="36"/>
        </w:rPr>
      </w:pPr>
      <w:r>
        <w:rPr>
          <w:rFonts w:hint="default" w:ascii="Times New Roman" w:hAnsi="Times New Roman" w:eastAsia="宋体" w:cs="Times New Roman"/>
          <w:sz w:val="24"/>
          <w:szCs w:val="24"/>
        </w:rPr>
        <w:br w:type="page"/>
      </w:r>
      <w:bookmarkStart w:id="5" w:name="_Toc20028"/>
      <w:bookmarkStart w:id="6" w:name="_Toc17086"/>
      <w:bookmarkStart w:id="7" w:name="_Toc406413926"/>
      <w:bookmarkStart w:id="8" w:name="_Toc640"/>
      <w:bookmarkStart w:id="9" w:name="_Toc3656"/>
      <w:r>
        <w:rPr>
          <w:rFonts w:hint="default" w:ascii="Times New Roman" w:hAnsi="Times New Roman" w:eastAsia="宋体" w:cs="Times New Roman"/>
          <w:sz w:val="36"/>
        </w:rPr>
        <w:t>第二章　投标须知和投标须知前附表</w:t>
      </w:r>
      <w:bookmarkEnd w:id="5"/>
      <w:bookmarkEnd w:id="6"/>
      <w:bookmarkEnd w:id="7"/>
      <w:bookmarkEnd w:id="8"/>
      <w:bookmarkEnd w:id="9"/>
    </w:p>
    <w:p>
      <w:pPr>
        <w:spacing w:line="360" w:lineRule="auto"/>
        <w:ind w:firstLine="643" w:firstLineChars="200"/>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投标须知前附表</w:t>
      </w:r>
    </w:p>
    <w:tbl>
      <w:tblPr>
        <w:tblStyle w:val="57"/>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6"/>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b/>
              </w:rPr>
            </w:pPr>
            <w:r>
              <w:rPr>
                <w:rFonts w:hint="default" w:ascii="Times New Roman" w:hAnsi="Times New Roman" w:eastAsia="宋体" w:cs="Times New Roman"/>
                <w:b/>
              </w:rPr>
              <w:t>序号</w:t>
            </w:r>
          </w:p>
        </w:tc>
        <w:tc>
          <w:tcPr>
            <w:tcW w:w="9554" w:type="dxa"/>
            <w:gridSpan w:val="2"/>
            <w:vAlign w:val="center"/>
          </w:tcPr>
          <w:p>
            <w:pPr>
              <w:spacing w:line="400" w:lineRule="exact"/>
              <w:jc w:val="center"/>
              <w:rPr>
                <w:rFonts w:hint="default" w:ascii="Times New Roman" w:hAnsi="Times New Roman" w:eastAsia="宋体" w:cs="Times New Roman"/>
                <w:b/>
              </w:rPr>
            </w:pPr>
            <w:r>
              <w:rPr>
                <w:rFonts w:hint="default" w:ascii="Times New Roman" w:hAnsi="Times New Roman" w:eastAsia="宋体" w:cs="Times New Roman"/>
                <w:b/>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ind w:firstLine="240" w:firstLineChars="100"/>
              <w:rPr>
                <w:rFonts w:hint="default" w:ascii="Times New Roman" w:hAnsi="Times New Roman" w:eastAsia="宋体" w:cs="Times New Roman"/>
              </w:rPr>
            </w:pPr>
            <w:r>
              <w:rPr>
                <w:rFonts w:hint="default" w:ascii="Times New Roman" w:hAnsi="Times New Roman" w:eastAsia="宋体" w:cs="Times New Roman"/>
              </w:rPr>
              <w:t>1</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项目综合</w:t>
            </w:r>
          </w:p>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说明</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项目名称：</w:t>
            </w:r>
            <w:r>
              <w:rPr>
                <w:rFonts w:hint="default" w:ascii="Times New Roman" w:hAnsi="Times New Roman" w:eastAsia="宋体" w:cs="Times New Roman"/>
                <w:b/>
                <w:bCs/>
                <w:color w:val="FF0000"/>
                <w:szCs w:val="21"/>
                <w:highlight w:val="none"/>
              </w:rPr>
              <w:t>义乌市农业农村局义乌市农村宅基地基础信息调查项目</w:t>
            </w:r>
            <w:r>
              <w:rPr>
                <w:rFonts w:hint="default" w:ascii="Times New Roman" w:hAnsi="Times New Roman" w:eastAsia="宋体" w:cs="Times New Roman"/>
                <w:highlight w:val="none"/>
              </w:rPr>
              <w:t>，采购内容及数量:具体详见《第三章招标项目要求》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2</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招标方式</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3</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投标单位资格</w:t>
            </w:r>
          </w:p>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要求</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4</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合同履约期限</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5</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招标文件获取时间、地点及方式</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6</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现场踏勘时间</w:t>
            </w:r>
          </w:p>
        </w:tc>
        <w:tc>
          <w:tcPr>
            <w:tcW w:w="7598" w:type="dxa"/>
            <w:vAlign w:val="center"/>
          </w:tcPr>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采购方不统一组织投标人前往项目实施场地踏勘，根据项目实际投标需求，投标人可自行前往项目实施场地进行现场探勘，以获取编制投标文件所需资料，如投标人因未现场踏勘原因导致投标文件出现错误或遗漏的，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7</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招标答疑</w:t>
            </w:r>
          </w:p>
        </w:tc>
        <w:tc>
          <w:tcPr>
            <w:tcW w:w="7598" w:type="dxa"/>
          </w:tcPr>
          <w:p>
            <w:pPr>
              <w:spacing w:line="4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本项目不组织答疑会；招标方的答疑内容、书面澄清文件是招标文件的组成部份，招标方的书面澄清（更正）文件会在浙江政府采购网上发布公告，同时“政采云”会向所有已按招标文件规定方式获取招标文件的潜在供应商发送澄清（更正）提醒信息，潜在供应商请自行到浙江政府采购网上下载澄清（更正）文件，潜在供应商在收到该澄清（更正）文件后应于1日内，以书面或传真形式（签署意见并加盖公章）向招标代理机构回函给予确认。过期未回复的，视为默认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8</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投标有效期</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自开标之日起90天（日历天）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9</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上传电子投标文件时间</w:t>
            </w:r>
          </w:p>
        </w:tc>
        <w:tc>
          <w:tcPr>
            <w:tcW w:w="7598" w:type="dxa"/>
            <w:vAlign w:val="center"/>
          </w:tcPr>
          <w:p>
            <w:pPr>
              <w:pStyle w:val="29"/>
              <w:adjustRightInd w:val="0"/>
              <w:snapToGrid w:val="0"/>
              <w:spacing w:line="360" w:lineRule="exact"/>
              <w:ind w:firstLine="480" w:firstLineChars="200"/>
              <w:rPr>
                <w:rFonts w:hint="default" w:ascii="Times New Roman" w:hAnsi="Times New Roman" w:eastAsia="宋体" w:cs="Times New Roman"/>
                <w:b/>
              </w:rPr>
            </w:pPr>
            <w:r>
              <w:rPr>
                <w:rFonts w:hint="default" w:ascii="Times New Roman" w:hAnsi="Times New Roman" w:eastAsia="宋体" w:cs="Times New Roman"/>
                <w:kern w:val="0"/>
                <w:sz w:val="24"/>
                <w:szCs w:val="24"/>
              </w:rPr>
              <w:t>投标人应在投标截止时间（</w:t>
            </w:r>
            <w:r>
              <w:rPr>
                <w:rFonts w:hint="default" w:ascii="Times New Roman" w:hAnsi="Times New Roman" w:eastAsia="宋体" w:cs="Times New Roman"/>
                <w:color w:val="FF0000"/>
                <w:sz w:val="24"/>
                <w:szCs w:val="24"/>
              </w:rPr>
              <w:t>2023年XX月XX日</w:t>
            </w:r>
            <w:r>
              <w:rPr>
                <w:rFonts w:hint="default" w:ascii="Times New Roman" w:hAnsi="Times New Roman" w:eastAsia="宋体" w:cs="Times New Roman"/>
                <w:kern w:val="0"/>
                <w:sz w:val="24"/>
                <w:szCs w:val="24"/>
              </w:rPr>
              <w:t>09:30）之前上传投标文件，同时，投标人可在投标截止时间前将在“政采云”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sz w:val="24"/>
                <w:szCs w:val="24"/>
              </w:rPr>
              <w:t>投标供应商仅递交备份投标文件的，投标无效。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10</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履约保证金</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11</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开标时间、地点及电子投标文件解密</w:t>
            </w:r>
          </w:p>
        </w:tc>
        <w:tc>
          <w:tcPr>
            <w:tcW w:w="7598" w:type="dxa"/>
            <w:vAlign w:val="center"/>
          </w:tcPr>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开标时间：</w:t>
            </w:r>
            <w:r>
              <w:rPr>
                <w:rFonts w:hint="default" w:ascii="Times New Roman" w:hAnsi="Times New Roman" w:eastAsia="宋体" w:cs="Times New Roman"/>
                <w:color w:val="FF0000"/>
              </w:rPr>
              <w:t>2023年XX月XX日</w:t>
            </w:r>
            <w:r>
              <w:rPr>
                <w:rFonts w:hint="default" w:ascii="Times New Roman" w:hAnsi="Times New Roman" w:eastAsia="宋体" w:cs="Times New Roman"/>
              </w:rPr>
              <w:t>上午9:30</w:t>
            </w:r>
          </w:p>
          <w:p>
            <w:pPr>
              <w:spacing w:line="40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rPr>
              <w:t>开标地点：</w:t>
            </w:r>
            <w:r>
              <w:rPr>
                <w:rFonts w:hint="default" w:ascii="Times New Roman" w:hAnsi="Times New Roman" w:eastAsia="宋体" w:cs="Times New Roman"/>
                <w:szCs w:val="21"/>
              </w:rPr>
              <w:t>“政采云”（</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"https://www.zcygov.cn/" </w:instrText>
            </w:r>
            <w:r>
              <w:rPr>
                <w:rFonts w:hint="default" w:ascii="Times New Roman" w:hAnsi="Times New Roman" w:eastAsia="宋体" w:cs="Times New Roman"/>
              </w:rPr>
              <w:fldChar w:fldCharType="separate"/>
            </w:r>
            <w:r>
              <w:rPr>
                <w:rStyle w:val="63"/>
                <w:rFonts w:hint="default" w:ascii="Times New Roman" w:hAnsi="Times New Roman" w:eastAsia="宋体" w:cs="Times New Roman"/>
                <w:color w:val="auto"/>
                <w:szCs w:val="21"/>
              </w:rPr>
              <w:t>https://www.zcygov.cn/</w:t>
            </w:r>
            <w:r>
              <w:rPr>
                <w:rStyle w:val="63"/>
                <w:rFonts w:hint="default" w:ascii="Times New Roman" w:hAnsi="Times New Roman" w:eastAsia="宋体" w:cs="Times New Roman"/>
                <w:color w:val="auto"/>
                <w:szCs w:val="21"/>
              </w:rPr>
              <w:fldChar w:fldCharType="end"/>
            </w:r>
            <w:r>
              <w:rPr>
                <w:rFonts w:hint="default" w:ascii="Times New Roman" w:hAnsi="Times New Roman" w:eastAsia="宋体" w:cs="Times New Roman"/>
                <w:szCs w:val="21"/>
              </w:rPr>
              <w:t>）</w:t>
            </w:r>
          </w:p>
          <w:p>
            <w:pPr>
              <w:snapToGrid w:val="0"/>
              <w:spacing w:line="400" w:lineRule="exact"/>
              <w:ind w:firstLine="470" w:firstLineChars="196"/>
              <w:rPr>
                <w:rFonts w:hint="default" w:ascii="Times New Roman" w:hAnsi="Times New Roman" w:eastAsia="宋体" w:cs="Times New Roman"/>
                <w:szCs w:val="21"/>
              </w:rPr>
            </w:pPr>
            <w:r>
              <w:rPr>
                <w:rFonts w:hint="default" w:ascii="Times New Roman" w:hAnsi="Times New Roman" w:eastAsia="宋体" w:cs="Times New Roman"/>
                <w:szCs w:val="21"/>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eastAsia="宋体" w:cs="Times New Roman"/>
                <w:color w:val="FF0000"/>
              </w:rPr>
              <w:t>2023年XX月XX日</w:t>
            </w:r>
            <w:r>
              <w:rPr>
                <w:rFonts w:hint="default" w:ascii="Times New Roman" w:hAnsi="Times New Roman" w:eastAsia="宋体" w:cs="Times New Roman"/>
              </w:rPr>
              <w:t>上午9:30前）及要求提供有效备份标书，同时政采云上投标文件解密失败的，将导致投标无效。</w:t>
            </w:r>
          </w:p>
          <w:p>
            <w:pPr>
              <w:pStyle w:val="29"/>
              <w:adjustRightInd w:val="0"/>
              <w:snapToGrid w:val="0"/>
              <w:spacing w:line="360" w:lineRule="exact"/>
              <w:ind w:firstLine="480" w:firstLineChars="200"/>
              <w:rPr>
                <w:rFonts w:hint="default" w:ascii="Times New Roman" w:hAnsi="Times New Roman" w:eastAsia="宋体" w:cs="Times New Roman"/>
                <w:b/>
              </w:rPr>
            </w:pPr>
            <w:r>
              <w:rPr>
                <w:rFonts w:hint="default" w:ascii="Times New Roman" w:hAnsi="Times New Roman" w:eastAsia="宋体" w:cs="Times New Roman"/>
                <w:kern w:val="0"/>
                <w:sz w:val="24"/>
                <w:szCs w:val="24"/>
              </w:rPr>
              <w:t>如果投标人发送两份以上备份文件的，以最后收到的那一份为准，</w:t>
            </w:r>
            <w:r>
              <w:rPr>
                <w:rFonts w:hint="default" w:ascii="Times New Roman" w:hAnsi="Times New Roman" w:eastAsia="宋体" w:cs="Times New Roman"/>
                <w:sz w:val="24"/>
                <w:szCs w:val="24"/>
              </w:rPr>
              <w:t>通过</w:t>
            </w:r>
            <w:r>
              <w:rPr>
                <w:rFonts w:hint="default" w:ascii="Times New Roman" w:hAnsi="Times New Roman" w:eastAsia="宋体" w:cs="Times New Roman"/>
                <w:kern w:val="0"/>
                <w:sz w:val="24"/>
                <w:szCs w:val="24"/>
              </w:rPr>
              <w:t>“政采云”</w:t>
            </w:r>
            <w:r>
              <w:rPr>
                <w:rFonts w:hint="default" w:ascii="Times New Roman" w:hAnsi="Times New Roman" w:eastAsia="宋体" w:cs="Times New Roman"/>
                <w:sz w:val="24"/>
                <w:szCs w:val="24"/>
              </w:rPr>
              <w:t>上传递交的“加密投标文件”已按时解密的，“备份投标文件”自动失效。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12</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评标办法</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13</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付款方式</w:t>
            </w:r>
          </w:p>
        </w:tc>
        <w:tc>
          <w:tcPr>
            <w:tcW w:w="7598" w:type="dxa"/>
            <w:vAlign w:val="center"/>
          </w:tcPr>
          <w:p>
            <w:pPr>
              <w:spacing w:line="400" w:lineRule="exact"/>
              <w:rPr>
                <w:rFonts w:hint="default" w:ascii="Times New Roman" w:hAnsi="Times New Roman" w:eastAsia="宋体" w:cs="Times New Roman"/>
                <w:spacing w:val="-8"/>
              </w:rPr>
            </w:pPr>
            <w:r>
              <w:rPr>
                <w:rFonts w:hint="default" w:ascii="Times New Roman" w:hAnsi="Times New Roman" w:eastAsia="宋体" w:cs="Times New Roman"/>
                <w:spacing w:val="-8"/>
              </w:rPr>
              <w:t>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14</w:t>
            </w:r>
          </w:p>
        </w:tc>
        <w:tc>
          <w:tcPr>
            <w:tcW w:w="1956" w:type="dxa"/>
            <w:vAlign w:val="center"/>
          </w:tcPr>
          <w:p>
            <w:pPr>
              <w:snapToGrid w:val="0"/>
              <w:spacing w:line="360" w:lineRule="exact"/>
              <w:jc w:val="center"/>
              <w:rPr>
                <w:rFonts w:hint="default" w:ascii="Times New Roman" w:hAnsi="Times New Roman" w:eastAsia="宋体" w:cs="Times New Roman"/>
              </w:rPr>
            </w:pPr>
            <w:r>
              <w:rPr>
                <w:rFonts w:hint="default" w:ascii="Times New Roman" w:hAnsi="Times New Roman" w:eastAsia="宋体" w:cs="Times New Roman"/>
              </w:rPr>
              <w:t>不良行为记录</w:t>
            </w:r>
          </w:p>
        </w:tc>
        <w:tc>
          <w:tcPr>
            <w:tcW w:w="7598" w:type="dxa"/>
            <w:vAlign w:val="center"/>
          </w:tcPr>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default" w:ascii="Times New Roman" w:hAnsi="Times New Roman" w:eastAsia="宋体" w:cs="Times New Roman"/>
              </w:rPr>
              <w:t>或被“信用中国”（www.creditchina.gov.cn）、中国政府采购网（www.ccgp.gov.cn）列入失信被执行人、重大税收违法案件当事人名单、政府采购严重违法失信行为记录名单的，其投标将作无效标处理。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15</w:t>
            </w:r>
          </w:p>
        </w:tc>
        <w:tc>
          <w:tcPr>
            <w:tcW w:w="1956" w:type="dxa"/>
            <w:vAlign w:val="center"/>
          </w:tcPr>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政府采购节能环保产品</w:t>
            </w:r>
          </w:p>
        </w:tc>
        <w:tc>
          <w:tcPr>
            <w:tcW w:w="7598" w:type="dxa"/>
            <w:vAlign w:val="center"/>
          </w:tcPr>
          <w:p>
            <w:pPr>
              <w:rPr>
                <w:rFonts w:hint="default" w:ascii="Times New Roman" w:hAnsi="Times New Roman" w:eastAsia="宋体" w:cs="Times New Roman"/>
                <w:lang w:eastAsia="zh-CN"/>
              </w:rPr>
            </w:pPr>
            <w:r>
              <w:rPr>
                <w:rFonts w:hint="default" w:ascii="Times New Roman" w:hAnsi="Times New Roman" w:eastAsia="宋体" w:cs="Times New Roman"/>
              </w:rPr>
              <w:t>1、根据财政部、发展改革委、生态环境部、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w:t>
            </w:r>
          </w:p>
          <w:p>
            <w:pPr>
              <w:rPr>
                <w:rFonts w:hint="default" w:ascii="Times New Roman" w:hAnsi="Times New Roman" w:eastAsia="宋体" w:cs="Times New Roman"/>
              </w:rPr>
            </w:pPr>
            <w:r>
              <w:rPr>
                <w:rFonts w:hint="default" w:ascii="Times New Roman" w:hAnsi="Times New Roman" w:eastAsia="宋体" w:cs="Times New Roman"/>
              </w:rPr>
              <w:t xml:space="preserve">中可查询到。 </w:t>
            </w:r>
          </w:p>
          <w:p>
            <w:pPr>
              <w:snapToGrid w:val="0"/>
              <w:rPr>
                <w:rFonts w:hint="default" w:ascii="Times New Roman" w:hAnsi="Times New Roman" w:eastAsia="宋体" w:cs="Times New Roman"/>
              </w:rPr>
            </w:pPr>
            <w:r>
              <w:rPr>
                <w:rFonts w:hint="default" w:ascii="Times New Roman" w:hAnsi="Times New Roman" w:eastAsia="宋体" w:cs="Times New Roman"/>
                <w:bCs/>
              </w:rPr>
              <w:t>★2、招标需求中要求提供的产品属于节能产品</w:t>
            </w:r>
            <w:r>
              <w:rPr>
                <w:rFonts w:hint="default" w:ascii="Times New Roman" w:hAnsi="Times New Roman" w:eastAsia="宋体" w:cs="Times New Roman"/>
              </w:rPr>
              <w:t>政府采购品目</w:t>
            </w:r>
            <w:r>
              <w:rPr>
                <w:rFonts w:hint="default" w:ascii="Times New Roman" w:hAnsi="Times New Roman" w:eastAsia="宋体" w:cs="Times New Roman"/>
                <w:bCs/>
              </w:rPr>
              <w:t>清单中强制采购的，</w:t>
            </w:r>
            <w:r>
              <w:rPr>
                <w:rFonts w:hint="default" w:ascii="Times New Roman" w:hAnsi="Times New Roman" w:eastAsia="宋体" w:cs="Times New Roman"/>
              </w:rPr>
              <w:t>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16</w:t>
            </w:r>
          </w:p>
        </w:tc>
        <w:tc>
          <w:tcPr>
            <w:tcW w:w="1956" w:type="dxa"/>
            <w:vAlign w:val="center"/>
          </w:tcPr>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中小微企业有关政策</w:t>
            </w:r>
          </w:p>
        </w:tc>
        <w:tc>
          <w:tcPr>
            <w:tcW w:w="7598" w:type="dxa"/>
            <w:vAlign w:val="center"/>
          </w:tcPr>
          <w:p>
            <w:pPr>
              <w:rPr>
                <w:rFonts w:hint="default" w:ascii="Times New Roman" w:hAnsi="Times New Roman" w:eastAsia="宋体" w:cs="Times New Roman"/>
              </w:rPr>
            </w:pPr>
            <w:r>
              <w:rPr>
                <w:rFonts w:hint="default" w:ascii="Times New Roman" w:hAnsi="Times New Roman" w:eastAsia="宋体" w:cs="Times New Roman"/>
              </w:rPr>
              <w:t>1.根据财库[2020]46号《政府采购促进中小企业发展管理办法》和浙财采监[2022]3号《浙江省财政厅关于进一步发挥政府采购政策功能全力推动经济稳进提质的通知》、浙财采监〔2022〕8号《浙江省财政厅关于进一步加大政府采购支持中小企业力度 助力扎实稳住经济的通知》的相关规定，未预留份额专门面向中小企业采购的采购项目，以及预留份额项目中的非预留部分标段，在评审时对符合该办法规定的小微企业的投标报价给予20%的扣除，取扣除后的价格作为评审投标报价（此评审投标报价仅在评标时使用）。享受相关中小企业扶持政策的投标人，必须在投标文件中提供《中小企业声明函》。</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2.接受大中型企业与小微企业组成联合体的采购项目，对于联合协议约定小微企业的合同份额占到合同总金额30%以上的，对联合体的报价给予 6 %的扣除，用扣除后的价格参加评审。</w:t>
            </w:r>
          </w:p>
          <w:p>
            <w:pPr>
              <w:rPr>
                <w:rFonts w:hint="default" w:ascii="Times New Roman" w:hAnsi="Times New Roman" w:eastAsia="宋体" w:cs="Times New Roman"/>
                <w:highlight w:val="none"/>
              </w:rPr>
            </w:pPr>
            <w:r>
              <w:rPr>
                <w:rFonts w:hint="default" w:ascii="Times New Roman" w:hAnsi="Times New Roman" w:eastAsia="宋体" w:cs="Times New Roman"/>
              </w:rPr>
              <w:t>3.根据财库[2017]141号的相关规定，在政府采购活动中，残疾人福利性单位视同小型、微型企业，享受评审中价格扣除政策。属于享受政府采购支持政策的残疾人福利性单位，应满足财库[2017]141号文件第一条</w:t>
            </w:r>
            <w:r>
              <w:rPr>
                <w:rFonts w:hint="default" w:ascii="Times New Roman" w:hAnsi="Times New Roman" w:eastAsia="宋体" w:cs="Times New Roman"/>
                <w:highlight w:val="none"/>
              </w:rPr>
              <w:t>的规定，并在投标文件中提供残疾人福利性单位声明函。</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5.同一投标人，小微企业、监狱企业、残疾人福利性单位价格扣除优惠只享受一次，不得重复享受。</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6.本项目采购标的所属行业为：</w:t>
            </w:r>
            <w:r>
              <w:rPr>
                <w:rFonts w:hint="default" w:ascii="Times New Roman" w:hAnsi="Times New Roman" w:eastAsia="宋体" w:cs="Times New Roman"/>
                <w:color w:val="FF0000"/>
                <w:highlight w:val="none"/>
              </w:rPr>
              <w:t>其他未列明行业。</w:t>
            </w:r>
          </w:p>
          <w:p>
            <w:pPr>
              <w:snapToGrid w:val="0"/>
              <w:spacing w:line="360" w:lineRule="exact"/>
              <w:rPr>
                <w:rFonts w:hint="default" w:ascii="Times New Roman" w:hAnsi="Times New Roman" w:eastAsia="宋体" w:cs="Times New Roman"/>
                <w:b/>
                <w:bCs/>
              </w:rPr>
            </w:pPr>
            <w:r>
              <w:rPr>
                <w:rFonts w:hint="default" w:ascii="Times New Roman" w:hAnsi="Times New Roman" w:eastAsia="宋体" w:cs="Times New Roman"/>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highlight w:val="yellow"/>
              </w:rPr>
            </w:pPr>
            <w:r>
              <w:rPr>
                <w:rFonts w:hint="default" w:ascii="Times New Roman" w:hAnsi="Times New Roman" w:eastAsia="宋体" w:cs="Times New Roman"/>
              </w:rPr>
              <w:t>17</w:t>
            </w:r>
          </w:p>
        </w:tc>
        <w:tc>
          <w:tcPr>
            <w:tcW w:w="1956" w:type="dxa"/>
            <w:vAlign w:val="center"/>
          </w:tcPr>
          <w:p>
            <w:pPr>
              <w:rPr>
                <w:rFonts w:hint="default" w:ascii="Times New Roman" w:hAnsi="Times New Roman" w:eastAsia="宋体" w:cs="Times New Roman"/>
              </w:rPr>
            </w:pPr>
            <w:r>
              <w:rPr>
                <w:rFonts w:hint="default" w:ascii="Times New Roman" w:hAnsi="Times New Roman" w:eastAsia="宋体" w:cs="Times New Roman"/>
              </w:rPr>
              <w:t>是否接受进口产品参与投标</w:t>
            </w:r>
          </w:p>
        </w:tc>
        <w:tc>
          <w:tcPr>
            <w:tcW w:w="7598" w:type="dxa"/>
            <w:vAlign w:val="center"/>
          </w:tcPr>
          <w:p>
            <w:pPr>
              <w:rPr>
                <w:rFonts w:hint="default" w:ascii="Times New Roman" w:hAnsi="Times New Roman" w:eastAsia="宋体" w:cs="Times New Roman"/>
              </w:rPr>
            </w:pPr>
            <w:r>
              <w:rPr>
                <w:rFonts w:hint="default" w:ascii="Times New Roman" w:hAnsi="Times New Roman" w:eastAsia="宋体" w:cs="Times New Roman"/>
                <w:color w:val="FF0000"/>
              </w:rPr>
              <w:t>本项目不允许采购进口产品。</w:t>
            </w:r>
            <w:r>
              <w:rPr>
                <w:rFonts w:hint="default" w:ascii="Times New Roman" w:hAnsi="Times New Roman" w:eastAsia="宋体" w:cs="Times New Roman"/>
              </w:rPr>
              <w:t>详见投标须知7.1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18</w:t>
            </w:r>
          </w:p>
        </w:tc>
        <w:tc>
          <w:tcPr>
            <w:tcW w:w="1956" w:type="dxa"/>
            <w:vAlign w:val="center"/>
          </w:tcPr>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政采贷</w:t>
            </w:r>
          </w:p>
        </w:tc>
        <w:tc>
          <w:tcPr>
            <w:tcW w:w="7598" w:type="dxa"/>
            <w:vAlign w:val="center"/>
          </w:tcPr>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19</w:t>
            </w:r>
          </w:p>
        </w:tc>
        <w:tc>
          <w:tcPr>
            <w:tcW w:w="1956" w:type="dxa"/>
            <w:vAlign w:val="center"/>
          </w:tcPr>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失信行为处理</w:t>
            </w:r>
          </w:p>
        </w:tc>
        <w:tc>
          <w:tcPr>
            <w:tcW w:w="7598" w:type="dxa"/>
            <w:vAlign w:val="center"/>
          </w:tcPr>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投标人发生下列情况之一时，除严格依法依规进行处理外，还将通报市信用管理部门，列入严重失信名单：</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（1）投标人在规定的投标有效期内撤回投标或放弃中标的；</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（2）有意串标或提供虚假材料的；</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（3）中标人在收到中标通知书后，因自身原因不能在投标有效期内和采购人签订合同。</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（4）中标供应商在标后履约过程中未按合同约定的期限和要求履约的。</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（5）因中标供应商原因在标后履约过程中擅自终止合同的。</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（6）不符合招标文件要求的其他失信行为。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rPr>
                <w:rFonts w:hint="default" w:ascii="Times New Roman" w:hAnsi="Times New Roman" w:eastAsia="宋体" w:cs="Times New Roman"/>
              </w:rPr>
            </w:pPr>
            <w:r>
              <w:rPr>
                <w:rFonts w:hint="default" w:ascii="Times New Roman" w:hAnsi="Times New Roman" w:eastAsia="宋体" w:cs="Times New Roman"/>
              </w:rPr>
              <w:t>20</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质疑与投诉：</w:t>
            </w:r>
          </w:p>
        </w:tc>
        <w:tc>
          <w:tcPr>
            <w:tcW w:w="7598" w:type="dxa"/>
            <w:vAlign w:val="center"/>
          </w:tcPr>
          <w:p>
            <w:pPr>
              <w:pStyle w:val="29"/>
              <w:spacing w:line="360" w:lineRule="exact"/>
              <w:rPr>
                <w:rFonts w:hint="default" w:ascii="Times New Roman" w:hAnsi="Times New Roman" w:eastAsia="宋体" w:cs="Times New Roman"/>
                <w:kern w:val="0"/>
                <w:sz w:val="24"/>
              </w:rPr>
            </w:pPr>
            <w:r>
              <w:rPr>
                <w:rFonts w:hint="default" w:ascii="Times New Roman" w:hAnsi="Times New Roman" w:eastAsia="宋体" w:cs="Times New Roman"/>
                <w:kern w:val="0"/>
                <w:sz w:val="24"/>
              </w:rPr>
              <w:t>1.供应商认为采购文件、采购过程、中标结果使自己的权益受到损害的，可以在知道或者应知其权益受到损害之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55"/>
              <w:spacing w:after="0" w:line="360" w:lineRule="exact"/>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t>2.供应商应在法定质疑期内一次性提出针对同一采购程序环节的质疑。</w:t>
            </w:r>
          </w:p>
          <w:p>
            <w:pPr>
              <w:pStyle w:val="55"/>
              <w:spacing w:after="0" w:line="360" w:lineRule="exact"/>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t>3.提出质疑的供应商应当是参与所质疑项目采购活动的供应商。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rPr>
                <w:rFonts w:hint="default" w:ascii="Times New Roman" w:hAnsi="Times New Roman" w:eastAsia="宋体" w:cs="Times New Roman"/>
              </w:rPr>
            </w:pPr>
            <w:r>
              <w:rPr>
                <w:rFonts w:hint="default" w:ascii="Times New Roman" w:hAnsi="Times New Roman" w:eastAsia="宋体" w:cs="Times New Roman"/>
              </w:rPr>
              <w:t>21</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其他</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bCs/>
              </w:rPr>
              <w:t>1.</w:t>
            </w:r>
            <w:r>
              <w:rPr>
                <w:rFonts w:hint="default" w:ascii="Times New Roman" w:hAnsi="Times New Roman" w:eastAsia="宋体" w:cs="Times New Roman"/>
              </w:rPr>
              <w:t>投标报价超过预算价或最高限价的，其投标为无效标。</w:t>
            </w:r>
          </w:p>
          <w:p>
            <w:pPr>
              <w:spacing w:line="40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b/>
                <w:bCs/>
              </w:rPr>
              <w:t>.</w:t>
            </w:r>
            <w:r>
              <w:rPr>
                <w:rFonts w:hint="default" w:ascii="Times New Roman" w:hAnsi="Times New Roman" w:eastAsia="宋体" w:cs="Times New Roman"/>
              </w:rPr>
              <w:t>招标文件中要求投标人在制作投标文件时，提供的证明文件件必须根据评审细则对评审的内容要求完整、清晰可辨，否则在评审时以最不利于投标人原则评审。</w:t>
            </w:r>
          </w:p>
        </w:tc>
      </w:tr>
    </w:tbl>
    <w:p>
      <w:pPr>
        <w:spacing w:line="360" w:lineRule="auto"/>
        <w:jc w:val="center"/>
        <w:rPr>
          <w:rFonts w:hint="default" w:ascii="Times New Roman" w:hAnsi="Times New Roman" w:eastAsia="宋体" w:cs="Times New Roman"/>
          <w:sz w:val="36"/>
          <w:szCs w:val="36"/>
        </w:rPr>
      </w:pPr>
      <w:r>
        <w:rPr>
          <w:rFonts w:hint="default" w:ascii="Times New Roman" w:hAnsi="Times New Roman" w:eastAsia="宋体" w:cs="Times New Roman"/>
          <w:b/>
        </w:rPr>
        <w:t>注：投标人须知前附表内容与本招标文件后述内容不一致的，以投标须知前附表为准。</w:t>
      </w:r>
      <w:bookmarkStart w:id="10" w:name="_Toc274303228"/>
      <w:bookmarkStart w:id="11" w:name="_Toc362250686"/>
      <w:r>
        <w:rPr>
          <w:rFonts w:hint="default" w:ascii="Times New Roman" w:hAnsi="Times New Roman" w:eastAsia="宋体" w:cs="Times New Roman"/>
          <w:sz w:val="36"/>
          <w:szCs w:val="36"/>
        </w:rPr>
        <w:br w:type="page"/>
      </w:r>
      <w:bookmarkStart w:id="12" w:name="_Toc406413927"/>
      <w:r>
        <w:rPr>
          <w:rFonts w:hint="default" w:ascii="Times New Roman" w:hAnsi="Times New Roman" w:eastAsia="宋体" w:cs="Times New Roman"/>
          <w:b/>
          <w:sz w:val="32"/>
          <w:szCs w:val="32"/>
        </w:rPr>
        <w:t>投标须知</w:t>
      </w:r>
      <w:bookmarkEnd w:id="10"/>
      <w:bookmarkEnd w:id="11"/>
      <w:bookmarkEnd w:id="12"/>
    </w:p>
    <w:p>
      <w:pPr>
        <w:pStyle w:val="5"/>
        <w:spacing w:before="0" w:after="0" w:line="240" w:lineRule="exact"/>
        <w:rPr>
          <w:rFonts w:hint="default" w:ascii="Times New Roman" w:hAnsi="Times New Roman" w:eastAsia="宋体" w:cs="Times New Roman"/>
          <w:sz w:val="24"/>
          <w:szCs w:val="24"/>
        </w:rPr>
      </w:pPr>
      <w:bookmarkStart w:id="13" w:name="_Toc406413928"/>
      <w:bookmarkStart w:id="14" w:name="_Toc274303229"/>
      <w:bookmarkStart w:id="15" w:name="_Toc1189"/>
      <w:bookmarkStart w:id="16" w:name="_Toc362250687"/>
      <w:r>
        <w:rPr>
          <w:rFonts w:hint="default" w:ascii="Times New Roman" w:hAnsi="Times New Roman" w:eastAsia="宋体" w:cs="Times New Roman"/>
          <w:sz w:val="24"/>
          <w:szCs w:val="24"/>
        </w:rPr>
        <w:t>一、说明</w:t>
      </w:r>
      <w:bookmarkEnd w:id="13"/>
      <w:bookmarkEnd w:id="14"/>
      <w:bookmarkEnd w:id="15"/>
      <w:bookmarkEnd w:id="16"/>
    </w:p>
    <w:p>
      <w:pPr>
        <w:pStyle w:val="2"/>
        <w:adjustRightInd w:val="0"/>
        <w:snapToGrid w:val="0"/>
        <w:spacing w:line="400" w:lineRule="exact"/>
        <w:ind w:firstLine="482"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1.适用范围</w:t>
      </w:r>
    </w:p>
    <w:p>
      <w:pPr>
        <w:pStyle w:val="2"/>
        <w:adjustRightInd w:val="0"/>
        <w:snapToGrid w:val="0"/>
        <w:spacing w:line="400" w:lineRule="exact"/>
        <w:ind w:firstLine="480" w:firstLineChars="20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1.1本招标文件仅适用于本次招标采购所叙述的货物和服务项目。</w:t>
      </w:r>
    </w:p>
    <w:p>
      <w:pPr>
        <w:pStyle w:val="2"/>
        <w:adjustRightInd w:val="0"/>
        <w:snapToGrid w:val="0"/>
        <w:spacing w:line="400" w:lineRule="exact"/>
        <w:ind w:firstLine="482"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2.定义</w:t>
      </w:r>
    </w:p>
    <w:p>
      <w:pPr>
        <w:pStyle w:val="29"/>
        <w:adjustRightInd w:val="0"/>
        <w:snapToGrid w:val="0"/>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2.1招标方：系指的是采购人和采购代理机构</w:t>
      </w:r>
    </w:p>
    <w:p>
      <w:pPr>
        <w:pStyle w:val="29"/>
        <w:adjustRightInd w:val="0"/>
        <w:snapToGrid w:val="0"/>
        <w:spacing w:line="4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2.2采购人：</w:t>
      </w:r>
      <w:r>
        <w:rPr>
          <w:rFonts w:hint="default" w:ascii="Times New Roman" w:hAnsi="Times New Roman" w:eastAsia="宋体" w:cs="Times New Roman"/>
          <w:sz w:val="24"/>
        </w:rPr>
        <w:t>系指的是</w:t>
      </w:r>
      <w:r>
        <w:rPr>
          <w:rFonts w:hint="default" w:ascii="Times New Roman" w:hAnsi="Times New Roman" w:eastAsia="宋体" w:cs="Times New Roman"/>
          <w:color w:val="FF0000"/>
          <w:sz w:val="24"/>
          <w:lang w:eastAsia="zh-CN"/>
        </w:rPr>
        <w:t>义乌市农业农村局</w:t>
      </w:r>
    </w:p>
    <w:p>
      <w:pPr>
        <w:pStyle w:val="29"/>
        <w:adjustRightInd w:val="0"/>
        <w:snapToGrid w:val="0"/>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采购（招标）代理机构：系指义乌市政府采购中心。</w:t>
      </w:r>
    </w:p>
    <w:p>
      <w:pPr>
        <w:pStyle w:val="29"/>
        <w:adjustRightInd w:val="0"/>
        <w:snapToGrid w:val="0"/>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2.3投标人：系指响应招标、参加投标竞争的供应商。</w:t>
      </w:r>
    </w:p>
    <w:p>
      <w:pPr>
        <w:pStyle w:val="2"/>
        <w:adjustRightInd w:val="0"/>
        <w:snapToGrid w:val="0"/>
        <w:spacing w:line="400" w:lineRule="exact"/>
        <w:ind w:firstLine="480" w:firstLineChars="20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2.4服务：系指</w:t>
      </w:r>
      <w:r>
        <w:rPr>
          <w:rFonts w:hint="default" w:ascii="Times New Roman" w:hAnsi="Times New Roman" w:eastAsia="宋体" w:cs="Times New Roman"/>
          <w:b w:val="0"/>
          <w:color w:val="auto"/>
          <w:sz w:val="24"/>
          <w:szCs w:val="24"/>
        </w:rPr>
        <w:t>招标文件规定投标人须承担的劳务及其它类似的服务</w:t>
      </w:r>
      <w:r>
        <w:rPr>
          <w:rFonts w:hint="default" w:ascii="Times New Roman" w:hAnsi="Times New Roman" w:eastAsia="宋体" w:cs="Times New Roman"/>
          <w:b w:val="0"/>
          <w:bCs w:val="0"/>
          <w:color w:val="auto"/>
          <w:sz w:val="24"/>
          <w:szCs w:val="24"/>
        </w:rPr>
        <w:t>。</w:t>
      </w:r>
    </w:p>
    <w:p>
      <w:pPr>
        <w:pStyle w:val="33"/>
        <w:adjustRightInd w:val="0"/>
        <w:snapToGrid w:val="0"/>
        <w:spacing w:line="400" w:lineRule="exact"/>
        <w:ind w:firstLineChars="200"/>
        <w:rPr>
          <w:rFonts w:hint="default" w:ascii="Times New Roman" w:hAnsi="Times New Roman" w:eastAsia="宋体" w:cs="Times New Roman"/>
          <w:szCs w:val="24"/>
        </w:rPr>
      </w:pPr>
      <w:r>
        <w:rPr>
          <w:rFonts w:hint="default" w:ascii="Times New Roman" w:hAnsi="Times New Roman" w:eastAsia="宋体" w:cs="Times New Roman"/>
          <w:szCs w:val="24"/>
        </w:rPr>
        <w:t>2.5货物：系指按招标文件规定投标人须向采购人提供的设备及附件等。</w:t>
      </w:r>
    </w:p>
    <w:p>
      <w:pPr>
        <w:pStyle w:val="2"/>
        <w:spacing w:line="400" w:lineRule="exact"/>
        <w:ind w:firstLine="480" w:firstLineChars="200"/>
        <w:jc w:val="both"/>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2.6需方：即采购人，在招投标阶段称为采购人，在签订和执行合同阶段称为需方。</w:t>
      </w:r>
    </w:p>
    <w:p>
      <w:pPr>
        <w:pStyle w:val="2"/>
        <w:spacing w:line="4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color w:val="auto"/>
          <w:sz w:val="24"/>
          <w:szCs w:val="24"/>
        </w:rPr>
        <w:t>2.7供方：在招投标阶段称为投标人，中标后在签订和执行合同阶段称为供方。</w:t>
      </w:r>
    </w:p>
    <w:p>
      <w:pPr>
        <w:pStyle w:val="33"/>
        <w:adjustRightInd w:val="0"/>
        <w:snapToGrid w:val="0"/>
        <w:spacing w:line="400" w:lineRule="exact"/>
        <w:ind w:firstLineChars="200"/>
        <w:rPr>
          <w:rFonts w:hint="default" w:ascii="Times New Roman" w:hAnsi="Times New Roman" w:eastAsia="宋体" w:cs="Times New Roman"/>
          <w:szCs w:val="24"/>
        </w:rPr>
      </w:pPr>
      <w:r>
        <w:rPr>
          <w:rFonts w:hint="default" w:ascii="Times New Roman" w:hAnsi="Times New Roman" w:eastAsia="宋体" w:cs="Times New Roman"/>
          <w:szCs w:val="24"/>
        </w:rPr>
        <w:t>2.8“原产地”是指货物开采、生长或生产、或提供有关服务的来源地。</w:t>
      </w:r>
    </w:p>
    <w:p>
      <w:pPr>
        <w:pStyle w:val="33"/>
        <w:adjustRightInd w:val="0"/>
        <w:snapToGrid w:val="0"/>
        <w:spacing w:line="400" w:lineRule="exact"/>
        <w:ind w:firstLineChars="200"/>
        <w:rPr>
          <w:rFonts w:hint="default" w:ascii="Times New Roman" w:hAnsi="Times New Roman" w:eastAsia="宋体" w:cs="Times New Roman"/>
          <w:szCs w:val="24"/>
        </w:rPr>
      </w:pPr>
      <w:r>
        <w:rPr>
          <w:rFonts w:hint="default" w:ascii="Times New Roman" w:hAnsi="Times New Roman" w:eastAsia="宋体" w:cs="Times New Roman"/>
          <w:szCs w:val="24"/>
        </w:rPr>
        <w:t>2.9“★”标记系指必须满足不能负偏离或必须应答的条款。</w:t>
      </w:r>
    </w:p>
    <w:p>
      <w:pPr>
        <w:pStyle w:val="2"/>
        <w:adjustRightInd w:val="0"/>
        <w:snapToGrid w:val="0"/>
        <w:spacing w:line="400" w:lineRule="exact"/>
        <w:ind w:firstLine="482"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3.合格的投标人</w:t>
      </w:r>
    </w:p>
    <w:p>
      <w:pPr>
        <w:pStyle w:val="2"/>
        <w:adjustRightInd w:val="0"/>
        <w:snapToGrid w:val="0"/>
        <w:spacing w:line="4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rPr>
        <w:t>符合第一章采购公告中关于“投标人资格条件”规定的投标人。</w:t>
      </w:r>
    </w:p>
    <w:p>
      <w:pPr>
        <w:pStyle w:val="29"/>
        <w:spacing w:line="400" w:lineRule="exact"/>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4.保证</w:t>
      </w:r>
    </w:p>
    <w:p>
      <w:pPr>
        <w:pStyle w:val="29"/>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投标单位应保证所提交给采购代理机构和采购人的资料和数据是真实、有效的。</w:t>
      </w:r>
    </w:p>
    <w:p>
      <w:pPr>
        <w:pStyle w:val="29"/>
        <w:spacing w:line="40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5.投标费用</w:t>
      </w:r>
    </w:p>
    <w:p>
      <w:pPr>
        <w:pStyle w:val="29"/>
        <w:spacing w:line="400" w:lineRule="exact"/>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不论投标过程中的作法和结果如何，投标人应承担所有与投标有关的全部费用。采购人和采购代理机构在任何情况下均无义务和责任承担上述这些费用。</w:t>
      </w:r>
    </w:p>
    <w:p>
      <w:pPr>
        <w:adjustRightInd w:val="0"/>
        <w:snapToGrid w:val="0"/>
        <w:spacing w:line="40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6.转包、分包、联合体</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6.1本项目不接受转包。</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6.2本项目不接受分包。</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6.3联合体采购相关规定</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6.3.1除特定资格要求外，联合体各方均应符合本项目规定的其它资格要求及根据承担工作需要的相应资格。</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6.3.2如本项目有特定资要求的，联合体中至少有一方应符合本文件规定的特定资格要求。但联合体中有同类资质的投标人按照联合体分工承担相同工作的，应当按照资质等级较低的投标人确定资质等级。</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6.3.4以联合体形式参加政府采购活动的，联合体各方不得再单独参加或者与其他投标人另外组成联合体参加同一合同项下的政府采购活动。</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6.3.5联合体参与的，必须提供《联合体协议》。</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6.3.6如采购项目对供应商有业绩要求。联合体各方分别提供与联合体协议中约定的分工内容相应的业绩材料，业绩数量以提供材料较少的一方为准；如联合体协议中未进行分工约定的，联合体各方应就所有合同约定的工作内容提供业绩材料，有一方未能提供全部合同约定的工作内容的业绩材料的，视为联合体未提供业绩材料。</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6.3.7联合体各方均为中小企业的，该联合体视同中小企业。</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6.3.8以联合体形式参加政府采购活动的，其投诉应当由组成联合体的所有供应商共同提出。</w:t>
      </w:r>
    </w:p>
    <w:p>
      <w:pPr>
        <w:adjustRightInd w:val="0"/>
        <w:snapToGrid w:val="0"/>
        <w:spacing w:line="400" w:lineRule="exact"/>
        <w:ind w:firstLine="480" w:firstLineChars="200"/>
        <w:rPr>
          <w:rFonts w:hint="default" w:ascii="Times New Roman" w:hAnsi="Times New Roman" w:eastAsia="宋体" w:cs="Times New Roman"/>
          <w:b/>
          <w:color w:val="CCC0D9"/>
        </w:rPr>
      </w:pPr>
      <w:r>
        <w:rPr>
          <w:rFonts w:hint="default" w:ascii="Times New Roman" w:hAnsi="Times New Roman" w:eastAsia="宋体" w:cs="Times New Roman"/>
        </w:rPr>
        <w:t>6.3.9采购人或采购代理机构对联合体中任何一方的书面文件都对联合体各方具有约束力。</w:t>
      </w:r>
    </w:p>
    <w:p>
      <w:pPr>
        <w:adjustRightInd w:val="0"/>
        <w:snapToGrid w:val="0"/>
        <w:spacing w:line="400" w:lineRule="exact"/>
        <w:ind w:firstLine="482" w:firstLineChars="200"/>
        <w:rPr>
          <w:rFonts w:hint="default" w:ascii="Times New Roman" w:hAnsi="Times New Roman" w:eastAsia="宋体" w:cs="Times New Roman"/>
          <w:b/>
          <w:color w:val="CCC0D9"/>
        </w:rPr>
      </w:pPr>
      <w:r>
        <w:rPr>
          <w:rFonts w:hint="default" w:ascii="Times New Roman" w:hAnsi="Times New Roman" w:eastAsia="宋体" w:cs="Times New Roman"/>
          <w:b/>
        </w:rPr>
        <w:t>7.政府采购政策</w:t>
      </w:r>
    </w:p>
    <w:p>
      <w:pPr>
        <w:adjustRightInd w:val="0"/>
        <w:snapToGrid w:val="0"/>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7.1进口产品采购规定</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7.1.1进口产品认定根据财政部财库[2007]119号和财政部办公厅财办库[2008]248号文件规定，“进口产品”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特殊监管区域包括：保税区、出口加工区、保税港区、珠澳跨境工业区珠海园区、中哈霍尔果斯国际边境合作中心中方配套区、综合保税区等区域。</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7.1.2不允许进口产品参投的项目，投标人所投产品中有进口产品的其投标无效．</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7.1.3允许进口产品参投的项目，同时也允许满足实质性需求的国内产品参与投标．</w:t>
      </w:r>
    </w:p>
    <w:p>
      <w:pPr>
        <w:adjustRightInd w:val="0"/>
        <w:snapToGrid w:val="0"/>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7.2扶持中小企业政策</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7.2.1专门面向中小企业(具体情形详见招标公告资格要求中的情形)采购的项目或者标项，不再执行价格评审优惠的扶持政策。</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7.2.2.非专门面向中小企业采购的项目(或标段)，执行价格评审优优惠。</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7.2.2.1根据符合《政府采购促进中小企业发展管理办法》（财库〔2020〕46号）要求，对小微企业报价给予 20% 的扣除，用扣除后的价格参加评审；对于接受大中型企业与小微企业组成联合体的采购项目，对于联合协议约定小微企业的合同份额占到合同总金额 30%以上的，对联合体的报价给予 6 %的扣除，用扣除后的价格参加评审。</w:t>
      </w:r>
      <w:r>
        <w:rPr>
          <w:rFonts w:hint="default" w:ascii="Times New Roman" w:hAnsi="Times New Roman" w:eastAsia="宋体" w:cs="Times New Roman"/>
          <w:b/>
          <w:bCs/>
        </w:rPr>
        <w:t>享受相关中小企业扶持政策的投标人，应在投标文件中提供《中小企业声明函》。</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7.2.2.2根据财库[2017]141号的相关规定，符合该文件第一条规定的残疾人福利性单位，视同小型、微型企业，享受评审中价格扣除政策，但投标人应在投标文件中提供残疾人福利性单位声明函。</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7.2.2.3根据财库[2014]68号的相关规定，在政府采购活动中，监狱企业视同小型、微型企业，享受中小企业扶持政策，但投标人应在投标文件中提供由省级以上监狱管理局、戒毒管理局（含新疆生产建设兵团）出具的属于监狱企业的声明文件。</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7.2.3对于采购标的中有不同属性(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pPr>
        <w:adjustRightInd w:val="0"/>
        <w:snapToGrid w:val="0"/>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7.3节能环保</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 xml:space="preserve">7.3.1根据财财库〔2019〕9号文件要求，采购人采购的产品中有属于节能产品政府采购品目清单或环境标志产品政府采购品目清单内的，投标人所投的相应产品应在中国政府采购网（http://www.ccgp.gov.cn）中可查询到，如属于强制采购节能产品的，未查询到的其投标无效。 </w:t>
      </w:r>
    </w:p>
    <w:p>
      <w:pPr>
        <w:pStyle w:val="5"/>
        <w:spacing w:before="120" w:after="120" w:line="400" w:lineRule="exact"/>
        <w:rPr>
          <w:rFonts w:hint="default" w:ascii="Times New Roman" w:hAnsi="Times New Roman" w:eastAsia="宋体" w:cs="Times New Roman"/>
          <w:sz w:val="24"/>
          <w:szCs w:val="24"/>
        </w:rPr>
      </w:pPr>
      <w:bookmarkStart w:id="17" w:name="_Toc406413929"/>
      <w:bookmarkStart w:id="18" w:name="_Toc362250688"/>
      <w:bookmarkStart w:id="19" w:name="_Toc274303230"/>
      <w:bookmarkStart w:id="20" w:name="_Toc219"/>
      <w:r>
        <w:rPr>
          <w:rFonts w:hint="default" w:ascii="Times New Roman" w:hAnsi="Times New Roman" w:eastAsia="宋体" w:cs="Times New Roman"/>
          <w:sz w:val="24"/>
          <w:szCs w:val="24"/>
        </w:rPr>
        <w:t>二、招标文件</w:t>
      </w:r>
      <w:bookmarkEnd w:id="17"/>
      <w:bookmarkEnd w:id="18"/>
      <w:bookmarkEnd w:id="19"/>
      <w:bookmarkEnd w:id="20"/>
    </w:p>
    <w:p>
      <w:pPr>
        <w:adjustRightInd w:val="0"/>
        <w:snapToGrid w:val="0"/>
        <w:spacing w:before="50" w:after="50"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8.招标文件的组成</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8.1招标文件包括下列内容：</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第一章采购公告</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第二章投标须知和投标须知前附表</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第三章招标项目要求</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第四章开标、评标和定标须知</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第五章投标文件的无效情形</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第六章评标办法</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第七章合同主要条款</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第八章投标文件部分格式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8.2除7.1内容外，招标人在投标文件递交截止日前以公告形式发出的对招标文件的澄清或修改内容，均为招标文件的组成部分，对招标方和投标人起约束作用。</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8.3上述所列7.1及7.2条内容均以公告内容为准，招标方的任何工作人员对投标人所作的任何口头解释、介绍、答复，对招标方和投标人无任何约束力。</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8.4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8.5招标方在“政采云”上设定的内容与招标文件的内容如有不一致的，以招标文件为准。</w:t>
      </w:r>
    </w:p>
    <w:p>
      <w:pPr>
        <w:adjustRightInd w:val="0"/>
        <w:snapToGrid w:val="0"/>
        <w:spacing w:before="50" w:after="50"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9.招标文件的澄清</w:t>
      </w:r>
    </w:p>
    <w:p>
      <w:pPr>
        <w:adjustRightInd w:val="0"/>
        <w:snapToGrid w:val="0"/>
        <w:spacing w:before="50" w:after="50" w:line="400" w:lineRule="exact"/>
        <w:ind w:firstLine="480" w:firstLineChars="200"/>
        <w:rPr>
          <w:rFonts w:hint="default" w:ascii="Times New Roman" w:hAnsi="Times New Roman" w:eastAsia="宋体" w:cs="Times New Roman"/>
        </w:rPr>
      </w:pPr>
      <w:bookmarkStart w:id="21" w:name="_Toc362250689"/>
      <w:bookmarkStart w:id="22" w:name="_Toc406413930"/>
      <w:bookmarkStart w:id="23" w:name="_Toc274303231"/>
      <w:r>
        <w:rPr>
          <w:rFonts w:hint="default" w:ascii="Times New Roman" w:hAnsi="Times New Roman" w:eastAsia="宋体" w:cs="Times New Roman"/>
        </w:rPr>
        <w:t>9.1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9.2无论是招标方根据需要主动对招标文件进行必要澄清，或是根据投标人的要求对招标文件做出澄清，招标方的书面澄清（更正）文件会在浙江省政府网上发布公告，同时“政采云”会向所有已按招标文件规定方式获取招标文件的潜在供应商发送更正提醒信息，潜在供应商请自行到浙江省政府采购网上下载澄清（更正）文件，在收到该澄清（更正）文件后应于1日内，以书面或传真形式（签署意见并加盖公章）向招标代理机构回函给予确认。过期未回复的，视为默认接受。</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9.3投标人在前附表规定时间未提交疑问或质疑的，视作默认对本次招标过程中招标文件无异议，招标方对其提出的问题可以不予受理。</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9.4招标文件澄清、变更、补充等内容均以浙江政府采购网公示的内容为准。当招标文件、招标文件的澄清、变更、补充等在同一内容的表述上不一致时，以最后在浙江政府采购网发出的公示内容为准。</w:t>
      </w:r>
    </w:p>
    <w:p>
      <w:pPr>
        <w:pStyle w:val="5"/>
        <w:spacing w:before="120" w:after="120" w:line="400" w:lineRule="exact"/>
        <w:rPr>
          <w:rFonts w:hint="default" w:ascii="Times New Roman" w:hAnsi="Times New Roman" w:eastAsia="宋体" w:cs="Times New Roman"/>
          <w:sz w:val="24"/>
          <w:szCs w:val="24"/>
        </w:rPr>
      </w:pPr>
      <w:bookmarkStart w:id="24" w:name="_Toc24794"/>
      <w:r>
        <w:rPr>
          <w:rFonts w:hint="default" w:ascii="Times New Roman" w:hAnsi="Times New Roman" w:eastAsia="宋体" w:cs="Times New Roman"/>
          <w:sz w:val="24"/>
          <w:szCs w:val="24"/>
        </w:rPr>
        <w:t>三、投标文件</w:t>
      </w:r>
      <w:bookmarkEnd w:id="21"/>
      <w:bookmarkEnd w:id="22"/>
      <w:bookmarkEnd w:id="23"/>
      <w:bookmarkEnd w:id="24"/>
    </w:p>
    <w:p>
      <w:pPr>
        <w:spacing w:line="400" w:lineRule="exact"/>
        <w:ind w:firstLine="480"/>
        <w:rPr>
          <w:rFonts w:hint="default" w:ascii="Times New Roman" w:hAnsi="Times New Roman" w:eastAsia="宋体" w:cs="Times New Roman"/>
          <w:b/>
          <w:bCs/>
        </w:rPr>
      </w:pPr>
      <w:r>
        <w:rPr>
          <w:rFonts w:hint="default" w:ascii="Times New Roman" w:hAnsi="Times New Roman" w:eastAsia="宋体" w:cs="Times New Roman"/>
          <w:b/>
          <w:bCs/>
        </w:rPr>
        <w:t>10.投标文件的组成</w:t>
      </w:r>
    </w:p>
    <w:p>
      <w:pPr>
        <w:adjustRightInd w:val="0"/>
        <w:snapToGrid w:val="0"/>
        <w:spacing w:line="460" w:lineRule="exact"/>
        <w:ind w:firstLine="463" w:firstLineChars="192"/>
        <w:rPr>
          <w:rFonts w:hint="default" w:ascii="Times New Roman" w:hAnsi="Times New Roman" w:eastAsia="宋体" w:cs="Times New Roman"/>
          <w:b/>
          <w:szCs w:val="21"/>
          <w:u w:val="single"/>
        </w:rPr>
      </w:pPr>
      <w:r>
        <w:rPr>
          <w:rFonts w:hint="default" w:ascii="Times New Roman" w:hAnsi="Times New Roman" w:eastAsia="宋体" w:cs="Times New Roman"/>
          <w:b/>
          <w:szCs w:val="21"/>
        </w:rPr>
        <w:t>10.1</w:t>
      </w:r>
      <w:r>
        <w:rPr>
          <w:rFonts w:hint="default" w:ascii="Times New Roman" w:hAnsi="Times New Roman" w:eastAsia="宋体" w:cs="Times New Roman"/>
          <w:szCs w:val="21"/>
        </w:rPr>
        <w:t>投标文件由</w:t>
      </w:r>
      <w:r>
        <w:rPr>
          <w:rFonts w:hint="default" w:ascii="Times New Roman" w:hAnsi="Times New Roman" w:eastAsia="宋体" w:cs="Times New Roman"/>
          <w:b/>
          <w:szCs w:val="21"/>
        </w:rPr>
        <w:t>资格响应文件</w:t>
      </w:r>
      <w:r>
        <w:rPr>
          <w:rFonts w:hint="default" w:ascii="Times New Roman" w:hAnsi="Times New Roman" w:eastAsia="宋体" w:cs="Times New Roman"/>
          <w:szCs w:val="21"/>
        </w:rPr>
        <w:t>、</w:t>
      </w:r>
      <w:r>
        <w:rPr>
          <w:rFonts w:hint="default" w:ascii="Times New Roman" w:hAnsi="Times New Roman" w:eastAsia="宋体" w:cs="Times New Roman"/>
          <w:b/>
          <w:szCs w:val="21"/>
        </w:rPr>
        <w:t>商务技术响应文件</w:t>
      </w:r>
      <w:r>
        <w:rPr>
          <w:rFonts w:hint="default" w:ascii="Times New Roman" w:hAnsi="Times New Roman" w:eastAsia="宋体" w:cs="Times New Roman"/>
          <w:szCs w:val="21"/>
        </w:rPr>
        <w:t>和</w:t>
      </w:r>
      <w:r>
        <w:rPr>
          <w:rFonts w:hint="default" w:ascii="Times New Roman" w:hAnsi="Times New Roman" w:eastAsia="宋体" w:cs="Times New Roman"/>
          <w:b/>
          <w:szCs w:val="21"/>
        </w:rPr>
        <w:t>报价响应文件</w:t>
      </w:r>
      <w:r>
        <w:rPr>
          <w:rFonts w:hint="default" w:ascii="Times New Roman" w:hAnsi="Times New Roman" w:eastAsia="宋体" w:cs="Times New Roman"/>
          <w:szCs w:val="21"/>
        </w:rPr>
        <w:t>组成，以下的“格式”，指的是第八章投标文件格式中的表格；</w:t>
      </w:r>
    </w:p>
    <w:p>
      <w:pPr>
        <w:adjustRightInd w:val="0"/>
        <w:snapToGrid w:val="0"/>
        <w:spacing w:before="50" w:after="50"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10.1.1资格响应文件：包含以下内容</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★①单位营业执照副本等经营资格证明文件扫描件（加盖电子签章）</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★②义乌市政府采购项目投标承诺书（见格式）</w:t>
      </w:r>
    </w:p>
    <w:p>
      <w:pPr>
        <w:adjustRightInd w:val="0"/>
        <w:snapToGrid w:val="0"/>
        <w:spacing w:before="50" w:after="50" w:line="400" w:lineRule="exact"/>
        <w:ind w:firstLine="480" w:firstLineChars="200"/>
        <w:rPr>
          <w:rFonts w:hint="default" w:ascii="Times New Roman" w:hAnsi="Times New Roman" w:eastAsia="宋体" w:cs="Times New Roman"/>
          <w:lang w:val="zh-CN"/>
        </w:rPr>
      </w:pPr>
      <w:r>
        <w:rPr>
          <w:rFonts w:hint="default" w:ascii="Times New Roman" w:hAnsi="Times New Roman" w:eastAsia="宋体" w:cs="Times New Roman"/>
        </w:rPr>
        <w:t>③联合体协议</w:t>
      </w:r>
      <w:r>
        <w:rPr>
          <w:rFonts w:hint="default" w:ascii="Times New Roman" w:hAnsi="Times New Roman" w:eastAsia="宋体" w:cs="Times New Roman"/>
          <w:lang w:val="zh-CN"/>
        </w:rPr>
        <w:t>（见格式）（</w:t>
      </w:r>
      <w:r>
        <w:rPr>
          <w:rFonts w:hint="default" w:ascii="Times New Roman" w:hAnsi="Times New Roman" w:eastAsia="宋体" w:cs="Times New Roman"/>
        </w:rPr>
        <w:t>★如供应商是联合体，则应提供本项材料</w:t>
      </w:r>
      <w:r>
        <w:rPr>
          <w:rFonts w:hint="default" w:ascii="Times New Roman" w:hAnsi="Times New Roman" w:eastAsia="宋体" w:cs="Times New Roman"/>
          <w:lang w:val="zh-CN"/>
        </w:rPr>
        <w:t>）</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④投标人实力与资信情况介绍或投标人认为需要提供的其他文件、说明等</w:t>
      </w:r>
    </w:p>
    <w:p>
      <w:pPr>
        <w:adjustRightInd w:val="0"/>
        <w:snapToGrid w:val="0"/>
        <w:spacing w:before="50" w:after="50"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10.1.2商务技术响应文件：包含以下内容</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★①规范偏离表（见格式）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★②项目组成人员表（见格式）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③项目实施方案（格式自拟）</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④根据评审需要、招标文件要求等，投标人自行考虑需提供的资料</w:t>
      </w:r>
    </w:p>
    <w:p>
      <w:pPr>
        <w:adjustRightInd w:val="0"/>
        <w:snapToGrid w:val="0"/>
        <w:spacing w:before="50" w:after="50"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10.1.3报价响应文件：包含下列内容</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★①开标一览表（见格式）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★②项目成本报价表（见格式）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③中小企业声明函（见格式）（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④残疾人福利性单位声明函（见格式）（符合残疾人福利性单位有关政策的投标人需提供本项材料）</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⑤省级及以上监狱管理局、戒毒管理局（含新疆生产建设兵团）出具的属于监狱企业的文件扫描件加盖电子签章（符合监狱企业有关政策的投标人需提供本项材料）</w:t>
      </w:r>
    </w:p>
    <w:p>
      <w:pPr>
        <w:pStyle w:val="29"/>
        <w:spacing w:line="400" w:lineRule="exact"/>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11.投标文件编制要求</w:t>
      </w:r>
    </w:p>
    <w:p>
      <w:pPr>
        <w:pStyle w:val="49"/>
        <w:spacing w:after="0" w:line="400" w:lineRule="exact"/>
        <w:ind w:firstLine="480" w:firstLineChars="200"/>
        <w:textAlignment w:val="baseline"/>
        <w:rPr>
          <w:rFonts w:hint="default" w:ascii="Times New Roman" w:hAnsi="Times New Roman" w:eastAsia="宋体" w:cs="Times New Roman"/>
        </w:rPr>
      </w:pPr>
      <w:r>
        <w:rPr>
          <w:rFonts w:hint="default" w:ascii="Times New Roman" w:hAnsi="Times New Roman" w:eastAsia="宋体" w:cs="Times New Roman"/>
        </w:rPr>
        <w:t>11.1投标人应仔细阅读招标文件，了解招标文件的要求，在完全了解招标项目的技术要求和商务要求后，编制投标文件。</w:t>
      </w:r>
    </w:p>
    <w:p>
      <w:pPr>
        <w:pStyle w:val="49"/>
        <w:spacing w:after="0" w:line="400" w:lineRule="exact"/>
        <w:ind w:firstLine="480" w:firstLineChars="200"/>
        <w:textAlignment w:val="baseline"/>
        <w:rPr>
          <w:rFonts w:hint="default" w:ascii="Times New Roman" w:hAnsi="Times New Roman" w:eastAsia="宋体" w:cs="Times New Roman"/>
        </w:rPr>
      </w:pPr>
      <w:r>
        <w:rPr>
          <w:rFonts w:hint="default" w:ascii="Times New Roman" w:hAnsi="Times New Roman" w:eastAsia="宋体" w:cs="Times New Roman"/>
        </w:rPr>
        <w:t>11.2在招标文件对技术要求中，投标人必须充分应答和满足用户的强制性的需求，如“★”等，否则将导致无效标。</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11.3编制的投标文件对招标文件中有关条款未提出异议的，均被视为接受和同意。</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11.4投标人应根据电子投标操作指南按本招标文件规定的格式和顺序编制电子投标文件并进行关联定位。</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11.5由于未按招标文件的规定要求编制投标文件，导致评审小组作出的对投标人的误判，责任由投标人自己承担。</w:t>
      </w:r>
    </w:p>
    <w:p>
      <w:pPr>
        <w:adjustRightInd w:val="0"/>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b/>
        </w:rPr>
        <w:t>12.</w:t>
      </w:r>
      <w:r>
        <w:rPr>
          <w:rFonts w:hint="default" w:ascii="Times New Roman" w:hAnsi="Times New Roman" w:eastAsia="宋体" w:cs="Times New Roman"/>
          <w:b/>
          <w:bCs/>
        </w:rPr>
        <w:t>投标文件的语言及度量衡单位</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12.1投标文件和与投标有关的所有文件均应使用中文简体字。</w:t>
      </w:r>
    </w:p>
    <w:p>
      <w:pPr>
        <w:pStyle w:val="143"/>
        <w:spacing w:line="400" w:lineRule="exact"/>
        <w:ind w:firstLine="480"/>
        <w:jc w:val="both"/>
        <w:rPr>
          <w:rFonts w:hint="default" w:ascii="Times New Roman" w:hAnsi="Times New Roman" w:eastAsia="宋体" w:cs="Times New Roman"/>
        </w:rPr>
      </w:pPr>
      <w:r>
        <w:rPr>
          <w:rFonts w:hint="default" w:ascii="Times New Roman" w:hAnsi="Times New Roman" w:eastAsia="宋体" w:cs="Times New Roman"/>
          <w:szCs w:val="24"/>
        </w:rPr>
        <w:t>12.2</w:t>
      </w:r>
      <w:r>
        <w:rPr>
          <w:rFonts w:hint="default" w:ascii="Times New Roman" w:hAnsi="Times New Roman" w:eastAsia="宋体" w:cs="Times New Roman"/>
        </w:rPr>
        <w:t>原版为外文的证书类文件，以及由外国人作出的本人签名、外国公司的名称或外国印章等可以是外文，但应当提供中文翻译文件并加盖电子签章。</w:t>
      </w:r>
    </w:p>
    <w:p>
      <w:pPr>
        <w:pStyle w:val="29"/>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12.3除工程规范另有规定外，投标文件使用的度量衡单位，均采用中华人民共和国法定计量单位。</w:t>
      </w:r>
    </w:p>
    <w:p>
      <w:pPr>
        <w:pStyle w:val="29"/>
        <w:spacing w:line="400" w:lineRule="exact"/>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13.投标报价</w:t>
      </w:r>
    </w:p>
    <w:p>
      <w:pPr>
        <w:pStyle w:val="29"/>
        <w:spacing w:line="440" w:lineRule="exact"/>
        <w:ind w:firstLine="480" w:firstLineChars="200"/>
        <w:rPr>
          <w:rFonts w:hint="default" w:ascii="Times New Roman" w:hAnsi="Times New Roman" w:eastAsia="宋体" w:cs="Times New Roman"/>
          <w:b/>
          <w:bCs/>
          <w:sz w:val="24"/>
          <w:szCs w:val="24"/>
          <w:highlight w:val="none"/>
        </w:rPr>
      </w:pPr>
      <w:r>
        <w:rPr>
          <w:rFonts w:ascii="Times New Roman" w:hAnsi="Times New Roman" w:cs="Times New Roman"/>
          <w:sz w:val="24"/>
          <w:szCs w:val="24"/>
          <w:highlight w:val="none"/>
        </w:rPr>
        <w:t>13.1</w:t>
      </w:r>
      <w:r>
        <w:rPr>
          <w:rFonts w:hint="eastAsia" w:ascii="Times New Roman" w:hAnsi="Times New Roman" w:cs="Times New Roman"/>
          <w:sz w:val="24"/>
          <w:szCs w:val="24"/>
          <w:highlight w:val="none"/>
        </w:rPr>
        <w:t>投标人应根据国家的有关规定和招标文件要求并结合企业的实际情况进行投标报价。投标报价以人民币为结算货币，投标报价须包含项目达到预期使用效果所需的调查费、税费、报告编制费等一切费用和政策性文件规定及合同包含的所有风险、责任等各项应有费用。应是招标文件确定的招标范围内的全部工作内容的价格表现，完成该项目的所有费用及各环节所必需的连带工作或服务、成果验收、以及政策性文件规定、合同包含的所有风险责任等所有费用。如有漏项，视同已包含在本报价中，投标单价不做调整。</w:t>
      </w:r>
    </w:p>
    <w:p>
      <w:pPr>
        <w:pStyle w:val="29"/>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13.2投标人应在投标文件的《开标一览表》上写明投标报价项目的单价及总价。</w:t>
      </w:r>
    </w:p>
    <w:p>
      <w:pPr>
        <w:pStyle w:val="29"/>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13.3中标后，中标人所填写的报价在合同实施期间不因市场变化因素而变动，投标人在计算报价时应考虑一定的风险系数。</w:t>
      </w:r>
    </w:p>
    <w:p>
      <w:pPr>
        <w:pStyle w:val="29"/>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13.4投标人应按招标文件规定的报价格式进行投标报价。投标人对每种货物只允许有一个报价，招标方不接受任何有选择性的报价。</w:t>
      </w:r>
    </w:p>
    <w:p>
      <w:pPr>
        <w:pStyle w:val="29"/>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13.5</w:t>
      </w:r>
      <w:r>
        <w:rPr>
          <w:rFonts w:hint="default" w:ascii="Times New Roman" w:hAnsi="Times New Roman" w:eastAsia="宋体" w:cs="Times New Roman"/>
          <w:spacing w:val="-8"/>
          <w:sz w:val="24"/>
          <w:szCs w:val="24"/>
        </w:rPr>
        <w:t>招标方不接受低于成本的投标报价。</w:t>
      </w:r>
    </w:p>
    <w:p>
      <w:pPr>
        <w:pStyle w:val="29"/>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13.6投标人按照上述要求编制投标报价。一旦确认某一投标人中标，除合同规定的可调整内容外，中标人不得要求追加任何费用。</w:t>
      </w:r>
    </w:p>
    <w:p>
      <w:pPr>
        <w:pStyle w:val="29"/>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13.7须由中标单位开具正式发票。</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13.8招标文件中规定由投标单位承担并支付的相关费用在投标报价时应一并考虑。</w:t>
      </w:r>
    </w:p>
    <w:p>
      <w:pPr>
        <w:adjustRightInd w:val="0"/>
        <w:snapToGrid w:val="0"/>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14.投标文件格式</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29"/>
        <w:spacing w:line="360" w:lineRule="exact"/>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15.履约保证金：</w:t>
      </w:r>
      <w:r>
        <w:rPr>
          <w:rFonts w:hint="default" w:ascii="Times New Roman" w:hAnsi="Times New Roman" w:eastAsia="宋体" w:cs="Times New Roman"/>
          <w:bCs/>
          <w:sz w:val="24"/>
          <w:szCs w:val="24"/>
        </w:rPr>
        <w:t>无</w:t>
      </w:r>
    </w:p>
    <w:p>
      <w:pPr>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16.投标有效期</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16.1投标文件从开标之日起，投标有效期为90天。</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16.2特殊情况下，在原投标有效期截止之前，采购人可要求投标人同意延长有效期，这种要求与答复均应以书面形式提交。投标人可拒绝这种要求，接受延长投标有效期的投标人将不会被要求和允许修正其投标。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5"/>
        <w:spacing w:before="0" w:after="0" w:line="400" w:lineRule="exact"/>
        <w:rPr>
          <w:rFonts w:hint="default" w:ascii="Times New Roman" w:hAnsi="Times New Roman" w:eastAsia="宋体" w:cs="Times New Roman"/>
          <w:sz w:val="24"/>
          <w:szCs w:val="24"/>
        </w:rPr>
      </w:pPr>
      <w:bookmarkStart w:id="25" w:name="_Toc406413931"/>
      <w:bookmarkStart w:id="26" w:name="_Toc274303232"/>
      <w:bookmarkStart w:id="27" w:name="_Toc27181"/>
      <w:bookmarkStart w:id="28" w:name="_Toc362250690"/>
      <w:r>
        <w:rPr>
          <w:rFonts w:hint="default" w:ascii="Times New Roman" w:hAnsi="Times New Roman" w:eastAsia="宋体" w:cs="Times New Roman"/>
          <w:sz w:val="24"/>
          <w:szCs w:val="24"/>
        </w:rPr>
        <w:t>四、投标文件的递交</w:t>
      </w:r>
      <w:bookmarkEnd w:id="25"/>
      <w:bookmarkEnd w:id="26"/>
      <w:bookmarkEnd w:id="27"/>
      <w:bookmarkEnd w:id="28"/>
    </w:p>
    <w:p>
      <w:pPr>
        <w:tabs>
          <w:tab w:val="left" w:pos="315"/>
        </w:tabs>
        <w:adjustRightInd w:val="0"/>
        <w:snapToGrid w:val="0"/>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17.电子投标文件上传的地点和截止时间</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投标人应在投标截止时间（</w:t>
      </w:r>
      <w:r>
        <w:rPr>
          <w:rFonts w:hint="default" w:ascii="Times New Roman" w:hAnsi="Times New Roman" w:eastAsia="宋体" w:cs="Times New Roman"/>
          <w:color w:val="FF0000"/>
          <w:sz w:val="24"/>
          <w:szCs w:val="24"/>
        </w:rPr>
        <w:t>2023年XX月XX日</w:t>
      </w:r>
      <w:r>
        <w:rPr>
          <w:rFonts w:hint="default" w:ascii="Times New Roman" w:hAnsi="Times New Roman" w:eastAsia="宋体" w:cs="Times New Roman"/>
          <w:sz w:val="24"/>
          <w:szCs w:val="24"/>
        </w:rPr>
        <w:t>09:30）之前上传投标文件，同时，投标人可在投标截止时间前将在“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bCs/>
          <w:sz w:val="24"/>
          <w:szCs w:val="24"/>
        </w:rPr>
        <w:t>投标供应商仅递交备份投标文件的，投标无效。</w:t>
      </w:r>
    </w:p>
    <w:p>
      <w:pPr>
        <w:tabs>
          <w:tab w:val="left" w:pos="315"/>
        </w:tabs>
        <w:adjustRightInd w:val="0"/>
        <w:snapToGrid w:val="0"/>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rPr>
        <w:t>18.</w:t>
      </w:r>
      <w:r>
        <w:rPr>
          <w:rFonts w:hint="default" w:ascii="Times New Roman" w:hAnsi="Times New Roman" w:eastAsia="宋体" w:cs="Times New Roman"/>
          <w:b/>
          <w:bCs/>
        </w:rPr>
        <w:t>投标文件的补充、修改与撤回</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18.1投标人在“政采云”上提交投标文件以后，在规定的投标截止时间之前，可以重新补充修改或撤回已上传的投标文件，补充、修改的内容为投标文件的组成部分。</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18.2在投标截止时间之后，投标人不得对其投标做任何修改。</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18.3从投标截止时间至投标人在投标书格式中确定的投标有效期期满这段时间内，投标人不得撤回其投标。</w:t>
      </w:r>
    </w:p>
    <w:p>
      <w:pPr>
        <w:spacing w:line="40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19.投标文件解密</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本项目采用线上开标，供应商无需到开标现场，但应准时在线参加。开标时间后采购中心开启解密。开启解密后的1小时内，供应商应当登录“政采云”，用“项目采购-开标评标”功能解密投标文件。</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eastAsia="宋体" w:cs="Times New Roman"/>
          <w:color w:val="FF0000"/>
          <w:sz w:val="24"/>
          <w:szCs w:val="24"/>
        </w:rPr>
        <w:t>2023年XX月XX日</w:t>
      </w:r>
      <w:r>
        <w:rPr>
          <w:rFonts w:hint="default" w:ascii="Times New Roman" w:hAnsi="Times New Roman" w:eastAsia="宋体" w:cs="Times New Roman"/>
          <w:sz w:val="24"/>
          <w:szCs w:val="24"/>
        </w:rPr>
        <w:t>上午09:30前）及要求提供有效备份标书，同时政采云上投标文件解密失败的，将导致投标无效。</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如果投标人发送两份以上备份文件的，以最后收到的那一份为准，通过“政采云”上传递交的“加密投标文件”已按时解密的，“备份投标文件”自动失效。</w:t>
      </w:r>
    </w:p>
    <w:p>
      <w:pPr>
        <w:pStyle w:val="5"/>
        <w:numPr>
          <w:ilvl w:val="0"/>
          <w:numId w:val="0"/>
        </w:numPr>
        <w:spacing w:before="120" w:after="120" w:line="400" w:lineRule="exact"/>
        <w:rPr>
          <w:rFonts w:hint="default" w:ascii="Times New Roman" w:hAnsi="Times New Roman" w:eastAsia="宋体" w:cs="Times New Roman"/>
          <w:sz w:val="24"/>
          <w:szCs w:val="24"/>
        </w:rPr>
      </w:pPr>
      <w:bookmarkStart w:id="29" w:name="_Toc362250691"/>
      <w:bookmarkStart w:id="30" w:name="_Toc274303233"/>
      <w:bookmarkStart w:id="31" w:name="_Toc406413932"/>
      <w:bookmarkStart w:id="32" w:name="_Toc7348"/>
      <w:r>
        <w:rPr>
          <w:rFonts w:hint="default" w:ascii="Times New Roman" w:hAnsi="Times New Roman" w:eastAsia="宋体" w:cs="Times New Roman"/>
          <w:sz w:val="24"/>
          <w:szCs w:val="24"/>
        </w:rPr>
        <w:t>五、</w:t>
      </w:r>
      <w:bookmarkEnd w:id="29"/>
      <w:bookmarkEnd w:id="30"/>
      <w:bookmarkEnd w:id="31"/>
      <w:r>
        <w:rPr>
          <w:rFonts w:hint="default" w:ascii="Times New Roman" w:hAnsi="Times New Roman" w:eastAsia="宋体" w:cs="Times New Roman"/>
          <w:sz w:val="24"/>
          <w:szCs w:val="24"/>
        </w:rPr>
        <w:t>其它</w:t>
      </w:r>
      <w:bookmarkEnd w:id="32"/>
    </w:p>
    <w:p>
      <w:pPr>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20.本招标文件解释权归“招标方”。</w:t>
      </w: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pStyle w:val="4"/>
        <w:spacing w:before="0" w:after="0" w:line="400" w:lineRule="atLeast"/>
        <w:jc w:val="center"/>
        <w:rPr>
          <w:rFonts w:hint="default" w:ascii="Times New Roman" w:hAnsi="Times New Roman" w:eastAsia="宋体" w:cs="Times New Roman"/>
          <w:sz w:val="36"/>
          <w:highlight w:val="none"/>
        </w:rPr>
      </w:pPr>
      <w:bookmarkStart w:id="33" w:name="_Toc31308"/>
      <w:bookmarkStart w:id="34" w:name="_Toc24741"/>
      <w:bookmarkStart w:id="35" w:name="_Toc9111"/>
      <w:bookmarkStart w:id="36" w:name="_Toc406413933"/>
      <w:bookmarkStart w:id="37" w:name="_Toc27734"/>
      <w:bookmarkStart w:id="38" w:name="_Toc274303234"/>
      <w:r>
        <w:rPr>
          <w:rFonts w:hint="default" w:ascii="Times New Roman" w:hAnsi="Times New Roman" w:eastAsia="宋体" w:cs="Times New Roman"/>
          <w:sz w:val="36"/>
          <w:highlight w:val="none"/>
        </w:rPr>
        <w:t>第三章 招标项目要求</w:t>
      </w:r>
      <w:bookmarkEnd w:id="33"/>
      <w:bookmarkEnd w:id="34"/>
      <w:bookmarkEnd w:id="35"/>
      <w:bookmarkEnd w:id="36"/>
      <w:bookmarkEnd w:id="37"/>
      <w:bookmarkEnd w:id="38"/>
      <w:bookmarkStart w:id="39" w:name="_Toc226973000"/>
      <w:bookmarkStart w:id="40" w:name="_Toc274303251"/>
      <w:bookmarkStart w:id="41" w:name="_Toc406413936"/>
    </w:p>
    <w:p>
      <w:pPr>
        <w:pStyle w:val="5"/>
        <w:widowControl w:val="0"/>
        <w:spacing w:before="120" w:after="120"/>
        <w:jc w:val="both"/>
        <w:rPr>
          <w:rFonts w:hint="default" w:ascii="Times New Roman" w:hAnsi="Times New Roman" w:eastAsia="宋体" w:cs="Times New Roman"/>
          <w:bCs w:val="0"/>
          <w:sz w:val="24"/>
          <w:szCs w:val="24"/>
          <w:highlight w:val="none"/>
        </w:rPr>
      </w:pPr>
      <w:bookmarkStart w:id="42" w:name="_Toc521403320"/>
      <w:bookmarkStart w:id="43" w:name="_Toc37951771"/>
      <w:bookmarkStart w:id="44" w:name="_Toc11061"/>
      <w:bookmarkStart w:id="45" w:name="_Toc74063753"/>
      <w:bookmarkStart w:id="46" w:name="_Toc90042290"/>
      <w:r>
        <w:rPr>
          <w:rFonts w:hint="default" w:ascii="Times New Roman" w:hAnsi="Times New Roman" w:eastAsia="宋体" w:cs="Times New Roman"/>
          <w:bCs w:val="0"/>
          <w:sz w:val="24"/>
          <w:szCs w:val="24"/>
          <w:highlight w:val="none"/>
        </w:rPr>
        <w:t>一、</w:t>
      </w:r>
      <w:r>
        <w:rPr>
          <w:rFonts w:hint="default" w:ascii="Times New Roman" w:hAnsi="Times New Roman" w:eastAsia="宋体" w:cs="Times New Roman"/>
          <w:bCs w:val="0"/>
          <w:sz w:val="24"/>
          <w:szCs w:val="24"/>
          <w:highlight w:val="none"/>
          <w:lang w:eastAsia="zh-CN"/>
        </w:rPr>
        <w:t>项目背景</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为全面摸清义乌市农村宅基地</w:t>
      </w:r>
      <w:r>
        <w:rPr>
          <w:rFonts w:hint="default" w:ascii="Times New Roman" w:hAnsi="Times New Roman" w:eastAsia="宋体" w:cs="Times New Roman"/>
          <w:highlight w:val="none"/>
          <w:lang w:eastAsia="zh-CN"/>
        </w:rPr>
        <w:t>规模</w:t>
      </w:r>
      <w:r>
        <w:rPr>
          <w:rFonts w:hint="default" w:ascii="Times New Roman" w:hAnsi="Times New Roman" w:eastAsia="宋体" w:cs="Times New Roman"/>
          <w:highlight w:val="none"/>
        </w:rPr>
        <w:t>、布局、权属、利用状况等基础信息，建立农村宅基地数据库，进一步规范农村宅基地管理，同时为深化农村宅基地制度改革试点提供支撑，推进宅基地信息化建设。义乌市拟全面开展农村宅基地基础信息调查项目。</w:t>
      </w:r>
    </w:p>
    <w:p>
      <w:pPr>
        <w:pStyle w:val="5"/>
        <w:widowControl w:val="0"/>
        <w:spacing w:before="120" w:after="120"/>
        <w:jc w:val="both"/>
        <w:rPr>
          <w:rFonts w:hint="default" w:ascii="Times New Roman" w:hAnsi="Times New Roman" w:eastAsia="宋体" w:cs="Times New Roman"/>
          <w:bCs w:val="0"/>
          <w:sz w:val="24"/>
          <w:szCs w:val="24"/>
          <w:highlight w:val="none"/>
        </w:rPr>
      </w:pPr>
      <w:r>
        <w:rPr>
          <w:rFonts w:hint="default" w:ascii="Times New Roman" w:hAnsi="Times New Roman" w:eastAsia="宋体" w:cs="Times New Roman"/>
          <w:bCs w:val="0"/>
          <w:sz w:val="24"/>
          <w:szCs w:val="24"/>
          <w:highlight w:val="none"/>
        </w:rPr>
        <w:t>二、项目概况</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项目内容：根据《深化农村宅基地制度改革试点方案》（厅字[2020]18号）、《关于做好农村宅基地制度改革试点地区宅基地基础信息调查工作的通知》（农办经[2020]10号）、《农村宅基地基础信息调查工作指南（试行版）》、《农村宅基地数据库规范（试用版）》（农（经综）函[2021]58号）等要求，组织开展全市农村宅基地基础信息调查工作，全面摸清全市农村宅基地规模、布局、权属、利用状况等基础信息，建立农村宅基地数据库、编制农村宅基地数据台账和利用现状图件，为深化义乌市农村宅基地制度改革提供基础数据支撑。</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本项目为义乌市农村宅基地基础信息调查项目，共涉及8个街道、6个镇：北苑街道、后宅街道、城西街道、廿三里街道、江东街道、稠城街道、福田街道、稠江街道、上溪镇、义亭镇、佛堂镇、大陈镇、苏溪镇和赤岸镇，共计约219757宗农村宅基地。</w:t>
      </w:r>
    </w:p>
    <w:bookmarkEnd w:id="42"/>
    <w:bookmarkEnd w:id="43"/>
    <w:bookmarkEnd w:id="44"/>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标项一：1）负责佛堂镇、赤岸镇、义亭镇和江东街道3个镇、1个街道共计约74314宗农村宅基地基础信息调查工作；2）负责三个标项的数据整合合库、检查汇交及县级农村宅基地管理信息系统方案编制工作。各乡镇街道农村宅基地宗数情况如下表：</w:t>
      </w:r>
    </w:p>
    <w:tbl>
      <w:tblPr>
        <w:tblStyle w:val="57"/>
        <w:tblW w:w="6295" w:type="dxa"/>
        <w:jc w:val="center"/>
        <w:tblLayout w:type="fixed"/>
        <w:tblCellMar>
          <w:top w:w="0" w:type="dxa"/>
          <w:left w:w="108" w:type="dxa"/>
          <w:bottom w:w="0" w:type="dxa"/>
          <w:right w:w="108" w:type="dxa"/>
        </w:tblCellMar>
      </w:tblPr>
      <w:tblGrid>
        <w:gridCol w:w="1048"/>
        <w:gridCol w:w="2714"/>
        <w:gridCol w:w="2533"/>
      </w:tblGrid>
      <w:tr>
        <w:tblPrEx>
          <w:tblCellMar>
            <w:top w:w="0" w:type="dxa"/>
            <w:left w:w="108" w:type="dxa"/>
            <w:bottom w:w="0" w:type="dxa"/>
            <w:right w:w="108" w:type="dxa"/>
          </w:tblCellMar>
        </w:tblPrEx>
        <w:trPr>
          <w:trHeight w:val="227"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序号</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乡镇街道</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宅基地宗数</w:t>
            </w:r>
          </w:p>
        </w:tc>
      </w:tr>
      <w:tr>
        <w:tblPrEx>
          <w:tblCellMar>
            <w:top w:w="0" w:type="dxa"/>
            <w:left w:w="108" w:type="dxa"/>
            <w:bottom w:w="0" w:type="dxa"/>
            <w:right w:w="108" w:type="dxa"/>
          </w:tblCellMar>
        </w:tblPrEx>
        <w:trPr>
          <w:trHeight w:val="227"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佛堂镇</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27497</w:t>
            </w:r>
          </w:p>
        </w:tc>
      </w:tr>
      <w:tr>
        <w:tblPrEx>
          <w:tblCellMar>
            <w:top w:w="0" w:type="dxa"/>
            <w:left w:w="108" w:type="dxa"/>
            <w:bottom w:w="0" w:type="dxa"/>
            <w:right w:w="108" w:type="dxa"/>
          </w:tblCellMar>
        </w:tblPrEx>
        <w:trPr>
          <w:trHeight w:val="227"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赤岸镇</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19917</w:t>
            </w:r>
          </w:p>
        </w:tc>
      </w:tr>
      <w:tr>
        <w:tblPrEx>
          <w:tblCellMar>
            <w:top w:w="0" w:type="dxa"/>
            <w:left w:w="108" w:type="dxa"/>
            <w:bottom w:w="0" w:type="dxa"/>
            <w:right w:w="108" w:type="dxa"/>
          </w:tblCellMar>
        </w:tblPrEx>
        <w:trPr>
          <w:trHeight w:val="227"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义亭镇</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19224</w:t>
            </w:r>
          </w:p>
        </w:tc>
      </w:tr>
      <w:tr>
        <w:tblPrEx>
          <w:tblCellMar>
            <w:top w:w="0" w:type="dxa"/>
            <w:left w:w="108" w:type="dxa"/>
            <w:bottom w:w="0" w:type="dxa"/>
            <w:right w:w="108" w:type="dxa"/>
          </w:tblCellMar>
        </w:tblPrEx>
        <w:trPr>
          <w:trHeight w:val="227"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4</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江东街道</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7676</w:t>
            </w:r>
          </w:p>
        </w:tc>
      </w:tr>
      <w:tr>
        <w:tblPrEx>
          <w:tblCellMar>
            <w:top w:w="0" w:type="dxa"/>
            <w:left w:w="108" w:type="dxa"/>
            <w:bottom w:w="0" w:type="dxa"/>
            <w:right w:w="108" w:type="dxa"/>
          </w:tblCellMar>
        </w:tblPrEx>
        <w:trPr>
          <w:trHeight w:val="227" w:hRule="atLeast"/>
          <w:jc w:val="center"/>
        </w:trPr>
        <w:tc>
          <w:tcPr>
            <w:tcW w:w="3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合计</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74314</w:t>
            </w:r>
          </w:p>
        </w:tc>
      </w:tr>
    </w:tbl>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标项二：1）负责后宅街道、城西街道、稠江街道和上溪镇3个街道、1个镇共计约73842宗农村宅基地基础信息调查工作。各乡镇街道农村宅基地宗数情况如下表：</w:t>
      </w:r>
    </w:p>
    <w:tbl>
      <w:tblPr>
        <w:tblStyle w:val="57"/>
        <w:tblW w:w="6300" w:type="dxa"/>
        <w:jc w:val="center"/>
        <w:tblLayout w:type="fixed"/>
        <w:tblCellMar>
          <w:top w:w="0" w:type="dxa"/>
          <w:left w:w="108" w:type="dxa"/>
          <w:bottom w:w="0" w:type="dxa"/>
          <w:right w:w="108" w:type="dxa"/>
        </w:tblCellMar>
      </w:tblPr>
      <w:tblGrid>
        <w:gridCol w:w="1050"/>
        <w:gridCol w:w="2700"/>
        <w:gridCol w:w="2550"/>
      </w:tblGrid>
      <w:tr>
        <w:tblPrEx>
          <w:tblCellMar>
            <w:top w:w="0" w:type="dxa"/>
            <w:left w:w="108" w:type="dxa"/>
            <w:bottom w:w="0" w:type="dxa"/>
            <w:right w:w="108" w:type="dxa"/>
          </w:tblCellMar>
        </w:tblPrEx>
        <w:trPr>
          <w:trHeight w:val="22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乡镇街道</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宅基地宗数</w:t>
            </w:r>
          </w:p>
        </w:tc>
      </w:tr>
      <w:tr>
        <w:tblPrEx>
          <w:tblCellMar>
            <w:top w:w="0" w:type="dxa"/>
            <w:left w:w="108" w:type="dxa"/>
            <w:bottom w:w="0" w:type="dxa"/>
            <w:right w:w="108" w:type="dxa"/>
          </w:tblCellMar>
        </w:tblPrEx>
        <w:trPr>
          <w:trHeight w:val="22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后宅街道</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23063</w:t>
            </w:r>
          </w:p>
        </w:tc>
      </w:tr>
      <w:tr>
        <w:tblPrEx>
          <w:tblCellMar>
            <w:top w:w="0" w:type="dxa"/>
            <w:left w:w="108" w:type="dxa"/>
            <w:bottom w:w="0" w:type="dxa"/>
            <w:right w:w="108" w:type="dxa"/>
          </w:tblCellMar>
        </w:tblPrEx>
        <w:trPr>
          <w:trHeight w:val="22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城西街道</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16769</w:t>
            </w:r>
          </w:p>
        </w:tc>
      </w:tr>
      <w:tr>
        <w:tblPrEx>
          <w:tblCellMar>
            <w:top w:w="0" w:type="dxa"/>
            <w:left w:w="108" w:type="dxa"/>
            <w:bottom w:w="0" w:type="dxa"/>
            <w:right w:w="108" w:type="dxa"/>
          </w:tblCellMar>
        </w:tblPrEx>
        <w:trPr>
          <w:trHeight w:val="22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稠江街道</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8860</w:t>
            </w:r>
          </w:p>
        </w:tc>
      </w:tr>
      <w:tr>
        <w:tblPrEx>
          <w:tblCellMar>
            <w:top w:w="0" w:type="dxa"/>
            <w:left w:w="108" w:type="dxa"/>
            <w:bottom w:w="0" w:type="dxa"/>
            <w:right w:w="108" w:type="dxa"/>
          </w:tblCellMar>
        </w:tblPrEx>
        <w:trPr>
          <w:trHeight w:val="22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上溪镇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25150</w:t>
            </w:r>
          </w:p>
        </w:tc>
      </w:tr>
      <w:tr>
        <w:tblPrEx>
          <w:tblCellMar>
            <w:top w:w="0" w:type="dxa"/>
            <w:left w:w="108" w:type="dxa"/>
            <w:bottom w:w="0" w:type="dxa"/>
            <w:right w:w="108" w:type="dxa"/>
          </w:tblCellMar>
        </w:tblPrEx>
        <w:trPr>
          <w:trHeight w:val="225" w:hRule="atLeast"/>
          <w:jc w:val="center"/>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合计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73842</w:t>
            </w:r>
          </w:p>
        </w:tc>
      </w:tr>
    </w:tbl>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标项三：1）负责大陈镇、苏溪镇、廿三里街道、福田街道、北苑街道和稠城街道4个街道、2个镇共计约</w:t>
      </w:r>
      <w:r>
        <w:rPr>
          <w:rFonts w:hint="eastAsia" w:cs="Times New Roman"/>
          <w:highlight w:val="none"/>
          <w:lang w:val="en-US" w:eastAsia="zh-CN"/>
        </w:rPr>
        <w:t>71601</w:t>
      </w:r>
      <w:r>
        <w:rPr>
          <w:rFonts w:hint="default" w:ascii="Times New Roman" w:hAnsi="Times New Roman" w:eastAsia="宋体" w:cs="Times New Roman"/>
          <w:highlight w:val="none"/>
        </w:rPr>
        <w:t>宗农村宅基地基础信息调查工作。各乡镇街道农村宅基地宗数情况如下表：</w:t>
      </w:r>
    </w:p>
    <w:tbl>
      <w:tblPr>
        <w:tblStyle w:val="57"/>
        <w:tblW w:w="6300" w:type="dxa"/>
        <w:jc w:val="center"/>
        <w:tblLayout w:type="fixed"/>
        <w:tblCellMar>
          <w:top w:w="0" w:type="dxa"/>
          <w:left w:w="108" w:type="dxa"/>
          <w:bottom w:w="0" w:type="dxa"/>
          <w:right w:w="108" w:type="dxa"/>
        </w:tblCellMar>
      </w:tblPr>
      <w:tblGrid>
        <w:gridCol w:w="1650"/>
        <w:gridCol w:w="2114"/>
        <w:gridCol w:w="2536"/>
      </w:tblGrid>
      <w:tr>
        <w:tblPrEx>
          <w:tblCellMar>
            <w:top w:w="0" w:type="dxa"/>
            <w:left w:w="108" w:type="dxa"/>
            <w:bottom w:w="0" w:type="dxa"/>
            <w:right w:w="108" w:type="dxa"/>
          </w:tblCellMar>
        </w:tblPrEx>
        <w:trPr>
          <w:trHeight w:val="225" w:hRule="atLeast"/>
          <w:jc w:val="center"/>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序号</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乡镇街道</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宅基地宗数</w:t>
            </w:r>
          </w:p>
        </w:tc>
      </w:tr>
      <w:tr>
        <w:tblPrEx>
          <w:tblCellMar>
            <w:top w:w="0" w:type="dxa"/>
            <w:left w:w="108" w:type="dxa"/>
            <w:bottom w:w="0" w:type="dxa"/>
            <w:right w:w="108" w:type="dxa"/>
          </w:tblCellMar>
        </w:tblPrEx>
        <w:trPr>
          <w:trHeight w:val="225" w:hRule="atLeast"/>
          <w:jc w:val="center"/>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大陈镇</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14421</w:t>
            </w:r>
          </w:p>
        </w:tc>
      </w:tr>
      <w:tr>
        <w:tblPrEx>
          <w:tblCellMar>
            <w:top w:w="0" w:type="dxa"/>
            <w:left w:w="108" w:type="dxa"/>
            <w:bottom w:w="0" w:type="dxa"/>
            <w:right w:w="108" w:type="dxa"/>
          </w:tblCellMar>
        </w:tblPrEx>
        <w:trPr>
          <w:trHeight w:val="225" w:hRule="atLeast"/>
          <w:jc w:val="center"/>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2</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苏溪镇</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18374</w:t>
            </w:r>
          </w:p>
        </w:tc>
      </w:tr>
      <w:tr>
        <w:tblPrEx>
          <w:tblCellMar>
            <w:top w:w="0" w:type="dxa"/>
            <w:left w:w="108" w:type="dxa"/>
            <w:bottom w:w="0" w:type="dxa"/>
            <w:right w:w="108" w:type="dxa"/>
          </w:tblCellMar>
        </w:tblPrEx>
        <w:trPr>
          <w:trHeight w:val="225" w:hRule="atLeast"/>
          <w:jc w:val="center"/>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3</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廿三里街道</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10072</w:t>
            </w:r>
          </w:p>
        </w:tc>
      </w:tr>
      <w:tr>
        <w:tblPrEx>
          <w:tblCellMar>
            <w:top w:w="0" w:type="dxa"/>
            <w:left w:w="108" w:type="dxa"/>
            <w:bottom w:w="0" w:type="dxa"/>
            <w:right w:w="108" w:type="dxa"/>
          </w:tblCellMar>
        </w:tblPrEx>
        <w:trPr>
          <w:trHeight w:val="225" w:hRule="atLeast"/>
          <w:jc w:val="center"/>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4</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福田街道</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14994</w:t>
            </w:r>
          </w:p>
        </w:tc>
      </w:tr>
      <w:tr>
        <w:tblPrEx>
          <w:tblCellMar>
            <w:top w:w="0" w:type="dxa"/>
            <w:left w:w="108" w:type="dxa"/>
            <w:bottom w:w="0" w:type="dxa"/>
            <w:right w:w="108" w:type="dxa"/>
          </w:tblCellMar>
        </w:tblPrEx>
        <w:trPr>
          <w:trHeight w:val="225" w:hRule="atLeast"/>
          <w:jc w:val="center"/>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5</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北苑街道</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13489</w:t>
            </w:r>
          </w:p>
        </w:tc>
      </w:tr>
      <w:tr>
        <w:tblPrEx>
          <w:tblCellMar>
            <w:top w:w="0" w:type="dxa"/>
            <w:left w:w="108" w:type="dxa"/>
            <w:bottom w:w="0" w:type="dxa"/>
            <w:right w:w="108" w:type="dxa"/>
          </w:tblCellMar>
        </w:tblPrEx>
        <w:trPr>
          <w:trHeight w:val="225" w:hRule="atLeast"/>
          <w:jc w:val="center"/>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6</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稠城街道</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251</w:t>
            </w:r>
          </w:p>
        </w:tc>
      </w:tr>
      <w:tr>
        <w:tblPrEx>
          <w:tblCellMar>
            <w:top w:w="0" w:type="dxa"/>
            <w:left w:w="108" w:type="dxa"/>
            <w:bottom w:w="0" w:type="dxa"/>
            <w:right w:w="108" w:type="dxa"/>
          </w:tblCellMar>
        </w:tblPrEx>
        <w:trPr>
          <w:trHeight w:val="225" w:hRule="atLeast"/>
          <w:jc w:val="center"/>
        </w:trPr>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合计</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71601</w:t>
            </w:r>
          </w:p>
        </w:tc>
      </w:tr>
    </w:tbl>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以上数据为本项目暂定数据，中标人应对本项目宅基地数量进行复核。投标人在投标报价中充分考虑宗数变化风险，采购人有权对宅基地数量进行调整，中标人须无条件配合采购人保质保量完成全市农村宅基地基础信息调查工作。</w:t>
      </w:r>
      <w:r>
        <w:rPr>
          <w:rFonts w:hint="eastAsia" w:ascii="Times New Roman" w:hAnsi="Times New Roman" w:eastAsia="宋体" w:cs="Times New Roman"/>
          <w:highlight w:val="none"/>
          <w:lang w:val="en-US" w:eastAsia="zh-CN"/>
        </w:rPr>
        <w:t>合同最终结算金额按实际调查入库宗数乘以投标单价进行计算，追加的采购金额不得超过原合同采购金额的</w:t>
      </w:r>
      <w:r>
        <w:rPr>
          <w:rFonts w:hint="default" w:ascii="Times New Roman" w:hAnsi="Times New Roman" w:eastAsia="宋体" w:cs="Times New Roman"/>
          <w:highlight w:val="none"/>
          <w:lang w:val="en-US" w:eastAsia="zh-CN"/>
        </w:rPr>
        <w:t>10%</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注：单层楼房占地面积在30平方米以下的只作为附房，不计入宗数。</w:t>
      </w:r>
    </w:p>
    <w:p>
      <w:pPr>
        <w:pStyle w:val="5"/>
        <w:widowControl w:val="0"/>
        <w:spacing w:before="120" w:after="120"/>
        <w:jc w:val="both"/>
        <w:rPr>
          <w:rFonts w:hint="default" w:ascii="Times New Roman" w:hAnsi="Times New Roman" w:eastAsia="宋体" w:cs="Times New Roman"/>
          <w:bCs w:val="0"/>
          <w:sz w:val="24"/>
          <w:szCs w:val="24"/>
          <w:highlight w:val="none"/>
        </w:rPr>
      </w:pPr>
      <w:r>
        <w:rPr>
          <w:rFonts w:hint="default" w:ascii="Times New Roman" w:hAnsi="Times New Roman" w:eastAsia="宋体" w:cs="Times New Roman"/>
          <w:bCs w:val="0"/>
          <w:sz w:val="24"/>
          <w:szCs w:val="24"/>
          <w:highlight w:val="none"/>
          <w:lang w:eastAsia="zh-CN"/>
        </w:rPr>
        <w:t>三、</w:t>
      </w:r>
      <w:r>
        <w:rPr>
          <w:rFonts w:hint="default" w:ascii="Times New Roman" w:hAnsi="Times New Roman" w:eastAsia="宋体" w:cs="Times New Roman"/>
          <w:bCs w:val="0"/>
          <w:sz w:val="24"/>
          <w:szCs w:val="24"/>
          <w:highlight w:val="none"/>
        </w:rPr>
        <w:t>项目建设主要工作内容及相关技术要求</w:t>
      </w:r>
    </w:p>
    <w:p>
      <w:pPr>
        <w:spacing w:line="360" w:lineRule="auto"/>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1、主要工作内容</w:t>
      </w:r>
    </w:p>
    <w:p>
      <w:pPr>
        <w:spacing w:line="360" w:lineRule="auto"/>
        <w:ind w:firstLine="480" w:firstLineChars="200"/>
        <w:rPr>
          <w:rFonts w:hint="default" w:ascii="Times New Roman" w:hAnsi="Times New Roman" w:eastAsia="宋体" w:cs="Times New Roman"/>
          <w:b w:val="0"/>
          <w:bCs w:val="0"/>
          <w:highlight w:val="none"/>
          <w:lang w:eastAsia="zh-CN"/>
        </w:rPr>
      </w:pPr>
      <w:r>
        <w:rPr>
          <w:rFonts w:hint="default" w:ascii="Times New Roman" w:hAnsi="Times New Roman" w:eastAsia="宋体" w:cs="Times New Roman"/>
          <w:b w:val="0"/>
          <w:bCs w:val="0"/>
          <w:highlight w:val="none"/>
          <w:lang w:val="en-US" w:eastAsia="zh-CN"/>
        </w:rPr>
        <w:t>1.1</w:t>
      </w:r>
      <w:r>
        <w:rPr>
          <w:rFonts w:hint="default" w:ascii="Times New Roman" w:hAnsi="Times New Roman" w:eastAsia="宋体" w:cs="Times New Roman"/>
          <w:b w:val="0"/>
          <w:bCs w:val="0"/>
          <w:highlight w:val="none"/>
          <w:lang w:eastAsia="zh-CN"/>
        </w:rPr>
        <w:t>标项一：</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1）农村宅基地基础信息调查</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①汇总共享宅基地数据资料。</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汇总整理县乡级国土空间规划（土地利用总体规划）、村庄规划、第三次全国国土调查、地籍调查、集体土地所有权登记、房地一体的宅基地使用权确权登记颁证、农村承包地确权登记颁证、农村集体资产清产核资等相关数据资料，编制县级农村宅基地数据资源目录，形成宅基地基础数据和调查工作底图。</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②开展宅基地专项调查。</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根据宅基地数据资料汇总共享情况，按照调查技术规程，按村为单位，以遥感图解法为主，以传统测绘、无人机测绘等方法为辅，有针对性地开展宅基地补充调查和验证调查，通过查缺补漏，进一步完善宅基地基础数据。</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开展宅基地空间数据、属性数据专项调查，获取每宗宅基地的位置、图斑、面积等空间信息，查清农村宅基地的规模和布局以及宅基地权利人、利用等属性信息采集，查清农村宅基地的权属和利用情况。</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③建立宅基地数据库。</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以村为单位，将共享利用和专项调查获取的基础数据进行整合汇总。按照统一的数据库规范，对宅基地基础数据进行梳理分析，建立包含宅基地权利人、地类、四至方位、宗地面积、房屋建筑面积以及审批、使用、流转、监管等信息在内的农村宅基地数据库。</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④编制宅基地数据台账和利用现状图件。</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利用农村宅基地数据库，结合卫片、航片、行政区划图等图件资料，编制宅基地数据台账，绘制宅基地利用现状图件，通过图、表等方式展示宅基地空间位置、面积、权属、利用等信息。</w:t>
      </w:r>
    </w:p>
    <w:p>
      <w:pPr>
        <w:spacing w:line="360" w:lineRule="auto"/>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⑤编制县级农村宅基地管理信息系统方案</w:t>
      </w:r>
    </w:p>
    <w:p>
      <w:pPr>
        <w:spacing w:line="360" w:lineRule="auto"/>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2）数据合库及检查汇交</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①统一数据格式</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参照《农村宅基地数据库规范（试用版）》标准，统一数据库中矢量数据和栅格数据格式。</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②统一数学基础</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采用统一的坐标系和投影方式规范相应标段的各个矢量数据。</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③数据库质量检查</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主要包含数据质量检查以及数据接边检查。</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④数据修正原则</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在数据库整合的过程中碰到的错误和异常，在非特殊情况下一般返回相应标段的作业单位进行修改。</w:t>
      </w:r>
      <w:bookmarkStart w:id="47" w:name="_Toc477940723"/>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⑤各类代码唯一性处理</w:t>
      </w:r>
      <w:bookmarkEnd w:id="47"/>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按照相关建库规范，要求各要素层中的相关代码唯一（使用权人表除外），特别针对不同标项之间飞地的代码唯一性。</w:t>
      </w:r>
      <w:bookmarkStart w:id="48" w:name="_Toc185390881"/>
      <w:bookmarkStart w:id="49" w:name="_Toc454367134"/>
      <w:bookmarkStart w:id="50" w:name="_Toc477940724"/>
    </w:p>
    <w:bookmarkEnd w:id="48"/>
    <w:bookmarkEnd w:id="49"/>
    <w:bookmarkEnd w:id="50"/>
    <w:p>
      <w:pPr>
        <w:spacing w:line="360" w:lineRule="auto"/>
        <w:ind w:firstLine="480" w:firstLineChars="200"/>
        <w:rPr>
          <w:rFonts w:hint="default" w:ascii="Times New Roman" w:hAnsi="Times New Roman" w:eastAsia="宋体" w:cs="Times New Roman"/>
          <w:highlight w:val="none"/>
        </w:rPr>
      </w:pPr>
      <w:bookmarkStart w:id="51" w:name="_Toc454367135"/>
      <w:bookmarkStart w:id="52" w:name="_Toc477940725"/>
      <w:bookmarkStart w:id="53" w:name="_Toc185390886"/>
      <w:r>
        <w:rPr>
          <w:rFonts w:hint="default" w:ascii="Times New Roman" w:hAnsi="Times New Roman" w:eastAsia="宋体" w:cs="Times New Roman"/>
          <w:highlight w:val="none"/>
        </w:rPr>
        <w:t>⑥属性数据整合</w:t>
      </w:r>
      <w:bookmarkEnd w:id="51"/>
      <w:bookmarkEnd w:id="52"/>
      <w:bookmarkEnd w:id="53"/>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进行属性数据拼接时，参照以下原则处理数据：</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概念一致性：非空间表格数据结构与标准保持一致。</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格式一致性：非空间表格数据应保持格式一致。</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⑦县级成果输出</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经数据检查合库之后，形成县级农村宅基地基础信息数据库并统一输出县级农村宅基地台账和县级农村宅基地利用现状图。</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⑧其他文件整合</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对各标段的其他文件进行整合，如台账（农户级、村级、乡镇级）、利用现状图（村级、乡镇级）、房屋照片等。</w:t>
      </w:r>
    </w:p>
    <w:p>
      <w:pPr>
        <w:spacing w:line="360" w:lineRule="auto"/>
        <w:ind w:firstLine="480" w:firstLineChars="200"/>
        <w:rPr>
          <w:rFonts w:hint="default" w:ascii="Times New Roman" w:hAnsi="Times New Roman" w:eastAsia="宋体" w:cs="Times New Roman"/>
          <w:b w:val="0"/>
          <w:bCs w:val="0"/>
          <w:highlight w:val="none"/>
          <w:lang w:eastAsia="zh-CN"/>
        </w:rPr>
      </w:pPr>
      <w:r>
        <w:rPr>
          <w:rFonts w:hint="default" w:ascii="Times New Roman" w:hAnsi="Times New Roman" w:eastAsia="宋体" w:cs="Times New Roman"/>
          <w:b w:val="0"/>
          <w:bCs w:val="0"/>
          <w:highlight w:val="none"/>
          <w:lang w:val="en-US" w:eastAsia="zh-CN"/>
        </w:rPr>
        <w:t>1.2</w:t>
      </w:r>
      <w:r>
        <w:rPr>
          <w:rFonts w:hint="default" w:ascii="Times New Roman" w:hAnsi="Times New Roman" w:eastAsia="宋体" w:cs="Times New Roman"/>
          <w:b w:val="0"/>
          <w:bCs w:val="0"/>
          <w:highlight w:val="none"/>
          <w:lang w:eastAsia="zh-CN"/>
        </w:rPr>
        <w:t>标项二（标项三相同）：</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1）农村宅基地基础信息调查</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①汇总共享宅基地数据资料。</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汇总整理县乡级国土空间规划（土地利用总体规划）、村庄规划、第三次全国国土调查、地籍调查、集体土地所有权登记、房地一体的宅基地使用权确权登记颁证、农村承包地确权登记颁证、农村集体资产清产核资等相关数据资料，编制县级农村宅基地数据资源目录，形成宅基地基础数据和调查工作底图。</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②开展宅基地专项调查。</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根据宅基地数据资料汇总共享情况，按照调查技术规程，按村为单位，以遥感图解法为主，以传统测绘、无人机测绘等方法为辅，有针对性地开展宅基地补充调查和验证调查，通过查缺补漏，进一步完善宅基地基础数据。</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开展宅基地空间数据、属性数据专项调查，获取每宗宅基地的位置、图斑、面积等空间信息，查清农村宅基地的规模和布局以及宅基地权利人、利用等属性信息采集，查清农村宅基地的权属和利用情况。</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③建立宅基地数据库。</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以村为单位，将共享利用和专项调查获取的基础数据进行整合汇总。按照统一的数据库规范，对宅基地基础数据进行梳理分析，建立包含宅基地权利人、地类、四至方位、宗地面积、房屋建筑面积以及审批、使用、流转、监管等信息在内的农村宅基地数据库。</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④编制宅基地数据台账和利用现状图件。</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利用农村宅基地数据库，结合卫片、航片、行政区划图等图件资料，编制宅基地数据台账，绘制宅基地利用现状图件，通过图、表等方式展示宅基地空间位置、面积、权属、利用等信息。</w:t>
      </w:r>
    </w:p>
    <w:p>
      <w:pPr>
        <w:spacing w:line="360" w:lineRule="auto"/>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2、工作依据</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①政策文件</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（1）中共中央办公厅国务院办公厅印发的《深化农村宅基地制度改革试点方案》的通知（厅字〔2020〕18 号）；</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（2）《中央农村工作领导小组办公室、农业农村部关于进一步加强农村宅基地管理的通知》（中农发〔2019〕11 号）；</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（3）《农业农村部关于积极稳妥开展农村闲置宅基地和闲置住宅盘活利用工作的通知》（农经发〔2019〕4 号）。</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（4）农业农村部自然资源部关于规范农村宅基地审批管理的通知（农经发〔2019〕6 号）；</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（5）农业农村部农村合作经济指导司《农村宅基地管理法律政策问答》；</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（6）农业农村部办公厅关于印发《农村宅基地制度改革试点工作指引》的通知（农办经〔2020〕8 号）；</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（7）《中央农村工作领导小组办公室、农业农村部关于贯彻深化农村宅基地制度改革试点电视电话会议精神、加强农村宅基地改革和管理基础工作的通知》（中农发〔2020〕13 号）；</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（8）《农业农村部办公厅关于做好农村宅基地制度改革试点地区宅基地基础信息调查工作的通知》（农办经〔2020〕10 号）；</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（9）农村宅基地基础信息调查工作指南（试用版）。</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（10）农村宅基地基础信息调查成果验收工作指南（印发版）</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②技术标准</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（1）《土地利用现状分类》（GB/T 21010‐2017）；</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（2）《地籍调查规程》（TD/T 1001‐2012）；</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（3）《房产测量规范》（GB/T17986.1‐2000）；</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（4）《国民经济行业分类》（GB/T 4754‐2011）；</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（5）《全球定位系统实时动态测量（RTK）技术规范》（CH/T2009‐2010）；</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（6）《卫星定位城市测量技术标准》（CJJ/T 73‐2019）；</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（7）《农村地籍和房屋调查技术方案（试行）》（国土资发〔2014〕101 号）；</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（8）《不动产权籍调查技术方案（试行）》（国土资发〔2015〕41 号）；</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（9）《农村不动产权籍调查工作指南》（自然资登记函〔2019〕6 号）；</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（10）《不动产登记数据库标准（试行）》（国土资发〔2015〕103 号）；</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（11）《农村宅基地基础信息调查技术规程（试行）》；</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（12）《农村宅基地数据库规范（试用版）》；</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（13）《农村宅基地数据共享与数据交换标准》；</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（14）《农村宅基地代码编制规则》；</w:t>
      </w:r>
    </w:p>
    <w:p>
      <w:pPr>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highlight w:val="none"/>
        </w:rPr>
        <w:t>（15）《县级农村宅基地管理信息系统建设导则（试用版）》（农宅办〔2022〕8号）。</w:t>
      </w:r>
    </w:p>
    <w:p>
      <w:pPr>
        <w:spacing w:line="360" w:lineRule="auto"/>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3、调查基础要求</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①数学基础</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比例尺： 1:500、1:1000或1:2000。</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坐标系统：采用2000国家大地坐标系，采用高斯‐克吕格投影，采用标准3 度分带平面直角坐标系；</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高程系统：采用1985国家高程基准。</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②计量单位</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长度单位采用米（m），保留两位小数；</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面积计算单位采用平方米（㎡），保留两位小数；</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面积统计汇总单位采用平方米（m2），保留两位小数，可将公顷作为辅助单位，保留三位小数；坐标单位采用米（m），保留三位小数。</w:t>
      </w:r>
    </w:p>
    <w:p>
      <w:pPr>
        <w:spacing w:line="360" w:lineRule="auto"/>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4、工作成果</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义乌市农村宅基地基础信息调查项目成果主要包括以下内容，工作成果符合农业农村部颁布的《农村宅基地基础信息调查技术规程（试行）》、《农村宅基地数据库规范（试用版）》和《农村宅基地数据共享与数据交换标准》要求：</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（1）县级农村宅基地数据资源目录</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可供本次调查共享利用的已有数据资料的清单目录文件，主要记录了数据来源、数据类别、数据类型、用途、采集时间、负责部门、数据格式、数据内容、数据描述、数据利用情况等信息。</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（2）农村宅基地数据台账</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根据农村宅基地数据库规范中对台账内容的具体要求，在农村宅基地数据库成果基础上，编制县、乡、村、户四级农村宅基地数据台账，理清农村宅基地基础现状，以表格形式系统化、集中展示义乌市农村宅基地家底情况。</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（3）农村宅基地利用现状图件</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在宅基地数据库等调查成果基础上绘制县、乡、村三级农村宅基地利用现状图，以专题地图等形式可视化展现义乌市农村宅基地规模、布局和利用情况等信息。</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（4）农村宅基地数据库</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数据库成果包含宅基地调查的空间数据和属性数据成果。其中空间数据包括宅基地与房屋的空间分布矢量图、行政区划图（县/乡镇/村）、行政区域影像底图等数据。属性数据包括宅基地基本情况、宅基地所有权权属、宅基地使用权权属、宅基地利用情况、业务管理等属性信息。</w:t>
      </w:r>
    </w:p>
    <w:p>
      <w:pPr>
        <w:spacing w:line="360" w:lineRule="auto"/>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（5）县级农村宅基地管理信息系统方案</w:t>
      </w:r>
      <w:r>
        <w:rPr>
          <w:rFonts w:hint="default" w:ascii="Times New Roman" w:hAnsi="Times New Roman" w:eastAsia="宋体" w:cs="Times New Roman"/>
          <w:highlight w:val="none"/>
          <w:lang w:eastAsia="zh-CN"/>
        </w:rPr>
        <w:t>（标项一）</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（6）文字报告</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义乌市农村宅基地基础信息调查项目工作方案、技术设计书、技术总结及工作报告等。</w:t>
      </w:r>
    </w:p>
    <w:p>
      <w:pPr>
        <w:pStyle w:val="5"/>
        <w:widowControl w:val="0"/>
        <w:spacing w:before="120" w:after="120"/>
        <w:jc w:val="both"/>
        <w:rPr>
          <w:rFonts w:hint="default" w:ascii="Times New Roman" w:hAnsi="Times New Roman" w:eastAsia="宋体" w:cs="Times New Roman"/>
          <w:bCs w:val="0"/>
          <w:sz w:val="24"/>
          <w:szCs w:val="24"/>
          <w:highlight w:val="none"/>
          <w:lang w:eastAsia="zh-CN"/>
        </w:rPr>
      </w:pPr>
      <w:r>
        <w:rPr>
          <w:rFonts w:hint="default" w:ascii="Times New Roman" w:hAnsi="Times New Roman" w:eastAsia="宋体" w:cs="Times New Roman"/>
          <w:bCs w:val="0"/>
          <w:sz w:val="24"/>
          <w:szCs w:val="24"/>
          <w:highlight w:val="none"/>
          <w:lang w:eastAsia="zh-CN"/>
        </w:rPr>
        <w:t>四、项目质量保证体系要求</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eastAsia="zh-CN"/>
        </w:rPr>
        <w:t>投标方</w:t>
      </w:r>
      <w:r>
        <w:rPr>
          <w:rFonts w:hint="default" w:ascii="Times New Roman" w:hAnsi="Times New Roman" w:eastAsia="宋体" w:cs="Times New Roman"/>
          <w:highlight w:val="none"/>
        </w:rPr>
        <w:t>须详细说明实施本项目拟采用的团队组织方法和具体项目组织机构，保证在此工作过程中有足够的人力投入和人员的质量，并提交该项目人员构成名单。</w:t>
      </w:r>
      <w:r>
        <w:rPr>
          <w:rFonts w:hint="default" w:ascii="Times New Roman" w:hAnsi="Times New Roman" w:eastAsia="宋体" w:cs="Times New Roman"/>
          <w:highlight w:val="none"/>
          <w:lang w:eastAsia="zh-CN"/>
        </w:rPr>
        <w:t>中标方</w:t>
      </w:r>
      <w:r>
        <w:rPr>
          <w:rFonts w:hint="default" w:ascii="Times New Roman" w:hAnsi="Times New Roman" w:eastAsia="宋体" w:cs="Times New Roman"/>
          <w:highlight w:val="none"/>
        </w:rPr>
        <w:t>在项目实施期间，应以保障项目进度和项目质量为前提，且项目负责人、技术负责人、质量负责人、内业建库负责人分别只能由一人担任且不能为同一人。</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eastAsia="zh-CN"/>
        </w:rPr>
        <w:t>中标方</w:t>
      </w:r>
      <w:r>
        <w:rPr>
          <w:rFonts w:hint="default" w:ascii="Times New Roman" w:hAnsi="Times New Roman" w:eastAsia="宋体" w:cs="Times New Roman"/>
          <w:highlight w:val="none"/>
        </w:rPr>
        <w:t>负责相应项目部的组建，包括人员、场地、仪器设备、软件等各项准备工作与业务技术培训的落实，必须确保投入的人员、仪器设备、软件等能够充分满足工作需求，并制定实施情况通报、工作例会、目标管理、突发事件应急处理等工作制度，明确作业职责。</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  </w:t>
      </w:r>
      <w:r>
        <w:rPr>
          <w:rFonts w:hint="default" w:ascii="Times New Roman" w:hAnsi="Times New Roman" w:eastAsia="宋体" w:cs="Times New Roman"/>
          <w:highlight w:val="none"/>
          <w:lang w:eastAsia="zh-CN"/>
        </w:rPr>
        <w:t>中标方</w:t>
      </w:r>
      <w:r>
        <w:rPr>
          <w:rFonts w:hint="default" w:ascii="Times New Roman" w:hAnsi="Times New Roman" w:eastAsia="宋体" w:cs="Times New Roman"/>
          <w:highlight w:val="none"/>
        </w:rPr>
        <w:t>必须建立一套质量保证体系，对每道工序均须落实到人，专人负责，并且进行全面的自检，由作业员撰写自检报告；项目成果需满足甲方的需求，并通过验收，验收费用由乙方承担。</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调查必须实事求是，保证成果的完整性、规范性、真实性和准确性。</w:t>
      </w:r>
      <w:r>
        <w:rPr>
          <w:rFonts w:hint="default" w:ascii="Times New Roman" w:hAnsi="Times New Roman" w:eastAsia="宋体" w:cs="Times New Roman"/>
          <w:highlight w:val="none"/>
          <w:lang w:eastAsia="zh-CN"/>
        </w:rPr>
        <w:t>采购人</w:t>
      </w:r>
      <w:r>
        <w:rPr>
          <w:rFonts w:hint="default" w:ascii="Times New Roman" w:hAnsi="Times New Roman" w:eastAsia="宋体" w:cs="Times New Roman"/>
          <w:highlight w:val="none"/>
        </w:rPr>
        <w:t>或</w:t>
      </w:r>
      <w:r>
        <w:rPr>
          <w:rFonts w:hint="default" w:ascii="Times New Roman" w:hAnsi="Times New Roman" w:eastAsia="宋体" w:cs="Times New Roman"/>
          <w:highlight w:val="none"/>
          <w:lang w:eastAsia="zh-CN"/>
        </w:rPr>
        <w:t>采购人</w:t>
      </w:r>
      <w:r>
        <w:rPr>
          <w:rFonts w:hint="default" w:ascii="Times New Roman" w:hAnsi="Times New Roman" w:eastAsia="宋体" w:cs="Times New Roman"/>
          <w:highlight w:val="none"/>
        </w:rPr>
        <w:t>委托的第三方机构将对成果进行随机抽查，建立数据成果质量责任追究机制。对于数据成果质量较差、数据质量修改进度缓慢，以及在数据库建设过程中弄虚作假、篡改数据的行为，将进行双倍扣除调查费用的处罚，同时根据相关法律法规追究相关单位及个人的责任。</w:t>
      </w:r>
    </w:p>
    <w:p>
      <w:pPr>
        <w:pStyle w:val="5"/>
        <w:widowControl w:val="0"/>
        <w:spacing w:before="120" w:after="120"/>
        <w:jc w:val="both"/>
        <w:rPr>
          <w:rFonts w:hint="default" w:ascii="Times New Roman" w:hAnsi="Times New Roman" w:eastAsia="宋体" w:cs="Times New Roman"/>
          <w:bCs w:val="0"/>
          <w:sz w:val="24"/>
          <w:szCs w:val="24"/>
        </w:rPr>
      </w:pPr>
      <w:r>
        <w:rPr>
          <w:rFonts w:hint="default" w:ascii="Times New Roman" w:hAnsi="Times New Roman" w:eastAsia="宋体" w:cs="Times New Roman"/>
          <w:bCs w:val="0"/>
          <w:sz w:val="24"/>
          <w:szCs w:val="24"/>
          <w:lang w:eastAsia="zh-CN"/>
        </w:rPr>
        <w:t>五</w:t>
      </w:r>
      <w:r>
        <w:rPr>
          <w:rFonts w:hint="default" w:ascii="Times New Roman" w:hAnsi="Times New Roman" w:eastAsia="宋体" w:cs="Times New Roman"/>
          <w:bCs w:val="0"/>
          <w:sz w:val="24"/>
          <w:szCs w:val="24"/>
        </w:rPr>
        <w:t>、商务要求</w:t>
      </w:r>
    </w:p>
    <w:p>
      <w:pPr>
        <w:spacing w:line="360" w:lineRule="auto"/>
        <w:ind w:firstLine="48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1.项目工期要求：中标方需在合同签订之日7天内进场。采购人有权按照上级要求调整工期。技术单位在对全市已有农户、房、地数据进行整合，在统筹现有数据的基础上，至2023年6月完成补充调查工作，初步建立全市宅基地台账、绘制宅基地现状图以及宅基地数据库建设。2023年7月-2023年9月，全面完成宅基地数据资料共享、专项调查、数据库建设、数据台账和利用现状图编制等工作，开展自评自验，提交调查成果，交由省、部验收核查。按照项目整体要求和实际使用要求，在2023年9月底前完成项目建设工作。</w:t>
      </w:r>
    </w:p>
    <w:p>
      <w:pPr>
        <w:spacing w:line="360" w:lineRule="auto"/>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2</w:t>
      </w:r>
      <w:r>
        <w:rPr>
          <w:rFonts w:hint="default" w:ascii="Times New Roman" w:hAnsi="Times New Roman" w:eastAsia="宋体" w:cs="Times New Roman"/>
          <w:b/>
          <w:bCs/>
          <w:highlight w:val="none"/>
        </w:rPr>
        <w:t>.后续服务要求</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eastAsia="zh-CN"/>
        </w:rPr>
        <w:t>自评</w:t>
      </w:r>
      <w:r>
        <w:rPr>
          <w:rFonts w:hint="default" w:ascii="Times New Roman" w:hAnsi="Times New Roman" w:eastAsia="宋体" w:cs="Times New Roman"/>
          <w:highlight w:val="none"/>
        </w:rPr>
        <w:t>自验合格后一年内</w:t>
      </w:r>
      <w:r>
        <w:rPr>
          <w:rFonts w:hint="default" w:ascii="Times New Roman" w:hAnsi="Times New Roman" w:eastAsia="宋体" w:cs="Times New Roman"/>
          <w:highlight w:val="none"/>
          <w:lang w:eastAsia="zh-CN"/>
        </w:rPr>
        <w:t>中标方</w:t>
      </w:r>
      <w:r>
        <w:rPr>
          <w:rFonts w:hint="default" w:ascii="Times New Roman" w:hAnsi="Times New Roman" w:eastAsia="宋体" w:cs="Times New Roman"/>
          <w:highlight w:val="none"/>
        </w:rPr>
        <w:t>须</w:t>
      </w:r>
      <w:r>
        <w:rPr>
          <w:rFonts w:hint="default" w:ascii="Times New Roman" w:hAnsi="Times New Roman" w:eastAsia="宋体" w:cs="Times New Roman"/>
          <w:highlight w:val="none"/>
          <w:lang w:eastAsia="zh-CN"/>
        </w:rPr>
        <w:t>免费</w:t>
      </w:r>
      <w:r>
        <w:rPr>
          <w:rFonts w:hint="default" w:ascii="Times New Roman" w:hAnsi="Times New Roman" w:eastAsia="宋体" w:cs="Times New Roman"/>
          <w:highlight w:val="none"/>
        </w:rPr>
        <w:t>提供本项目后续相关服务，接受省级验收和部级核查，费用包含在本次投标报价中。</w:t>
      </w:r>
    </w:p>
    <w:p>
      <w:pPr>
        <w:spacing w:line="440" w:lineRule="exact"/>
        <w:ind w:firstLine="480"/>
        <w:rPr>
          <w:rFonts w:hint="default" w:ascii="Times New Roman" w:hAnsi="Times New Roman" w:eastAsia="宋体" w:cs="Times New Roman"/>
          <w:b/>
          <w:bCs/>
        </w:rPr>
      </w:pPr>
      <w:r>
        <w:rPr>
          <w:rFonts w:hint="default" w:ascii="Times New Roman" w:hAnsi="Times New Roman" w:eastAsia="宋体" w:cs="Times New Roman"/>
          <w:b/>
          <w:bCs/>
        </w:rPr>
        <w:t>3.报价要求</w:t>
      </w:r>
    </w:p>
    <w:p>
      <w:pPr>
        <w:pStyle w:val="29"/>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应根据国家的有关规定和招标文件要求并结合企业的实际情况进行投标报价。投标报价以人民币为结算货币，投标报价须包含项目达到预期使用效果所需的调查费、税费、报告编制费等一切费用和政策性文件规定及合同包含的所有风险、责任等各项应有费用。应是招标文件确定的招标范围内的全部工作内容的价格表现，完成该项目的所有费用及各环节所必需的连带工作或服务、成果验收、以及政策性文件规定、合同包含的所有风险责任等所有费用。如有漏项，视同已包含在本报价中，投标单价不做调整。按国家规定由中标方缴纳的各种税收已包含在投标总价内，由中标方向税务机关缴纳。</w:t>
      </w:r>
    </w:p>
    <w:p>
      <w:pPr>
        <w:pStyle w:val="29"/>
        <w:numPr>
          <w:ilvl w:val="0"/>
          <w:numId w:val="2"/>
        </w:numPr>
        <w:spacing w:line="440" w:lineRule="exact"/>
        <w:ind w:firstLine="482"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验收要求：</w:t>
      </w:r>
    </w:p>
    <w:p>
      <w:pPr>
        <w:pStyle w:val="29"/>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中华人民共和国现行技术标准，按招标文件以及合同规定的验收评定标准等规范，由采购人根据《政府采购合同履约和验收管理办法（暂行）》（义招管办【2008】32号）文件要求和《义乌市关于规范政府采购管理的若干意见》（义政办发【2017】102号）要求和行业相关的规定，组织验收。相关验收费用由</w:t>
      </w:r>
      <w:r>
        <w:rPr>
          <w:rFonts w:hint="default" w:ascii="Times New Roman" w:hAnsi="Times New Roman" w:eastAsia="宋体" w:cs="Times New Roman"/>
          <w:sz w:val="24"/>
          <w:szCs w:val="24"/>
          <w:highlight w:val="none"/>
          <w:lang w:eastAsia="zh-CN"/>
        </w:rPr>
        <w:t>中标方</w:t>
      </w:r>
      <w:r>
        <w:rPr>
          <w:rFonts w:hint="default" w:ascii="Times New Roman" w:hAnsi="Times New Roman" w:eastAsia="宋体" w:cs="Times New Roman"/>
          <w:sz w:val="24"/>
          <w:szCs w:val="24"/>
          <w:highlight w:val="none"/>
        </w:rPr>
        <w:t>负责。</w:t>
      </w:r>
    </w:p>
    <w:p>
      <w:pPr>
        <w:spacing w:line="440" w:lineRule="exact"/>
        <w:ind w:firstLine="480"/>
        <w:rPr>
          <w:rFonts w:hint="default" w:ascii="Times New Roman" w:hAnsi="Times New Roman" w:eastAsia="宋体" w:cs="Times New Roman"/>
          <w:b/>
          <w:bCs/>
        </w:rPr>
      </w:pPr>
      <w:r>
        <w:rPr>
          <w:rFonts w:hint="default" w:ascii="Times New Roman" w:hAnsi="Times New Roman" w:eastAsia="宋体" w:cs="Times New Roman"/>
          <w:b/>
          <w:bCs/>
        </w:rPr>
        <w:t>5.结算和付款方式：</w:t>
      </w:r>
    </w:p>
    <w:p>
      <w:pPr>
        <w:spacing w:line="440" w:lineRule="exact"/>
        <w:ind w:firstLine="480"/>
        <w:rPr>
          <w:rFonts w:hint="default" w:ascii="Times New Roman" w:hAnsi="Times New Roman" w:eastAsia="宋体" w:cs="Times New Roman"/>
          <w:highlight w:val="none"/>
          <w:lang w:val="zh-CN" w:eastAsia="zh-CN"/>
        </w:rPr>
      </w:pP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lang w:val="zh-CN" w:eastAsia="zh-CN"/>
        </w:rPr>
        <w:t>在合同生效以及具备实施条件后</w:t>
      </w:r>
      <w:r>
        <w:rPr>
          <w:rFonts w:hint="default" w:ascii="Times New Roman" w:hAnsi="Times New Roman" w:eastAsia="宋体" w:cs="Times New Roman"/>
          <w:highlight w:val="none"/>
          <w:lang w:val="en-US" w:eastAsia="zh-CN"/>
        </w:rPr>
        <w:t>7个工作日</w:t>
      </w:r>
      <w:r>
        <w:rPr>
          <w:rFonts w:hint="default" w:ascii="Times New Roman" w:hAnsi="Times New Roman" w:eastAsia="宋体" w:cs="Times New Roman"/>
          <w:highlight w:val="none"/>
          <w:lang w:val="zh-CN" w:eastAsia="zh-CN"/>
        </w:rPr>
        <w:t>内，采购人向中标方支付合同总金额的</w:t>
      </w:r>
      <w:r>
        <w:rPr>
          <w:rFonts w:hint="default" w:ascii="Times New Roman" w:hAnsi="Times New Roman" w:eastAsia="宋体" w:cs="Times New Roman"/>
          <w:highlight w:val="none"/>
          <w:lang w:val="en-US" w:eastAsia="zh-CN"/>
        </w:rPr>
        <w:t>3</w:t>
      </w:r>
      <w:r>
        <w:rPr>
          <w:rFonts w:hint="default" w:ascii="Times New Roman" w:hAnsi="Times New Roman" w:eastAsia="宋体" w:cs="Times New Roman"/>
          <w:highlight w:val="none"/>
          <w:lang w:val="zh-CN" w:eastAsia="zh-CN"/>
        </w:rPr>
        <w:t>0%作为预付款。（在签订合同时，中标方明确表示无需预付款或者主动要求降低预付款比例的，采购单位可不支付或减少预付款支付比例）。中标人须在采购人支付预付款前，向采购人提交由银行出具的预付款保函（保函的金额、有效期等在签订合同时约定，对受疫情影响严重的中小微企业应当取消或者减少预付款担保）。</w:t>
      </w:r>
    </w:p>
    <w:p>
      <w:pPr>
        <w:spacing w:line="440" w:lineRule="exact"/>
        <w:ind w:firstLine="480"/>
        <w:rPr>
          <w:rFonts w:hint="default" w:ascii="Times New Roman" w:hAnsi="Times New Roman" w:eastAsia="宋体" w:cs="Times New Roman"/>
          <w:highlight w:val="none"/>
          <w:lang w:val="zh-CN" w:eastAsia="zh-CN"/>
        </w:rPr>
      </w:pPr>
      <w:r>
        <w:rPr>
          <w:rFonts w:hint="default" w:ascii="Times New Roman" w:hAnsi="Times New Roman" w:eastAsia="宋体" w:cs="Times New Roman"/>
          <w:highlight w:val="none"/>
          <w:lang w:val="en-US" w:eastAsia="zh-CN"/>
        </w:rPr>
        <w:t>2.</w:t>
      </w:r>
      <w:r>
        <w:rPr>
          <w:rFonts w:hint="eastAsia" w:ascii="Times New Roman" w:hAnsi="Times New Roman" w:eastAsia="宋体" w:cs="Times New Roman"/>
          <w:highlight w:val="none"/>
          <w:lang w:val="en-US" w:eastAsia="zh-CN"/>
        </w:rPr>
        <w:t>项目成果完成省级验收、部级核查汇交或抽验后（如未被部级抽验，以省级验收为准）支付至实际结算总额的</w:t>
      </w:r>
      <w:r>
        <w:rPr>
          <w:rFonts w:hint="default" w:ascii="Times New Roman" w:hAnsi="Times New Roman" w:eastAsia="宋体" w:cs="Times New Roman"/>
          <w:highlight w:val="none"/>
          <w:lang w:val="en-US" w:eastAsia="zh-CN"/>
        </w:rPr>
        <w:t>70%</w:t>
      </w:r>
      <w:r>
        <w:rPr>
          <w:rFonts w:hint="eastAsia" w:ascii="Times New Roman" w:hAnsi="Times New Roman" w:eastAsia="宋体" w:cs="Times New Roman"/>
          <w:highlight w:val="none"/>
          <w:lang w:val="en-US" w:eastAsia="zh-CN"/>
        </w:rPr>
        <w:t>，项目通过验收合格一年后</w:t>
      </w:r>
      <w:r>
        <w:rPr>
          <w:rFonts w:hint="default" w:ascii="Times New Roman" w:hAnsi="Times New Roman" w:eastAsia="宋体" w:cs="Times New Roman"/>
          <w:highlight w:val="none"/>
          <w:lang w:val="en-US" w:eastAsia="zh-CN"/>
        </w:rPr>
        <w:t>7</w:t>
      </w:r>
      <w:r>
        <w:rPr>
          <w:rFonts w:hint="eastAsia" w:ascii="Times New Roman" w:hAnsi="Times New Roman" w:eastAsia="宋体" w:cs="Times New Roman"/>
          <w:highlight w:val="none"/>
          <w:lang w:val="en-US" w:eastAsia="zh-CN"/>
        </w:rPr>
        <w:t>个工作日内支付剩余款项。</w:t>
      </w:r>
      <w:r>
        <w:rPr>
          <w:rFonts w:hint="eastAsia" w:ascii="Times New Roman" w:hAnsi="Times New Roman" w:eastAsia="宋体" w:cs="Times New Roman"/>
          <w:highlight w:val="none"/>
          <w:lang w:val="zh-CN" w:eastAsia="zh-CN"/>
        </w:rPr>
        <w:t>如果中标方是中小企业的，项目最终验收合格后</w:t>
      </w:r>
      <w:r>
        <w:rPr>
          <w:rFonts w:hint="default" w:ascii="Times New Roman" w:hAnsi="Times New Roman" w:eastAsia="宋体" w:cs="Times New Roman"/>
          <w:highlight w:val="none"/>
          <w:lang w:val="zh-CN" w:eastAsia="zh-CN"/>
        </w:rPr>
        <w:t>60</w:t>
      </w:r>
      <w:r>
        <w:rPr>
          <w:rFonts w:hint="eastAsia" w:ascii="Times New Roman" w:hAnsi="Times New Roman" w:eastAsia="宋体" w:cs="Times New Roman"/>
          <w:highlight w:val="none"/>
          <w:lang w:val="zh-CN" w:eastAsia="zh-CN"/>
        </w:rPr>
        <w:t>日内支付至</w:t>
      </w:r>
      <w:r>
        <w:rPr>
          <w:rFonts w:hint="eastAsia" w:ascii="Times New Roman" w:hAnsi="Times New Roman" w:eastAsia="宋体" w:cs="Times New Roman"/>
          <w:highlight w:val="none"/>
          <w:lang w:val="en-US" w:eastAsia="zh-CN"/>
        </w:rPr>
        <w:t>实际结算总额</w:t>
      </w:r>
      <w:r>
        <w:rPr>
          <w:rFonts w:hint="eastAsia" w:ascii="Times New Roman" w:hAnsi="Times New Roman" w:eastAsia="宋体" w:cs="Times New Roman"/>
          <w:highlight w:val="none"/>
          <w:lang w:val="zh-CN" w:eastAsia="zh-CN"/>
        </w:rPr>
        <w:t>的</w:t>
      </w:r>
      <w:r>
        <w:rPr>
          <w:rFonts w:hint="default" w:ascii="Times New Roman" w:hAnsi="Times New Roman" w:eastAsia="宋体" w:cs="Times New Roman"/>
          <w:highlight w:val="none"/>
          <w:lang w:val="zh-CN" w:eastAsia="zh-CN"/>
        </w:rPr>
        <w:t>100%</w:t>
      </w:r>
      <w:r>
        <w:rPr>
          <w:rFonts w:hint="eastAsia" w:ascii="Times New Roman" w:hAnsi="Times New Roman" w:eastAsia="宋体" w:cs="Times New Roman"/>
          <w:highlight w:val="none"/>
          <w:lang w:val="zh-CN" w:eastAsia="zh-CN"/>
        </w:rPr>
        <w:t>。</w:t>
      </w:r>
    </w:p>
    <w:p>
      <w:pPr>
        <w:spacing w:line="440" w:lineRule="exact"/>
        <w:ind w:firstLine="480"/>
        <w:rPr>
          <w:rFonts w:hint="default" w:ascii="Times New Roman" w:hAnsi="Times New Roman" w:eastAsia="宋体" w:cs="Times New Roman"/>
          <w:highlight w:val="none"/>
          <w:lang w:val="zh-CN" w:eastAsia="zh-CN"/>
        </w:rPr>
      </w:pPr>
    </w:p>
    <w:p>
      <w:pPr>
        <w:spacing w:line="440" w:lineRule="exact"/>
        <w:ind w:firstLine="480"/>
        <w:rPr>
          <w:rFonts w:hint="default" w:ascii="Times New Roman" w:hAnsi="Times New Roman" w:eastAsia="宋体" w:cs="Times New Roman"/>
          <w:highlight w:val="none"/>
          <w:lang w:val="zh-CN" w:eastAsia="zh-CN"/>
        </w:rPr>
      </w:pPr>
      <w:r>
        <w:rPr>
          <w:rFonts w:hint="default" w:ascii="Times New Roman" w:hAnsi="Times New Roman" w:eastAsia="宋体" w:cs="Times New Roman"/>
          <w:highlight w:val="none"/>
          <w:lang w:val="en-US" w:eastAsia="zh-CN"/>
        </w:rPr>
        <w:t>3.</w:t>
      </w:r>
      <w:r>
        <w:rPr>
          <w:rFonts w:hint="default" w:ascii="Times New Roman" w:hAnsi="Times New Roman" w:eastAsia="宋体" w:cs="Times New Roman"/>
          <w:highlight w:val="none"/>
          <w:lang w:val="zh-CN" w:eastAsia="zh-CN"/>
        </w:rPr>
        <w:t>货款凭政府采购合同、发票、政府采购验收单和政府采购资金结算单由义乌市财政直接支付。</w:t>
      </w:r>
    </w:p>
    <w:p>
      <w:pPr>
        <w:pStyle w:val="5"/>
        <w:widowControl w:val="0"/>
        <w:spacing w:before="120" w:after="120"/>
        <w:jc w:val="both"/>
        <w:rPr>
          <w:rFonts w:hint="default" w:ascii="Times New Roman" w:hAnsi="Times New Roman" w:eastAsia="宋体" w:cs="Times New Roman"/>
          <w:bCs w:val="0"/>
          <w:sz w:val="24"/>
          <w:szCs w:val="24"/>
        </w:rPr>
      </w:pPr>
      <w:r>
        <w:rPr>
          <w:rFonts w:hint="default" w:ascii="Times New Roman" w:hAnsi="Times New Roman" w:eastAsia="宋体" w:cs="Times New Roman"/>
          <w:bCs w:val="0"/>
          <w:sz w:val="24"/>
          <w:szCs w:val="24"/>
        </w:rPr>
        <w:t>★</w:t>
      </w:r>
      <w:r>
        <w:rPr>
          <w:rFonts w:hint="default" w:ascii="Times New Roman" w:hAnsi="Times New Roman" w:eastAsia="宋体" w:cs="Times New Roman"/>
          <w:bCs w:val="0"/>
          <w:sz w:val="24"/>
          <w:szCs w:val="24"/>
          <w:lang w:eastAsia="zh-CN"/>
        </w:rPr>
        <w:t>六</w:t>
      </w:r>
      <w:r>
        <w:rPr>
          <w:rFonts w:hint="default" w:ascii="Times New Roman" w:hAnsi="Times New Roman" w:eastAsia="宋体" w:cs="Times New Roman"/>
          <w:bCs w:val="0"/>
          <w:sz w:val="24"/>
          <w:szCs w:val="24"/>
        </w:rPr>
        <w:t>、其它说明</w:t>
      </w:r>
    </w:p>
    <w:p>
      <w:pPr>
        <w:spacing w:line="440" w:lineRule="exact"/>
        <w:ind w:firstLine="480"/>
        <w:rPr>
          <w:rFonts w:hint="default" w:ascii="Times New Roman" w:hAnsi="Times New Roman" w:eastAsia="宋体" w:cs="Times New Roman"/>
        </w:rPr>
      </w:pPr>
      <w:r>
        <w:rPr>
          <w:rFonts w:hint="default" w:ascii="Times New Roman" w:hAnsi="Times New Roman" w:eastAsia="宋体" w:cs="Times New Roman"/>
        </w:rPr>
        <w:t>1.本项目设有</w:t>
      </w:r>
      <w:r>
        <w:rPr>
          <w:rFonts w:hint="default" w:ascii="Times New Roman" w:hAnsi="Times New Roman" w:eastAsia="宋体" w:cs="Times New Roman"/>
          <w:lang w:eastAsia="zh-CN"/>
        </w:rPr>
        <w:t>三</w:t>
      </w:r>
      <w:r>
        <w:rPr>
          <w:rFonts w:hint="default" w:ascii="Times New Roman" w:hAnsi="Times New Roman" w:eastAsia="宋体" w:cs="Times New Roman"/>
        </w:rPr>
        <w:t>个标项，对于同一标</w:t>
      </w:r>
      <w:r>
        <w:rPr>
          <w:rFonts w:hint="default" w:ascii="Times New Roman" w:hAnsi="Times New Roman" w:eastAsia="宋体" w:cs="Times New Roman"/>
          <w:lang w:eastAsia="zh-CN"/>
        </w:rPr>
        <w:t>项</w:t>
      </w:r>
      <w:r>
        <w:rPr>
          <w:rFonts w:hint="default" w:ascii="Times New Roman" w:hAnsi="Times New Roman" w:eastAsia="宋体" w:cs="Times New Roman"/>
        </w:rPr>
        <w:t>内的产品或服务不允许拆分参投，否则其投标无效。</w:t>
      </w:r>
    </w:p>
    <w:p>
      <w:pPr>
        <w:spacing w:line="440" w:lineRule="exact"/>
        <w:ind w:firstLine="480"/>
        <w:rPr>
          <w:rFonts w:hint="default" w:ascii="Times New Roman" w:hAnsi="Times New Roman" w:eastAsia="宋体" w:cs="Times New Roman"/>
        </w:rPr>
      </w:pPr>
      <w:r>
        <w:rPr>
          <w:rFonts w:hint="default" w:ascii="Times New Roman" w:hAnsi="Times New Roman" w:eastAsia="宋体" w:cs="Times New Roman"/>
        </w:rPr>
        <w:t>2.中标之后，如发现投标人的投标文件内容有不一致的，以有利于采购人和使用单位的原则执行。</w:t>
      </w:r>
      <w:bookmarkEnd w:id="45"/>
      <w:bookmarkEnd w:id="46"/>
      <w:bookmarkStart w:id="54" w:name="_Toc8168"/>
      <w:bookmarkStart w:id="55" w:name="_Toc12046"/>
    </w:p>
    <w:p>
      <w:pPr>
        <w:snapToGrid w:val="0"/>
        <w:spacing w:line="312" w:lineRule="auto"/>
        <w:ind w:firstLine="480" w:firstLineChars="200"/>
        <w:rPr>
          <w:rFonts w:hint="default" w:ascii="Times New Roman" w:hAnsi="Times New Roman" w:eastAsia="宋体" w:cs="Times New Roman"/>
        </w:rPr>
      </w:pPr>
    </w:p>
    <w:p>
      <w:pPr>
        <w:snapToGrid w:val="0"/>
        <w:spacing w:line="312" w:lineRule="auto"/>
        <w:ind w:firstLine="480" w:firstLineChars="200"/>
        <w:rPr>
          <w:rFonts w:hint="default" w:ascii="Times New Roman" w:hAnsi="Times New Roman" w:eastAsia="宋体" w:cs="Times New Roman"/>
        </w:rPr>
      </w:pPr>
    </w:p>
    <w:p>
      <w:pPr>
        <w:snapToGrid w:val="0"/>
        <w:spacing w:line="312" w:lineRule="auto"/>
        <w:ind w:firstLine="480" w:firstLineChars="200"/>
        <w:rPr>
          <w:rFonts w:hint="default" w:ascii="Times New Roman" w:hAnsi="Times New Roman" w:eastAsia="宋体" w:cs="Times New Roman"/>
        </w:rPr>
      </w:pPr>
    </w:p>
    <w:p>
      <w:pPr>
        <w:rPr>
          <w:rFonts w:hint="default" w:ascii="Times New Roman" w:hAnsi="Times New Roman" w:eastAsia="宋体" w:cs="Times New Roman"/>
          <w:sz w:val="36"/>
        </w:rPr>
      </w:pPr>
      <w:bookmarkStart w:id="56" w:name="_Toc9652"/>
      <w:bookmarkStart w:id="57" w:name="_Toc9757"/>
      <w:r>
        <w:rPr>
          <w:rFonts w:hint="default" w:ascii="Times New Roman" w:hAnsi="Times New Roman" w:eastAsia="宋体" w:cs="Times New Roman"/>
          <w:sz w:val="36"/>
        </w:rPr>
        <w:br w:type="page"/>
      </w:r>
    </w:p>
    <w:p>
      <w:pPr>
        <w:pStyle w:val="4"/>
        <w:spacing w:before="0" w:after="0" w:line="400" w:lineRule="atLeast"/>
        <w:jc w:val="center"/>
        <w:rPr>
          <w:rFonts w:hint="default" w:ascii="Times New Roman" w:hAnsi="Times New Roman" w:eastAsia="宋体" w:cs="Times New Roman"/>
          <w:sz w:val="36"/>
        </w:rPr>
      </w:pPr>
      <w:r>
        <w:rPr>
          <w:rFonts w:hint="default" w:ascii="Times New Roman" w:hAnsi="Times New Roman" w:eastAsia="宋体" w:cs="Times New Roman"/>
          <w:sz w:val="36"/>
        </w:rPr>
        <w:t>第四章 开标、评标和定标须知</w:t>
      </w:r>
      <w:bookmarkEnd w:id="39"/>
      <w:bookmarkEnd w:id="40"/>
      <w:bookmarkEnd w:id="41"/>
      <w:bookmarkEnd w:id="54"/>
      <w:bookmarkEnd w:id="55"/>
      <w:bookmarkEnd w:id="56"/>
      <w:bookmarkEnd w:id="57"/>
    </w:p>
    <w:p>
      <w:pPr>
        <w:pStyle w:val="5"/>
        <w:spacing w:before="0" w:after="0" w:line="360" w:lineRule="exact"/>
        <w:rPr>
          <w:rFonts w:hint="default" w:ascii="Times New Roman" w:hAnsi="Times New Roman" w:eastAsia="宋体" w:cs="Times New Roman"/>
          <w:sz w:val="24"/>
          <w:szCs w:val="24"/>
        </w:rPr>
      </w:pPr>
      <w:bookmarkStart w:id="58" w:name="_Toc23064"/>
      <w:bookmarkStart w:id="59" w:name="_Toc406413937"/>
      <w:bookmarkStart w:id="60" w:name="_Toc362250704"/>
      <w:bookmarkStart w:id="61" w:name="_Toc274303252"/>
      <w:r>
        <w:rPr>
          <w:rFonts w:hint="default" w:ascii="Times New Roman" w:hAnsi="Times New Roman" w:eastAsia="宋体" w:cs="Times New Roman"/>
          <w:sz w:val="24"/>
          <w:szCs w:val="24"/>
        </w:rPr>
        <w:t>一、开标</w:t>
      </w:r>
      <w:bookmarkEnd w:id="58"/>
      <w:bookmarkEnd w:id="59"/>
      <w:bookmarkEnd w:id="60"/>
      <w:bookmarkEnd w:id="61"/>
    </w:p>
    <w:p>
      <w:pPr>
        <w:spacing w:line="360" w:lineRule="exact"/>
        <w:ind w:firstLine="480" w:firstLineChars="200"/>
        <w:rPr>
          <w:rFonts w:hint="default" w:ascii="Times New Roman" w:hAnsi="Times New Roman" w:eastAsia="宋体" w:cs="Times New Roman"/>
        </w:rPr>
      </w:pPr>
      <w:bookmarkStart w:id="62" w:name="_Toc406413938"/>
      <w:bookmarkStart w:id="63" w:name="_Toc226973002"/>
      <w:bookmarkStart w:id="64" w:name="_Toc263090375"/>
      <w:bookmarkStart w:id="65" w:name="_Toc362250705"/>
      <w:bookmarkStart w:id="66" w:name="_Toc274303253"/>
      <w:bookmarkStart w:id="67" w:name="_Toc261519847"/>
      <w:r>
        <w:rPr>
          <w:rFonts w:hint="default" w:ascii="Times New Roman" w:hAnsi="Times New Roman" w:eastAsia="宋体" w:cs="Times New Roman"/>
        </w:rPr>
        <w:t>1.本项目实行电子开评标，投标人无需前往开评标现场，应在规定时间内在“政采云”上上传电子投标文件和准时在线参加开标。</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2.电子开评标及评审程序</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 xml:space="preserve">2.1采购中心开启解密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2.2.评标委员会对投标人的资格和商务技术响应文件进行评审；</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2.3评标委员会对报价响应文件进行评审；</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2.4在系统上公布评审结果。</w:t>
      </w:r>
    </w:p>
    <w:p>
      <w:pPr>
        <w:spacing w:line="360" w:lineRule="exact"/>
        <w:ind w:firstLine="482" w:firstLineChars="200"/>
        <w:rPr>
          <w:rFonts w:hint="default" w:ascii="Times New Roman" w:hAnsi="Times New Roman" w:eastAsia="宋体" w:cs="Times New Roman"/>
          <w:b/>
          <w:szCs w:val="21"/>
          <w:u w:val="single"/>
        </w:rPr>
      </w:pPr>
      <w:r>
        <w:rPr>
          <w:rFonts w:hint="default" w:ascii="Times New Roman" w:hAnsi="Times New Roman" w:eastAsia="宋体" w:cs="Times New Roman"/>
          <w:b/>
          <w:szCs w:val="21"/>
          <w:u w:val="single"/>
        </w:rPr>
        <w:t>特别说明：“政采云”如对开评标程序有调整的，按调整后的程序操作。</w:t>
      </w:r>
    </w:p>
    <w:p>
      <w:pPr>
        <w:pStyle w:val="5"/>
        <w:spacing w:before="0" w:after="0" w:line="360" w:lineRule="exact"/>
        <w:rPr>
          <w:rFonts w:hint="default" w:ascii="Times New Roman" w:hAnsi="Times New Roman" w:eastAsia="宋体" w:cs="Times New Roman"/>
          <w:sz w:val="24"/>
          <w:szCs w:val="24"/>
        </w:rPr>
      </w:pPr>
      <w:bookmarkStart w:id="68" w:name="_Toc14316"/>
      <w:r>
        <w:rPr>
          <w:rFonts w:hint="default" w:ascii="Times New Roman" w:hAnsi="Times New Roman" w:eastAsia="宋体" w:cs="Times New Roman"/>
          <w:sz w:val="24"/>
          <w:szCs w:val="24"/>
        </w:rPr>
        <w:t>二、评标</w:t>
      </w:r>
      <w:bookmarkEnd w:id="62"/>
      <w:bookmarkEnd w:id="63"/>
      <w:bookmarkEnd w:id="64"/>
      <w:bookmarkEnd w:id="65"/>
      <w:bookmarkEnd w:id="66"/>
      <w:bookmarkEnd w:id="67"/>
      <w:bookmarkEnd w:id="68"/>
    </w:p>
    <w:p>
      <w:pPr>
        <w:spacing w:line="360" w:lineRule="exact"/>
        <w:ind w:firstLine="480"/>
        <w:rPr>
          <w:rFonts w:hint="default" w:ascii="Times New Roman" w:hAnsi="Times New Roman" w:eastAsia="宋体" w:cs="Times New Roman"/>
          <w:b/>
        </w:rPr>
      </w:pPr>
      <w:r>
        <w:rPr>
          <w:rFonts w:hint="default" w:ascii="Times New Roman" w:hAnsi="Times New Roman" w:eastAsia="宋体" w:cs="Times New Roman"/>
          <w:b/>
        </w:rPr>
        <w:t>3.评标小组</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招标方将根据招标采购项目的特点确定评标委员会（即评标小组）。其成员由评审专家和采购人代表共5人及以上单数组成。评标小组对投标文件进行审查、质疑、评估和比较。</w:t>
      </w:r>
    </w:p>
    <w:p>
      <w:pPr>
        <w:spacing w:line="360" w:lineRule="exact"/>
        <w:ind w:firstLine="480"/>
        <w:rPr>
          <w:rFonts w:hint="default" w:ascii="Times New Roman" w:hAnsi="Times New Roman" w:eastAsia="宋体" w:cs="Times New Roman"/>
          <w:b/>
        </w:rPr>
      </w:pPr>
      <w:r>
        <w:rPr>
          <w:rFonts w:hint="default" w:ascii="Times New Roman" w:hAnsi="Times New Roman" w:eastAsia="宋体" w:cs="Times New Roman"/>
          <w:b/>
        </w:rPr>
        <w:t>4.评标原则</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4.1评标小组将遵循公开、公平、公正的原则，严格遵守评标工作纪律。</w:t>
      </w:r>
    </w:p>
    <w:p>
      <w:pPr>
        <w:spacing w:line="360" w:lineRule="exact"/>
        <w:ind w:firstLine="480"/>
        <w:rPr>
          <w:rFonts w:hint="default" w:ascii="Times New Roman" w:hAnsi="Times New Roman" w:eastAsia="宋体" w:cs="Times New Roman"/>
          <w:bCs/>
        </w:rPr>
      </w:pPr>
      <w:r>
        <w:rPr>
          <w:rFonts w:hint="default" w:ascii="Times New Roman" w:hAnsi="Times New Roman" w:eastAsia="宋体" w:cs="Times New Roman"/>
        </w:rPr>
        <w:t>4.2</w:t>
      </w:r>
      <w:r>
        <w:rPr>
          <w:rFonts w:hint="default" w:ascii="Times New Roman" w:hAnsi="Times New Roman" w:eastAsia="宋体" w:cs="Times New Roman"/>
          <w:bCs/>
        </w:rPr>
        <w:t>先评资格及商务技术响应文件，再评报价响应文件。</w:t>
      </w:r>
    </w:p>
    <w:p>
      <w:pPr>
        <w:spacing w:line="360" w:lineRule="exact"/>
        <w:ind w:firstLine="480"/>
        <w:rPr>
          <w:rFonts w:hint="default" w:ascii="Times New Roman" w:hAnsi="Times New Roman" w:eastAsia="宋体" w:cs="Times New Roman"/>
        </w:rPr>
      </w:pPr>
      <w:r>
        <w:rPr>
          <w:rFonts w:hint="default" w:ascii="Times New Roman" w:hAnsi="Times New Roman" w:eastAsia="宋体" w:cs="Times New Roman"/>
          <w:bCs/>
        </w:rPr>
        <w:t>4.3</w:t>
      </w:r>
      <w:r>
        <w:rPr>
          <w:rFonts w:hint="default" w:ascii="Times New Roman" w:hAnsi="Times New Roman" w:eastAsia="宋体" w:cs="Times New Roman"/>
        </w:rPr>
        <w:t>客观公正对待所有投标人，对所有投标评审均采用相同的程序和标准。评标的依据为招标文件和相关法律、法规及政策文件。</w:t>
      </w:r>
    </w:p>
    <w:p>
      <w:pPr>
        <w:pStyle w:val="29"/>
        <w:spacing w:line="360" w:lineRule="exact"/>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4.4异常或特殊情况处理：</w:t>
      </w:r>
    </w:p>
    <w:p>
      <w:pPr>
        <w:pStyle w:val="29"/>
        <w:spacing w:line="360" w:lineRule="exact"/>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4.4.1在评标过程中，如发现招标文件中内容有不一致的（招标文件中其它地方另外规定的除外），经评标委员讨论认为不影响评标的，可以继续评标。</w:t>
      </w:r>
    </w:p>
    <w:p>
      <w:pPr>
        <w:pStyle w:val="29"/>
        <w:spacing w:line="360" w:lineRule="exact"/>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exact"/>
        <w:ind w:firstLine="464" w:firstLineChars="200"/>
        <w:rPr>
          <w:rFonts w:hint="default" w:ascii="Times New Roman" w:hAnsi="Times New Roman" w:eastAsia="宋体" w:cs="Times New Roman"/>
        </w:rPr>
      </w:pPr>
      <w:r>
        <w:rPr>
          <w:rFonts w:hint="default" w:ascii="Times New Roman" w:hAnsi="Times New Roman" w:eastAsia="宋体" w:cs="Times New Roman"/>
          <w:spacing w:val="-4"/>
        </w:rPr>
        <w:t>4.4.2</w:t>
      </w:r>
      <w:r>
        <w:rPr>
          <w:rFonts w:hint="default" w:ascii="Times New Roman" w:hAnsi="Times New Roman" w:eastAsia="宋体" w:cs="Times New Roman"/>
        </w:rPr>
        <w:t>在评标过程中，出现其它异常或特殊情况时，由评标小组集体讨论决定。</w:t>
      </w:r>
    </w:p>
    <w:p>
      <w:pPr>
        <w:spacing w:line="360" w:lineRule="exact"/>
        <w:ind w:firstLine="480"/>
        <w:rPr>
          <w:rFonts w:hint="default" w:ascii="Times New Roman" w:hAnsi="Times New Roman" w:eastAsia="宋体" w:cs="Times New Roman"/>
          <w:bCs/>
        </w:rPr>
      </w:pPr>
      <w:r>
        <w:rPr>
          <w:rFonts w:hint="default" w:ascii="Times New Roman" w:hAnsi="Times New Roman" w:eastAsia="宋体" w:cs="Times New Roman"/>
          <w:bCs/>
        </w:rPr>
        <w:t>4.5评标委员会成员对需要共同认定的事项存在争议的，应当按照少数服从多数的原则作出结论。持不同意见的评标委员会成员应当在评标报告上签署不同意见及理由，否则视为同意评标报告。</w:t>
      </w:r>
    </w:p>
    <w:p>
      <w:pPr>
        <w:pStyle w:val="29"/>
        <w:spacing w:line="360" w:lineRule="exact"/>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5.评标过程的保密</w:t>
      </w:r>
    </w:p>
    <w:p>
      <w:pPr>
        <w:adjustRightInd w:val="0"/>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5.1开标后，直至授予中标人合同为止，凡属于对投标文件的审查、澄清、评价和比较等有关的资料以及中标候选人的推荐情况等与评标有关的任何情况均严格保密。</w:t>
      </w:r>
    </w:p>
    <w:p>
      <w:pPr>
        <w:pStyle w:val="29"/>
        <w:spacing w:line="3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5.2中标人确认后，采购人不对未中标人就评标过程以及未能中标原因作出任何解释。未中标人不得向评标小组人员或其他有关人员索问评标过程的全部情况。</w:t>
      </w:r>
    </w:p>
    <w:p>
      <w:pPr>
        <w:spacing w:line="360" w:lineRule="exact"/>
        <w:ind w:firstLine="480" w:firstLineChars="200"/>
        <w:rPr>
          <w:rFonts w:hint="default" w:ascii="Times New Roman" w:hAnsi="Times New Roman" w:eastAsia="宋体" w:cs="Times New Roman"/>
          <w:spacing w:val="-4"/>
        </w:rPr>
      </w:pPr>
      <w:r>
        <w:rPr>
          <w:rFonts w:hint="default" w:ascii="Times New Roman" w:hAnsi="Times New Roman" w:eastAsia="宋体" w:cs="Times New Roman"/>
        </w:rPr>
        <w:t>5.3</w:t>
      </w:r>
      <w:r>
        <w:rPr>
          <w:rFonts w:hint="default" w:ascii="Times New Roman" w:hAnsi="Times New Roman" w:eastAsia="宋体" w:cs="Times New Roman"/>
          <w:spacing w:val="-4"/>
        </w:rPr>
        <w:t>为保证定标的公正性，在评标过程中，评标成员不得与投标人私人交换意见。在招标工作结束后，凡与评标情况有接触的任何人不得也不应将评标情况扩散出评标成员之外。</w:t>
      </w:r>
    </w:p>
    <w:p>
      <w:pPr>
        <w:adjustRightInd w:val="0"/>
        <w:snapToGrid w:val="0"/>
        <w:spacing w:line="360" w:lineRule="exact"/>
        <w:ind w:firstLine="472" w:firstLineChars="196"/>
        <w:rPr>
          <w:rFonts w:hint="default" w:ascii="Times New Roman" w:hAnsi="Times New Roman" w:eastAsia="宋体" w:cs="Times New Roman"/>
          <w:b/>
        </w:rPr>
      </w:pPr>
      <w:r>
        <w:rPr>
          <w:rFonts w:hint="default" w:ascii="Times New Roman" w:hAnsi="Times New Roman" w:eastAsia="宋体" w:cs="Times New Roman"/>
          <w:b/>
        </w:rPr>
        <w:t>6.投标文件的澄清</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6.1为有助于投标文件的审查、评价和比较，评标委员会应当在“政采云”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pPr>
        <w:pStyle w:val="29"/>
        <w:tabs>
          <w:tab w:val="left" w:pos="0"/>
        </w:tabs>
        <w:spacing w:line="3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6.2如果投标人代表拒绝按评标委员会要求在“政采云”作出在线回复且无其他有效回复方式的，评标委员会可以对其作出无效标处理。</w:t>
      </w:r>
    </w:p>
    <w:p>
      <w:pPr>
        <w:adjustRightInd w:val="0"/>
        <w:snapToGrid w:val="0"/>
        <w:spacing w:line="360" w:lineRule="exact"/>
        <w:ind w:firstLine="482" w:firstLineChars="200"/>
        <w:rPr>
          <w:rFonts w:hint="default" w:ascii="Times New Roman" w:hAnsi="Times New Roman" w:eastAsia="宋体" w:cs="Times New Roman"/>
        </w:rPr>
      </w:pPr>
      <w:r>
        <w:rPr>
          <w:rFonts w:hint="default" w:ascii="Times New Roman" w:hAnsi="Times New Roman" w:eastAsia="宋体" w:cs="Times New Roman"/>
          <w:b/>
        </w:rPr>
        <w:t>7.投标文件的资格性和符合性评审</w:t>
      </w:r>
    </w:p>
    <w:p>
      <w:pPr>
        <w:adjustRightInd w:val="0"/>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7.1评标时，评标小组将首先评定每份投标文件是否实质上响应了招标文件的要求。所谓实质上响应，是指投标文件应与招标文件的所有实质性条款、条件和要求相符，无显著差异或保留。</w:t>
      </w:r>
    </w:p>
    <w:p>
      <w:pPr>
        <w:adjustRightInd w:val="0"/>
        <w:snapToGrid w:val="0"/>
        <w:spacing w:line="360" w:lineRule="exact"/>
        <w:ind w:firstLine="436" w:firstLineChars="182"/>
        <w:rPr>
          <w:rFonts w:hint="default" w:ascii="Times New Roman" w:hAnsi="Times New Roman" w:eastAsia="宋体" w:cs="Times New Roman"/>
        </w:rPr>
      </w:pPr>
      <w:r>
        <w:rPr>
          <w:rFonts w:hint="default" w:ascii="Times New Roman" w:hAnsi="Times New Roman" w:eastAsia="宋体" w:cs="Times New Roman"/>
        </w:rP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pPr>
        <w:pStyle w:val="55"/>
        <w:spacing w:after="0" w:line="360" w:lineRule="exact"/>
        <w:ind w:left="0" w:leftChars="0" w:firstLine="480"/>
        <w:rPr>
          <w:rFonts w:hint="default" w:ascii="Times New Roman" w:hAnsi="Times New Roman" w:eastAsia="宋体" w:cs="Times New Roman"/>
        </w:rPr>
      </w:pPr>
      <w:r>
        <w:rPr>
          <w:rFonts w:hint="default" w:ascii="Times New Roman" w:hAnsi="Times New Roman" w:eastAsia="宋体" w:cs="Times New Roman"/>
        </w:rPr>
        <w:t>7.3在投标文件的评审和比较、中标候选人推荐以及授予合同的过程中，投标人向采购人和评标小组施加影响的任何行为，都将会导致其投标被拒绝。</w:t>
      </w:r>
    </w:p>
    <w:p>
      <w:pPr>
        <w:adjustRightInd w:val="0"/>
        <w:snapToGrid w:val="0"/>
        <w:spacing w:line="36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7.4评标小组在作出任何一项无效标决定前，都应当严格遵循以下程序：</w:t>
      </w:r>
    </w:p>
    <w:p>
      <w:pPr>
        <w:adjustRightInd w:val="0"/>
        <w:snapToGrid w:val="0"/>
        <w:spacing w:line="360" w:lineRule="exact"/>
        <w:ind w:firstLine="470" w:firstLineChars="196"/>
        <w:rPr>
          <w:rFonts w:hint="default" w:ascii="Times New Roman" w:hAnsi="Times New Roman" w:eastAsia="宋体" w:cs="Times New Roman"/>
        </w:rPr>
      </w:pPr>
      <w:r>
        <w:rPr>
          <w:rFonts w:hint="default" w:ascii="Times New Roman" w:hAnsi="Times New Roman" w:eastAsia="宋体" w:cs="Times New Roman"/>
        </w:rPr>
        <w:t>7.4.1要求当事投标人作相应的答辩。</w:t>
      </w:r>
    </w:p>
    <w:p>
      <w:pPr>
        <w:adjustRightInd w:val="0"/>
        <w:snapToGrid w:val="0"/>
        <w:spacing w:line="360" w:lineRule="exact"/>
        <w:ind w:firstLine="470" w:firstLineChars="196"/>
        <w:rPr>
          <w:rFonts w:hint="default" w:ascii="Times New Roman" w:hAnsi="Times New Roman" w:eastAsia="宋体" w:cs="Times New Roman"/>
        </w:rPr>
      </w:pPr>
      <w:r>
        <w:rPr>
          <w:rFonts w:hint="default" w:ascii="Times New Roman" w:hAnsi="Times New Roman" w:eastAsia="宋体" w:cs="Times New Roman"/>
        </w:rPr>
        <w:t>7.4.2在充分讨论的基础上集体表决。</w:t>
      </w:r>
    </w:p>
    <w:p>
      <w:pPr>
        <w:pStyle w:val="29"/>
        <w:spacing w:line="360" w:lineRule="exact"/>
        <w:ind w:firstLine="482"/>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8.投标文件</w:t>
      </w:r>
      <w:r>
        <w:rPr>
          <w:rFonts w:hint="default" w:ascii="Times New Roman" w:hAnsi="Times New Roman" w:eastAsia="宋体" w:cs="Times New Roman"/>
          <w:b/>
          <w:sz w:val="24"/>
          <w:szCs w:val="24"/>
          <w:u w:val="single"/>
        </w:rPr>
        <w:t>计算错误和不同文字文本</w:t>
      </w:r>
      <w:r>
        <w:rPr>
          <w:rFonts w:hint="default" w:ascii="Times New Roman" w:hAnsi="Times New Roman" w:eastAsia="宋体" w:cs="Times New Roman"/>
          <w:b/>
          <w:sz w:val="24"/>
          <w:szCs w:val="24"/>
        </w:rPr>
        <w:t>的修正</w:t>
      </w:r>
    </w:p>
    <w:p>
      <w:pPr>
        <w:pStyle w:val="29"/>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8.1修正原则如下：</w:t>
      </w:r>
    </w:p>
    <w:p>
      <w:pPr>
        <w:pStyle w:val="29"/>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8.1.1对不同文字文本投标文件的解释发生异义的，以中文文本为准；评标委员会可以拒绝接受不是中文版的投标文件以及与投标相关的资料。</w:t>
      </w:r>
    </w:p>
    <w:p>
      <w:pPr>
        <w:spacing w:line="36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8.1.2投标文件的商务技术响应文件中，同类内容表述不一致的处理：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其它情形的，评标委员会以在线询标或其他有效形式要求投标人作必要的澄清或说明。</w:t>
      </w:r>
    </w:p>
    <w:p>
      <w:pPr>
        <w:pStyle w:val="29"/>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8.1.3投标文件报价出现不一致的，除招标文件另有规定外，按照下列规定修正：</w:t>
      </w:r>
    </w:p>
    <w:p>
      <w:pPr>
        <w:pStyle w:val="29"/>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（1）客户端填写的报价与以pdf格式上传文件中的报价不一致的，应以pdf格式上传文件中的报价为准。</w:t>
      </w:r>
    </w:p>
    <w:p>
      <w:pPr>
        <w:pStyle w:val="29"/>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（2）投标文件中开标一览表内容与投标文件中相应内容不一致的，以开标一览表为准；</w:t>
      </w:r>
    </w:p>
    <w:p>
      <w:pPr>
        <w:pStyle w:val="29"/>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（3）投标文件的大写金额和小写金额不一致的，以大写金额为准。</w:t>
      </w:r>
    </w:p>
    <w:p>
      <w:pPr>
        <w:pStyle w:val="29"/>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（4）单价金额小数点或者百分比有明显错位的，以开标一览表的总价为准，并修改单价；</w:t>
      </w:r>
    </w:p>
    <w:p>
      <w:pPr>
        <w:pStyle w:val="29"/>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（5）总价金额与按单价汇总金额不一致的，以单价金额计算结果为准。</w:t>
      </w:r>
    </w:p>
    <w:p>
      <w:pPr>
        <w:pStyle w:val="29"/>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同时出现两种以上不一致的，按照前款规定的顺序修正。修正后的报价通过“政采云”经投标人确认后产生约束力，投标人不确认的，其投标无效。</w:t>
      </w:r>
    </w:p>
    <w:p>
      <w:pPr>
        <w:pStyle w:val="29"/>
        <w:spacing w:line="360" w:lineRule="exact"/>
        <w:ind w:firstLine="482"/>
        <w:rPr>
          <w:rFonts w:hint="default" w:ascii="Times New Roman" w:hAnsi="Times New Roman" w:eastAsia="宋体" w:cs="Times New Roman"/>
          <w:b/>
          <w:spacing w:val="-4"/>
          <w:sz w:val="24"/>
          <w:szCs w:val="24"/>
        </w:rPr>
      </w:pPr>
      <w:r>
        <w:rPr>
          <w:rFonts w:hint="default" w:ascii="Times New Roman" w:hAnsi="Times New Roman" w:eastAsia="宋体" w:cs="Times New Roman"/>
          <w:b/>
          <w:spacing w:val="-4"/>
          <w:sz w:val="24"/>
          <w:szCs w:val="24"/>
        </w:rPr>
        <w:t>9.评标办法</w:t>
      </w:r>
    </w:p>
    <w:p>
      <w:pPr>
        <w:adjustRightInd w:val="0"/>
        <w:snapToGrid w:val="0"/>
        <w:spacing w:line="360" w:lineRule="exact"/>
        <w:ind w:firstLine="472" w:firstLineChars="196"/>
        <w:rPr>
          <w:rFonts w:hint="default" w:ascii="Times New Roman" w:hAnsi="Times New Roman" w:eastAsia="宋体" w:cs="Times New Roman"/>
          <w:b/>
        </w:rPr>
      </w:pPr>
      <w:r>
        <w:rPr>
          <w:rFonts w:hint="default" w:ascii="Times New Roman" w:hAnsi="Times New Roman" w:eastAsia="宋体" w:cs="Times New Roman"/>
          <w:b/>
        </w:rPr>
        <w:t>本项目采用综合评分法（具体评标办法见第六章）。</w:t>
      </w:r>
    </w:p>
    <w:p>
      <w:pPr>
        <w:adjustRightInd w:val="0"/>
        <w:snapToGrid w:val="0"/>
        <w:spacing w:line="360" w:lineRule="exact"/>
        <w:ind w:firstLine="573"/>
        <w:rPr>
          <w:rFonts w:hint="default" w:ascii="Times New Roman" w:hAnsi="Times New Roman" w:eastAsia="宋体" w:cs="Times New Roman"/>
          <w:b/>
        </w:rPr>
      </w:pPr>
      <w:r>
        <w:rPr>
          <w:rFonts w:hint="default" w:ascii="Times New Roman" w:hAnsi="Times New Roman" w:eastAsia="宋体" w:cs="Times New Roman"/>
          <w:b/>
        </w:rPr>
        <w:t>10.决标</w:t>
      </w:r>
    </w:p>
    <w:p>
      <w:pPr>
        <w:adjustRightInd w:val="0"/>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评标小组依据本招标文件规定的评标标准和方法，对投标文件进行评审和比较，向招标方提交书面评标报告。</w:t>
      </w:r>
    </w:p>
    <w:p>
      <w:pPr>
        <w:widowControl w:val="0"/>
        <w:snapToGrid w:val="0"/>
        <w:spacing w:line="360" w:lineRule="exact"/>
        <w:jc w:val="both"/>
        <w:rPr>
          <w:rFonts w:hint="default" w:ascii="Times New Roman" w:hAnsi="Times New Roman" w:eastAsia="宋体" w:cs="Times New Roman"/>
          <w:b/>
          <w:szCs w:val="21"/>
        </w:rPr>
      </w:pPr>
      <w:r>
        <w:rPr>
          <w:rFonts w:hint="default" w:ascii="Times New Roman" w:hAnsi="Times New Roman" w:eastAsia="宋体" w:cs="Times New Roman"/>
          <w:b/>
        </w:rPr>
        <w:t xml:space="preserve"> 11.</w:t>
      </w:r>
      <w:r>
        <w:rPr>
          <w:rFonts w:hint="default" w:ascii="Times New Roman" w:hAnsi="Times New Roman" w:eastAsia="宋体" w:cs="Times New Roman"/>
          <w:b/>
          <w:szCs w:val="21"/>
        </w:rPr>
        <w:t xml:space="preserve"> 在招标采购过程中，有下列情形之一的，应对采购项目予以废标：</w:t>
      </w:r>
    </w:p>
    <w:p>
      <w:pPr>
        <w:spacing w:line="360" w:lineRule="exact"/>
        <w:ind w:firstLine="600" w:firstLineChars="250"/>
        <w:jc w:val="both"/>
        <w:rPr>
          <w:rFonts w:hint="default" w:ascii="Times New Roman" w:hAnsi="Times New Roman" w:eastAsia="宋体" w:cs="Times New Roman"/>
        </w:rPr>
      </w:pPr>
      <w:r>
        <w:rPr>
          <w:rFonts w:hint="default" w:ascii="Times New Roman" w:hAnsi="Times New Roman" w:eastAsia="宋体" w:cs="Times New Roman"/>
        </w:rPr>
        <w:t>（1）通过资格审查或评审后有效投标人不足三家的；</w:t>
      </w:r>
    </w:p>
    <w:p>
      <w:pPr>
        <w:spacing w:line="360" w:lineRule="exact"/>
        <w:ind w:firstLine="600" w:firstLineChars="250"/>
        <w:jc w:val="both"/>
        <w:rPr>
          <w:rFonts w:hint="default" w:ascii="Times New Roman" w:hAnsi="Times New Roman" w:eastAsia="宋体" w:cs="Times New Roman"/>
        </w:rPr>
      </w:pPr>
      <w:r>
        <w:rPr>
          <w:rFonts w:hint="default" w:ascii="Times New Roman" w:hAnsi="Times New Roman" w:eastAsia="宋体" w:cs="Times New Roman"/>
        </w:rPr>
        <w:t>（2）出现影响采购公正的违法、违规行为的；</w:t>
      </w:r>
    </w:p>
    <w:p>
      <w:pPr>
        <w:spacing w:line="360" w:lineRule="exact"/>
        <w:ind w:firstLine="600" w:firstLineChars="250"/>
        <w:jc w:val="both"/>
        <w:rPr>
          <w:rFonts w:hint="default" w:ascii="Times New Roman" w:hAnsi="Times New Roman" w:eastAsia="宋体" w:cs="Times New Roman"/>
        </w:rPr>
      </w:pPr>
      <w:r>
        <w:rPr>
          <w:rFonts w:hint="default" w:ascii="Times New Roman" w:hAnsi="Times New Roman" w:eastAsia="宋体" w:cs="Times New Roman"/>
        </w:rPr>
        <w:t>（3）因重大变故采购任务取消的；</w:t>
      </w:r>
    </w:p>
    <w:p>
      <w:pPr>
        <w:spacing w:line="360" w:lineRule="exact"/>
        <w:ind w:firstLine="600" w:firstLineChars="250"/>
        <w:jc w:val="both"/>
        <w:rPr>
          <w:rFonts w:hint="default" w:ascii="Times New Roman" w:hAnsi="Times New Roman" w:eastAsia="宋体" w:cs="Times New Roman"/>
        </w:rPr>
      </w:pPr>
      <w:r>
        <w:rPr>
          <w:rFonts w:hint="default" w:ascii="Times New Roman" w:hAnsi="Times New Roman" w:eastAsia="宋体" w:cs="Times New Roman"/>
        </w:rPr>
        <w:t>（4）招标文件另有规定情形的。</w:t>
      </w:r>
    </w:p>
    <w:p>
      <w:pPr>
        <w:pStyle w:val="5"/>
        <w:spacing w:before="0" w:after="0" w:line="360" w:lineRule="exact"/>
        <w:rPr>
          <w:rFonts w:hint="default" w:ascii="Times New Roman" w:hAnsi="Times New Roman" w:eastAsia="宋体" w:cs="Times New Roman"/>
          <w:sz w:val="24"/>
          <w:szCs w:val="24"/>
        </w:rPr>
      </w:pPr>
      <w:bookmarkStart w:id="69" w:name="_Toc362250706"/>
      <w:bookmarkStart w:id="70" w:name="_Toc263090376"/>
      <w:bookmarkStart w:id="71" w:name="_Toc261519848"/>
      <w:bookmarkStart w:id="72" w:name="_Toc406413939"/>
      <w:bookmarkStart w:id="73" w:name="_Toc274303254"/>
      <w:bookmarkStart w:id="74" w:name="_Toc4346"/>
      <w:bookmarkStart w:id="75" w:name="_Toc226973003"/>
      <w:r>
        <w:rPr>
          <w:rFonts w:hint="default" w:ascii="Times New Roman" w:hAnsi="Times New Roman" w:eastAsia="宋体" w:cs="Times New Roman"/>
          <w:sz w:val="24"/>
          <w:szCs w:val="24"/>
        </w:rPr>
        <w:t>三、定标</w:t>
      </w:r>
      <w:bookmarkEnd w:id="69"/>
      <w:bookmarkEnd w:id="70"/>
      <w:bookmarkEnd w:id="71"/>
      <w:bookmarkEnd w:id="72"/>
      <w:bookmarkEnd w:id="73"/>
      <w:bookmarkEnd w:id="74"/>
      <w:bookmarkEnd w:id="75"/>
    </w:p>
    <w:p>
      <w:pPr>
        <w:spacing w:line="36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rPr>
        <w:t>12.</w:t>
      </w:r>
      <w:r>
        <w:rPr>
          <w:rFonts w:hint="default" w:ascii="Times New Roman" w:hAnsi="Times New Roman" w:eastAsia="宋体" w:cs="Times New Roman"/>
          <w:b/>
          <w:bCs/>
        </w:rPr>
        <w:t>中标通知</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12.1投标人自2020年1月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经查实，中标人有前述行贿犯罪记录的，取消其中标资格，采购人依法重新组织采购。</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12.2评标结束后，采购结果公告期限为1个工作日，发布采购结果公告的媒体为：浙江政府采购网站、义乌市公共资源交易平台。</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12.3由义乌市政府采购中心通过 “政采云”签发《中标通知书》，《中标通知书》一经发出即发生法律效力。</w:t>
      </w:r>
    </w:p>
    <w:p>
      <w:pPr>
        <w:pStyle w:val="29"/>
        <w:tabs>
          <w:tab w:val="left" w:pos="900"/>
        </w:tabs>
        <w:spacing w:line="36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13、合同签订</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13.1中标人自接到《中标通知书》后应在三十天内与采购人签订合同。</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13.2招标文件、中标人的投标文件、评标过程中投标人在询标时作出的承诺及其澄清文件等，均为签订合同的依据。</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13.3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13.4采购人变更数量的权利</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采购人在授予合同时有权对“第三章 招标项目”要求中规定的货物数量和服务予以增加或减少，但必须符合《中华人民共和国政府采购法》及义乌市政府采购的相关规定。</w:t>
      </w:r>
    </w:p>
    <w:p>
      <w:pPr>
        <w:pStyle w:val="29"/>
        <w:tabs>
          <w:tab w:val="left" w:pos="900"/>
        </w:tabs>
        <w:spacing w:line="360" w:lineRule="exac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四、质疑和投诉</w:t>
      </w:r>
    </w:p>
    <w:p>
      <w:pPr>
        <w:pStyle w:val="29"/>
        <w:tabs>
          <w:tab w:val="left" w:pos="900"/>
        </w:tabs>
        <w:spacing w:line="3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14.1开标过程中，投标人对开标有异议的，应当在“政采云”上及时提出，评标委员应对异常情况制作相关记录。</w:t>
      </w:r>
    </w:p>
    <w:p>
      <w:pPr>
        <w:pStyle w:val="29"/>
        <w:tabs>
          <w:tab w:val="left" w:pos="900"/>
        </w:tabs>
        <w:spacing w:line="3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14.2开评标结束后，投标人或者其他利害关系人对依法必须进行招标的项目的评标结果有异议的，应在采购结果公告期限结束之日起的7个工作日内，依据政府采购相关法律法规向采购人、采购代理机构提出质疑。采购人或招标代理机构将在收到书面质疑后7个工作日内对质疑内容作出答复。若投标人对采购人或采购代理机构的答复、处理结果不满意，应在收到书面答复后十五个工作日内向同级政府采购监督管理部门投诉。</w:t>
      </w:r>
    </w:p>
    <w:p>
      <w:pPr>
        <w:pStyle w:val="29"/>
        <w:tabs>
          <w:tab w:val="left" w:pos="900"/>
        </w:tabs>
        <w:spacing w:line="3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14.3质疑投诉的相关规定质疑应当包括下列内容：</w:t>
      </w:r>
    </w:p>
    <w:p>
      <w:pPr>
        <w:pStyle w:val="29"/>
        <w:tabs>
          <w:tab w:val="left" w:pos="900"/>
        </w:tabs>
        <w:spacing w:line="3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（1）供应商的名称（或姓名）、地址、邮编、联系人及联系电话；</w:t>
      </w:r>
    </w:p>
    <w:p>
      <w:pPr>
        <w:pStyle w:val="51"/>
        <w:shd w:val="clear" w:color="auto" w:fill="FFFFFF"/>
        <w:spacing w:line="360" w:lineRule="exact"/>
        <w:ind w:firstLine="436" w:firstLineChars="182"/>
        <w:rPr>
          <w:rFonts w:hint="default" w:ascii="Times New Roman" w:hAnsi="Times New Roman" w:eastAsia="宋体" w:cs="Times New Roman"/>
          <w:kern w:val="2"/>
        </w:rPr>
      </w:pPr>
      <w:r>
        <w:rPr>
          <w:rFonts w:hint="default" w:ascii="Times New Roman" w:hAnsi="Times New Roman" w:eastAsia="宋体" w:cs="Times New Roman"/>
          <w:kern w:val="2"/>
        </w:rPr>
        <w:t>（2）质疑项目的名称、编号；</w:t>
      </w:r>
    </w:p>
    <w:p>
      <w:pPr>
        <w:pStyle w:val="51"/>
        <w:shd w:val="clear" w:color="auto" w:fill="FFFFFF"/>
        <w:spacing w:line="360" w:lineRule="exact"/>
        <w:ind w:firstLine="436" w:firstLineChars="182"/>
        <w:rPr>
          <w:rFonts w:hint="default" w:ascii="Times New Roman" w:hAnsi="Times New Roman" w:eastAsia="宋体" w:cs="Times New Roman"/>
          <w:kern w:val="2"/>
        </w:rPr>
      </w:pPr>
      <w:r>
        <w:rPr>
          <w:rFonts w:hint="default" w:ascii="Times New Roman" w:hAnsi="Times New Roman" w:eastAsia="宋体" w:cs="Times New Roman"/>
          <w:kern w:val="2"/>
        </w:rPr>
        <w:t>（3）具体、明确的质疑事项和与质疑事项相关的请求；</w:t>
      </w:r>
    </w:p>
    <w:p>
      <w:pPr>
        <w:pStyle w:val="51"/>
        <w:shd w:val="clear" w:color="auto" w:fill="FFFFFF"/>
        <w:spacing w:line="360" w:lineRule="exact"/>
        <w:ind w:firstLine="436" w:firstLineChars="182"/>
        <w:rPr>
          <w:rFonts w:hint="default" w:ascii="Times New Roman" w:hAnsi="Times New Roman" w:eastAsia="宋体" w:cs="Times New Roman"/>
          <w:kern w:val="2"/>
        </w:rPr>
      </w:pPr>
      <w:r>
        <w:rPr>
          <w:rFonts w:hint="default" w:ascii="Times New Roman" w:hAnsi="Times New Roman" w:eastAsia="宋体" w:cs="Times New Roman"/>
          <w:kern w:val="2"/>
        </w:rPr>
        <w:t>（4）事实依据及相关证据材料；</w:t>
      </w:r>
    </w:p>
    <w:p>
      <w:pPr>
        <w:pStyle w:val="51"/>
        <w:shd w:val="clear" w:color="auto" w:fill="FFFFFF"/>
        <w:spacing w:line="360" w:lineRule="exact"/>
        <w:ind w:firstLine="436" w:firstLineChars="182"/>
        <w:rPr>
          <w:rFonts w:hint="default" w:ascii="Times New Roman" w:hAnsi="Times New Roman" w:eastAsia="宋体" w:cs="Times New Roman"/>
          <w:kern w:val="2"/>
        </w:rPr>
      </w:pPr>
      <w:r>
        <w:rPr>
          <w:rFonts w:hint="default" w:ascii="Times New Roman" w:hAnsi="Times New Roman" w:eastAsia="宋体" w:cs="Times New Roman"/>
          <w:kern w:val="2"/>
        </w:rPr>
        <w:t>（5）必要的法律依据；</w:t>
      </w:r>
    </w:p>
    <w:p>
      <w:pPr>
        <w:pStyle w:val="51"/>
        <w:shd w:val="clear" w:color="auto" w:fill="FFFFFF"/>
        <w:spacing w:line="360" w:lineRule="exact"/>
        <w:ind w:firstLine="436" w:firstLineChars="182"/>
        <w:rPr>
          <w:rFonts w:hint="default" w:ascii="Times New Roman" w:hAnsi="Times New Roman" w:eastAsia="宋体" w:cs="Times New Roman"/>
          <w:kern w:val="2"/>
        </w:rPr>
      </w:pPr>
      <w:r>
        <w:rPr>
          <w:rFonts w:hint="default" w:ascii="Times New Roman" w:hAnsi="Times New Roman" w:eastAsia="宋体" w:cs="Times New Roman"/>
          <w:kern w:val="2"/>
        </w:rPr>
        <w:t>（6）提出质疑的日期。</w:t>
      </w:r>
    </w:p>
    <w:p>
      <w:pPr>
        <w:pStyle w:val="51"/>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供应商为自然人的，应当由本人签字；供应商为法人或者其他组织的，应当由法定代表人、主要负责人，或者其授权代表签字或者盖章，并加盖公章。</w:t>
      </w:r>
    </w:p>
    <w:p>
      <w:pPr>
        <w:pStyle w:val="51"/>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质疑投诉存在以下情形之一的，将不予受理：</w:t>
      </w:r>
    </w:p>
    <w:p>
      <w:pPr>
        <w:pStyle w:val="51"/>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（1）质疑投诉人不是参加本项目的供应商；</w:t>
      </w:r>
    </w:p>
    <w:p>
      <w:pPr>
        <w:pStyle w:val="51"/>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（2）供应商自身权益未受到损害的；</w:t>
      </w:r>
    </w:p>
    <w:p>
      <w:pPr>
        <w:pStyle w:val="51"/>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（3）已超过法定质疑投诉提出期限的事项；</w:t>
      </w:r>
    </w:p>
    <w:p>
      <w:pPr>
        <w:pStyle w:val="51"/>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（4）质疑未提供书面质疑或未按要求签署或盖章的；</w:t>
      </w:r>
    </w:p>
    <w:p>
      <w:pPr>
        <w:pStyle w:val="51"/>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（5）质疑已经处理并答复后，质疑人就同一事项再次提起质疑且未提供新的有效证据的；</w:t>
      </w:r>
    </w:p>
    <w:p>
      <w:pPr>
        <w:adjustRightIn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kern w:val="2"/>
        </w:rPr>
        <w:t>（6）</w:t>
      </w:r>
      <w:r>
        <w:rPr>
          <w:rFonts w:hint="default" w:ascii="Times New Roman" w:hAnsi="Times New Roman" w:eastAsia="宋体" w:cs="Times New Roman"/>
        </w:rPr>
        <w:t>质疑投诉的事项已经进入行政复议或者行政诉讼程序的；投诉事项应先提出质疑而没有提出质疑的；</w:t>
      </w:r>
    </w:p>
    <w:p>
      <w:pPr>
        <w:adjustRightIn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kern w:val="2"/>
        </w:rPr>
        <w:t>（7）</w:t>
      </w:r>
      <w:r>
        <w:rPr>
          <w:rFonts w:hint="default" w:ascii="Times New Roman" w:hAnsi="Times New Roman" w:eastAsia="宋体" w:cs="Times New Roman"/>
        </w:rPr>
        <w:t>不符合《政府采购质疑和投诉办法》（财政部令第94号）等有关规定的投诉。</w:t>
      </w: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3"/>
        <w:ind w:firstLine="210"/>
        <w:rPr>
          <w:rFonts w:hint="default" w:ascii="Times New Roman" w:hAnsi="Times New Roman" w:eastAsia="宋体" w:cs="Times New Roman"/>
        </w:rPr>
      </w:pPr>
    </w:p>
    <w:p>
      <w:pPr>
        <w:pStyle w:val="4"/>
        <w:spacing w:before="0" w:after="0" w:line="400" w:lineRule="atLeast"/>
        <w:jc w:val="center"/>
        <w:rPr>
          <w:rFonts w:hint="default" w:ascii="Times New Roman" w:hAnsi="Times New Roman" w:eastAsia="宋体" w:cs="Times New Roman"/>
          <w:sz w:val="36"/>
        </w:rPr>
      </w:pPr>
      <w:bookmarkStart w:id="76" w:name="_Toc406413940"/>
      <w:bookmarkStart w:id="77" w:name="_Toc362268017"/>
      <w:bookmarkStart w:id="78" w:name="_Toc10019"/>
      <w:bookmarkStart w:id="79" w:name="_Toc1097"/>
      <w:bookmarkStart w:id="80" w:name="_Toc8193"/>
      <w:bookmarkStart w:id="81" w:name="_Toc20011"/>
      <w:r>
        <w:rPr>
          <w:rFonts w:hint="default" w:ascii="Times New Roman" w:hAnsi="Times New Roman" w:eastAsia="宋体" w:cs="Times New Roman"/>
          <w:sz w:val="36"/>
        </w:rPr>
        <w:t>第五章 投标文件的</w:t>
      </w:r>
      <w:bookmarkEnd w:id="76"/>
      <w:bookmarkEnd w:id="77"/>
      <w:r>
        <w:rPr>
          <w:rFonts w:hint="default" w:ascii="Times New Roman" w:hAnsi="Times New Roman" w:eastAsia="宋体" w:cs="Times New Roman"/>
          <w:sz w:val="36"/>
        </w:rPr>
        <w:t>无效情形</w:t>
      </w:r>
      <w:bookmarkEnd w:id="78"/>
      <w:bookmarkEnd w:id="79"/>
      <w:bookmarkEnd w:id="80"/>
      <w:bookmarkEnd w:id="81"/>
    </w:p>
    <w:p>
      <w:pPr>
        <w:pStyle w:val="29"/>
        <w:spacing w:line="40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1.有下列情形之一的，招标方将不予受理投标文件：</w:t>
      </w:r>
    </w:p>
    <w:p>
      <w:pPr>
        <w:pStyle w:val="29"/>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1.1逾期上传电子投标文件至“政采云”的。</w:t>
      </w:r>
    </w:p>
    <w:p>
      <w:pPr>
        <w:pStyle w:val="29"/>
        <w:spacing w:line="400" w:lineRule="exact"/>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1.2电子投标文件在规定时间内解密未成功的，且未提供备份投标文件或提供的备份投标文件无法上传打开的。</w:t>
      </w:r>
    </w:p>
    <w:p>
      <w:pPr>
        <w:pStyle w:val="29"/>
        <w:spacing w:line="45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2.投标文件在资格性评审或技术响应性评审出现下列情形之一的，由评标委员会审核后按无效投标文件处理：</w:t>
      </w:r>
    </w:p>
    <w:p>
      <w:pPr>
        <w:spacing w:line="46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rPr>
        <w:t>2.1.资格响应文件或商务技术响应文件中包含商务报价的；</w:t>
      </w:r>
    </w:p>
    <w:p>
      <w:pPr>
        <w:spacing w:line="46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rPr>
        <w:t>2.2招标文件关于投标文件组成内容商务技术响应文件要求中打“★”的内容，投标人的投标文件内容未提供完整的，或关键字迹模糊、无法辨认的，或未按其规定的格式及要求填写、签字、盖章，或提供的投标文件内容不符合招标文件的中有关打★号的条款的规定；</w:t>
      </w:r>
    </w:p>
    <w:p>
      <w:pPr>
        <w:spacing w:line="46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rPr>
        <w:t>2.3投标人的投标资格不符合招标文件的资格要求规定；</w:t>
      </w:r>
    </w:p>
    <w:p>
      <w:pPr>
        <w:spacing w:line="46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rPr>
        <w:t>2.4投标人所投产品的数量不符合招标文件规定的；</w:t>
      </w:r>
    </w:p>
    <w:p>
      <w:pPr>
        <w:spacing w:line="46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rPr>
        <w:t>2.5投标人借用或冒用他人名义或证件、涂改文件、伪造或编造投标文件的；</w:t>
      </w:r>
    </w:p>
    <w:p>
      <w:pPr>
        <w:spacing w:line="46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rPr>
        <w:t>2.6投标中不同投标单位的投标文件出现雷同或相似（包括部分雷同或相似），对所有雷同或相似投标人按废标处理，招标方将保留进一步追究责任的权利；投标人串标的；</w:t>
      </w:r>
    </w:p>
    <w:p>
      <w:pPr>
        <w:spacing w:line="46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rPr>
        <w:t>2.7其它对本招标文件中打★号的条款未完全响应的；</w:t>
      </w:r>
    </w:p>
    <w:p>
      <w:pPr>
        <w:spacing w:line="46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rPr>
        <w:t>2.8经评标委员会认定，投标文件附有采购人不能接受的条件；</w:t>
      </w:r>
    </w:p>
    <w:p>
      <w:pPr>
        <w:spacing w:line="46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rPr>
        <w:t>2.9评标委员会要求投标人澄清或说明的，如果投标人拒绝按照招标文件规定进行澄清或说明的。</w:t>
      </w:r>
    </w:p>
    <w:p>
      <w:pPr>
        <w:adjustRightInd w:val="0"/>
        <w:snapToGrid w:val="0"/>
        <w:spacing w:line="40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3.报价响应文件评审出现下列情形之一的，由评标委员会审核后按无效投标文件处理：</w:t>
      </w:r>
    </w:p>
    <w:p>
      <w:pPr>
        <w:adjustRightInd w:val="0"/>
        <w:snapToGrid w:val="0"/>
        <w:spacing w:line="40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rPr>
        <w:t>3.1.招标文件关于投标文件组成内容报价响应文件要求中打“★”的内容，</w:t>
      </w:r>
      <w:r>
        <w:rPr>
          <w:rFonts w:hint="default" w:ascii="Times New Roman" w:hAnsi="Times New Roman" w:eastAsia="宋体" w:cs="Times New Roman"/>
          <w:szCs w:val="21"/>
        </w:rPr>
        <w:t>投标人的投标文件内容未提供完整的，或关键字迹模糊、无法辨认的，或未按其规定的格式及要求填写、签字、盖章，或提供的投标文件内容不符合招标文件的中有关打★号的条款的规定；</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3.2投标报价高于最高限价或低于项目成本总价的；</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3.3投标人的所投产品的数量不符合招标文件规定的；</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3.4投标人的投标报价未明确的，或者对同一采购项目提供两个或两个以上报价且未声明哪一个有效的，或者对同一采购项目提供两个或两个以上成本价且未声明哪一个有效；</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3.5经评标委员会审议认为投标文件附有采购人不能接受的条件的；</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3.6评标委员会认为投标人的报价明显低于其他通过符合性审查投标人的报价，有可能影响产品服务或者不能诚信履约的，要求其通过“政采云”在规定的时间内提供CA签章的材料，投标人不能证明其报价合理性的；</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3.7其它对本招标文件中打★号的条款未完全响应的；</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3.8当投标人由于报价计算错误，投标人拒绝接受按招标文件的规定进行的修正处理。</w:t>
      </w:r>
    </w:p>
    <w:p>
      <w:pPr>
        <w:tabs>
          <w:tab w:val="left" w:pos="1898"/>
        </w:tabs>
        <w:autoSpaceDE w:val="0"/>
        <w:autoSpaceDN w:val="0"/>
        <w:adjustRightInd w:val="0"/>
        <w:snapToGrid w:val="0"/>
        <w:spacing w:line="44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4.在资格审查及评审过程中，符合中华人民共和国财政部令第87号《政府采购货物和服务招标投标管理办法》第三十七条情形之一的，视为投标人串通投标，其投标无效，并移送采购监管部门：</w:t>
      </w:r>
    </w:p>
    <w:p>
      <w:pPr>
        <w:pStyle w:val="51"/>
        <w:spacing w:line="44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（1）不同投标人的投标文件由同一单位或者个人编制；</w:t>
      </w:r>
    </w:p>
    <w:p>
      <w:pPr>
        <w:pStyle w:val="51"/>
        <w:spacing w:line="44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（2）不同投标人委托同一单位或者个人办理投标事宜；</w:t>
      </w:r>
    </w:p>
    <w:p>
      <w:pPr>
        <w:pStyle w:val="51"/>
        <w:spacing w:line="44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（3）不同投标人的投标文件载明的项目管理成员或者联系人员为同一人；</w:t>
      </w:r>
    </w:p>
    <w:p>
      <w:pPr>
        <w:pStyle w:val="51"/>
        <w:spacing w:line="44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（4）不同投标人的投标文件异常一致或者投标报价呈规律性差异；</w:t>
      </w:r>
    </w:p>
    <w:p>
      <w:pPr>
        <w:pStyle w:val="51"/>
        <w:spacing w:line="44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（5）不同投标人的投标文件相互混装；</w:t>
      </w:r>
    </w:p>
    <w:p>
      <w:pPr>
        <w:pStyle w:val="29"/>
        <w:spacing w:line="40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5.其他法律法规规定的投标文件无效的情况。</w:t>
      </w:r>
    </w:p>
    <w:p>
      <w:pPr>
        <w:pStyle w:val="29"/>
        <w:spacing w:line="400" w:lineRule="exact"/>
        <w:ind w:firstLine="472" w:firstLineChars="196"/>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6.评标过程中，非上述所罗列的情况，不得以无效标处理。</w:t>
      </w:r>
    </w:p>
    <w:p>
      <w:pPr>
        <w:spacing w:line="400" w:lineRule="exact"/>
        <w:ind w:firstLine="480" w:firstLineChars="200"/>
        <w:rPr>
          <w:rFonts w:hint="default" w:ascii="Times New Roman" w:hAnsi="Times New Roman" w:eastAsia="宋体" w:cs="Times New Roman"/>
        </w:rPr>
      </w:pPr>
    </w:p>
    <w:p>
      <w:pPr>
        <w:spacing w:line="420" w:lineRule="exact"/>
        <w:rPr>
          <w:rFonts w:hint="default" w:ascii="Times New Roman" w:hAnsi="Times New Roman" w:eastAsia="宋体" w:cs="Times New Roman"/>
        </w:rPr>
      </w:pPr>
    </w:p>
    <w:p>
      <w:pPr>
        <w:spacing w:line="420" w:lineRule="exact"/>
        <w:rPr>
          <w:rFonts w:hint="default" w:ascii="Times New Roman" w:hAnsi="Times New Roman" w:eastAsia="宋体" w:cs="Times New Roman"/>
        </w:rPr>
      </w:pPr>
    </w:p>
    <w:p>
      <w:pPr>
        <w:spacing w:line="420" w:lineRule="exact"/>
        <w:rPr>
          <w:rFonts w:hint="default" w:ascii="Times New Roman" w:hAnsi="Times New Roman" w:eastAsia="宋体" w:cs="Times New Roman"/>
        </w:rPr>
      </w:pPr>
    </w:p>
    <w:p>
      <w:pPr>
        <w:rPr>
          <w:rFonts w:hint="default" w:ascii="Times New Roman" w:hAnsi="Times New Roman" w:eastAsia="宋体" w:cs="Times New Roman"/>
          <w:sz w:val="36"/>
        </w:rPr>
      </w:pPr>
      <w:bookmarkStart w:id="82" w:name="_Toc6872"/>
      <w:bookmarkStart w:id="83" w:name="_Toc406413941"/>
      <w:bookmarkStart w:id="84" w:name="_Toc274303255"/>
      <w:bookmarkStart w:id="85" w:name="_Toc226973004"/>
      <w:bookmarkStart w:id="86" w:name="_Toc31163"/>
      <w:bookmarkStart w:id="87" w:name="_Toc145992551"/>
      <w:bookmarkStart w:id="88" w:name="_Toc21982"/>
      <w:bookmarkStart w:id="89" w:name="_Toc238878128"/>
      <w:bookmarkStart w:id="90" w:name="_Toc213038697"/>
      <w:bookmarkStart w:id="91" w:name="_Toc274303258"/>
      <w:r>
        <w:rPr>
          <w:rFonts w:hint="default" w:ascii="Times New Roman" w:hAnsi="Times New Roman" w:eastAsia="宋体" w:cs="Times New Roman"/>
          <w:sz w:val="36"/>
        </w:rPr>
        <w:br w:type="page"/>
      </w:r>
    </w:p>
    <w:p>
      <w:pPr>
        <w:pStyle w:val="4"/>
        <w:spacing w:before="0" w:after="0" w:line="400" w:lineRule="atLeast"/>
        <w:jc w:val="center"/>
        <w:rPr>
          <w:rFonts w:hint="default" w:ascii="Times New Roman" w:hAnsi="Times New Roman" w:eastAsia="宋体" w:cs="Times New Roman"/>
          <w:sz w:val="36"/>
        </w:rPr>
      </w:pPr>
      <w:r>
        <w:rPr>
          <w:rFonts w:hint="default" w:ascii="Times New Roman" w:hAnsi="Times New Roman" w:eastAsia="宋体" w:cs="Times New Roman"/>
          <w:sz w:val="36"/>
        </w:rPr>
        <w:t xml:space="preserve">第六章 </w:t>
      </w:r>
      <w:bookmarkStart w:id="92" w:name="_Toc17206"/>
      <w:r>
        <w:rPr>
          <w:rFonts w:hint="default" w:ascii="Times New Roman" w:hAnsi="Times New Roman" w:eastAsia="宋体" w:cs="Times New Roman"/>
          <w:sz w:val="36"/>
        </w:rPr>
        <w:t>评标办法</w:t>
      </w:r>
      <w:bookmarkEnd w:id="82"/>
      <w:bookmarkEnd w:id="83"/>
      <w:bookmarkEnd w:id="84"/>
      <w:bookmarkEnd w:id="85"/>
      <w:bookmarkEnd w:id="86"/>
      <w:bookmarkEnd w:id="87"/>
      <w:bookmarkEnd w:id="88"/>
      <w:bookmarkEnd w:id="92"/>
    </w:p>
    <w:p>
      <w:pPr>
        <w:pStyle w:val="29"/>
        <w:spacing w:line="360" w:lineRule="exact"/>
        <w:ind w:firstLine="480" w:firstLineChars="200"/>
        <w:rPr>
          <w:rFonts w:hint="default" w:ascii="Times New Roman" w:hAnsi="Times New Roman" w:eastAsia="宋体" w:cs="Times New Roman"/>
          <w:sz w:val="24"/>
          <w:szCs w:val="24"/>
        </w:rPr>
      </w:pPr>
      <w:bookmarkStart w:id="93" w:name="_Toc274303257"/>
      <w:r>
        <w:rPr>
          <w:rFonts w:hint="default" w:ascii="Times New Roman" w:hAnsi="Times New Roman" w:eastAsia="宋体" w:cs="Times New Roman"/>
          <w:sz w:val="24"/>
          <w:szCs w:val="24"/>
        </w:rPr>
        <w:t>根据《中华人民共和国政府采购法》及相关法律的有关规定，为更好地做到公开、公平、公正，结合本次招标的特点，特制定本评标办法，本项目的评标办法为综合评分法。</w:t>
      </w:r>
    </w:p>
    <w:p>
      <w:pPr>
        <w:pStyle w:val="29"/>
        <w:spacing w:line="36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一、评审程序</w:t>
      </w:r>
    </w:p>
    <w:bookmarkEnd w:id="93"/>
    <w:p>
      <w:pPr>
        <w:pStyle w:val="29"/>
        <w:spacing w:line="360" w:lineRule="exact"/>
        <w:ind w:firstLine="480" w:firstLineChars="200"/>
        <w:rPr>
          <w:rFonts w:hint="default" w:ascii="Times New Roman" w:hAnsi="Times New Roman" w:eastAsia="宋体" w:cs="Times New Roman"/>
          <w:sz w:val="24"/>
          <w:szCs w:val="24"/>
        </w:rPr>
      </w:pPr>
      <w:bookmarkStart w:id="94" w:name="_Toc358884475"/>
      <w:bookmarkStart w:id="95" w:name="_Toc269969080"/>
      <w:bookmarkStart w:id="96" w:name="_Toc330474791"/>
      <w:bookmarkStart w:id="97" w:name="_Toc295815145"/>
      <w:bookmarkStart w:id="98" w:name="_Toc323024194"/>
      <w:bookmarkStart w:id="99" w:name="_Toc362250710"/>
      <w:r>
        <w:rPr>
          <w:rFonts w:hint="default" w:ascii="Times New Roman" w:hAnsi="Times New Roman" w:eastAsia="宋体" w:cs="Times New Roman"/>
          <w:sz w:val="24"/>
          <w:szCs w:val="24"/>
        </w:rPr>
        <w:t xml:space="preserve">评标小组以开标、评标、询标情况为基本依据，按照招标文件的规定，对各投标人的投标文件按资格部分、商务技术部分和报价部分顺序进行分析、评议，具体按以下程序进行评审： </w:t>
      </w:r>
    </w:p>
    <w:p>
      <w:pPr>
        <w:pStyle w:val="29"/>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rPr>
        <w:t>★特别说明：</w:t>
      </w:r>
      <w:r>
        <w:rPr>
          <w:rFonts w:hint="default" w:ascii="Times New Roman" w:hAnsi="Times New Roman" w:eastAsia="宋体" w:cs="Times New Roman"/>
          <w:b/>
          <w:bCs/>
          <w:color w:val="auto"/>
          <w:sz w:val="24"/>
          <w:highlight w:val="none"/>
          <w:lang w:eastAsia="zh-CN"/>
        </w:rPr>
        <w:t>开评标</w:t>
      </w:r>
      <w:r>
        <w:rPr>
          <w:rFonts w:hint="default" w:ascii="Times New Roman" w:hAnsi="Times New Roman" w:eastAsia="宋体" w:cs="Times New Roman"/>
          <w:b/>
          <w:bCs/>
          <w:color w:val="auto"/>
          <w:sz w:val="24"/>
          <w:highlight w:val="none"/>
        </w:rPr>
        <w:t>顺序为</w:t>
      </w:r>
      <w:r>
        <w:rPr>
          <w:rFonts w:hint="default" w:ascii="Times New Roman" w:hAnsi="Times New Roman" w:eastAsia="宋体" w:cs="Times New Roman"/>
          <w:b/>
          <w:bCs/>
          <w:color w:val="auto"/>
          <w:sz w:val="24"/>
          <w:highlight w:val="none"/>
          <w:lang w:eastAsia="zh-CN"/>
        </w:rPr>
        <w:t>先标项一</w:t>
      </w:r>
      <w:r>
        <w:rPr>
          <w:rFonts w:hint="default" w:ascii="Times New Roman" w:hAnsi="Times New Roman" w:eastAsia="宋体" w:cs="Times New Roman"/>
          <w:b/>
          <w:bCs/>
          <w:color w:val="auto"/>
          <w:sz w:val="24"/>
          <w:highlight w:val="none"/>
          <w:lang w:val="en-US" w:eastAsia="zh-CN"/>
        </w:rPr>
        <w:t>再</w:t>
      </w:r>
      <w:r>
        <w:rPr>
          <w:rFonts w:hint="default" w:ascii="Times New Roman" w:hAnsi="Times New Roman" w:eastAsia="宋体" w:cs="Times New Roman"/>
          <w:b/>
          <w:bCs/>
          <w:color w:val="auto"/>
          <w:sz w:val="24"/>
          <w:highlight w:val="none"/>
          <w:lang w:eastAsia="zh-CN"/>
        </w:rPr>
        <w:t>标项二</w:t>
      </w:r>
      <w:r>
        <w:rPr>
          <w:rFonts w:hint="default" w:ascii="Times New Roman" w:hAnsi="Times New Roman" w:eastAsia="宋体" w:cs="Times New Roman"/>
          <w:b/>
          <w:bCs/>
          <w:color w:val="auto"/>
          <w:sz w:val="24"/>
          <w:highlight w:val="none"/>
          <w:lang w:val="en-US" w:eastAsia="zh-CN"/>
        </w:rPr>
        <w:t>再标项三</w:t>
      </w:r>
      <w:r>
        <w:rPr>
          <w:rFonts w:hint="default" w:ascii="Times New Roman" w:hAnsi="Times New Roman" w:eastAsia="宋体" w:cs="Times New Roman"/>
          <w:b/>
          <w:bCs/>
          <w:color w:val="auto"/>
          <w:sz w:val="24"/>
          <w:highlight w:val="none"/>
          <w:lang w:eastAsia="zh-CN"/>
        </w:rPr>
        <w:t>，标项一中标单位不进入标项二、</w:t>
      </w:r>
      <w:r>
        <w:rPr>
          <w:rFonts w:hint="default" w:ascii="Times New Roman" w:hAnsi="Times New Roman" w:eastAsia="宋体" w:cs="Times New Roman"/>
          <w:b/>
          <w:bCs/>
          <w:color w:val="auto"/>
          <w:sz w:val="24"/>
          <w:highlight w:val="none"/>
          <w:lang w:val="en-US" w:eastAsia="zh-CN"/>
        </w:rPr>
        <w:t>标项三</w:t>
      </w:r>
      <w:r>
        <w:rPr>
          <w:rFonts w:hint="default" w:ascii="Times New Roman" w:hAnsi="Times New Roman" w:eastAsia="宋体" w:cs="Times New Roman"/>
          <w:b/>
          <w:bCs/>
          <w:color w:val="auto"/>
          <w:sz w:val="24"/>
          <w:highlight w:val="none"/>
          <w:lang w:eastAsia="zh-CN"/>
        </w:rPr>
        <w:t>的评审，标项二中标单位不进入标项三的评审。标项一</w:t>
      </w:r>
      <w:r>
        <w:rPr>
          <w:rFonts w:hint="default" w:ascii="Times New Roman" w:hAnsi="Times New Roman" w:eastAsia="宋体" w:cs="Times New Roman"/>
          <w:b/>
          <w:bCs/>
          <w:color w:val="auto"/>
          <w:sz w:val="24"/>
          <w:highlight w:val="none"/>
        </w:rPr>
        <w:t>的中标单位如果参与了</w:t>
      </w:r>
      <w:r>
        <w:rPr>
          <w:rFonts w:hint="default" w:ascii="Times New Roman" w:hAnsi="Times New Roman" w:eastAsia="宋体" w:cs="Times New Roman"/>
          <w:b/>
          <w:bCs/>
          <w:color w:val="auto"/>
          <w:sz w:val="24"/>
          <w:highlight w:val="none"/>
          <w:lang w:eastAsia="zh-CN"/>
        </w:rPr>
        <w:t>标项二</w:t>
      </w:r>
      <w:r>
        <w:rPr>
          <w:rFonts w:hint="default" w:ascii="Times New Roman" w:hAnsi="Times New Roman" w:eastAsia="宋体" w:cs="Times New Roman"/>
          <w:b/>
          <w:bCs/>
          <w:color w:val="auto"/>
          <w:sz w:val="24"/>
          <w:highlight w:val="none"/>
          <w:lang w:val="en-US" w:eastAsia="zh-CN"/>
        </w:rPr>
        <w:t>和标项三</w:t>
      </w:r>
      <w:r>
        <w:rPr>
          <w:rFonts w:hint="default" w:ascii="Times New Roman" w:hAnsi="Times New Roman" w:eastAsia="宋体" w:cs="Times New Roman"/>
          <w:b/>
          <w:bCs/>
          <w:color w:val="auto"/>
          <w:sz w:val="24"/>
          <w:highlight w:val="none"/>
        </w:rPr>
        <w:t>的投标，其</w:t>
      </w:r>
      <w:r>
        <w:rPr>
          <w:rFonts w:hint="default" w:ascii="Times New Roman" w:hAnsi="Times New Roman" w:eastAsia="宋体" w:cs="Times New Roman"/>
          <w:b/>
          <w:bCs/>
          <w:color w:val="auto"/>
          <w:sz w:val="24"/>
          <w:highlight w:val="none"/>
          <w:lang w:eastAsia="zh-CN"/>
        </w:rPr>
        <w:t>标项二</w:t>
      </w:r>
      <w:r>
        <w:rPr>
          <w:rFonts w:hint="default" w:ascii="Times New Roman" w:hAnsi="Times New Roman" w:eastAsia="宋体" w:cs="Times New Roman"/>
          <w:b/>
          <w:bCs/>
          <w:color w:val="auto"/>
          <w:sz w:val="24"/>
          <w:highlight w:val="none"/>
          <w:lang w:val="en-US" w:eastAsia="zh-CN"/>
        </w:rPr>
        <w:t>和标项三</w:t>
      </w:r>
      <w:r>
        <w:rPr>
          <w:rFonts w:hint="default" w:ascii="Times New Roman" w:hAnsi="Times New Roman" w:eastAsia="宋体" w:cs="Times New Roman"/>
          <w:b/>
          <w:bCs/>
          <w:color w:val="auto"/>
          <w:sz w:val="24"/>
          <w:highlight w:val="none"/>
        </w:rPr>
        <w:t>的投标文件将做无效标处理</w:t>
      </w:r>
      <w:r>
        <w:rPr>
          <w:rFonts w:hint="default" w:ascii="Times New Roman" w:hAnsi="Times New Roman" w:eastAsia="宋体" w:cs="Times New Roman"/>
          <w:b/>
          <w:bCs/>
          <w:color w:val="auto"/>
          <w:sz w:val="24"/>
          <w:highlight w:val="none"/>
          <w:lang w:eastAsia="zh-CN"/>
        </w:rPr>
        <w:t>；标项二的中标单位</w:t>
      </w:r>
      <w:r>
        <w:rPr>
          <w:rFonts w:hint="default" w:ascii="Times New Roman" w:hAnsi="Times New Roman" w:eastAsia="宋体" w:cs="Times New Roman"/>
          <w:b/>
          <w:bCs/>
          <w:color w:val="auto"/>
          <w:sz w:val="24"/>
          <w:highlight w:val="none"/>
        </w:rPr>
        <w:t>如果参与了</w:t>
      </w:r>
      <w:r>
        <w:rPr>
          <w:rFonts w:hint="default" w:ascii="Times New Roman" w:hAnsi="Times New Roman" w:eastAsia="宋体" w:cs="Times New Roman"/>
          <w:b/>
          <w:bCs/>
          <w:color w:val="auto"/>
          <w:sz w:val="24"/>
          <w:highlight w:val="none"/>
          <w:lang w:val="en-US" w:eastAsia="zh-CN"/>
        </w:rPr>
        <w:t>标项三</w:t>
      </w:r>
      <w:r>
        <w:rPr>
          <w:rFonts w:hint="default" w:ascii="Times New Roman" w:hAnsi="Times New Roman" w:eastAsia="宋体" w:cs="Times New Roman"/>
          <w:b/>
          <w:bCs/>
          <w:color w:val="auto"/>
          <w:sz w:val="24"/>
          <w:highlight w:val="none"/>
        </w:rPr>
        <w:t>的投标，其</w:t>
      </w:r>
      <w:r>
        <w:rPr>
          <w:rFonts w:hint="default" w:ascii="Times New Roman" w:hAnsi="Times New Roman" w:eastAsia="宋体" w:cs="Times New Roman"/>
          <w:b/>
          <w:bCs/>
          <w:color w:val="auto"/>
          <w:sz w:val="24"/>
          <w:highlight w:val="none"/>
          <w:lang w:val="en-US" w:eastAsia="zh-CN"/>
        </w:rPr>
        <w:t>标项三</w:t>
      </w:r>
      <w:r>
        <w:rPr>
          <w:rFonts w:hint="default" w:ascii="Times New Roman" w:hAnsi="Times New Roman" w:eastAsia="宋体" w:cs="Times New Roman"/>
          <w:b/>
          <w:bCs/>
          <w:color w:val="auto"/>
          <w:sz w:val="24"/>
          <w:highlight w:val="none"/>
        </w:rPr>
        <w:t>的投标文件将做无效标处理</w:t>
      </w:r>
      <w:r>
        <w:rPr>
          <w:rFonts w:hint="default" w:ascii="Times New Roman" w:hAnsi="Times New Roman" w:eastAsia="宋体" w:cs="Times New Roman"/>
          <w:b/>
          <w:bCs/>
          <w:color w:val="auto"/>
          <w:sz w:val="24"/>
          <w:highlight w:val="none"/>
          <w:lang w:eastAsia="zh-CN"/>
        </w:rPr>
        <w:t>。</w:t>
      </w:r>
    </w:p>
    <w:p>
      <w:pPr>
        <w:pStyle w:val="29"/>
        <w:snapToGrid w:val="0"/>
        <w:spacing w:line="360" w:lineRule="exact"/>
        <w:ind w:firstLine="470" w:firstLineChars="19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对所有投标人的资格响应文件进行审查，并以开标当日为准，对投标人“信用中国”网站（www.creditchina.gov.cn）、中国政府采购网（www.ccgp.gov.cn）信用记录情况进行查询，根据（义行服管〔2017〕17号）的规定，对投标人的综合信用报告评级进行查询。</w:t>
      </w:r>
    </w:p>
    <w:p>
      <w:pPr>
        <w:pStyle w:val="29"/>
        <w:spacing w:line="360" w:lineRule="exact"/>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（二）对通过资格性审查合格的投标人的商务技术响应文件进行符合性审查。</w:t>
      </w:r>
    </w:p>
    <w:p>
      <w:pPr>
        <w:pStyle w:val="29"/>
        <w:spacing w:line="36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（三）对通过符合性审查有效的投标人的商务技术响应文件进行评分（详见三、评分细则）。</w:t>
      </w:r>
    </w:p>
    <w:p>
      <w:pPr>
        <w:pStyle w:val="29"/>
        <w:widowControl w:val="0"/>
        <w:spacing w:line="36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四）上述投标人的评分结束后，评标委员会对上述投标人的报价文件进行评审；评标委员会认为投标人的报价明显低于其他通过符合性审查投标人的报价，有可能影响服务质量或者不能诚信履约的，应当要求其通过“政采云”在规定的时间内提供加盖投标人CA签章的材料，必要时提交相关佐证材料；投标人不能证明其报价合理性的，评标委员会应当将其作为无效投标处理。</w:t>
      </w:r>
    </w:p>
    <w:p>
      <w:pPr>
        <w:pStyle w:val="29"/>
        <w:spacing w:line="36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（五）对通过报价评审有效的投标人,由“政采云”计算出其报价分及总得分，并由评标委员会进行确认。</w:t>
      </w:r>
    </w:p>
    <w:p>
      <w:pPr>
        <w:pStyle w:val="29"/>
        <w:spacing w:line="36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（六）确定中标人</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首先，评标委员会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2.其次，评标委员会直接确定排名第一的投标人为中标人。</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（七）完成评标报告</w:t>
      </w:r>
    </w:p>
    <w:p>
      <w:pPr>
        <w:pStyle w:val="29"/>
        <w:spacing w:line="360" w:lineRule="exact"/>
        <w:ind w:firstLine="480"/>
        <w:rPr>
          <w:rFonts w:hint="default" w:ascii="Times New Roman" w:hAnsi="Times New Roman" w:eastAsia="宋体" w:cs="Times New Roman"/>
          <w:sz w:val="24"/>
          <w:szCs w:val="24"/>
        </w:rPr>
      </w:pPr>
      <w:r>
        <w:rPr>
          <w:rFonts w:hint="default" w:ascii="Times New Roman" w:hAnsi="Times New Roman" w:eastAsia="宋体" w:cs="Times New Roman"/>
          <w:kern w:val="0"/>
          <w:sz w:val="24"/>
        </w:rPr>
        <w:t>评标委员会根据评审相关情况作出评标报告</w:t>
      </w:r>
      <w:r>
        <w:rPr>
          <w:rFonts w:hint="default" w:ascii="Times New Roman" w:hAnsi="Times New Roman" w:eastAsia="宋体" w:cs="Times New Roman"/>
          <w:sz w:val="24"/>
        </w:rPr>
        <w:t>。</w:t>
      </w:r>
    </w:p>
    <w:p>
      <w:pPr>
        <w:pStyle w:val="29"/>
        <w:spacing w:line="36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二、确定的中标人放弃中标等情况的处理</w:t>
      </w:r>
      <w:bookmarkEnd w:id="94"/>
      <w:bookmarkEnd w:id="95"/>
      <w:bookmarkEnd w:id="96"/>
      <w:bookmarkEnd w:id="97"/>
      <w:bookmarkEnd w:id="98"/>
      <w:bookmarkEnd w:id="99"/>
    </w:p>
    <w:p>
      <w:pPr>
        <w:spacing w:line="360" w:lineRule="exact"/>
        <w:ind w:firstLine="470" w:firstLineChars="196"/>
        <w:rPr>
          <w:rFonts w:hint="default" w:ascii="Times New Roman" w:hAnsi="Times New Roman" w:eastAsia="宋体" w:cs="Times New Roman"/>
          <w:b/>
        </w:rPr>
      </w:pPr>
      <w:r>
        <w:rPr>
          <w:rFonts w:hint="default" w:ascii="Times New Roman" w:hAnsi="Times New Roman" w:eastAsia="宋体" w:cs="Times New Roman"/>
        </w:rPr>
        <w:t>当确定的中标人放弃中标，因不可抗力提出不能履行合同，或者质疑投诉成立，取消中标人资格的，都不再确定其余投标人作为中标人</w:t>
      </w:r>
      <w:r>
        <w:rPr>
          <w:rFonts w:hint="default" w:ascii="Times New Roman" w:hAnsi="Times New Roman" w:eastAsia="宋体" w:cs="Times New Roman"/>
          <w:b/>
        </w:rPr>
        <w:t>。</w:t>
      </w:r>
    </w:p>
    <w:p>
      <w:pPr>
        <w:pStyle w:val="29"/>
        <w:numPr>
          <w:ilvl w:val="0"/>
          <w:numId w:val="3"/>
        </w:numPr>
        <w:spacing w:line="360" w:lineRule="exact"/>
        <w:ind w:firstLine="422"/>
        <w:rPr>
          <w:rFonts w:hint="default" w:ascii="Times New Roman" w:hAnsi="Times New Roman" w:eastAsia="宋体" w:cs="Times New Roman"/>
        </w:rPr>
      </w:pPr>
      <w:r>
        <w:rPr>
          <w:rFonts w:hint="default" w:ascii="Times New Roman" w:hAnsi="Times New Roman" w:eastAsia="宋体" w:cs="Times New Roman"/>
          <w:b/>
        </w:rPr>
        <w:t>评分细则</w:t>
      </w:r>
    </w:p>
    <w:p>
      <w:pPr>
        <w:rPr>
          <w:rFonts w:hint="default" w:ascii="Times New Roman" w:hAnsi="Times New Roman" w:eastAsia="宋体" w:cs="Times New Roman"/>
          <w:lang w:eastAsia="zh-CN"/>
        </w:rPr>
      </w:pPr>
      <w:r>
        <w:rPr>
          <w:rFonts w:hint="default" w:ascii="Times New Roman" w:hAnsi="Times New Roman" w:eastAsia="宋体" w:cs="Times New Roman"/>
          <w:b/>
          <w:lang w:eastAsia="zh-CN"/>
        </w:rPr>
        <w:t>标项一：</w:t>
      </w:r>
    </w:p>
    <w:tbl>
      <w:tblPr>
        <w:tblStyle w:val="57"/>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530"/>
        <w:gridCol w:w="6270"/>
        <w:gridCol w:w="69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序号</w:t>
            </w:r>
          </w:p>
        </w:tc>
        <w:tc>
          <w:tcPr>
            <w:tcW w:w="1530" w:type="dxa"/>
            <w:noWrap/>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评分内容</w:t>
            </w:r>
          </w:p>
        </w:tc>
        <w:tc>
          <w:tcPr>
            <w:tcW w:w="6270" w:type="dxa"/>
            <w:noWrap/>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评分细则</w:t>
            </w:r>
          </w:p>
        </w:tc>
        <w:tc>
          <w:tcPr>
            <w:tcW w:w="69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分值</w:t>
            </w:r>
          </w:p>
        </w:tc>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商务技术分</w:t>
            </w:r>
          </w:p>
        </w:tc>
        <w:tc>
          <w:tcPr>
            <w:tcW w:w="6270" w:type="dxa"/>
            <w:noWrap/>
          </w:tcPr>
          <w:p>
            <w:pP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评标委员会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69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highlight w:val="none"/>
              </w:rPr>
              <w:t>90分</w:t>
            </w:r>
          </w:p>
        </w:tc>
        <w:tc>
          <w:tcPr>
            <w:tcW w:w="687" w:type="dxa"/>
            <w:noWrap/>
            <w:vAlign w:val="center"/>
          </w:tcPr>
          <w:p>
            <w:pPr>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87" w:type="dxa"/>
            <w:noWrap/>
            <w:vAlign w:val="center"/>
          </w:tcPr>
          <w:p>
            <w:pPr>
              <w:jc w:val="center"/>
              <w:rPr>
                <w:rFonts w:hint="default" w:ascii="Times New Roman" w:hAnsi="Times New Roman" w:eastAsia="宋体" w:cs="Times New Roman"/>
                <w:bCs/>
                <w:sz w:val="21"/>
                <w:szCs w:val="21"/>
              </w:rPr>
            </w:pP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c>
          <w:tcPr>
            <w:tcW w:w="1530" w:type="dxa"/>
            <w:noWrap/>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rPr>
              <w:t>企业实力信誉</w:t>
            </w:r>
          </w:p>
        </w:tc>
        <w:tc>
          <w:tcPr>
            <w:tcW w:w="6270" w:type="dxa"/>
            <w:noWrap/>
            <w:vAlign w:val="center"/>
          </w:tcPr>
          <w:p>
            <w:pPr>
              <w:rPr>
                <w:rFonts w:hint="eastAsia"/>
                <w:sz w:val="21"/>
                <w:szCs w:val="21"/>
              </w:rPr>
            </w:pPr>
            <w:r>
              <w:rPr>
                <w:rFonts w:ascii="Times New Roman" w:hAnsi="Times New Roman"/>
                <w:sz w:val="21"/>
                <w:szCs w:val="21"/>
              </w:rPr>
              <w:t>1</w:t>
            </w:r>
            <w:r>
              <w:rPr>
                <w:rFonts w:hint="eastAsia" w:ascii="Times New Roman" w:hAnsi="Times New Roman"/>
                <w:sz w:val="21"/>
                <w:szCs w:val="21"/>
              </w:rPr>
              <w:t>、投标人具有测绘成果及资料档案和保密工作合格证书，或测绘类相关安全</w:t>
            </w:r>
            <w:r>
              <w:rPr>
                <w:rFonts w:hint="eastAsia"/>
                <w:sz w:val="21"/>
                <w:szCs w:val="21"/>
              </w:rPr>
              <w:t>生产许可证的得2分。</w:t>
            </w:r>
          </w:p>
          <w:p>
            <w:pPr>
              <w:rPr>
                <w:rFonts w:hint="eastAsia"/>
                <w:sz w:val="21"/>
                <w:szCs w:val="21"/>
              </w:rPr>
            </w:pPr>
            <w:r>
              <w:rPr>
                <w:rFonts w:hint="eastAsia"/>
                <w:sz w:val="21"/>
                <w:szCs w:val="21"/>
              </w:rPr>
              <w:t>2、投标人承担过省级及以上宅基地或测绘地理信息类标准编制的每个得1分，最高得2分。</w:t>
            </w:r>
          </w:p>
          <w:p>
            <w:pPr>
              <w:rPr>
                <w:rFonts w:hint="eastAsia"/>
                <w:sz w:val="21"/>
                <w:szCs w:val="21"/>
              </w:rPr>
            </w:pPr>
            <w:r>
              <w:rPr>
                <w:rFonts w:hint="eastAsia"/>
                <w:sz w:val="21"/>
                <w:szCs w:val="21"/>
              </w:rPr>
              <w:t>3、投标人开发的数据库建库软件或地理信息系统平台通过国家权威机构测试的得1分。</w:t>
            </w:r>
          </w:p>
          <w:p>
            <w:pPr>
              <w:rPr>
                <w:rFonts w:hint="default" w:ascii="Times New Roman" w:hAnsi="Times New Roman" w:eastAsia="宋体" w:cs="Times New Roman"/>
                <w:bCs/>
                <w:sz w:val="21"/>
                <w:szCs w:val="21"/>
              </w:rPr>
            </w:pPr>
            <w:r>
              <w:rPr>
                <w:rFonts w:hint="eastAsia"/>
                <w:sz w:val="21"/>
                <w:szCs w:val="21"/>
              </w:rPr>
              <w:t>投标文件商务技术响应文件中提供证书和佐证材料并扫描件加盖投标单位电子签章，未提供不得分。</w:t>
            </w:r>
          </w:p>
        </w:tc>
        <w:tc>
          <w:tcPr>
            <w:tcW w:w="690" w:type="dxa"/>
            <w:noWrap/>
            <w:vAlign w:val="center"/>
          </w:tcPr>
          <w:p>
            <w:pPr>
              <w:jc w:val="center"/>
              <w:rPr>
                <w:rFonts w:hint="default" w:ascii="Times New Roman" w:hAnsi="Times New Roman" w:eastAsia="宋体" w:cs="Times New Roman"/>
                <w:color w:val="000000"/>
                <w:sz w:val="21"/>
                <w:szCs w:val="21"/>
                <w:lang w:val="en-US" w:eastAsia="zh-CN"/>
              </w:rPr>
            </w:pPr>
          </w:p>
          <w:p>
            <w:pPr>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5</w:t>
            </w:r>
          </w:p>
        </w:tc>
        <w:tc>
          <w:tcPr>
            <w:tcW w:w="687" w:type="dxa"/>
            <w:noWrap/>
            <w:vAlign w:val="center"/>
          </w:tcPr>
          <w:p>
            <w:pPr>
              <w:jc w:val="center"/>
              <w:rPr>
                <w:rFonts w:hint="default" w:ascii="Times New Roman" w:hAnsi="Times New Roman" w:eastAsia="宋体" w:cs="Times New Roman"/>
                <w:bCs/>
                <w:sz w:val="21"/>
                <w:szCs w:val="21"/>
              </w:rPr>
            </w:pP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奖项</w:t>
            </w:r>
          </w:p>
        </w:tc>
        <w:tc>
          <w:tcPr>
            <w:tcW w:w="6270" w:type="dxa"/>
            <w:noWrap/>
            <w:vAlign w:val="center"/>
          </w:tcPr>
          <w:p>
            <w:pPr>
              <w:pStyle w:val="77"/>
              <w:spacing w:line="320" w:lineRule="exact"/>
              <w:ind w:firstLine="0" w:firstLineChars="0"/>
              <w:rPr>
                <w:rFonts w:hint="eastAsia" w:ascii="Times New Roman" w:hAnsi="Times New Roman"/>
                <w:sz w:val="21"/>
                <w:szCs w:val="21"/>
              </w:rPr>
            </w:pPr>
            <w:r>
              <w:rPr>
                <w:rFonts w:hint="eastAsia" w:ascii="Times New Roman" w:hAnsi="Times New Roman"/>
                <w:sz w:val="21"/>
                <w:szCs w:val="21"/>
              </w:rPr>
              <w:t>投标人承担的地理信息类、调查类或测绘类项目获得省级及以上科学技术奖或科技进步奖，或获得省级及以上政府部门表彰的，每个得1分，最高得3分。</w:t>
            </w:r>
          </w:p>
          <w:p>
            <w:pPr>
              <w:pStyle w:val="77"/>
              <w:spacing w:line="320" w:lineRule="exact"/>
              <w:ind w:firstLine="0" w:firstLineChars="0"/>
              <w:rPr>
                <w:rFonts w:hint="default" w:ascii="Times New Roman" w:hAnsi="Times New Roman" w:eastAsia="宋体" w:cs="Times New Roman"/>
                <w:bCs/>
                <w:sz w:val="21"/>
                <w:szCs w:val="21"/>
                <w:lang w:eastAsia="zh-CN"/>
              </w:rPr>
            </w:pPr>
            <w:r>
              <w:rPr>
                <w:rFonts w:hint="eastAsia" w:ascii="Times New Roman" w:hAnsi="Times New Roman"/>
                <w:sz w:val="21"/>
                <w:szCs w:val="21"/>
              </w:rPr>
              <w:t>投标文件商务技术响应文件中提供佐证材料扫描件加盖投标单位电子签章，未提供不得分。是否有效以评标委员会集体认定为准。</w:t>
            </w:r>
          </w:p>
        </w:tc>
        <w:tc>
          <w:tcPr>
            <w:tcW w:w="690" w:type="dxa"/>
            <w:noWrap/>
            <w:vAlign w:val="center"/>
          </w:tcPr>
          <w:p>
            <w:pPr>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3</w:t>
            </w:r>
          </w:p>
        </w:tc>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3</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同类业绩</w:t>
            </w:r>
          </w:p>
        </w:tc>
        <w:tc>
          <w:tcPr>
            <w:tcW w:w="6270" w:type="dxa"/>
            <w:noWrap/>
            <w:vAlign w:val="center"/>
          </w:tcPr>
          <w:p>
            <w:pPr>
              <w:rPr>
                <w:rFonts w:hint="eastAsia"/>
                <w:sz w:val="21"/>
                <w:szCs w:val="21"/>
              </w:rPr>
            </w:pPr>
            <w:r>
              <w:rPr>
                <w:rFonts w:hint="eastAsia"/>
                <w:sz w:val="21"/>
                <w:szCs w:val="21"/>
              </w:rPr>
              <w:t>投标方自2020年1月1日以来（以合同签订日期为准）承担过宅基地改革类似项目业绩的，每提供一个项目得0.25分，最多得1分。</w:t>
            </w:r>
          </w:p>
          <w:p>
            <w:pPr>
              <w:rPr>
                <w:rFonts w:hint="default" w:ascii="Times New Roman" w:hAnsi="Times New Roman" w:eastAsia="宋体" w:cs="Times New Roman"/>
                <w:bCs/>
                <w:sz w:val="21"/>
                <w:szCs w:val="21"/>
              </w:rPr>
            </w:pPr>
            <w:r>
              <w:rPr>
                <w:rFonts w:hint="eastAsia"/>
                <w:sz w:val="21"/>
                <w:szCs w:val="21"/>
              </w:rPr>
              <w:t>投标文件商务技术响应文件中提供合同扫描件加盖投标单位电子签章，提供的合同扫描件清单内容能体现类似项目情况，否则不得分。业绩是否有效以评标委员会集体认定为准。</w:t>
            </w:r>
          </w:p>
        </w:tc>
        <w:tc>
          <w:tcPr>
            <w:tcW w:w="690" w:type="dxa"/>
            <w:noWrap/>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rPr>
              <w:t>1</w:t>
            </w:r>
          </w:p>
        </w:tc>
        <w:tc>
          <w:tcPr>
            <w:tcW w:w="687" w:type="dxa"/>
            <w:noWrap/>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87" w:type="dxa"/>
            <w:vMerge w:val="restart"/>
            <w:noWrap/>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4</w:t>
            </w:r>
          </w:p>
        </w:tc>
        <w:tc>
          <w:tcPr>
            <w:tcW w:w="1530" w:type="dxa"/>
            <w:vMerge w:val="restart"/>
            <w:noWrap/>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项目认识程度</w:t>
            </w:r>
          </w:p>
        </w:tc>
        <w:tc>
          <w:tcPr>
            <w:tcW w:w="6270" w:type="dxa"/>
            <w:noWrap/>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根据投标人对本项目的建设背景、建设目标、建设内容、现状、难点、重点及存在的问题等</w:t>
            </w:r>
            <w:r>
              <w:rPr>
                <w:rFonts w:hint="default" w:ascii="Times New Roman" w:hAnsi="Times New Roman" w:eastAsia="宋体" w:cs="Times New Roman"/>
                <w:sz w:val="21"/>
                <w:szCs w:val="21"/>
                <w:lang w:eastAsia="zh-CN"/>
              </w:rPr>
              <w:t>的</w:t>
            </w:r>
            <w:r>
              <w:rPr>
                <w:rFonts w:hint="default" w:ascii="Times New Roman" w:hAnsi="Times New Roman" w:eastAsia="宋体" w:cs="Times New Roman"/>
                <w:sz w:val="21"/>
                <w:szCs w:val="21"/>
              </w:rPr>
              <w:t>理解</w:t>
            </w:r>
            <w:r>
              <w:rPr>
                <w:rFonts w:hint="default" w:ascii="Times New Roman" w:hAnsi="Times New Roman" w:eastAsia="宋体" w:cs="Times New Roman"/>
                <w:sz w:val="21"/>
                <w:szCs w:val="21"/>
                <w:lang w:eastAsia="zh-CN"/>
              </w:rPr>
              <w:t>程度进行打分，</w:t>
            </w:r>
            <w:r>
              <w:rPr>
                <w:rFonts w:hint="default" w:ascii="Times New Roman" w:hAnsi="Times New Roman" w:eastAsia="宋体" w:cs="Times New Roman"/>
                <w:sz w:val="21"/>
                <w:szCs w:val="21"/>
              </w:rPr>
              <w:t>0-2分</w:t>
            </w:r>
            <w:r>
              <w:rPr>
                <w:rFonts w:hint="default" w:ascii="Times New Roman" w:hAnsi="Times New Roman" w:eastAsia="宋体" w:cs="Times New Roman"/>
                <w:sz w:val="21"/>
                <w:szCs w:val="21"/>
                <w:lang w:eastAsia="zh-CN"/>
              </w:rPr>
              <w:t>。</w:t>
            </w:r>
          </w:p>
        </w:tc>
        <w:tc>
          <w:tcPr>
            <w:tcW w:w="690" w:type="dxa"/>
            <w:vMerge w:val="restart"/>
            <w:noWrap/>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687" w:type="dxa"/>
            <w:noWrap/>
            <w:vAlign w:val="center"/>
          </w:tcPr>
          <w:p>
            <w:pPr>
              <w:jc w:val="center"/>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根据投标人</w:t>
            </w:r>
            <w:r>
              <w:rPr>
                <w:rFonts w:hint="default" w:ascii="Times New Roman" w:hAnsi="Times New Roman" w:eastAsia="宋体" w:cs="Times New Roman"/>
                <w:sz w:val="21"/>
                <w:szCs w:val="21"/>
              </w:rPr>
              <w:t>提出针对本项目建设的需求理解</w:t>
            </w:r>
            <w:r>
              <w:rPr>
                <w:rFonts w:hint="default" w:ascii="Times New Roman" w:hAnsi="Times New Roman" w:eastAsia="宋体" w:cs="Times New Roman"/>
                <w:sz w:val="21"/>
                <w:szCs w:val="21"/>
                <w:lang w:eastAsia="zh-CN"/>
              </w:rPr>
              <w:t>进行打分，</w:t>
            </w:r>
            <w:r>
              <w:rPr>
                <w:rFonts w:hint="default" w:ascii="Times New Roman" w:hAnsi="Times New Roman" w:eastAsia="宋体" w:cs="Times New Roman"/>
                <w:sz w:val="21"/>
                <w:szCs w:val="21"/>
              </w:rPr>
              <w:t>0-2分</w:t>
            </w:r>
            <w:r>
              <w:rPr>
                <w:rFonts w:hint="default" w:ascii="Times New Roman" w:hAnsi="Times New Roman" w:eastAsia="宋体" w:cs="Times New Roman"/>
                <w:sz w:val="21"/>
                <w:szCs w:val="21"/>
                <w:lang w:eastAsia="zh-CN"/>
              </w:rPr>
              <w:t>。</w:t>
            </w:r>
          </w:p>
        </w:tc>
        <w:tc>
          <w:tcPr>
            <w:tcW w:w="690" w:type="dxa"/>
            <w:vMerge w:val="continue"/>
            <w:noWrap/>
            <w:vAlign w:val="center"/>
          </w:tcPr>
          <w:p>
            <w:pPr>
              <w:jc w:val="center"/>
              <w:rPr>
                <w:rFonts w:hint="default" w:ascii="Times New Roman" w:hAnsi="Times New Roman" w:eastAsia="宋体" w:cs="Times New Roman"/>
                <w:sz w:val="21"/>
                <w:szCs w:val="21"/>
                <w:lang w:val="en-US" w:eastAsia="zh-CN"/>
              </w:rPr>
            </w:pPr>
          </w:p>
        </w:tc>
        <w:tc>
          <w:tcPr>
            <w:tcW w:w="687" w:type="dxa"/>
            <w:noWrap/>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根据投标人</w:t>
            </w:r>
            <w:r>
              <w:rPr>
                <w:rFonts w:hint="default" w:ascii="Times New Roman" w:hAnsi="Times New Roman" w:eastAsia="宋体" w:cs="Times New Roman"/>
                <w:sz w:val="21"/>
                <w:szCs w:val="21"/>
              </w:rPr>
              <w:t>对项目涉及的业务分析</w:t>
            </w:r>
            <w:r>
              <w:rPr>
                <w:rFonts w:hint="default" w:ascii="Times New Roman" w:hAnsi="Times New Roman" w:eastAsia="宋体" w:cs="Times New Roman"/>
                <w:sz w:val="21"/>
                <w:szCs w:val="21"/>
                <w:lang w:eastAsia="zh-CN"/>
              </w:rPr>
              <w:t>进行打分，</w:t>
            </w:r>
            <w:r>
              <w:rPr>
                <w:rFonts w:hint="default" w:ascii="Times New Roman" w:hAnsi="Times New Roman" w:eastAsia="宋体" w:cs="Times New Roman"/>
                <w:sz w:val="21"/>
                <w:szCs w:val="21"/>
              </w:rPr>
              <w:t>0-2分</w:t>
            </w:r>
            <w:r>
              <w:rPr>
                <w:rFonts w:hint="default" w:ascii="Times New Roman" w:hAnsi="Times New Roman" w:eastAsia="宋体" w:cs="Times New Roman"/>
                <w:sz w:val="21"/>
                <w:szCs w:val="21"/>
                <w:lang w:eastAsia="zh-CN"/>
              </w:rPr>
              <w:t>。</w:t>
            </w:r>
          </w:p>
        </w:tc>
        <w:tc>
          <w:tcPr>
            <w:tcW w:w="690" w:type="dxa"/>
            <w:vMerge w:val="continue"/>
            <w:noWrap/>
            <w:vAlign w:val="center"/>
          </w:tcPr>
          <w:p>
            <w:pPr>
              <w:jc w:val="center"/>
              <w:rPr>
                <w:rFonts w:hint="default" w:ascii="Times New Roman" w:hAnsi="Times New Roman" w:eastAsia="宋体" w:cs="Times New Roman"/>
                <w:sz w:val="21"/>
                <w:szCs w:val="21"/>
                <w:lang w:val="en-US" w:eastAsia="zh-CN"/>
              </w:rPr>
            </w:pPr>
          </w:p>
        </w:tc>
        <w:tc>
          <w:tcPr>
            <w:tcW w:w="687" w:type="dxa"/>
            <w:noWrap/>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restart"/>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5</w:t>
            </w:r>
          </w:p>
        </w:tc>
        <w:tc>
          <w:tcPr>
            <w:tcW w:w="1530" w:type="dxa"/>
            <w:vMerge w:val="restart"/>
            <w:noWrap/>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rPr>
              <w:t>项目技术方案</w:t>
            </w:r>
          </w:p>
        </w:tc>
        <w:tc>
          <w:tcPr>
            <w:tcW w:w="6270" w:type="dxa"/>
            <w:noWrap/>
            <w:vAlign w:val="center"/>
          </w:tcPr>
          <w:p>
            <w:pP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根据投标人针对本项目整体方案的合理性</w:t>
            </w:r>
            <w:r>
              <w:rPr>
                <w:rFonts w:hint="default" w:ascii="Times New Roman" w:hAnsi="Times New Roman" w:eastAsia="宋体" w:cs="Times New Roman"/>
                <w:sz w:val="21"/>
                <w:szCs w:val="21"/>
                <w:lang w:eastAsia="zh-CN"/>
              </w:rPr>
              <w:t>及针对性打分，</w:t>
            </w: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分</w:t>
            </w:r>
            <w:r>
              <w:rPr>
                <w:rFonts w:hint="default" w:ascii="Times New Roman" w:hAnsi="Times New Roman" w:eastAsia="宋体" w:cs="Times New Roman"/>
                <w:sz w:val="21"/>
                <w:szCs w:val="21"/>
                <w:lang w:eastAsia="zh-CN"/>
              </w:rPr>
              <w:t>。</w:t>
            </w:r>
          </w:p>
        </w:tc>
        <w:tc>
          <w:tcPr>
            <w:tcW w:w="690" w:type="dxa"/>
            <w:vMerge w:val="restart"/>
            <w:noWrap/>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根据投标人针对本项目整体方案的可操作性</w:t>
            </w:r>
            <w:r>
              <w:rPr>
                <w:rFonts w:hint="default" w:ascii="Times New Roman" w:hAnsi="Times New Roman" w:eastAsia="宋体" w:cs="Times New Roman"/>
                <w:sz w:val="21"/>
                <w:szCs w:val="21"/>
                <w:lang w:eastAsia="zh-CN"/>
              </w:rPr>
              <w:t>及</w:t>
            </w:r>
            <w:r>
              <w:rPr>
                <w:rFonts w:hint="default" w:ascii="Times New Roman" w:hAnsi="Times New Roman" w:eastAsia="宋体" w:cs="Times New Roman"/>
                <w:sz w:val="21"/>
                <w:szCs w:val="21"/>
              </w:rPr>
              <w:t>克服难点和要点的技术措施</w:t>
            </w:r>
            <w:r>
              <w:rPr>
                <w:rFonts w:hint="default" w:ascii="Times New Roman" w:hAnsi="Times New Roman" w:eastAsia="宋体" w:cs="Times New Roman"/>
                <w:sz w:val="21"/>
                <w:szCs w:val="21"/>
                <w:lang w:eastAsia="zh-CN"/>
              </w:rPr>
              <w:t>打分，</w:t>
            </w: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分</w:t>
            </w:r>
            <w:r>
              <w:rPr>
                <w:rFonts w:hint="default" w:ascii="Times New Roman" w:hAnsi="Times New Roman" w:eastAsia="宋体" w:cs="Times New Roman"/>
                <w:sz w:val="21"/>
                <w:szCs w:val="21"/>
                <w:lang w:eastAsia="zh-CN"/>
              </w:rPr>
              <w:t>。</w:t>
            </w:r>
          </w:p>
        </w:tc>
        <w:tc>
          <w:tcPr>
            <w:tcW w:w="690" w:type="dxa"/>
            <w:vMerge w:val="continue"/>
            <w:noWrap/>
            <w:vAlign w:val="center"/>
          </w:tcPr>
          <w:p>
            <w:pPr>
              <w:jc w:val="center"/>
              <w:rPr>
                <w:rFonts w:hint="default" w:ascii="Times New Roman" w:hAnsi="Times New Roman" w:eastAsia="宋体" w:cs="Times New Roman"/>
                <w:sz w:val="21"/>
                <w:szCs w:val="21"/>
                <w:lang w:val="en-US" w:eastAsia="zh-CN"/>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restart"/>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6</w:t>
            </w:r>
          </w:p>
        </w:tc>
        <w:tc>
          <w:tcPr>
            <w:tcW w:w="1530" w:type="dxa"/>
            <w:vMerge w:val="restart"/>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项目实施方案</w:t>
            </w:r>
          </w:p>
        </w:tc>
        <w:tc>
          <w:tcPr>
            <w:tcW w:w="6270" w:type="dxa"/>
            <w:noWrap/>
            <w:vAlign w:val="center"/>
          </w:tcPr>
          <w:p>
            <w:pP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投标人针对本项目工作方法手段的针对性和合理性</w:t>
            </w:r>
            <w:r>
              <w:rPr>
                <w:rFonts w:hint="default" w:ascii="Times New Roman" w:hAnsi="Times New Roman" w:eastAsia="宋体" w:cs="Times New Roman"/>
                <w:sz w:val="21"/>
                <w:szCs w:val="21"/>
                <w:lang w:eastAsia="zh-CN"/>
              </w:rPr>
              <w:t>打分，</w:t>
            </w:r>
            <w:r>
              <w:rPr>
                <w:rFonts w:hint="default" w:ascii="Times New Roman" w:hAnsi="Times New Roman" w:eastAsia="宋体" w:cs="Times New Roman"/>
                <w:sz w:val="21"/>
                <w:szCs w:val="21"/>
              </w:rPr>
              <w:t>0-5分</w:t>
            </w:r>
            <w:r>
              <w:rPr>
                <w:rFonts w:hint="default" w:ascii="Times New Roman" w:hAnsi="Times New Roman" w:eastAsia="宋体" w:cs="Times New Roman"/>
                <w:sz w:val="21"/>
                <w:szCs w:val="21"/>
                <w:lang w:eastAsia="zh-CN"/>
              </w:rPr>
              <w:t>。</w:t>
            </w:r>
          </w:p>
        </w:tc>
        <w:tc>
          <w:tcPr>
            <w:tcW w:w="690" w:type="dxa"/>
            <w:vMerge w:val="restart"/>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15</w:t>
            </w:r>
          </w:p>
        </w:tc>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投标人针对本项目实施进度及工作量安排的针对性和合理性</w:t>
            </w:r>
            <w:r>
              <w:rPr>
                <w:rFonts w:hint="default" w:ascii="Times New Roman" w:hAnsi="Times New Roman" w:eastAsia="宋体" w:cs="Times New Roman"/>
                <w:sz w:val="21"/>
                <w:szCs w:val="21"/>
                <w:lang w:eastAsia="zh-CN"/>
              </w:rPr>
              <w:t>打分，</w:t>
            </w:r>
            <w:r>
              <w:rPr>
                <w:rFonts w:hint="default" w:ascii="Times New Roman" w:hAnsi="Times New Roman" w:eastAsia="宋体" w:cs="Times New Roman"/>
                <w:sz w:val="21"/>
                <w:szCs w:val="21"/>
              </w:rPr>
              <w:t>0-5分。</w:t>
            </w:r>
          </w:p>
        </w:tc>
        <w:tc>
          <w:tcPr>
            <w:tcW w:w="690" w:type="dxa"/>
            <w:vMerge w:val="continue"/>
            <w:noWrap/>
            <w:vAlign w:val="center"/>
          </w:tcPr>
          <w:p>
            <w:pPr>
              <w:jc w:val="center"/>
              <w:rPr>
                <w:rFonts w:hint="default" w:ascii="Times New Roman" w:hAnsi="Times New Roman" w:eastAsia="宋体" w:cs="Times New Roman"/>
                <w:sz w:val="21"/>
                <w:szCs w:val="21"/>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投标人针对本项目组织质量保障措施的针对性和合理性</w:t>
            </w:r>
            <w:r>
              <w:rPr>
                <w:rFonts w:hint="default" w:ascii="Times New Roman" w:hAnsi="Times New Roman" w:eastAsia="宋体" w:cs="Times New Roman"/>
                <w:sz w:val="21"/>
                <w:szCs w:val="21"/>
                <w:lang w:eastAsia="zh-CN"/>
              </w:rPr>
              <w:t>打分，</w:t>
            </w:r>
            <w:r>
              <w:rPr>
                <w:rFonts w:hint="default" w:ascii="Times New Roman" w:hAnsi="Times New Roman" w:eastAsia="宋体" w:cs="Times New Roman"/>
                <w:sz w:val="21"/>
                <w:szCs w:val="21"/>
              </w:rPr>
              <w:t>0-5分。</w:t>
            </w:r>
          </w:p>
        </w:tc>
        <w:tc>
          <w:tcPr>
            <w:tcW w:w="690" w:type="dxa"/>
            <w:vMerge w:val="continue"/>
            <w:noWrap/>
            <w:vAlign w:val="center"/>
          </w:tcPr>
          <w:p>
            <w:pPr>
              <w:jc w:val="center"/>
              <w:rPr>
                <w:rFonts w:hint="default" w:ascii="Times New Roman" w:hAnsi="Times New Roman" w:eastAsia="宋体" w:cs="Times New Roman"/>
                <w:sz w:val="21"/>
                <w:szCs w:val="21"/>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restart"/>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7</w:t>
            </w:r>
          </w:p>
        </w:tc>
        <w:tc>
          <w:tcPr>
            <w:tcW w:w="1530" w:type="dxa"/>
            <w:vMerge w:val="restart"/>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关键技术</w:t>
            </w:r>
          </w:p>
        </w:tc>
        <w:tc>
          <w:tcPr>
            <w:tcW w:w="6270" w:type="dxa"/>
            <w:noWrap/>
            <w:vAlign w:val="center"/>
          </w:tcPr>
          <w:p>
            <w:pP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根据投标人从数据共享关键技术点</w:t>
            </w:r>
            <w:r>
              <w:rPr>
                <w:rFonts w:hint="default" w:ascii="Times New Roman" w:hAnsi="Times New Roman" w:eastAsia="宋体" w:cs="Times New Roman"/>
                <w:sz w:val="21"/>
                <w:szCs w:val="21"/>
                <w:lang w:eastAsia="zh-CN"/>
              </w:rPr>
              <w:t>进行剖析，并提出克服关键技术点的针对性措施情况打分，</w:t>
            </w:r>
            <w:r>
              <w:rPr>
                <w:rFonts w:hint="default" w:ascii="Times New Roman" w:hAnsi="Times New Roman" w:eastAsia="宋体" w:cs="Times New Roman"/>
                <w:sz w:val="21"/>
                <w:szCs w:val="21"/>
              </w:rPr>
              <w:t>0-3分</w:t>
            </w:r>
            <w:r>
              <w:rPr>
                <w:rFonts w:hint="default" w:ascii="Times New Roman" w:hAnsi="Times New Roman" w:eastAsia="宋体" w:cs="Times New Roman"/>
                <w:sz w:val="21"/>
                <w:szCs w:val="21"/>
                <w:lang w:eastAsia="zh-CN"/>
              </w:rPr>
              <w:t>。</w:t>
            </w:r>
          </w:p>
        </w:tc>
        <w:tc>
          <w:tcPr>
            <w:tcW w:w="690" w:type="dxa"/>
            <w:vMerge w:val="restart"/>
            <w:noWrap/>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bCs/>
                <w:sz w:val="21"/>
                <w:szCs w:val="21"/>
                <w:lang w:val="en-US" w:eastAsia="zh-CN"/>
              </w:rPr>
            </w:pPr>
            <w:r>
              <w:rPr>
                <w:rFonts w:hint="eastAsia" w:cs="Times New Roman"/>
                <w:sz w:val="21"/>
                <w:szCs w:val="21"/>
                <w:lang w:val="en-US" w:eastAsia="zh-CN"/>
              </w:rPr>
              <w:t>20</w:t>
            </w:r>
          </w:p>
        </w:tc>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根据投标人从数据处理关键技术点</w:t>
            </w:r>
            <w:r>
              <w:rPr>
                <w:rFonts w:hint="default" w:ascii="Times New Roman" w:hAnsi="Times New Roman" w:eastAsia="宋体" w:cs="Times New Roman"/>
                <w:sz w:val="21"/>
                <w:szCs w:val="21"/>
                <w:lang w:eastAsia="zh-CN"/>
              </w:rPr>
              <w:t>进行剖析，并提出克服关键技术点的针对性措施情况进行打分，</w:t>
            </w:r>
            <w:r>
              <w:rPr>
                <w:rFonts w:hint="default" w:ascii="Times New Roman" w:hAnsi="Times New Roman" w:eastAsia="宋体" w:cs="Times New Roman"/>
                <w:sz w:val="21"/>
                <w:szCs w:val="21"/>
              </w:rPr>
              <w:t>0-3分</w:t>
            </w:r>
            <w:r>
              <w:rPr>
                <w:rFonts w:hint="default" w:ascii="Times New Roman" w:hAnsi="Times New Roman" w:eastAsia="宋体" w:cs="Times New Roman"/>
                <w:sz w:val="21"/>
                <w:szCs w:val="21"/>
                <w:lang w:eastAsia="zh-CN"/>
              </w:rPr>
              <w:t>。</w:t>
            </w:r>
          </w:p>
        </w:tc>
        <w:tc>
          <w:tcPr>
            <w:tcW w:w="690" w:type="dxa"/>
            <w:vMerge w:val="continue"/>
            <w:noWrap/>
            <w:vAlign w:val="center"/>
          </w:tcPr>
          <w:p>
            <w:pPr>
              <w:jc w:val="center"/>
              <w:rPr>
                <w:rFonts w:hint="default" w:ascii="Times New Roman" w:hAnsi="Times New Roman" w:eastAsia="宋体" w:cs="Times New Roman"/>
                <w:sz w:val="21"/>
                <w:szCs w:val="21"/>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根据投标人从调查方法关键技术点</w:t>
            </w:r>
            <w:r>
              <w:rPr>
                <w:rFonts w:hint="default" w:ascii="Times New Roman" w:hAnsi="Times New Roman" w:eastAsia="宋体" w:cs="Times New Roman"/>
                <w:sz w:val="21"/>
                <w:szCs w:val="21"/>
                <w:lang w:eastAsia="zh-CN"/>
              </w:rPr>
              <w:t>进行剖析，并提出克服关键技术点的针对性措施情况进行打分，</w:t>
            </w:r>
            <w:r>
              <w:rPr>
                <w:rFonts w:hint="default" w:ascii="Times New Roman" w:hAnsi="Times New Roman" w:eastAsia="宋体" w:cs="Times New Roman"/>
                <w:sz w:val="21"/>
                <w:szCs w:val="21"/>
              </w:rPr>
              <w:t>0-3分</w:t>
            </w:r>
            <w:r>
              <w:rPr>
                <w:rFonts w:hint="default" w:ascii="Times New Roman" w:hAnsi="Times New Roman" w:eastAsia="宋体" w:cs="Times New Roman"/>
                <w:sz w:val="21"/>
                <w:szCs w:val="21"/>
                <w:lang w:eastAsia="zh-CN"/>
              </w:rPr>
              <w:t>。</w:t>
            </w:r>
          </w:p>
        </w:tc>
        <w:tc>
          <w:tcPr>
            <w:tcW w:w="690" w:type="dxa"/>
            <w:vMerge w:val="continue"/>
            <w:noWrap/>
            <w:vAlign w:val="center"/>
          </w:tcPr>
          <w:p>
            <w:pPr>
              <w:jc w:val="center"/>
              <w:rPr>
                <w:rFonts w:hint="default" w:ascii="Times New Roman" w:hAnsi="Times New Roman" w:eastAsia="宋体" w:cs="Times New Roman"/>
                <w:sz w:val="21"/>
                <w:szCs w:val="21"/>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根据投标人从数据建库关键技术点</w:t>
            </w:r>
            <w:r>
              <w:rPr>
                <w:rFonts w:hint="default" w:ascii="Times New Roman" w:hAnsi="Times New Roman" w:eastAsia="宋体" w:cs="Times New Roman"/>
                <w:sz w:val="21"/>
                <w:szCs w:val="21"/>
                <w:lang w:eastAsia="zh-CN"/>
              </w:rPr>
              <w:t>进行剖析，并提出克服关键技术点的针对性措施情况进行打分，</w:t>
            </w:r>
            <w:r>
              <w:rPr>
                <w:rFonts w:hint="default" w:ascii="Times New Roman" w:hAnsi="Times New Roman" w:eastAsia="宋体" w:cs="Times New Roman"/>
                <w:sz w:val="21"/>
                <w:szCs w:val="21"/>
              </w:rPr>
              <w:t>0-3分</w:t>
            </w:r>
            <w:r>
              <w:rPr>
                <w:rFonts w:hint="default" w:ascii="Times New Roman" w:hAnsi="Times New Roman" w:eastAsia="宋体" w:cs="Times New Roman"/>
                <w:sz w:val="21"/>
                <w:szCs w:val="21"/>
                <w:lang w:eastAsia="zh-CN"/>
              </w:rPr>
              <w:t>。</w:t>
            </w:r>
          </w:p>
        </w:tc>
        <w:tc>
          <w:tcPr>
            <w:tcW w:w="690" w:type="dxa"/>
            <w:vMerge w:val="continue"/>
            <w:noWrap/>
            <w:vAlign w:val="center"/>
          </w:tcPr>
          <w:p>
            <w:pPr>
              <w:jc w:val="center"/>
              <w:rPr>
                <w:rFonts w:hint="default" w:ascii="Times New Roman" w:hAnsi="Times New Roman" w:eastAsia="宋体" w:cs="Times New Roman"/>
                <w:sz w:val="21"/>
                <w:szCs w:val="21"/>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根据投标人从数据汇交关键技术点</w:t>
            </w:r>
            <w:r>
              <w:rPr>
                <w:rFonts w:hint="default" w:ascii="Times New Roman" w:hAnsi="Times New Roman" w:eastAsia="宋体" w:cs="Times New Roman"/>
                <w:sz w:val="21"/>
                <w:szCs w:val="21"/>
                <w:lang w:eastAsia="zh-CN"/>
              </w:rPr>
              <w:t>进行剖析，并提出克服关键技术点的针对性措施情况进行打分，</w:t>
            </w:r>
            <w:r>
              <w:rPr>
                <w:rFonts w:hint="default" w:ascii="Times New Roman" w:hAnsi="Times New Roman" w:eastAsia="宋体" w:cs="Times New Roman"/>
                <w:sz w:val="21"/>
                <w:szCs w:val="21"/>
              </w:rPr>
              <w:t>0-</w:t>
            </w:r>
            <w:r>
              <w:rPr>
                <w:rFonts w:hint="eastAsia" w:cs="Times New Roman"/>
                <w:sz w:val="21"/>
                <w:szCs w:val="21"/>
                <w:lang w:val="en-US" w:eastAsia="zh-CN"/>
              </w:rPr>
              <w:t>4</w:t>
            </w:r>
            <w:r>
              <w:rPr>
                <w:rFonts w:hint="default" w:ascii="Times New Roman" w:hAnsi="Times New Roman" w:eastAsia="宋体" w:cs="Times New Roman"/>
                <w:sz w:val="21"/>
                <w:szCs w:val="21"/>
              </w:rPr>
              <w:t>分</w:t>
            </w:r>
            <w:r>
              <w:rPr>
                <w:rFonts w:hint="default" w:ascii="Times New Roman" w:hAnsi="Times New Roman" w:eastAsia="宋体" w:cs="Times New Roman"/>
                <w:sz w:val="21"/>
                <w:szCs w:val="21"/>
                <w:lang w:eastAsia="zh-CN"/>
              </w:rPr>
              <w:t>。</w:t>
            </w:r>
          </w:p>
        </w:tc>
        <w:tc>
          <w:tcPr>
            <w:tcW w:w="690" w:type="dxa"/>
            <w:vMerge w:val="continue"/>
            <w:noWrap/>
            <w:vAlign w:val="center"/>
          </w:tcPr>
          <w:p>
            <w:pPr>
              <w:jc w:val="center"/>
              <w:rPr>
                <w:rFonts w:hint="default" w:ascii="Times New Roman" w:hAnsi="Times New Roman" w:eastAsia="宋体" w:cs="Times New Roman"/>
                <w:sz w:val="21"/>
                <w:szCs w:val="21"/>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根据投标人从县级农村宅基地管理信息系统方案关键技术点</w:t>
            </w:r>
            <w:r>
              <w:rPr>
                <w:rFonts w:hint="default" w:ascii="Times New Roman" w:hAnsi="Times New Roman" w:eastAsia="宋体" w:cs="Times New Roman"/>
                <w:sz w:val="21"/>
                <w:szCs w:val="21"/>
                <w:lang w:eastAsia="zh-CN"/>
              </w:rPr>
              <w:t>进行剖析，并提出克服关键技术点的针对性措施情况进行打分，</w:t>
            </w:r>
            <w:r>
              <w:rPr>
                <w:rFonts w:hint="default" w:ascii="Times New Roman" w:hAnsi="Times New Roman" w:eastAsia="宋体" w:cs="Times New Roman"/>
                <w:sz w:val="21"/>
                <w:szCs w:val="21"/>
              </w:rPr>
              <w:t>0-</w:t>
            </w:r>
            <w:r>
              <w:rPr>
                <w:rFonts w:hint="eastAsia" w:cs="Times New Roman"/>
                <w:sz w:val="21"/>
                <w:szCs w:val="21"/>
                <w:lang w:val="en-US" w:eastAsia="zh-CN"/>
              </w:rPr>
              <w:t>4</w:t>
            </w:r>
            <w:r>
              <w:rPr>
                <w:rFonts w:hint="default" w:ascii="Times New Roman" w:hAnsi="Times New Roman" w:eastAsia="宋体" w:cs="Times New Roman"/>
                <w:sz w:val="21"/>
                <w:szCs w:val="21"/>
              </w:rPr>
              <w:t>分</w:t>
            </w:r>
            <w:r>
              <w:rPr>
                <w:rFonts w:hint="default" w:ascii="Times New Roman" w:hAnsi="Times New Roman" w:eastAsia="宋体" w:cs="Times New Roman"/>
                <w:sz w:val="21"/>
                <w:szCs w:val="21"/>
                <w:lang w:eastAsia="zh-CN"/>
              </w:rPr>
              <w:t>。</w:t>
            </w:r>
          </w:p>
        </w:tc>
        <w:tc>
          <w:tcPr>
            <w:tcW w:w="690" w:type="dxa"/>
            <w:vMerge w:val="continue"/>
            <w:noWrap/>
            <w:vAlign w:val="center"/>
          </w:tcPr>
          <w:p>
            <w:pPr>
              <w:jc w:val="center"/>
              <w:rPr>
                <w:rFonts w:hint="default" w:ascii="Times New Roman" w:hAnsi="Times New Roman" w:eastAsia="宋体" w:cs="Times New Roman"/>
                <w:sz w:val="21"/>
                <w:szCs w:val="21"/>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8</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技术团队人员情况</w:t>
            </w:r>
          </w:p>
        </w:tc>
        <w:tc>
          <w:tcPr>
            <w:tcW w:w="6270" w:type="dxa"/>
            <w:noWrap/>
            <w:vAlign w:val="center"/>
          </w:tcPr>
          <w:p>
            <w:pPr>
              <w:rPr>
                <w:rFonts w:hint="eastAsia"/>
                <w:sz w:val="21"/>
                <w:szCs w:val="21"/>
                <w:lang w:eastAsia="zh-CN"/>
              </w:rPr>
            </w:pPr>
            <w:r>
              <w:rPr>
                <w:rFonts w:hint="eastAsia"/>
                <w:sz w:val="21"/>
                <w:szCs w:val="21"/>
              </w:rPr>
              <w:t>（1）项目负责人同时具有土地或测绘类高级工程师和注册测绘师和涉密测绘成果管理人员岗位培训合格证书的，缺一项不得分，最高得3分</w:t>
            </w:r>
            <w:r>
              <w:rPr>
                <w:rFonts w:hint="eastAsia"/>
                <w:sz w:val="21"/>
                <w:szCs w:val="21"/>
                <w:lang w:eastAsia="zh-CN"/>
              </w:rPr>
              <w:t>。</w:t>
            </w:r>
          </w:p>
          <w:p>
            <w:pPr>
              <w:rPr>
                <w:rFonts w:hint="eastAsia"/>
                <w:sz w:val="21"/>
                <w:szCs w:val="21"/>
                <w:lang w:eastAsia="zh-CN"/>
              </w:rPr>
            </w:pPr>
            <w:r>
              <w:rPr>
                <w:rFonts w:hint="eastAsia"/>
                <w:sz w:val="21"/>
                <w:szCs w:val="21"/>
              </w:rPr>
              <w:t>（2）技术负责人（不得与项目负责人为同一人）具有土地或测绘类高级工程师、注册测绘师和涉密测绘成果管理人员岗位培训合格证书，每项得1分，最高得3分</w:t>
            </w:r>
            <w:r>
              <w:rPr>
                <w:rFonts w:hint="eastAsia"/>
                <w:sz w:val="21"/>
                <w:szCs w:val="21"/>
                <w:lang w:eastAsia="zh-CN"/>
              </w:rPr>
              <w:t>。</w:t>
            </w:r>
          </w:p>
          <w:p>
            <w:pPr>
              <w:rPr>
                <w:sz w:val="21"/>
                <w:szCs w:val="21"/>
              </w:rPr>
            </w:pPr>
            <w:r>
              <w:rPr>
                <w:rFonts w:hint="eastAsia"/>
                <w:sz w:val="21"/>
                <w:szCs w:val="21"/>
              </w:rPr>
              <w:t>（</w:t>
            </w:r>
            <w:r>
              <w:rPr>
                <w:sz w:val="21"/>
                <w:szCs w:val="21"/>
              </w:rPr>
              <w:t>3</w:t>
            </w:r>
            <w:r>
              <w:rPr>
                <w:rFonts w:hint="eastAsia"/>
                <w:sz w:val="21"/>
                <w:szCs w:val="21"/>
              </w:rPr>
              <w:t>）项目建库人员通过地理信息系统应用水平二级测评、具有地理信息系统应用高级测评证书或信息系统项目管理师的，每人得</w:t>
            </w:r>
            <w:r>
              <w:rPr>
                <w:sz w:val="21"/>
                <w:szCs w:val="21"/>
              </w:rPr>
              <w:t>1</w:t>
            </w:r>
            <w:r>
              <w:rPr>
                <w:rFonts w:hint="eastAsia"/>
                <w:sz w:val="21"/>
                <w:szCs w:val="21"/>
              </w:rPr>
              <w:t>分，最高得</w:t>
            </w:r>
            <w:r>
              <w:rPr>
                <w:sz w:val="21"/>
                <w:szCs w:val="21"/>
              </w:rPr>
              <w:t>3</w:t>
            </w:r>
            <w:r>
              <w:rPr>
                <w:rFonts w:hint="eastAsia"/>
                <w:sz w:val="21"/>
                <w:szCs w:val="21"/>
              </w:rPr>
              <w:t>分。</w:t>
            </w:r>
          </w:p>
          <w:p>
            <w:pPr>
              <w:rPr>
                <w:sz w:val="21"/>
                <w:szCs w:val="21"/>
              </w:rPr>
            </w:pPr>
            <w:r>
              <w:rPr>
                <w:rFonts w:hint="eastAsia"/>
                <w:sz w:val="21"/>
                <w:szCs w:val="21"/>
              </w:rPr>
              <w:t>（</w:t>
            </w:r>
            <w:r>
              <w:rPr>
                <w:sz w:val="21"/>
                <w:szCs w:val="21"/>
              </w:rPr>
              <w:t>4</w:t>
            </w:r>
            <w:r>
              <w:rPr>
                <w:rFonts w:hint="eastAsia"/>
                <w:sz w:val="21"/>
                <w:szCs w:val="21"/>
              </w:rPr>
              <w:t>）投入本项目主要技术人员（不含</w:t>
            </w:r>
            <w:r>
              <w:rPr>
                <w:rFonts w:hint="eastAsia"/>
                <w:sz w:val="21"/>
                <w:szCs w:val="21"/>
                <w:lang w:eastAsia="zh-CN"/>
              </w:rPr>
              <w:t>项目负责人和技术负责人</w:t>
            </w:r>
            <w:r>
              <w:rPr>
                <w:rFonts w:hint="eastAsia"/>
                <w:sz w:val="21"/>
                <w:szCs w:val="21"/>
              </w:rPr>
              <w:t>）具有（土地调查或土地管理中级及以上职称、测绘与地理信息中级及以上职称、档案安全保密证书或档案管理培训合格证书、涉密测绘成果管理证书、数据库工程师及以上职称、测绘作业证）人员证书的，每类不少于两人得</w:t>
            </w:r>
            <w:r>
              <w:rPr>
                <w:sz w:val="21"/>
                <w:szCs w:val="21"/>
              </w:rPr>
              <w:t>1</w:t>
            </w:r>
            <w:r>
              <w:rPr>
                <w:rFonts w:hint="eastAsia"/>
                <w:sz w:val="21"/>
                <w:szCs w:val="21"/>
              </w:rPr>
              <w:t>分，每类不重复计分，最高</w:t>
            </w:r>
            <w:r>
              <w:rPr>
                <w:sz w:val="21"/>
                <w:szCs w:val="21"/>
              </w:rPr>
              <w:t>6</w:t>
            </w:r>
            <w:r>
              <w:rPr>
                <w:rFonts w:hint="eastAsia"/>
                <w:sz w:val="21"/>
                <w:szCs w:val="21"/>
              </w:rPr>
              <w:t>分。</w:t>
            </w:r>
          </w:p>
          <w:p>
            <w:pPr>
              <w:rPr>
                <w:sz w:val="21"/>
                <w:szCs w:val="21"/>
              </w:rPr>
            </w:pPr>
            <w:r>
              <w:rPr>
                <w:sz w:val="21"/>
                <w:szCs w:val="21"/>
              </w:rPr>
              <w:t xml:space="preserve"> </w:t>
            </w:r>
            <w:r>
              <w:rPr>
                <w:rFonts w:hint="eastAsia"/>
                <w:sz w:val="21"/>
                <w:szCs w:val="21"/>
              </w:rPr>
              <w:t>（</w:t>
            </w:r>
            <w:r>
              <w:rPr>
                <w:sz w:val="21"/>
                <w:szCs w:val="21"/>
              </w:rPr>
              <w:t>5</w:t>
            </w:r>
            <w:r>
              <w:rPr>
                <w:rFonts w:hint="eastAsia"/>
                <w:sz w:val="21"/>
                <w:szCs w:val="21"/>
              </w:rPr>
              <w:t>）拟投入本项目团队人员总计在</w:t>
            </w:r>
            <w:r>
              <w:rPr>
                <w:sz w:val="21"/>
                <w:szCs w:val="21"/>
              </w:rPr>
              <w:t>80</w:t>
            </w:r>
            <w:r>
              <w:rPr>
                <w:rFonts w:hint="eastAsia"/>
                <w:sz w:val="21"/>
                <w:szCs w:val="21"/>
              </w:rPr>
              <w:t>人以上的得</w:t>
            </w:r>
            <w:r>
              <w:rPr>
                <w:sz w:val="21"/>
                <w:szCs w:val="21"/>
              </w:rPr>
              <w:t>3</w:t>
            </w:r>
            <w:r>
              <w:rPr>
                <w:rFonts w:hint="eastAsia"/>
                <w:sz w:val="21"/>
                <w:szCs w:val="21"/>
              </w:rPr>
              <w:t>分，总计在</w:t>
            </w:r>
            <w:r>
              <w:rPr>
                <w:sz w:val="21"/>
                <w:szCs w:val="21"/>
              </w:rPr>
              <w:t>61</w:t>
            </w:r>
            <w:r>
              <w:rPr>
                <w:rFonts w:hint="eastAsia"/>
                <w:sz w:val="21"/>
                <w:szCs w:val="21"/>
              </w:rPr>
              <w:t>至</w:t>
            </w:r>
            <w:r>
              <w:rPr>
                <w:sz w:val="21"/>
                <w:szCs w:val="21"/>
              </w:rPr>
              <w:t>80</w:t>
            </w:r>
            <w:r>
              <w:rPr>
                <w:rFonts w:hint="eastAsia"/>
                <w:sz w:val="21"/>
                <w:szCs w:val="21"/>
              </w:rPr>
              <w:t>的得</w:t>
            </w:r>
            <w:r>
              <w:rPr>
                <w:sz w:val="21"/>
                <w:szCs w:val="21"/>
              </w:rPr>
              <w:t>2</w:t>
            </w:r>
            <w:r>
              <w:rPr>
                <w:rFonts w:hint="eastAsia"/>
                <w:sz w:val="21"/>
                <w:szCs w:val="21"/>
              </w:rPr>
              <w:t>分，在</w:t>
            </w:r>
            <w:r>
              <w:rPr>
                <w:sz w:val="21"/>
                <w:szCs w:val="21"/>
              </w:rPr>
              <w:t>41</w:t>
            </w:r>
            <w:r>
              <w:rPr>
                <w:rFonts w:hint="eastAsia"/>
                <w:sz w:val="21"/>
                <w:szCs w:val="21"/>
              </w:rPr>
              <w:t>人到</w:t>
            </w:r>
            <w:r>
              <w:rPr>
                <w:sz w:val="21"/>
                <w:szCs w:val="21"/>
              </w:rPr>
              <w:t>60</w:t>
            </w:r>
            <w:r>
              <w:rPr>
                <w:rFonts w:hint="eastAsia"/>
                <w:sz w:val="21"/>
                <w:szCs w:val="21"/>
              </w:rPr>
              <w:t>人的得</w:t>
            </w:r>
            <w:r>
              <w:rPr>
                <w:sz w:val="21"/>
                <w:szCs w:val="21"/>
              </w:rPr>
              <w:t>1</w:t>
            </w:r>
            <w:r>
              <w:rPr>
                <w:rFonts w:hint="eastAsia"/>
                <w:sz w:val="21"/>
                <w:szCs w:val="21"/>
              </w:rPr>
              <w:t>分，在</w:t>
            </w:r>
            <w:r>
              <w:rPr>
                <w:sz w:val="21"/>
                <w:szCs w:val="21"/>
              </w:rPr>
              <w:t>41</w:t>
            </w:r>
            <w:r>
              <w:rPr>
                <w:rFonts w:hint="eastAsia"/>
                <w:sz w:val="21"/>
                <w:szCs w:val="21"/>
              </w:rPr>
              <w:t>人以下的不得分。</w:t>
            </w:r>
          </w:p>
          <w:p>
            <w:pPr>
              <w:rPr>
                <w:rFonts w:hint="default" w:ascii="Times New Roman" w:hAnsi="Times New Roman" w:eastAsia="宋体" w:cs="Times New Roman"/>
                <w:bCs/>
                <w:sz w:val="21"/>
                <w:szCs w:val="21"/>
              </w:rPr>
            </w:pPr>
            <w:r>
              <w:rPr>
                <w:rFonts w:hint="eastAsia"/>
                <w:sz w:val="21"/>
                <w:szCs w:val="21"/>
              </w:rPr>
              <w:t>（以上人员需在投标文件商务技术响应文件中提供相关证书扫描件、在本单位近</w:t>
            </w:r>
            <w:r>
              <w:rPr>
                <w:sz w:val="21"/>
                <w:szCs w:val="21"/>
              </w:rPr>
              <w:t>3</w:t>
            </w:r>
            <w:r>
              <w:rPr>
                <w:rFonts w:hint="eastAsia"/>
                <w:sz w:val="21"/>
                <w:szCs w:val="21"/>
              </w:rPr>
              <w:t>个月社保缴纳证明以及其他相关证明材料扫描件并加盖本单位电子签章，否则不得分。）</w:t>
            </w:r>
          </w:p>
        </w:tc>
        <w:tc>
          <w:tcPr>
            <w:tcW w:w="690" w:type="dxa"/>
            <w:noWrap/>
            <w:vAlign w:val="center"/>
          </w:tcPr>
          <w:p>
            <w:pPr>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18</w:t>
            </w:r>
          </w:p>
        </w:tc>
        <w:tc>
          <w:tcPr>
            <w:tcW w:w="687" w:type="dxa"/>
            <w:noWrap/>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9</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仪器设备</w:t>
            </w:r>
          </w:p>
        </w:tc>
        <w:tc>
          <w:tcPr>
            <w:tcW w:w="6270" w:type="dxa"/>
            <w:noWrap/>
            <w:vAlign w:val="center"/>
          </w:tcPr>
          <w:p>
            <w:pPr>
              <w:widowControl/>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根据投标人提供的投入本项目的软件和仪器设备规格、型号、数量及配备的合理性进行打分，</w:t>
            </w:r>
            <w:r>
              <w:rPr>
                <w:rFonts w:hint="default" w:ascii="Times New Roman" w:hAnsi="Times New Roman" w:eastAsia="宋体" w:cs="Times New Roman"/>
                <w:sz w:val="21"/>
                <w:szCs w:val="21"/>
                <w:lang w:val="en-US" w:eastAsia="zh-CN"/>
              </w:rPr>
              <w:t>0-2</w:t>
            </w:r>
            <w:r>
              <w:rPr>
                <w:rFonts w:hint="default" w:ascii="Times New Roman" w:hAnsi="Times New Roman" w:eastAsia="宋体" w:cs="Times New Roman"/>
                <w:sz w:val="21"/>
                <w:szCs w:val="21"/>
              </w:rPr>
              <w:t>分。</w:t>
            </w:r>
          </w:p>
          <w:p>
            <w:pPr>
              <w:widowControl/>
              <w:snapToGrid w:val="0"/>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eastAsia="zh-CN"/>
              </w:rPr>
              <w:t>投标文件商务技术响应文件中</w:t>
            </w:r>
            <w:r>
              <w:rPr>
                <w:rFonts w:hint="default" w:ascii="Times New Roman" w:hAnsi="Times New Roman" w:eastAsia="宋体" w:cs="Times New Roman"/>
                <w:sz w:val="21"/>
                <w:szCs w:val="21"/>
              </w:rPr>
              <w:t>提供相关证明材料扫描件并加盖投标单位</w:t>
            </w:r>
            <w:r>
              <w:rPr>
                <w:rFonts w:hint="default" w:ascii="Times New Roman" w:hAnsi="Times New Roman" w:eastAsia="宋体" w:cs="Times New Roman"/>
                <w:sz w:val="21"/>
                <w:szCs w:val="21"/>
                <w:lang w:eastAsia="zh-CN"/>
              </w:rPr>
              <w:t>电子签章</w:t>
            </w:r>
            <w:r>
              <w:rPr>
                <w:rFonts w:hint="default" w:ascii="Times New Roman" w:hAnsi="Times New Roman" w:eastAsia="宋体" w:cs="Times New Roman"/>
                <w:sz w:val="21"/>
                <w:szCs w:val="21"/>
              </w:rPr>
              <w:t>。</w:t>
            </w:r>
          </w:p>
        </w:tc>
        <w:tc>
          <w:tcPr>
            <w:tcW w:w="69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w:t>
            </w:r>
          </w:p>
        </w:tc>
        <w:tc>
          <w:tcPr>
            <w:tcW w:w="687" w:type="dxa"/>
            <w:noWrap/>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10</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软件著作权</w:t>
            </w:r>
          </w:p>
        </w:tc>
        <w:tc>
          <w:tcPr>
            <w:tcW w:w="6270" w:type="dxa"/>
            <w:noWrap/>
            <w:vAlign w:val="center"/>
          </w:tcPr>
          <w:p>
            <w:pPr>
              <w:snapToGrid w:val="0"/>
              <w:rPr>
                <w:sz w:val="21"/>
                <w:szCs w:val="21"/>
              </w:rPr>
            </w:pPr>
            <w:r>
              <w:rPr>
                <w:rFonts w:hint="eastAsia"/>
                <w:sz w:val="21"/>
                <w:szCs w:val="21"/>
              </w:rPr>
              <w:t>投标人具有土地相关数据调查、数据采集、数据建库、数据汇交、质量检查系统或软件的著作权每个得</w:t>
            </w:r>
            <w:r>
              <w:rPr>
                <w:sz w:val="21"/>
                <w:szCs w:val="21"/>
              </w:rPr>
              <w:t>1</w:t>
            </w:r>
            <w:r>
              <w:rPr>
                <w:rFonts w:hint="eastAsia"/>
                <w:sz w:val="21"/>
                <w:szCs w:val="21"/>
              </w:rPr>
              <w:t>分（不重复计分），本项最高得</w:t>
            </w:r>
            <w:r>
              <w:rPr>
                <w:sz w:val="21"/>
                <w:szCs w:val="21"/>
              </w:rPr>
              <w:t>4</w:t>
            </w:r>
            <w:r>
              <w:rPr>
                <w:rFonts w:hint="eastAsia"/>
                <w:sz w:val="21"/>
                <w:szCs w:val="21"/>
              </w:rPr>
              <w:t>分。</w:t>
            </w:r>
          </w:p>
          <w:p>
            <w:pPr>
              <w:textAlignment w:val="center"/>
              <w:rPr>
                <w:rFonts w:hint="default" w:ascii="Times New Roman" w:hAnsi="Times New Roman" w:eastAsia="宋体" w:cs="Times New Roman"/>
                <w:bCs/>
                <w:sz w:val="21"/>
                <w:szCs w:val="21"/>
              </w:rPr>
            </w:pPr>
            <w:r>
              <w:rPr>
                <w:rFonts w:hint="eastAsia"/>
                <w:sz w:val="21"/>
                <w:szCs w:val="21"/>
              </w:rPr>
              <w:t>投标文件商务技术响应文件中须提供相关证书扫描件并加盖投标单位电子签章。</w:t>
            </w:r>
          </w:p>
        </w:tc>
        <w:tc>
          <w:tcPr>
            <w:tcW w:w="69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4</w:t>
            </w:r>
          </w:p>
        </w:tc>
        <w:tc>
          <w:tcPr>
            <w:tcW w:w="687" w:type="dxa"/>
            <w:noWrap/>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11</w:t>
            </w:r>
          </w:p>
        </w:tc>
        <w:tc>
          <w:tcPr>
            <w:tcW w:w="1530" w:type="dxa"/>
            <w:noWrap/>
            <w:vAlign w:val="center"/>
          </w:tcPr>
          <w:p>
            <w:pPr>
              <w:jc w:val="center"/>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sz w:val="21"/>
                <w:szCs w:val="21"/>
              </w:rPr>
              <w:t>合理化建议</w:t>
            </w:r>
          </w:p>
        </w:tc>
        <w:tc>
          <w:tcPr>
            <w:tcW w:w="6270" w:type="dxa"/>
            <w:noWrap/>
            <w:vAlign w:val="center"/>
          </w:tcPr>
          <w:p>
            <w:pPr>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sz w:val="21"/>
                <w:szCs w:val="21"/>
              </w:rPr>
              <w:t>投标人针对本项目提出的创新创优等合理化建议</w:t>
            </w:r>
            <w:r>
              <w:rPr>
                <w:rFonts w:hint="default" w:ascii="Times New Roman" w:hAnsi="Times New Roman" w:eastAsia="宋体" w:cs="Times New Roman"/>
                <w:sz w:val="21"/>
                <w:szCs w:val="21"/>
                <w:lang w:eastAsia="zh-CN"/>
              </w:rPr>
              <w:t>进行打分</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0-2分。</w:t>
            </w:r>
          </w:p>
        </w:tc>
        <w:tc>
          <w:tcPr>
            <w:tcW w:w="690" w:type="dxa"/>
            <w:noWrap/>
            <w:vAlign w:val="center"/>
          </w:tcPr>
          <w:p>
            <w:pPr>
              <w:jc w:val="center"/>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sz w:val="21"/>
                <w:szCs w:val="21"/>
                <w:lang w:val="en-US" w:eastAsia="zh-CN"/>
              </w:rPr>
              <w:t>2</w:t>
            </w:r>
          </w:p>
        </w:tc>
        <w:tc>
          <w:tcPr>
            <w:tcW w:w="687" w:type="dxa"/>
            <w:noWrap/>
            <w:vAlign w:val="center"/>
          </w:tcPr>
          <w:p>
            <w:pPr>
              <w:jc w:val="center"/>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sz w:val="21"/>
                <w:szCs w:val="21"/>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12</w:t>
            </w:r>
          </w:p>
        </w:tc>
        <w:tc>
          <w:tcPr>
            <w:tcW w:w="1530" w:type="dxa"/>
            <w:noWrap/>
            <w:vAlign w:val="center"/>
          </w:tcPr>
          <w:p>
            <w:pPr>
              <w:jc w:val="center"/>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sz w:val="21"/>
                <w:szCs w:val="21"/>
              </w:rPr>
              <w:t>本地化服务及售后服务</w:t>
            </w:r>
          </w:p>
        </w:tc>
        <w:tc>
          <w:tcPr>
            <w:tcW w:w="6270" w:type="dxa"/>
            <w:noWrap/>
            <w:vAlign w:val="center"/>
          </w:tcPr>
          <w:p>
            <w:pPr>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sz w:val="21"/>
                <w:szCs w:val="21"/>
              </w:rPr>
              <w:t>根据投标人本地化服务能力、应急响应时间、和提供的维护服务方案、售后服务承诺的可行性、完整性、合理性以及服务承诺落实的保障措施、人员安排等进行打分，</w:t>
            </w:r>
            <w:r>
              <w:rPr>
                <w:rFonts w:hint="default" w:ascii="Times New Roman" w:hAnsi="Times New Roman" w:eastAsia="宋体" w:cs="Times New Roman"/>
                <w:sz w:val="21"/>
                <w:szCs w:val="21"/>
                <w:lang w:val="en-US" w:eastAsia="zh-CN"/>
              </w:rPr>
              <w:t>0-4分。</w:t>
            </w:r>
          </w:p>
        </w:tc>
        <w:tc>
          <w:tcPr>
            <w:tcW w:w="690" w:type="dxa"/>
            <w:noWrap/>
            <w:vAlign w:val="center"/>
          </w:tcPr>
          <w:p>
            <w:pPr>
              <w:jc w:val="center"/>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sz w:val="21"/>
                <w:szCs w:val="21"/>
              </w:rPr>
              <w:t>4</w:t>
            </w:r>
          </w:p>
        </w:tc>
        <w:tc>
          <w:tcPr>
            <w:tcW w:w="687" w:type="dxa"/>
            <w:noWrap/>
            <w:vAlign w:val="center"/>
          </w:tcPr>
          <w:p>
            <w:pPr>
              <w:jc w:val="center"/>
              <w:rPr>
                <w:rFonts w:hint="default" w:ascii="Times New Roman" w:hAnsi="Times New Roman" w:eastAsia="宋体" w:cs="Times New Roman"/>
                <w:bCs/>
                <w:sz w:val="21"/>
                <w:szCs w:val="21"/>
                <w:lang w:val="en-US" w:eastAsia="zh-CN" w:bidi="ar-SA"/>
              </w:rPr>
            </w:pPr>
            <w:r>
              <w:rPr>
                <w:rFonts w:hint="default" w:ascii="Times New Roman" w:hAnsi="Times New Roman" w:eastAsia="宋体" w:cs="Times New Roman"/>
                <w:bCs/>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报价分</w:t>
            </w:r>
          </w:p>
        </w:tc>
        <w:tc>
          <w:tcPr>
            <w:tcW w:w="6270" w:type="dxa"/>
            <w:noWrap/>
          </w:tcPr>
          <w:p>
            <w:pPr>
              <w:adjustRightInd w:val="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1、以符合招标文件要求且投标价格最低的投标报价为评标基准价，其报价得分为满分。</w:t>
            </w:r>
          </w:p>
          <w:p>
            <w:pPr>
              <w:adjustRightInd w:val="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2、其他投标人的报价分统一按照下列公式计算：</w:t>
            </w:r>
          </w:p>
          <w:p>
            <w:pPr>
              <w:adjustRightInd w:val="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报价分＝（评标基准价／投标报价）×10，计算结果保留2位小数（第三位小数四舍五入）。</w:t>
            </w:r>
          </w:p>
          <w:p>
            <w:pPr>
              <w:adjustRightInd w:val="0"/>
              <w:rPr>
                <w:rFonts w:hint="default" w:ascii="Times New Roman" w:hAnsi="Times New Roman" w:eastAsia="宋体" w:cs="Times New Roman"/>
                <w:bCs/>
                <w:strike/>
                <w:sz w:val="21"/>
                <w:szCs w:val="21"/>
              </w:rPr>
            </w:pPr>
            <w:r>
              <w:rPr>
                <w:rFonts w:hint="default" w:ascii="Times New Roman" w:hAnsi="Times New Roman" w:eastAsia="宋体" w:cs="Times New Roman"/>
                <w:bCs/>
                <w:sz w:val="21"/>
                <w:szCs w:val="21"/>
              </w:rPr>
              <w:t>（注：对于小型和微型企业产品的价格给予20%的扣除，对于符合条件的联合体的报价给予6%的扣除，用扣除后的价格参加评审，是否给予价格扣除按第二章投标须知7.2条要求认定。）</w:t>
            </w:r>
          </w:p>
        </w:tc>
        <w:tc>
          <w:tcPr>
            <w:tcW w:w="1377" w:type="dxa"/>
            <w:gridSpan w:val="2"/>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7" w:type="dxa"/>
            <w:noWrap/>
            <w:vAlign w:val="center"/>
          </w:tcPr>
          <w:p>
            <w:pPr>
              <w:ind w:firstLine="105" w:firstLineChars="5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综合得分</w:t>
            </w:r>
          </w:p>
        </w:tc>
        <w:tc>
          <w:tcPr>
            <w:tcW w:w="6270" w:type="dxa"/>
            <w:noWrap/>
            <w:vAlign w:val="center"/>
          </w:tcPr>
          <w:p>
            <w:pP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投标单位综合得分=商务技术分+报价分</w:t>
            </w:r>
          </w:p>
        </w:tc>
        <w:tc>
          <w:tcPr>
            <w:tcW w:w="1377" w:type="dxa"/>
            <w:gridSpan w:val="2"/>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100分</w:t>
            </w:r>
          </w:p>
        </w:tc>
      </w:tr>
    </w:tbl>
    <w:p>
      <w:pPr>
        <w:rPr>
          <w:rFonts w:hint="default" w:ascii="Times New Roman" w:hAnsi="Times New Roman" w:eastAsia="宋体" w:cs="Times New Roman"/>
        </w:rPr>
      </w:pPr>
    </w:p>
    <w:bookmarkEnd w:id="89"/>
    <w:bookmarkEnd w:id="90"/>
    <w:bookmarkEnd w:id="91"/>
    <w:p>
      <w:pPr>
        <w:rPr>
          <w:rFonts w:hint="default" w:ascii="Times New Roman" w:hAnsi="Times New Roman" w:eastAsia="宋体" w:cs="Times New Roman"/>
          <w:highlight w:val="none"/>
          <w:lang w:eastAsia="zh-CN"/>
        </w:rPr>
      </w:pPr>
      <w:bookmarkStart w:id="100" w:name="_Toc187829774"/>
      <w:bookmarkStart w:id="101" w:name="_Toc238878129"/>
      <w:bookmarkStart w:id="102" w:name="_Toc274303259"/>
      <w:bookmarkStart w:id="103" w:name="_Toc213038698"/>
      <w:bookmarkStart w:id="104" w:name="_Toc423012136"/>
      <w:bookmarkStart w:id="105" w:name="_Toc235778631"/>
      <w:r>
        <w:rPr>
          <w:rFonts w:hint="default" w:ascii="Times New Roman" w:hAnsi="Times New Roman" w:eastAsia="宋体" w:cs="Times New Roman"/>
          <w:b/>
          <w:highlight w:val="none"/>
          <w:lang w:eastAsia="zh-CN"/>
        </w:rPr>
        <w:t>标项二、标项三：</w:t>
      </w:r>
    </w:p>
    <w:tbl>
      <w:tblPr>
        <w:tblStyle w:val="57"/>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530"/>
        <w:gridCol w:w="6270"/>
        <w:gridCol w:w="69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序号</w:t>
            </w:r>
          </w:p>
        </w:tc>
        <w:tc>
          <w:tcPr>
            <w:tcW w:w="1530" w:type="dxa"/>
            <w:noWrap/>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评分内容</w:t>
            </w:r>
          </w:p>
        </w:tc>
        <w:tc>
          <w:tcPr>
            <w:tcW w:w="6270" w:type="dxa"/>
            <w:noWrap/>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评分细则</w:t>
            </w:r>
          </w:p>
        </w:tc>
        <w:tc>
          <w:tcPr>
            <w:tcW w:w="69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分值</w:t>
            </w:r>
          </w:p>
        </w:tc>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一</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商务技术分</w:t>
            </w:r>
          </w:p>
        </w:tc>
        <w:tc>
          <w:tcPr>
            <w:tcW w:w="6270" w:type="dxa"/>
            <w:noWrap/>
          </w:tcPr>
          <w:p>
            <w:pP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评标委员会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69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highlight w:val="none"/>
              </w:rPr>
              <w:t>90分</w:t>
            </w:r>
          </w:p>
        </w:tc>
        <w:tc>
          <w:tcPr>
            <w:tcW w:w="687" w:type="dxa"/>
            <w:noWrap/>
            <w:vAlign w:val="center"/>
          </w:tcPr>
          <w:p>
            <w:pPr>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87" w:type="dxa"/>
            <w:noWrap/>
            <w:vAlign w:val="center"/>
          </w:tcPr>
          <w:p>
            <w:pPr>
              <w:jc w:val="center"/>
              <w:rPr>
                <w:rFonts w:hint="default" w:ascii="Times New Roman" w:hAnsi="Times New Roman" w:eastAsia="宋体" w:cs="Times New Roman"/>
                <w:bCs/>
                <w:sz w:val="21"/>
                <w:szCs w:val="21"/>
              </w:rPr>
            </w:pP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c>
          <w:tcPr>
            <w:tcW w:w="1530" w:type="dxa"/>
            <w:noWrap/>
            <w:vAlign w:val="center"/>
          </w:tcPr>
          <w:p>
            <w:pPr>
              <w:jc w:val="center"/>
              <w:rPr>
                <w:rFonts w:hint="default" w:ascii="Times New Roman" w:hAnsi="Times New Roman" w:eastAsia="宋体" w:cs="Times New Roman"/>
                <w:sz w:val="21"/>
                <w:szCs w:val="21"/>
              </w:rPr>
            </w:pPr>
          </w:p>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rPr>
              <w:t>企业实力信誉</w:t>
            </w:r>
          </w:p>
        </w:tc>
        <w:tc>
          <w:tcPr>
            <w:tcW w:w="6270" w:type="dxa"/>
            <w:noWrap/>
            <w:vAlign w:val="center"/>
          </w:tcPr>
          <w:p>
            <w:pPr>
              <w:pStyle w:val="77"/>
              <w:spacing w:line="320" w:lineRule="exact"/>
              <w:ind w:firstLine="0" w:firstLineChars="0"/>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Times New Roman"/>
                <w:sz w:val="21"/>
                <w:szCs w:val="21"/>
                <w:highlight w:val="none"/>
              </w:rPr>
              <w:t>、投标人具有测绘成果及资料档案和保密工作合格证书，或测绘类相关安全生产许可证的得</w:t>
            </w:r>
            <w:r>
              <w:rPr>
                <w:rFonts w:ascii="Times New Roman" w:hAnsi="Times New Roman"/>
                <w:sz w:val="21"/>
                <w:szCs w:val="21"/>
                <w:highlight w:val="none"/>
              </w:rPr>
              <w:t>2</w:t>
            </w:r>
            <w:r>
              <w:rPr>
                <w:rFonts w:hint="eastAsia" w:ascii="Times New Roman" w:hAnsi="Times New Roman"/>
                <w:sz w:val="21"/>
                <w:szCs w:val="21"/>
                <w:highlight w:val="none"/>
              </w:rPr>
              <w:t>分。</w:t>
            </w:r>
          </w:p>
          <w:p>
            <w:pPr>
              <w:rPr>
                <w:szCs w:val="21"/>
                <w:highlight w:val="none"/>
              </w:rPr>
            </w:pPr>
            <w:r>
              <w:rPr>
                <w:szCs w:val="21"/>
                <w:highlight w:val="none"/>
              </w:rPr>
              <w:t>2</w:t>
            </w:r>
            <w:r>
              <w:rPr>
                <w:rFonts w:hint="eastAsia"/>
                <w:szCs w:val="21"/>
                <w:highlight w:val="none"/>
              </w:rPr>
              <w:t>、</w:t>
            </w:r>
            <w:r>
              <w:rPr>
                <w:rFonts w:hint="eastAsia"/>
                <w:sz w:val="21"/>
                <w:szCs w:val="21"/>
                <w:highlight w:val="none"/>
              </w:rPr>
              <w:t>投标人承担过省级及以上宅基地或测绘地理信息类标准编制的每个得</w:t>
            </w:r>
            <w:r>
              <w:rPr>
                <w:sz w:val="21"/>
                <w:szCs w:val="21"/>
                <w:highlight w:val="none"/>
              </w:rPr>
              <w:t>1</w:t>
            </w:r>
            <w:r>
              <w:rPr>
                <w:rFonts w:hint="eastAsia"/>
                <w:sz w:val="21"/>
                <w:szCs w:val="21"/>
                <w:highlight w:val="none"/>
              </w:rPr>
              <w:t>分，最高得</w:t>
            </w:r>
            <w:r>
              <w:rPr>
                <w:sz w:val="21"/>
                <w:szCs w:val="21"/>
                <w:highlight w:val="none"/>
              </w:rPr>
              <w:t>2</w:t>
            </w:r>
            <w:r>
              <w:rPr>
                <w:rFonts w:hint="eastAsia"/>
                <w:sz w:val="21"/>
                <w:szCs w:val="21"/>
                <w:highlight w:val="none"/>
              </w:rPr>
              <w:t>分。</w:t>
            </w:r>
          </w:p>
          <w:p>
            <w:pPr>
              <w:pStyle w:val="77"/>
              <w:spacing w:line="320" w:lineRule="exact"/>
              <w:ind w:firstLine="0" w:firstLineChars="0"/>
              <w:rPr>
                <w:rFonts w:ascii="Times New Roman" w:hAnsi="Times New Roman"/>
                <w:sz w:val="21"/>
                <w:szCs w:val="21"/>
                <w:highlight w:val="none"/>
              </w:rPr>
            </w:pPr>
            <w:r>
              <w:rPr>
                <w:rFonts w:ascii="Times New Roman" w:hAnsi="Times New Roman"/>
                <w:sz w:val="21"/>
                <w:szCs w:val="21"/>
                <w:highlight w:val="none"/>
              </w:rPr>
              <w:t>3</w:t>
            </w:r>
            <w:r>
              <w:rPr>
                <w:rFonts w:hint="eastAsia" w:ascii="Times New Roman" w:hAnsi="Times New Roman"/>
                <w:sz w:val="21"/>
                <w:szCs w:val="21"/>
                <w:highlight w:val="none"/>
              </w:rPr>
              <w:t>、投标人开发的数据库建库软件或地理信息系统平台通过国家权威机构测试的得</w:t>
            </w:r>
            <w:r>
              <w:rPr>
                <w:rFonts w:ascii="Times New Roman" w:hAnsi="Times New Roman"/>
                <w:sz w:val="21"/>
                <w:szCs w:val="21"/>
                <w:highlight w:val="none"/>
              </w:rPr>
              <w:t>1</w:t>
            </w:r>
            <w:r>
              <w:rPr>
                <w:rFonts w:hint="eastAsia" w:ascii="Times New Roman" w:hAnsi="Times New Roman"/>
                <w:sz w:val="21"/>
                <w:szCs w:val="21"/>
                <w:highlight w:val="none"/>
              </w:rPr>
              <w:t>分。</w:t>
            </w:r>
          </w:p>
          <w:p>
            <w:pPr>
              <w:pStyle w:val="77"/>
              <w:numPr>
                <w:ilvl w:val="0"/>
                <w:numId w:val="0"/>
              </w:numPr>
              <w:spacing w:line="320" w:lineRule="exact"/>
              <w:jc w:val="left"/>
              <w:rPr>
                <w:rFonts w:hint="default" w:ascii="Times New Roman" w:hAnsi="Times New Roman" w:eastAsia="宋体" w:cs="Times New Roman"/>
                <w:bCs/>
                <w:sz w:val="21"/>
                <w:szCs w:val="21"/>
                <w:highlight w:val="none"/>
              </w:rPr>
            </w:pPr>
            <w:r>
              <w:rPr>
                <w:rFonts w:hint="eastAsia" w:ascii="Times New Roman" w:hAnsi="Times New Roman"/>
                <w:sz w:val="21"/>
                <w:szCs w:val="21"/>
                <w:highlight w:val="none"/>
              </w:rPr>
              <w:t>投标文件商务技术响应文件中提供证书和</w:t>
            </w:r>
            <w:r>
              <w:rPr>
                <w:rFonts w:hint="eastAsia"/>
                <w:sz w:val="21"/>
                <w:szCs w:val="21"/>
                <w:highlight w:val="none"/>
              </w:rPr>
              <w:t>佐证材料并</w:t>
            </w:r>
            <w:r>
              <w:rPr>
                <w:rFonts w:hint="eastAsia" w:ascii="Times New Roman" w:hAnsi="Times New Roman"/>
                <w:sz w:val="21"/>
                <w:szCs w:val="21"/>
                <w:highlight w:val="none"/>
              </w:rPr>
              <w:t>扫描件加盖投标单位电子签章，未提供不得分。</w:t>
            </w:r>
          </w:p>
        </w:tc>
        <w:tc>
          <w:tcPr>
            <w:tcW w:w="690" w:type="dxa"/>
            <w:noWrap/>
            <w:vAlign w:val="center"/>
          </w:tcPr>
          <w:p>
            <w:pPr>
              <w:jc w:val="center"/>
              <w:rPr>
                <w:rFonts w:hint="default" w:ascii="Times New Roman" w:hAnsi="Times New Roman" w:eastAsia="宋体" w:cs="Times New Roman"/>
                <w:color w:val="000000"/>
                <w:sz w:val="21"/>
                <w:szCs w:val="21"/>
                <w:lang w:val="en-US" w:eastAsia="zh-CN"/>
              </w:rPr>
            </w:pPr>
          </w:p>
          <w:p>
            <w:pPr>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5</w:t>
            </w:r>
          </w:p>
        </w:tc>
        <w:tc>
          <w:tcPr>
            <w:tcW w:w="687" w:type="dxa"/>
            <w:noWrap/>
            <w:vAlign w:val="center"/>
          </w:tcPr>
          <w:p>
            <w:pPr>
              <w:jc w:val="center"/>
              <w:rPr>
                <w:rFonts w:hint="default" w:ascii="Times New Roman" w:hAnsi="Times New Roman" w:eastAsia="宋体" w:cs="Times New Roman"/>
                <w:bCs/>
                <w:sz w:val="21"/>
                <w:szCs w:val="21"/>
              </w:rPr>
            </w:pP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奖项</w:t>
            </w:r>
          </w:p>
        </w:tc>
        <w:tc>
          <w:tcPr>
            <w:tcW w:w="6270" w:type="dxa"/>
            <w:noWrap/>
            <w:vAlign w:val="center"/>
          </w:tcPr>
          <w:p>
            <w:pPr>
              <w:pStyle w:val="77"/>
              <w:spacing w:line="320" w:lineRule="exact"/>
              <w:ind w:firstLine="0" w:firstLineChars="0"/>
              <w:rPr>
                <w:rFonts w:ascii="Times New Roman" w:hAnsi="Times New Roman"/>
                <w:sz w:val="21"/>
                <w:szCs w:val="21"/>
                <w:highlight w:val="none"/>
              </w:rPr>
            </w:pPr>
            <w:r>
              <w:rPr>
                <w:rFonts w:hint="eastAsia" w:ascii="Times New Roman" w:hAnsi="Times New Roman"/>
                <w:sz w:val="21"/>
                <w:szCs w:val="21"/>
                <w:highlight w:val="none"/>
              </w:rPr>
              <w:t>投标人承担的地理信息类、调查类或测绘类项目获得省级及以上科学技术奖或科技进步奖，或获得省级及以上政府部门表彰的，每个得</w:t>
            </w:r>
            <w:r>
              <w:rPr>
                <w:rFonts w:ascii="Times New Roman" w:hAnsi="Times New Roman"/>
                <w:sz w:val="21"/>
                <w:szCs w:val="21"/>
                <w:highlight w:val="none"/>
              </w:rPr>
              <w:t>1</w:t>
            </w:r>
            <w:r>
              <w:rPr>
                <w:rFonts w:hint="eastAsia" w:ascii="Times New Roman" w:hAnsi="Times New Roman"/>
                <w:sz w:val="21"/>
                <w:szCs w:val="21"/>
                <w:highlight w:val="none"/>
              </w:rPr>
              <w:t>分，最高得3分。</w:t>
            </w:r>
          </w:p>
          <w:p>
            <w:pPr>
              <w:rPr>
                <w:rFonts w:hint="default" w:ascii="Times New Roman" w:hAnsi="Times New Roman" w:eastAsia="宋体" w:cs="Times New Roman"/>
                <w:bCs/>
                <w:sz w:val="21"/>
                <w:szCs w:val="21"/>
                <w:highlight w:val="none"/>
                <w:lang w:val="en-US" w:eastAsia="zh-CN" w:bidi="ar-SA"/>
              </w:rPr>
            </w:pPr>
            <w:r>
              <w:rPr>
                <w:rFonts w:hint="eastAsia"/>
                <w:bCs/>
                <w:sz w:val="21"/>
                <w:szCs w:val="21"/>
                <w:highlight w:val="none"/>
              </w:rPr>
              <w:t>投标文件商务技术响应文件中提供佐证材料扫描件加盖投标单位电子签章，未提供不得分。</w:t>
            </w:r>
            <w:r>
              <w:rPr>
                <w:rFonts w:hint="eastAsia"/>
                <w:sz w:val="21"/>
                <w:szCs w:val="21"/>
                <w:highlight w:val="none"/>
              </w:rPr>
              <w:t>是否有效以评标委员会集体认定为准。</w:t>
            </w:r>
          </w:p>
        </w:tc>
        <w:tc>
          <w:tcPr>
            <w:tcW w:w="690" w:type="dxa"/>
            <w:noWrap/>
            <w:vAlign w:val="center"/>
          </w:tcPr>
          <w:p>
            <w:pPr>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3</w:t>
            </w:r>
          </w:p>
        </w:tc>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3</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同类业绩</w:t>
            </w:r>
          </w:p>
        </w:tc>
        <w:tc>
          <w:tcPr>
            <w:tcW w:w="6270" w:type="dxa"/>
            <w:noWrap/>
            <w:vAlign w:val="center"/>
          </w:tcPr>
          <w:p>
            <w:pPr>
              <w:rPr>
                <w:sz w:val="21"/>
                <w:szCs w:val="21"/>
                <w:highlight w:val="none"/>
              </w:rPr>
            </w:pPr>
            <w:r>
              <w:rPr>
                <w:rFonts w:hint="eastAsia"/>
                <w:sz w:val="21"/>
                <w:szCs w:val="21"/>
                <w:highlight w:val="none"/>
              </w:rPr>
              <w:t>投标方自</w:t>
            </w:r>
            <w:r>
              <w:rPr>
                <w:sz w:val="21"/>
                <w:szCs w:val="21"/>
                <w:highlight w:val="none"/>
              </w:rPr>
              <w:t>2020</w:t>
            </w:r>
            <w:r>
              <w:rPr>
                <w:rFonts w:hint="eastAsia"/>
                <w:sz w:val="21"/>
                <w:szCs w:val="21"/>
                <w:highlight w:val="none"/>
              </w:rPr>
              <w:t>年</w:t>
            </w:r>
            <w:r>
              <w:rPr>
                <w:sz w:val="21"/>
                <w:szCs w:val="21"/>
                <w:highlight w:val="none"/>
              </w:rPr>
              <w:t>1</w:t>
            </w:r>
            <w:r>
              <w:rPr>
                <w:rFonts w:hint="eastAsia"/>
                <w:sz w:val="21"/>
                <w:szCs w:val="21"/>
                <w:highlight w:val="none"/>
              </w:rPr>
              <w:t>月</w:t>
            </w:r>
            <w:r>
              <w:rPr>
                <w:sz w:val="21"/>
                <w:szCs w:val="21"/>
                <w:highlight w:val="none"/>
              </w:rPr>
              <w:t>1</w:t>
            </w:r>
            <w:r>
              <w:rPr>
                <w:rFonts w:hint="eastAsia"/>
                <w:sz w:val="21"/>
                <w:szCs w:val="21"/>
                <w:highlight w:val="none"/>
              </w:rPr>
              <w:t>日以来（以合同签订日期为准）承担过宅基地改革类似项目业绩的，每提供一个项目得</w:t>
            </w:r>
            <w:r>
              <w:rPr>
                <w:sz w:val="21"/>
                <w:szCs w:val="21"/>
                <w:highlight w:val="none"/>
              </w:rPr>
              <w:t>0.25</w:t>
            </w:r>
            <w:r>
              <w:rPr>
                <w:rFonts w:hint="eastAsia"/>
                <w:sz w:val="21"/>
                <w:szCs w:val="21"/>
                <w:highlight w:val="none"/>
              </w:rPr>
              <w:t>分，最多得</w:t>
            </w:r>
            <w:r>
              <w:rPr>
                <w:sz w:val="21"/>
                <w:szCs w:val="21"/>
                <w:highlight w:val="none"/>
              </w:rPr>
              <w:t>1</w:t>
            </w:r>
            <w:r>
              <w:rPr>
                <w:rFonts w:hint="eastAsia"/>
                <w:sz w:val="21"/>
                <w:szCs w:val="21"/>
                <w:highlight w:val="none"/>
              </w:rPr>
              <w:t>分。</w:t>
            </w:r>
          </w:p>
          <w:p>
            <w:pPr>
              <w:rPr>
                <w:rFonts w:hint="default" w:ascii="Times New Roman" w:hAnsi="Times New Roman" w:eastAsia="宋体" w:cs="Times New Roman"/>
                <w:bCs/>
                <w:sz w:val="21"/>
                <w:szCs w:val="21"/>
                <w:highlight w:val="none"/>
                <w:lang w:val="en-US" w:eastAsia="zh-CN" w:bidi="ar-SA"/>
              </w:rPr>
            </w:pPr>
            <w:r>
              <w:rPr>
                <w:rFonts w:hint="eastAsia"/>
                <w:bCs/>
                <w:sz w:val="21"/>
                <w:szCs w:val="21"/>
                <w:highlight w:val="none"/>
              </w:rPr>
              <w:t>投标文件商务技术响应文件中提供合同扫描件加盖投标单位电子签章，提供的合同扫描件清单内容能体现类似项目情况，否则不得分。</w:t>
            </w:r>
            <w:r>
              <w:rPr>
                <w:rFonts w:hint="eastAsia"/>
                <w:sz w:val="21"/>
                <w:szCs w:val="21"/>
                <w:highlight w:val="none"/>
              </w:rPr>
              <w:t>业绩是否有效以评标委员会集体认定为准。</w:t>
            </w:r>
          </w:p>
        </w:tc>
        <w:tc>
          <w:tcPr>
            <w:tcW w:w="690" w:type="dxa"/>
            <w:noWrap/>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rPr>
              <w:t>1</w:t>
            </w:r>
          </w:p>
        </w:tc>
        <w:tc>
          <w:tcPr>
            <w:tcW w:w="687" w:type="dxa"/>
            <w:noWrap/>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87" w:type="dxa"/>
            <w:vMerge w:val="restart"/>
            <w:noWrap/>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4</w:t>
            </w:r>
          </w:p>
        </w:tc>
        <w:tc>
          <w:tcPr>
            <w:tcW w:w="1530" w:type="dxa"/>
            <w:vMerge w:val="restart"/>
            <w:noWrap/>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项目认识程度</w:t>
            </w:r>
          </w:p>
        </w:tc>
        <w:tc>
          <w:tcPr>
            <w:tcW w:w="6270" w:type="dxa"/>
            <w:noWrap/>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根据投标人对本项目的建设背景、建设目标、建设内容、现状、难点、重点及存在的问题等</w:t>
            </w:r>
            <w:r>
              <w:rPr>
                <w:rFonts w:hint="default" w:ascii="Times New Roman" w:hAnsi="Times New Roman" w:eastAsia="宋体" w:cs="Times New Roman"/>
                <w:sz w:val="21"/>
                <w:szCs w:val="21"/>
                <w:lang w:eastAsia="zh-CN"/>
              </w:rPr>
              <w:t>的</w:t>
            </w:r>
            <w:r>
              <w:rPr>
                <w:rFonts w:hint="default" w:ascii="Times New Roman" w:hAnsi="Times New Roman" w:eastAsia="宋体" w:cs="Times New Roman"/>
                <w:sz w:val="21"/>
                <w:szCs w:val="21"/>
              </w:rPr>
              <w:t>理解</w:t>
            </w:r>
            <w:r>
              <w:rPr>
                <w:rFonts w:hint="default" w:ascii="Times New Roman" w:hAnsi="Times New Roman" w:eastAsia="宋体" w:cs="Times New Roman"/>
                <w:sz w:val="21"/>
                <w:szCs w:val="21"/>
                <w:lang w:eastAsia="zh-CN"/>
              </w:rPr>
              <w:t>程度进行打分，</w:t>
            </w:r>
            <w:r>
              <w:rPr>
                <w:rFonts w:hint="default" w:ascii="Times New Roman" w:hAnsi="Times New Roman" w:eastAsia="宋体" w:cs="Times New Roman"/>
                <w:sz w:val="21"/>
                <w:szCs w:val="21"/>
              </w:rPr>
              <w:t>0-2分</w:t>
            </w:r>
            <w:r>
              <w:rPr>
                <w:rFonts w:hint="default" w:ascii="Times New Roman" w:hAnsi="Times New Roman" w:eastAsia="宋体" w:cs="Times New Roman"/>
                <w:sz w:val="21"/>
                <w:szCs w:val="21"/>
                <w:lang w:eastAsia="zh-CN"/>
              </w:rPr>
              <w:t>。</w:t>
            </w:r>
          </w:p>
        </w:tc>
        <w:tc>
          <w:tcPr>
            <w:tcW w:w="690" w:type="dxa"/>
            <w:vMerge w:val="restart"/>
            <w:noWrap/>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687" w:type="dxa"/>
            <w:noWrap/>
            <w:vAlign w:val="center"/>
          </w:tcPr>
          <w:p>
            <w:pPr>
              <w:jc w:val="center"/>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根据投标人</w:t>
            </w:r>
            <w:r>
              <w:rPr>
                <w:rFonts w:hint="default" w:ascii="Times New Roman" w:hAnsi="Times New Roman" w:eastAsia="宋体" w:cs="Times New Roman"/>
                <w:sz w:val="21"/>
                <w:szCs w:val="21"/>
              </w:rPr>
              <w:t>提出针对本项目建设的需求理解</w:t>
            </w:r>
            <w:r>
              <w:rPr>
                <w:rFonts w:hint="default" w:ascii="Times New Roman" w:hAnsi="Times New Roman" w:eastAsia="宋体" w:cs="Times New Roman"/>
                <w:sz w:val="21"/>
                <w:szCs w:val="21"/>
                <w:lang w:eastAsia="zh-CN"/>
              </w:rPr>
              <w:t>进行打分，</w:t>
            </w:r>
            <w:r>
              <w:rPr>
                <w:rFonts w:hint="default" w:ascii="Times New Roman" w:hAnsi="Times New Roman" w:eastAsia="宋体" w:cs="Times New Roman"/>
                <w:sz w:val="21"/>
                <w:szCs w:val="21"/>
              </w:rPr>
              <w:t>0-2分</w:t>
            </w:r>
            <w:r>
              <w:rPr>
                <w:rFonts w:hint="default" w:ascii="Times New Roman" w:hAnsi="Times New Roman" w:eastAsia="宋体" w:cs="Times New Roman"/>
                <w:sz w:val="21"/>
                <w:szCs w:val="21"/>
                <w:lang w:eastAsia="zh-CN"/>
              </w:rPr>
              <w:t>。</w:t>
            </w:r>
          </w:p>
        </w:tc>
        <w:tc>
          <w:tcPr>
            <w:tcW w:w="690" w:type="dxa"/>
            <w:vMerge w:val="continue"/>
            <w:noWrap/>
            <w:vAlign w:val="center"/>
          </w:tcPr>
          <w:p>
            <w:pPr>
              <w:jc w:val="center"/>
              <w:rPr>
                <w:rFonts w:hint="default" w:ascii="Times New Roman" w:hAnsi="Times New Roman" w:eastAsia="宋体" w:cs="Times New Roman"/>
                <w:sz w:val="21"/>
                <w:szCs w:val="21"/>
                <w:lang w:val="en-US" w:eastAsia="zh-CN"/>
              </w:rPr>
            </w:pPr>
          </w:p>
        </w:tc>
        <w:tc>
          <w:tcPr>
            <w:tcW w:w="687" w:type="dxa"/>
            <w:noWrap/>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根据投标人</w:t>
            </w:r>
            <w:r>
              <w:rPr>
                <w:rFonts w:hint="default" w:ascii="Times New Roman" w:hAnsi="Times New Roman" w:eastAsia="宋体" w:cs="Times New Roman"/>
                <w:sz w:val="21"/>
                <w:szCs w:val="21"/>
              </w:rPr>
              <w:t>对项目涉及的业务分析</w:t>
            </w:r>
            <w:r>
              <w:rPr>
                <w:rFonts w:hint="default" w:ascii="Times New Roman" w:hAnsi="Times New Roman" w:eastAsia="宋体" w:cs="Times New Roman"/>
                <w:sz w:val="21"/>
                <w:szCs w:val="21"/>
                <w:lang w:eastAsia="zh-CN"/>
              </w:rPr>
              <w:t>进行打分，</w:t>
            </w:r>
            <w:r>
              <w:rPr>
                <w:rFonts w:hint="default" w:ascii="Times New Roman" w:hAnsi="Times New Roman" w:eastAsia="宋体" w:cs="Times New Roman"/>
                <w:sz w:val="21"/>
                <w:szCs w:val="21"/>
              </w:rPr>
              <w:t>0-2分</w:t>
            </w:r>
            <w:r>
              <w:rPr>
                <w:rFonts w:hint="default" w:ascii="Times New Roman" w:hAnsi="Times New Roman" w:eastAsia="宋体" w:cs="Times New Roman"/>
                <w:sz w:val="21"/>
                <w:szCs w:val="21"/>
                <w:lang w:eastAsia="zh-CN"/>
              </w:rPr>
              <w:t>。</w:t>
            </w:r>
          </w:p>
        </w:tc>
        <w:tc>
          <w:tcPr>
            <w:tcW w:w="690" w:type="dxa"/>
            <w:vMerge w:val="continue"/>
            <w:noWrap/>
            <w:vAlign w:val="center"/>
          </w:tcPr>
          <w:p>
            <w:pPr>
              <w:jc w:val="center"/>
              <w:rPr>
                <w:rFonts w:hint="default" w:ascii="Times New Roman" w:hAnsi="Times New Roman" w:eastAsia="宋体" w:cs="Times New Roman"/>
                <w:sz w:val="21"/>
                <w:szCs w:val="21"/>
                <w:lang w:val="en-US" w:eastAsia="zh-CN"/>
              </w:rPr>
            </w:pPr>
          </w:p>
        </w:tc>
        <w:tc>
          <w:tcPr>
            <w:tcW w:w="687" w:type="dxa"/>
            <w:noWrap/>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restart"/>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5</w:t>
            </w:r>
          </w:p>
        </w:tc>
        <w:tc>
          <w:tcPr>
            <w:tcW w:w="1530" w:type="dxa"/>
            <w:vMerge w:val="restart"/>
            <w:noWrap/>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rPr>
              <w:t>项目技术方案</w:t>
            </w:r>
          </w:p>
        </w:tc>
        <w:tc>
          <w:tcPr>
            <w:tcW w:w="6270" w:type="dxa"/>
            <w:noWrap/>
            <w:vAlign w:val="center"/>
          </w:tcPr>
          <w:p>
            <w:pP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根据投标人针对本项目整体方案的合理性</w:t>
            </w:r>
            <w:r>
              <w:rPr>
                <w:rFonts w:hint="default" w:ascii="Times New Roman" w:hAnsi="Times New Roman" w:eastAsia="宋体" w:cs="Times New Roman"/>
                <w:sz w:val="21"/>
                <w:szCs w:val="21"/>
                <w:lang w:eastAsia="zh-CN"/>
              </w:rPr>
              <w:t>及针对性打分，</w:t>
            </w: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分</w:t>
            </w:r>
            <w:r>
              <w:rPr>
                <w:rFonts w:hint="default" w:ascii="Times New Roman" w:hAnsi="Times New Roman" w:eastAsia="宋体" w:cs="Times New Roman"/>
                <w:sz w:val="21"/>
                <w:szCs w:val="21"/>
                <w:lang w:eastAsia="zh-CN"/>
              </w:rPr>
              <w:t>。</w:t>
            </w:r>
          </w:p>
        </w:tc>
        <w:tc>
          <w:tcPr>
            <w:tcW w:w="690" w:type="dxa"/>
            <w:vMerge w:val="restart"/>
            <w:noWrap/>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根据投标人针对本项目整体方案的可操作性</w:t>
            </w:r>
            <w:r>
              <w:rPr>
                <w:rFonts w:hint="default" w:ascii="Times New Roman" w:hAnsi="Times New Roman" w:eastAsia="宋体" w:cs="Times New Roman"/>
                <w:sz w:val="21"/>
                <w:szCs w:val="21"/>
                <w:lang w:eastAsia="zh-CN"/>
              </w:rPr>
              <w:t>及</w:t>
            </w:r>
            <w:r>
              <w:rPr>
                <w:rFonts w:hint="default" w:ascii="Times New Roman" w:hAnsi="Times New Roman" w:eastAsia="宋体" w:cs="Times New Roman"/>
                <w:sz w:val="21"/>
                <w:szCs w:val="21"/>
              </w:rPr>
              <w:t>克服难点和要点的技术措施</w:t>
            </w:r>
            <w:r>
              <w:rPr>
                <w:rFonts w:hint="default" w:ascii="Times New Roman" w:hAnsi="Times New Roman" w:eastAsia="宋体" w:cs="Times New Roman"/>
                <w:sz w:val="21"/>
                <w:szCs w:val="21"/>
                <w:lang w:eastAsia="zh-CN"/>
              </w:rPr>
              <w:t>打分，</w:t>
            </w: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分</w:t>
            </w:r>
            <w:r>
              <w:rPr>
                <w:rFonts w:hint="default" w:ascii="Times New Roman" w:hAnsi="Times New Roman" w:eastAsia="宋体" w:cs="Times New Roman"/>
                <w:sz w:val="21"/>
                <w:szCs w:val="21"/>
                <w:lang w:eastAsia="zh-CN"/>
              </w:rPr>
              <w:t>。</w:t>
            </w:r>
          </w:p>
        </w:tc>
        <w:tc>
          <w:tcPr>
            <w:tcW w:w="690" w:type="dxa"/>
            <w:vMerge w:val="continue"/>
            <w:noWrap/>
            <w:vAlign w:val="center"/>
          </w:tcPr>
          <w:p>
            <w:pPr>
              <w:jc w:val="center"/>
              <w:rPr>
                <w:rFonts w:hint="default" w:ascii="Times New Roman" w:hAnsi="Times New Roman" w:eastAsia="宋体" w:cs="Times New Roman"/>
                <w:sz w:val="21"/>
                <w:szCs w:val="21"/>
                <w:lang w:val="en-US" w:eastAsia="zh-CN"/>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restart"/>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6</w:t>
            </w:r>
          </w:p>
        </w:tc>
        <w:tc>
          <w:tcPr>
            <w:tcW w:w="1530" w:type="dxa"/>
            <w:vMerge w:val="restart"/>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项目实施方案</w:t>
            </w:r>
          </w:p>
        </w:tc>
        <w:tc>
          <w:tcPr>
            <w:tcW w:w="6270" w:type="dxa"/>
            <w:noWrap/>
            <w:vAlign w:val="center"/>
          </w:tcPr>
          <w:p>
            <w:pP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投标人针对本项目工作方法手段的针对性和合理性</w:t>
            </w:r>
            <w:r>
              <w:rPr>
                <w:rFonts w:hint="default" w:ascii="Times New Roman" w:hAnsi="Times New Roman" w:eastAsia="宋体" w:cs="Times New Roman"/>
                <w:sz w:val="21"/>
                <w:szCs w:val="21"/>
                <w:lang w:eastAsia="zh-CN"/>
              </w:rPr>
              <w:t>打分，</w:t>
            </w:r>
            <w:r>
              <w:rPr>
                <w:rFonts w:hint="default" w:ascii="Times New Roman" w:hAnsi="Times New Roman" w:eastAsia="宋体" w:cs="Times New Roman"/>
                <w:sz w:val="21"/>
                <w:szCs w:val="21"/>
              </w:rPr>
              <w:t>0-5分</w:t>
            </w:r>
            <w:r>
              <w:rPr>
                <w:rFonts w:hint="default" w:ascii="Times New Roman" w:hAnsi="Times New Roman" w:eastAsia="宋体" w:cs="Times New Roman"/>
                <w:sz w:val="21"/>
                <w:szCs w:val="21"/>
                <w:lang w:eastAsia="zh-CN"/>
              </w:rPr>
              <w:t>。</w:t>
            </w:r>
          </w:p>
        </w:tc>
        <w:tc>
          <w:tcPr>
            <w:tcW w:w="690" w:type="dxa"/>
            <w:vMerge w:val="restart"/>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15</w:t>
            </w:r>
          </w:p>
        </w:tc>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投标人针对本项目实施进度及工作量安排的针对性和合理性</w:t>
            </w:r>
            <w:r>
              <w:rPr>
                <w:rFonts w:hint="default" w:ascii="Times New Roman" w:hAnsi="Times New Roman" w:eastAsia="宋体" w:cs="Times New Roman"/>
                <w:sz w:val="21"/>
                <w:szCs w:val="21"/>
                <w:lang w:eastAsia="zh-CN"/>
              </w:rPr>
              <w:t>打分，</w:t>
            </w:r>
            <w:r>
              <w:rPr>
                <w:rFonts w:hint="default" w:ascii="Times New Roman" w:hAnsi="Times New Roman" w:eastAsia="宋体" w:cs="Times New Roman"/>
                <w:sz w:val="21"/>
                <w:szCs w:val="21"/>
              </w:rPr>
              <w:t>0-5分。</w:t>
            </w:r>
          </w:p>
        </w:tc>
        <w:tc>
          <w:tcPr>
            <w:tcW w:w="690" w:type="dxa"/>
            <w:vMerge w:val="continue"/>
            <w:noWrap/>
            <w:vAlign w:val="center"/>
          </w:tcPr>
          <w:p>
            <w:pPr>
              <w:jc w:val="center"/>
              <w:rPr>
                <w:rFonts w:hint="default" w:ascii="Times New Roman" w:hAnsi="Times New Roman" w:eastAsia="宋体" w:cs="Times New Roman"/>
                <w:sz w:val="21"/>
                <w:szCs w:val="21"/>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投标人针对本项目组织质量保障措施的针对性和合理性</w:t>
            </w:r>
            <w:r>
              <w:rPr>
                <w:rFonts w:hint="default" w:ascii="Times New Roman" w:hAnsi="Times New Roman" w:eastAsia="宋体" w:cs="Times New Roman"/>
                <w:sz w:val="21"/>
                <w:szCs w:val="21"/>
                <w:lang w:eastAsia="zh-CN"/>
              </w:rPr>
              <w:t>打分，</w:t>
            </w:r>
            <w:r>
              <w:rPr>
                <w:rFonts w:hint="default" w:ascii="Times New Roman" w:hAnsi="Times New Roman" w:eastAsia="宋体" w:cs="Times New Roman"/>
                <w:sz w:val="21"/>
                <w:szCs w:val="21"/>
              </w:rPr>
              <w:t>0-5分。</w:t>
            </w:r>
          </w:p>
        </w:tc>
        <w:tc>
          <w:tcPr>
            <w:tcW w:w="690" w:type="dxa"/>
            <w:vMerge w:val="continue"/>
            <w:noWrap/>
            <w:vAlign w:val="center"/>
          </w:tcPr>
          <w:p>
            <w:pPr>
              <w:jc w:val="center"/>
              <w:rPr>
                <w:rFonts w:hint="default" w:ascii="Times New Roman" w:hAnsi="Times New Roman" w:eastAsia="宋体" w:cs="Times New Roman"/>
                <w:sz w:val="21"/>
                <w:szCs w:val="21"/>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restart"/>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7</w:t>
            </w:r>
          </w:p>
        </w:tc>
        <w:tc>
          <w:tcPr>
            <w:tcW w:w="1530" w:type="dxa"/>
            <w:vMerge w:val="restart"/>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关键技术</w:t>
            </w:r>
          </w:p>
        </w:tc>
        <w:tc>
          <w:tcPr>
            <w:tcW w:w="6270" w:type="dxa"/>
            <w:noWrap/>
            <w:vAlign w:val="center"/>
          </w:tcPr>
          <w:p>
            <w:pPr>
              <w:rPr>
                <w:rFonts w:hint="default" w:ascii="Times New Roman" w:hAnsi="Times New Roman" w:eastAsia="宋体" w:cs="Times New Roman"/>
                <w:bCs/>
                <w:sz w:val="21"/>
                <w:szCs w:val="21"/>
              </w:rPr>
            </w:pPr>
            <w:r>
              <w:rPr>
                <w:rFonts w:hint="eastAsia"/>
                <w:sz w:val="21"/>
                <w:szCs w:val="21"/>
              </w:rPr>
              <w:t>根据投标人从数据共享关键技术点进行剖析，并提出克服关键技术点的针对性措施情况打分，</w:t>
            </w:r>
            <w:r>
              <w:rPr>
                <w:sz w:val="21"/>
                <w:szCs w:val="21"/>
              </w:rPr>
              <w:t>0-</w:t>
            </w:r>
            <w:r>
              <w:rPr>
                <w:rFonts w:hint="eastAsia"/>
                <w:sz w:val="21"/>
                <w:szCs w:val="21"/>
              </w:rPr>
              <w:t>4分。</w:t>
            </w:r>
          </w:p>
        </w:tc>
        <w:tc>
          <w:tcPr>
            <w:tcW w:w="690" w:type="dxa"/>
            <w:vMerge w:val="restart"/>
            <w:noWrap/>
            <w:vAlign w:val="center"/>
          </w:tcPr>
          <w:p>
            <w:pPr>
              <w:jc w:val="center"/>
              <w:rPr>
                <w:rFonts w:hint="default" w:ascii="Times New Roman" w:hAnsi="Times New Roman" w:eastAsia="宋体" w:cs="Times New Roman"/>
                <w:bCs/>
                <w:sz w:val="21"/>
                <w:szCs w:val="21"/>
                <w:lang w:val="en-US" w:eastAsia="zh-CN"/>
              </w:rPr>
            </w:pPr>
            <w:r>
              <w:rPr>
                <w:rFonts w:hint="eastAsia" w:cs="Times New Roman"/>
                <w:sz w:val="21"/>
                <w:szCs w:val="21"/>
                <w:lang w:val="en-US" w:eastAsia="zh-CN"/>
              </w:rPr>
              <w:t>20</w:t>
            </w:r>
          </w:p>
        </w:tc>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eastAsia"/>
                <w:sz w:val="21"/>
                <w:szCs w:val="21"/>
              </w:rPr>
              <w:t>根据投标人从数据处理关键技术点进行剖析，并提出克服关键技术点的针对性措施情况进行打分，</w:t>
            </w:r>
            <w:r>
              <w:rPr>
                <w:sz w:val="21"/>
                <w:szCs w:val="21"/>
              </w:rPr>
              <w:t>0-4</w:t>
            </w:r>
            <w:r>
              <w:rPr>
                <w:rFonts w:hint="eastAsia"/>
                <w:sz w:val="21"/>
                <w:szCs w:val="21"/>
              </w:rPr>
              <w:t>分。</w:t>
            </w:r>
          </w:p>
        </w:tc>
        <w:tc>
          <w:tcPr>
            <w:tcW w:w="690" w:type="dxa"/>
            <w:vMerge w:val="continue"/>
            <w:noWrap/>
            <w:vAlign w:val="center"/>
          </w:tcPr>
          <w:p>
            <w:pPr>
              <w:jc w:val="center"/>
              <w:rPr>
                <w:rFonts w:hint="default" w:ascii="Times New Roman" w:hAnsi="Times New Roman" w:eastAsia="宋体" w:cs="Times New Roman"/>
                <w:sz w:val="21"/>
                <w:szCs w:val="21"/>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eastAsia"/>
                <w:sz w:val="21"/>
                <w:szCs w:val="21"/>
              </w:rPr>
              <w:t>根据投标人从调查方法关键技术点进行剖析，并提出克服关键技术点的针对性措施情况进行打分，</w:t>
            </w:r>
            <w:r>
              <w:rPr>
                <w:sz w:val="21"/>
                <w:szCs w:val="21"/>
              </w:rPr>
              <w:t>0-4</w:t>
            </w:r>
            <w:r>
              <w:rPr>
                <w:rFonts w:hint="eastAsia"/>
                <w:sz w:val="21"/>
                <w:szCs w:val="21"/>
              </w:rPr>
              <w:t>分。</w:t>
            </w:r>
          </w:p>
        </w:tc>
        <w:tc>
          <w:tcPr>
            <w:tcW w:w="690" w:type="dxa"/>
            <w:vMerge w:val="continue"/>
            <w:noWrap/>
            <w:vAlign w:val="center"/>
          </w:tcPr>
          <w:p>
            <w:pPr>
              <w:jc w:val="center"/>
              <w:rPr>
                <w:rFonts w:hint="default" w:ascii="Times New Roman" w:hAnsi="Times New Roman" w:eastAsia="宋体" w:cs="Times New Roman"/>
                <w:sz w:val="21"/>
                <w:szCs w:val="21"/>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eastAsia"/>
                <w:sz w:val="21"/>
                <w:szCs w:val="21"/>
              </w:rPr>
              <w:t>根据投标人从数据建库关键技术点进行剖析，并提出克服关键技术点的针对性措施情况进行打分，</w:t>
            </w:r>
            <w:r>
              <w:rPr>
                <w:sz w:val="21"/>
                <w:szCs w:val="21"/>
              </w:rPr>
              <w:t>0-4</w:t>
            </w:r>
            <w:r>
              <w:rPr>
                <w:rFonts w:hint="eastAsia"/>
                <w:sz w:val="21"/>
                <w:szCs w:val="21"/>
              </w:rPr>
              <w:t>分。</w:t>
            </w:r>
          </w:p>
        </w:tc>
        <w:tc>
          <w:tcPr>
            <w:tcW w:w="690" w:type="dxa"/>
            <w:vMerge w:val="continue"/>
            <w:noWrap/>
            <w:vAlign w:val="center"/>
          </w:tcPr>
          <w:p>
            <w:pPr>
              <w:jc w:val="center"/>
              <w:rPr>
                <w:rFonts w:hint="default" w:ascii="Times New Roman" w:hAnsi="Times New Roman" w:eastAsia="宋体" w:cs="Times New Roman"/>
                <w:sz w:val="21"/>
                <w:szCs w:val="21"/>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noWrap/>
            <w:vAlign w:val="center"/>
          </w:tcPr>
          <w:p>
            <w:pPr>
              <w:jc w:val="center"/>
              <w:rPr>
                <w:rFonts w:hint="default" w:ascii="Times New Roman" w:hAnsi="Times New Roman" w:eastAsia="宋体" w:cs="Times New Roman"/>
                <w:sz w:val="21"/>
                <w:szCs w:val="21"/>
              </w:rPr>
            </w:pPr>
          </w:p>
        </w:tc>
        <w:tc>
          <w:tcPr>
            <w:tcW w:w="1530" w:type="dxa"/>
            <w:vMerge w:val="continue"/>
            <w:noWrap/>
            <w:vAlign w:val="center"/>
          </w:tcPr>
          <w:p>
            <w:pPr>
              <w:jc w:val="center"/>
              <w:rPr>
                <w:rFonts w:hint="default" w:ascii="Times New Roman" w:hAnsi="Times New Roman" w:eastAsia="宋体" w:cs="Times New Roman"/>
                <w:sz w:val="21"/>
                <w:szCs w:val="21"/>
              </w:rPr>
            </w:pPr>
          </w:p>
        </w:tc>
        <w:tc>
          <w:tcPr>
            <w:tcW w:w="6270" w:type="dxa"/>
            <w:noWrap/>
            <w:vAlign w:val="center"/>
          </w:tcPr>
          <w:p>
            <w:pPr>
              <w:rPr>
                <w:rFonts w:hint="default" w:ascii="Times New Roman" w:hAnsi="Times New Roman" w:eastAsia="宋体" w:cs="Times New Roman"/>
                <w:sz w:val="21"/>
                <w:szCs w:val="21"/>
              </w:rPr>
            </w:pPr>
            <w:r>
              <w:rPr>
                <w:rFonts w:hint="eastAsia"/>
                <w:sz w:val="21"/>
                <w:szCs w:val="21"/>
              </w:rPr>
              <w:t>根据投标人从数据汇交衔接关键技术点进行剖析，并提出克服关键技术点的针对性措施情况进行打分，</w:t>
            </w:r>
            <w:r>
              <w:rPr>
                <w:sz w:val="21"/>
                <w:szCs w:val="21"/>
              </w:rPr>
              <w:t>0-</w:t>
            </w:r>
            <w:r>
              <w:rPr>
                <w:rFonts w:hint="eastAsia"/>
                <w:sz w:val="21"/>
                <w:szCs w:val="21"/>
              </w:rPr>
              <w:t>4分。</w:t>
            </w:r>
          </w:p>
        </w:tc>
        <w:tc>
          <w:tcPr>
            <w:tcW w:w="690" w:type="dxa"/>
            <w:vMerge w:val="continue"/>
            <w:noWrap/>
            <w:vAlign w:val="center"/>
          </w:tcPr>
          <w:p>
            <w:pPr>
              <w:jc w:val="center"/>
              <w:rPr>
                <w:rFonts w:hint="default" w:ascii="Times New Roman" w:hAnsi="Times New Roman" w:eastAsia="宋体" w:cs="Times New Roman"/>
                <w:sz w:val="21"/>
                <w:szCs w:val="21"/>
              </w:rPr>
            </w:pPr>
          </w:p>
        </w:tc>
        <w:tc>
          <w:tcPr>
            <w:tcW w:w="687" w:type="dxa"/>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8</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技术团队人员情况</w:t>
            </w:r>
          </w:p>
        </w:tc>
        <w:tc>
          <w:tcPr>
            <w:tcW w:w="6270" w:type="dxa"/>
            <w:noWrap/>
            <w:vAlign w:val="center"/>
          </w:tcPr>
          <w:p>
            <w:pPr>
              <w:rPr>
                <w:rFonts w:hint="eastAsia"/>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）项目负责人同时具有土地或测绘类高级工程师和注册测绘师和涉密测绘成果管理人员岗位培训合格证书的，缺一项不得分，最高得</w:t>
            </w:r>
            <w:r>
              <w:rPr>
                <w:sz w:val="21"/>
                <w:szCs w:val="21"/>
                <w:highlight w:val="none"/>
              </w:rPr>
              <w:t>3</w:t>
            </w:r>
            <w:r>
              <w:rPr>
                <w:rFonts w:hint="eastAsia"/>
                <w:sz w:val="21"/>
                <w:szCs w:val="21"/>
                <w:highlight w:val="none"/>
              </w:rPr>
              <w:t>分；</w:t>
            </w:r>
          </w:p>
          <w:p>
            <w:pPr>
              <w:rPr>
                <w:rFonts w:hint="eastAsia"/>
                <w:sz w:val="21"/>
                <w:szCs w:val="21"/>
                <w:highlight w:val="none"/>
              </w:rPr>
            </w:pPr>
            <w:r>
              <w:rPr>
                <w:rFonts w:hint="eastAsia"/>
                <w:sz w:val="21"/>
                <w:szCs w:val="21"/>
                <w:highlight w:val="none"/>
              </w:rPr>
              <w:t>（2）技术负责人</w:t>
            </w:r>
            <w:r>
              <w:rPr>
                <w:rFonts w:hint="default"/>
                <w:sz w:val="21"/>
                <w:szCs w:val="21"/>
                <w:highlight w:val="none"/>
                <w:lang w:eastAsia="zh-CN"/>
              </w:rPr>
              <w:t>（不得与项目负责人为同一人）</w:t>
            </w:r>
            <w:r>
              <w:rPr>
                <w:rFonts w:hint="eastAsia"/>
                <w:sz w:val="21"/>
                <w:szCs w:val="21"/>
                <w:highlight w:val="none"/>
              </w:rPr>
              <w:t>具有土地或测绘类高级工程师、注册测绘师和涉密测绘成果管理人员岗位培训合格证书，每项得1分，最高得3分；</w:t>
            </w:r>
          </w:p>
          <w:p>
            <w:pPr>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）项目建库人员通过地理信息系统应用水平二级测评、具有地理信息系统应用高级测评证书或信息系统项目管理师的，每人得</w:t>
            </w:r>
            <w:r>
              <w:rPr>
                <w:sz w:val="21"/>
                <w:szCs w:val="21"/>
                <w:highlight w:val="none"/>
              </w:rPr>
              <w:t>1</w:t>
            </w:r>
            <w:r>
              <w:rPr>
                <w:rFonts w:hint="eastAsia"/>
                <w:sz w:val="21"/>
                <w:szCs w:val="21"/>
                <w:highlight w:val="none"/>
              </w:rPr>
              <w:t>分，最高得</w:t>
            </w:r>
            <w:r>
              <w:rPr>
                <w:sz w:val="21"/>
                <w:szCs w:val="21"/>
                <w:highlight w:val="none"/>
              </w:rPr>
              <w:t>3</w:t>
            </w:r>
            <w:r>
              <w:rPr>
                <w:rFonts w:hint="eastAsia"/>
                <w:sz w:val="21"/>
                <w:szCs w:val="21"/>
                <w:highlight w:val="none"/>
              </w:rPr>
              <w:t>分。</w:t>
            </w:r>
          </w:p>
          <w:p>
            <w:pPr>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）投入本项目主要技术人员（不含</w:t>
            </w:r>
            <w:r>
              <w:rPr>
                <w:rFonts w:hint="eastAsia"/>
                <w:sz w:val="21"/>
                <w:szCs w:val="21"/>
                <w:highlight w:val="none"/>
                <w:lang w:eastAsia="zh-CN"/>
              </w:rPr>
              <w:t>项目负责人和技术负责人</w:t>
            </w:r>
            <w:r>
              <w:rPr>
                <w:rFonts w:hint="eastAsia"/>
                <w:sz w:val="21"/>
                <w:szCs w:val="21"/>
                <w:highlight w:val="none"/>
              </w:rPr>
              <w:t>）具有（土地调查或土地管理中级及以上职称、测绘与地理信息中级及以上职称、档案安全保密证书或档案管理培训合格证书、涉密测绘成果管理证书、注册测绘师中级及以上职称、测绘作业证）人员证书的，每类不少于两人得</w:t>
            </w:r>
            <w:r>
              <w:rPr>
                <w:sz w:val="21"/>
                <w:szCs w:val="21"/>
                <w:highlight w:val="none"/>
              </w:rPr>
              <w:t>1</w:t>
            </w:r>
            <w:r>
              <w:rPr>
                <w:rFonts w:hint="eastAsia"/>
                <w:sz w:val="21"/>
                <w:szCs w:val="21"/>
                <w:highlight w:val="none"/>
              </w:rPr>
              <w:t>分，每类不重复计分，最高</w:t>
            </w:r>
            <w:r>
              <w:rPr>
                <w:sz w:val="21"/>
                <w:szCs w:val="21"/>
                <w:highlight w:val="none"/>
              </w:rPr>
              <w:t>6</w:t>
            </w:r>
            <w:r>
              <w:rPr>
                <w:rFonts w:hint="eastAsia"/>
                <w:sz w:val="21"/>
                <w:szCs w:val="21"/>
                <w:highlight w:val="none"/>
              </w:rPr>
              <w:t>分。</w:t>
            </w:r>
          </w:p>
          <w:p>
            <w:pPr>
              <w:rPr>
                <w:sz w:val="21"/>
                <w:szCs w:val="21"/>
                <w:highlight w:val="none"/>
              </w:rPr>
            </w:pPr>
            <w:r>
              <w:rPr>
                <w:sz w:val="21"/>
                <w:szCs w:val="21"/>
                <w:highlight w:val="none"/>
              </w:rPr>
              <w:t xml:space="preserve"> </w:t>
            </w:r>
            <w:r>
              <w:rPr>
                <w:rFonts w:hint="eastAsia"/>
                <w:sz w:val="21"/>
                <w:szCs w:val="21"/>
                <w:highlight w:val="none"/>
              </w:rPr>
              <w:t>（</w:t>
            </w:r>
            <w:r>
              <w:rPr>
                <w:sz w:val="21"/>
                <w:szCs w:val="21"/>
                <w:highlight w:val="none"/>
              </w:rPr>
              <w:t>5</w:t>
            </w:r>
            <w:r>
              <w:rPr>
                <w:rFonts w:hint="eastAsia"/>
                <w:sz w:val="21"/>
                <w:szCs w:val="21"/>
                <w:highlight w:val="none"/>
              </w:rPr>
              <w:t>）拟投入本项目团队人员总计在</w:t>
            </w:r>
            <w:r>
              <w:rPr>
                <w:sz w:val="21"/>
                <w:szCs w:val="21"/>
                <w:highlight w:val="none"/>
              </w:rPr>
              <w:t>80</w:t>
            </w:r>
            <w:r>
              <w:rPr>
                <w:rFonts w:hint="eastAsia"/>
                <w:sz w:val="21"/>
                <w:szCs w:val="21"/>
                <w:highlight w:val="none"/>
              </w:rPr>
              <w:t>人以上的得</w:t>
            </w:r>
            <w:r>
              <w:rPr>
                <w:sz w:val="21"/>
                <w:szCs w:val="21"/>
                <w:highlight w:val="none"/>
              </w:rPr>
              <w:t>3</w:t>
            </w:r>
            <w:r>
              <w:rPr>
                <w:rFonts w:hint="eastAsia"/>
                <w:sz w:val="21"/>
                <w:szCs w:val="21"/>
                <w:highlight w:val="none"/>
              </w:rPr>
              <w:t>分，总计在</w:t>
            </w:r>
            <w:r>
              <w:rPr>
                <w:sz w:val="21"/>
                <w:szCs w:val="21"/>
                <w:highlight w:val="none"/>
              </w:rPr>
              <w:t>61</w:t>
            </w:r>
            <w:r>
              <w:rPr>
                <w:rFonts w:hint="eastAsia"/>
                <w:sz w:val="21"/>
                <w:szCs w:val="21"/>
                <w:highlight w:val="none"/>
              </w:rPr>
              <w:t>至</w:t>
            </w:r>
            <w:r>
              <w:rPr>
                <w:sz w:val="21"/>
                <w:szCs w:val="21"/>
                <w:highlight w:val="none"/>
              </w:rPr>
              <w:t>80</w:t>
            </w:r>
            <w:r>
              <w:rPr>
                <w:rFonts w:hint="eastAsia"/>
                <w:sz w:val="21"/>
                <w:szCs w:val="21"/>
                <w:highlight w:val="none"/>
              </w:rPr>
              <w:t>的得</w:t>
            </w:r>
            <w:r>
              <w:rPr>
                <w:sz w:val="21"/>
                <w:szCs w:val="21"/>
                <w:highlight w:val="none"/>
              </w:rPr>
              <w:t>2</w:t>
            </w:r>
            <w:r>
              <w:rPr>
                <w:rFonts w:hint="eastAsia"/>
                <w:sz w:val="21"/>
                <w:szCs w:val="21"/>
                <w:highlight w:val="none"/>
              </w:rPr>
              <w:t>分，在</w:t>
            </w:r>
            <w:r>
              <w:rPr>
                <w:sz w:val="21"/>
                <w:szCs w:val="21"/>
                <w:highlight w:val="none"/>
              </w:rPr>
              <w:t>41</w:t>
            </w:r>
            <w:r>
              <w:rPr>
                <w:rFonts w:hint="eastAsia"/>
                <w:sz w:val="21"/>
                <w:szCs w:val="21"/>
                <w:highlight w:val="none"/>
              </w:rPr>
              <w:t>人到</w:t>
            </w:r>
            <w:r>
              <w:rPr>
                <w:sz w:val="21"/>
                <w:szCs w:val="21"/>
                <w:highlight w:val="none"/>
              </w:rPr>
              <w:t>60</w:t>
            </w:r>
            <w:r>
              <w:rPr>
                <w:rFonts w:hint="eastAsia"/>
                <w:sz w:val="21"/>
                <w:szCs w:val="21"/>
                <w:highlight w:val="none"/>
              </w:rPr>
              <w:t>人的得</w:t>
            </w:r>
            <w:r>
              <w:rPr>
                <w:sz w:val="21"/>
                <w:szCs w:val="21"/>
                <w:highlight w:val="none"/>
              </w:rPr>
              <w:t>1</w:t>
            </w:r>
            <w:r>
              <w:rPr>
                <w:rFonts w:hint="eastAsia"/>
                <w:sz w:val="21"/>
                <w:szCs w:val="21"/>
                <w:highlight w:val="none"/>
              </w:rPr>
              <w:t>分，在</w:t>
            </w:r>
            <w:r>
              <w:rPr>
                <w:sz w:val="21"/>
                <w:szCs w:val="21"/>
                <w:highlight w:val="none"/>
              </w:rPr>
              <w:t>41</w:t>
            </w:r>
            <w:r>
              <w:rPr>
                <w:rFonts w:hint="eastAsia"/>
                <w:sz w:val="21"/>
                <w:szCs w:val="21"/>
                <w:highlight w:val="none"/>
              </w:rPr>
              <w:t>人以下的不得分。</w:t>
            </w:r>
          </w:p>
          <w:p>
            <w:pPr>
              <w:rPr>
                <w:rFonts w:hint="default" w:ascii="Times New Roman" w:hAnsi="Times New Roman" w:eastAsia="宋体" w:cs="Times New Roman"/>
                <w:bCs/>
                <w:sz w:val="21"/>
                <w:szCs w:val="21"/>
              </w:rPr>
            </w:pPr>
            <w:r>
              <w:rPr>
                <w:rFonts w:hint="eastAsia"/>
                <w:sz w:val="21"/>
                <w:szCs w:val="21"/>
                <w:highlight w:val="none"/>
              </w:rPr>
              <w:t>（以上人员需在投标文件商务技术响应文件中提供相关证书扫描件、在本单位近</w:t>
            </w:r>
            <w:r>
              <w:rPr>
                <w:sz w:val="21"/>
                <w:szCs w:val="21"/>
                <w:highlight w:val="none"/>
              </w:rPr>
              <w:t>3</w:t>
            </w:r>
            <w:r>
              <w:rPr>
                <w:rFonts w:hint="eastAsia"/>
                <w:sz w:val="21"/>
                <w:szCs w:val="21"/>
                <w:highlight w:val="none"/>
              </w:rPr>
              <w:t>个月社保缴纳证明以及其他相关证明材料扫描件并加盖本单位电子签章，否则不得分。）</w:t>
            </w:r>
          </w:p>
        </w:tc>
        <w:tc>
          <w:tcPr>
            <w:tcW w:w="690" w:type="dxa"/>
            <w:noWrap/>
            <w:vAlign w:val="center"/>
          </w:tcPr>
          <w:p>
            <w:pPr>
              <w:jc w:val="center"/>
              <w:textAlignment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18</w:t>
            </w:r>
          </w:p>
        </w:tc>
        <w:tc>
          <w:tcPr>
            <w:tcW w:w="687" w:type="dxa"/>
            <w:noWrap/>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9</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仪器设备</w:t>
            </w:r>
          </w:p>
        </w:tc>
        <w:tc>
          <w:tcPr>
            <w:tcW w:w="6270" w:type="dxa"/>
            <w:noWrap/>
            <w:vAlign w:val="center"/>
          </w:tcPr>
          <w:p>
            <w:pPr>
              <w:widowControl/>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根据投标人提供的投入本项目的软件和仪器设备规格、型号、数量及配备的合理性进行打分，</w:t>
            </w:r>
            <w:r>
              <w:rPr>
                <w:rFonts w:hint="default" w:ascii="Times New Roman" w:hAnsi="Times New Roman" w:eastAsia="宋体" w:cs="Times New Roman"/>
                <w:sz w:val="21"/>
                <w:szCs w:val="21"/>
                <w:lang w:val="en-US" w:eastAsia="zh-CN"/>
              </w:rPr>
              <w:t>0-2</w:t>
            </w:r>
            <w:r>
              <w:rPr>
                <w:rFonts w:hint="default" w:ascii="Times New Roman" w:hAnsi="Times New Roman" w:eastAsia="宋体" w:cs="Times New Roman"/>
                <w:sz w:val="21"/>
                <w:szCs w:val="21"/>
              </w:rPr>
              <w:t>分。</w:t>
            </w:r>
          </w:p>
          <w:p>
            <w:pPr>
              <w:widowControl/>
              <w:snapToGrid w:val="0"/>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eastAsia="zh-CN"/>
              </w:rPr>
              <w:t>投标文件商务技术响应文件中</w:t>
            </w:r>
            <w:r>
              <w:rPr>
                <w:rFonts w:hint="default" w:ascii="Times New Roman" w:hAnsi="Times New Roman" w:eastAsia="宋体" w:cs="Times New Roman"/>
                <w:sz w:val="21"/>
                <w:szCs w:val="21"/>
              </w:rPr>
              <w:t>提供相关证明材料扫描件并加盖投标单位</w:t>
            </w:r>
            <w:r>
              <w:rPr>
                <w:rFonts w:hint="default" w:ascii="Times New Roman" w:hAnsi="Times New Roman" w:eastAsia="宋体" w:cs="Times New Roman"/>
                <w:sz w:val="21"/>
                <w:szCs w:val="21"/>
                <w:lang w:eastAsia="zh-CN"/>
              </w:rPr>
              <w:t>电子签章</w:t>
            </w:r>
            <w:r>
              <w:rPr>
                <w:rFonts w:hint="default" w:ascii="Times New Roman" w:hAnsi="Times New Roman" w:eastAsia="宋体" w:cs="Times New Roman"/>
                <w:sz w:val="21"/>
                <w:szCs w:val="21"/>
              </w:rPr>
              <w:t>。</w:t>
            </w:r>
          </w:p>
        </w:tc>
        <w:tc>
          <w:tcPr>
            <w:tcW w:w="69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w:t>
            </w:r>
          </w:p>
        </w:tc>
        <w:tc>
          <w:tcPr>
            <w:tcW w:w="687" w:type="dxa"/>
            <w:noWrap/>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10</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软件著作权</w:t>
            </w:r>
          </w:p>
        </w:tc>
        <w:tc>
          <w:tcPr>
            <w:tcW w:w="6270" w:type="dxa"/>
            <w:noWrap/>
            <w:vAlign w:val="center"/>
          </w:tcPr>
          <w:p>
            <w:pPr>
              <w:snapToGrid w:val="0"/>
              <w:rPr>
                <w:sz w:val="21"/>
                <w:szCs w:val="21"/>
              </w:rPr>
            </w:pPr>
            <w:r>
              <w:rPr>
                <w:rFonts w:hint="eastAsia"/>
                <w:sz w:val="21"/>
                <w:szCs w:val="21"/>
              </w:rPr>
              <w:t>投标人具有土地相关数据调查、数据采集、数据建库、空间基础信息、质量检查系统或软件的著作权每个得</w:t>
            </w:r>
            <w:r>
              <w:rPr>
                <w:sz w:val="21"/>
                <w:szCs w:val="21"/>
              </w:rPr>
              <w:t>1</w:t>
            </w:r>
            <w:r>
              <w:rPr>
                <w:rFonts w:hint="eastAsia"/>
                <w:sz w:val="21"/>
                <w:szCs w:val="21"/>
              </w:rPr>
              <w:t>分（不重复计分），本项最高得</w:t>
            </w:r>
            <w:r>
              <w:rPr>
                <w:sz w:val="21"/>
                <w:szCs w:val="21"/>
              </w:rPr>
              <w:t>4</w:t>
            </w:r>
            <w:r>
              <w:rPr>
                <w:rFonts w:hint="eastAsia"/>
                <w:sz w:val="21"/>
                <w:szCs w:val="21"/>
              </w:rPr>
              <w:t>分。</w:t>
            </w:r>
          </w:p>
          <w:p>
            <w:pPr>
              <w:textAlignment w:val="center"/>
              <w:rPr>
                <w:rFonts w:hint="default" w:ascii="Times New Roman" w:hAnsi="Times New Roman" w:eastAsia="宋体" w:cs="Times New Roman"/>
                <w:bCs/>
                <w:sz w:val="21"/>
                <w:szCs w:val="21"/>
              </w:rPr>
            </w:pPr>
            <w:r>
              <w:rPr>
                <w:rFonts w:hint="eastAsia"/>
                <w:sz w:val="21"/>
                <w:szCs w:val="21"/>
              </w:rPr>
              <w:t>投标文件商务技术响应文件中须提供相关证书扫描件并加盖投标单位电子签章。</w:t>
            </w:r>
          </w:p>
        </w:tc>
        <w:tc>
          <w:tcPr>
            <w:tcW w:w="69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4</w:t>
            </w:r>
          </w:p>
        </w:tc>
        <w:tc>
          <w:tcPr>
            <w:tcW w:w="687" w:type="dxa"/>
            <w:noWrap/>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noWrap/>
            <w:vAlign w:val="center"/>
          </w:tcPr>
          <w:p>
            <w:pPr>
              <w:jc w:val="center"/>
              <w:rPr>
                <w:rFonts w:hint="eastAsia" w:ascii="Times New Roman" w:hAnsi="Times New Roman" w:eastAsia="宋体" w:cs="Times New Roman"/>
                <w:bCs/>
                <w:sz w:val="21"/>
                <w:szCs w:val="21"/>
                <w:lang w:eastAsia="zh-CN"/>
              </w:rPr>
            </w:pPr>
            <w:r>
              <w:rPr>
                <w:rFonts w:hint="default" w:ascii="Times New Roman" w:hAnsi="Times New Roman" w:eastAsia="宋体" w:cs="Times New Roman"/>
                <w:sz w:val="21"/>
                <w:szCs w:val="21"/>
              </w:rPr>
              <w:t>1</w:t>
            </w:r>
            <w:r>
              <w:rPr>
                <w:rFonts w:hint="eastAsia" w:cs="Times New Roman"/>
                <w:sz w:val="21"/>
                <w:szCs w:val="21"/>
                <w:lang w:val="en-US" w:eastAsia="zh-CN"/>
              </w:rPr>
              <w:t>1</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合理化建议</w:t>
            </w:r>
          </w:p>
        </w:tc>
        <w:tc>
          <w:tcPr>
            <w:tcW w:w="6270" w:type="dxa"/>
            <w:noWrap/>
            <w:vAlign w:val="center"/>
          </w:tcPr>
          <w:p>
            <w:pP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z w:val="21"/>
                <w:szCs w:val="21"/>
              </w:rPr>
              <w:t>投标人针对本项目提出的创新创优等合理化建议</w:t>
            </w:r>
            <w:r>
              <w:rPr>
                <w:rFonts w:hint="default" w:ascii="Times New Roman" w:hAnsi="Times New Roman" w:eastAsia="宋体" w:cs="Times New Roman"/>
                <w:sz w:val="21"/>
                <w:szCs w:val="21"/>
                <w:lang w:eastAsia="zh-CN"/>
              </w:rPr>
              <w:t>进行打分</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0-2分。</w:t>
            </w:r>
          </w:p>
        </w:tc>
        <w:tc>
          <w:tcPr>
            <w:tcW w:w="690" w:type="dxa"/>
            <w:noWrap/>
            <w:vAlign w:val="center"/>
          </w:tcPr>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sz w:val="21"/>
                <w:szCs w:val="21"/>
                <w:lang w:val="en-US" w:eastAsia="zh-CN"/>
              </w:rPr>
              <w:t>2</w:t>
            </w:r>
          </w:p>
        </w:tc>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noWrap/>
            <w:vAlign w:val="center"/>
          </w:tcPr>
          <w:p>
            <w:pPr>
              <w:jc w:val="center"/>
              <w:rPr>
                <w:rFonts w:hint="eastAsia" w:ascii="Times New Roman" w:hAnsi="Times New Roman" w:eastAsia="宋体" w:cs="Times New Roman"/>
                <w:bCs/>
                <w:sz w:val="21"/>
                <w:szCs w:val="21"/>
                <w:lang w:eastAsia="zh-CN"/>
              </w:rPr>
            </w:pPr>
            <w:r>
              <w:rPr>
                <w:rFonts w:hint="default" w:ascii="Times New Roman" w:hAnsi="Times New Roman" w:eastAsia="宋体" w:cs="Times New Roman"/>
                <w:sz w:val="21"/>
                <w:szCs w:val="21"/>
              </w:rPr>
              <w:t>1</w:t>
            </w:r>
            <w:r>
              <w:rPr>
                <w:rFonts w:hint="eastAsia" w:cs="Times New Roman"/>
                <w:sz w:val="21"/>
                <w:szCs w:val="21"/>
                <w:lang w:val="en-US" w:eastAsia="zh-CN"/>
              </w:rPr>
              <w:t>2</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本地化服务及售后服务</w:t>
            </w:r>
          </w:p>
        </w:tc>
        <w:tc>
          <w:tcPr>
            <w:tcW w:w="6270" w:type="dxa"/>
            <w:noWrap/>
            <w:vAlign w:val="center"/>
          </w:tcPr>
          <w:p>
            <w:pP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z w:val="21"/>
                <w:szCs w:val="21"/>
              </w:rPr>
              <w:t>根据投标人本地化服务能力、应急响应时间、和提供的维护服务方案、售后服务承诺的可行性、完整性、合理性以及服务承诺落实的保障措施、人员安排等进行打分，</w:t>
            </w:r>
            <w:r>
              <w:rPr>
                <w:rFonts w:hint="default" w:ascii="Times New Roman" w:hAnsi="Times New Roman" w:eastAsia="宋体" w:cs="Times New Roman"/>
                <w:sz w:val="21"/>
                <w:szCs w:val="21"/>
                <w:lang w:val="en-US" w:eastAsia="zh-CN"/>
              </w:rPr>
              <w:t>0-4分。</w:t>
            </w:r>
          </w:p>
        </w:tc>
        <w:tc>
          <w:tcPr>
            <w:tcW w:w="69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4</w:t>
            </w:r>
          </w:p>
        </w:tc>
        <w:tc>
          <w:tcPr>
            <w:tcW w:w="687" w:type="dxa"/>
            <w:noWrap/>
            <w:vAlign w:val="center"/>
          </w:tcPr>
          <w:p>
            <w:pPr>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7"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二</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报价分</w:t>
            </w:r>
          </w:p>
        </w:tc>
        <w:tc>
          <w:tcPr>
            <w:tcW w:w="6270" w:type="dxa"/>
            <w:noWrap/>
          </w:tcPr>
          <w:p>
            <w:pPr>
              <w:adjustRightInd w:val="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1、以符合招标文件要求且投标价格最低的投标报价为评标基准价，其报价得分为满分。</w:t>
            </w:r>
          </w:p>
          <w:p>
            <w:pPr>
              <w:adjustRightInd w:val="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2、其他投标人的报价分统一按照下列公式计算：</w:t>
            </w:r>
          </w:p>
          <w:p>
            <w:pPr>
              <w:adjustRightInd w:val="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报价分＝（评标基准价／投标报价）×10，计算结果保留2位小数（第三位小数四舍五入）。</w:t>
            </w:r>
          </w:p>
          <w:p>
            <w:pPr>
              <w:adjustRightInd w:val="0"/>
              <w:rPr>
                <w:rFonts w:hint="default" w:ascii="Times New Roman" w:hAnsi="Times New Roman" w:eastAsia="宋体" w:cs="Times New Roman"/>
                <w:bCs/>
                <w:strike/>
                <w:sz w:val="21"/>
                <w:szCs w:val="21"/>
              </w:rPr>
            </w:pPr>
            <w:r>
              <w:rPr>
                <w:rFonts w:hint="default" w:ascii="Times New Roman" w:hAnsi="Times New Roman" w:eastAsia="宋体" w:cs="Times New Roman"/>
                <w:bCs/>
                <w:sz w:val="21"/>
                <w:szCs w:val="21"/>
              </w:rPr>
              <w:t>（注：对于小型和微型企业产品的价格给予20%的扣除，对于符合条件的联合体的报价给予6%的扣除，用扣除后的价格参加评审，是否给予价格扣除按第二章投标须知7.2条要求认定。）</w:t>
            </w:r>
          </w:p>
        </w:tc>
        <w:tc>
          <w:tcPr>
            <w:tcW w:w="1377" w:type="dxa"/>
            <w:gridSpan w:val="2"/>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7" w:type="dxa"/>
            <w:noWrap/>
            <w:vAlign w:val="center"/>
          </w:tcPr>
          <w:p>
            <w:pPr>
              <w:ind w:firstLine="105" w:firstLineChars="5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w:t>
            </w:r>
          </w:p>
        </w:tc>
        <w:tc>
          <w:tcPr>
            <w:tcW w:w="1530" w:type="dxa"/>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综合得分</w:t>
            </w:r>
          </w:p>
        </w:tc>
        <w:tc>
          <w:tcPr>
            <w:tcW w:w="6270" w:type="dxa"/>
            <w:noWrap/>
            <w:vAlign w:val="center"/>
          </w:tcPr>
          <w:p>
            <w:pP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投标单位综合得分=商务技术分+报价分</w:t>
            </w:r>
          </w:p>
        </w:tc>
        <w:tc>
          <w:tcPr>
            <w:tcW w:w="1377" w:type="dxa"/>
            <w:gridSpan w:val="2"/>
            <w:noWrap/>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100分</w:t>
            </w:r>
          </w:p>
        </w:tc>
      </w:tr>
    </w:tbl>
    <w:p>
      <w:pPr>
        <w:rPr>
          <w:rFonts w:hint="default" w:ascii="Times New Roman" w:hAnsi="Times New Roman" w:eastAsia="宋体" w:cs="Times New Roman"/>
          <w:sz w:val="36"/>
        </w:rPr>
      </w:pPr>
      <w:bookmarkStart w:id="106" w:name="_Toc23182"/>
      <w:bookmarkStart w:id="107" w:name="_Toc26103"/>
    </w:p>
    <w:p>
      <w:pPr>
        <w:rPr>
          <w:rFonts w:hint="default" w:ascii="Times New Roman" w:hAnsi="Times New Roman" w:eastAsia="宋体" w:cs="Times New Roman"/>
          <w:sz w:val="36"/>
        </w:rPr>
      </w:pPr>
    </w:p>
    <w:p>
      <w:pPr>
        <w:rPr>
          <w:rFonts w:hint="default" w:ascii="Times New Roman" w:hAnsi="Times New Roman" w:eastAsia="宋体" w:cs="Times New Roman"/>
          <w:sz w:val="36"/>
        </w:rPr>
      </w:pPr>
    </w:p>
    <w:p>
      <w:pPr>
        <w:rPr>
          <w:rFonts w:hint="default" w:ascii="Times New Roman" w:hAnsi="Times New Roman" w:eastAsia="宋体" w:cs="Times New Roman"/>
          <w:sz w:val="36"/>
        </w:rPr>
      </w:pPr>
    </w:p>
    <w:p>
      <w:pPr>
        <w:rPr>
          <w:rFonts w:hint="default" w:ascii="Times New Roman" w:hAnsi="Times New Roman" w:eastAsia="宋体" w:cs="Times New Roman"/>
          <w:sz w:val="36"/>
        </w:rPr>
      </w:pPr>
    </w:p>
    <w:p>
      <w:pPr>
        <w:rPr>
          <w:rFonts w:hint="default" w:ascii="Times New Roman" w:hAnsi="Times New Roman" w:eastAsia="宋体" w:cs="Times New Roman"/>
          <w:sz w:val="36"/>
        </w:rPr>
      </w:pPr>
    </w:p>
    <w:p>
      <w:pPr>
        <w:rPr>
          <w:rFonts w:hint="default" w:ascii="Times New Roman" w:hAnsi="Times New Roman" w:eastAsia="宋体" w:cs="Times New Roman"/>
          <w:sz w:val="36"/>
        </w:rPr>
      </w:pPr>
    </w:p>
    <w:p>
      <w:pPr>
        <w:rPr>
          <w:rFonts w:hint="default" w:ascii="Times New Roman" w:hAnsi="Times New Roman" w:eastAsia="宋体" w:cs="Times New Roman"/>
          <w:sz w:val="36"/>
        </w:rPr>
      </w:pPr>
    </w:p>
    <w:p>
      <w:pPr>
        <w:rPr>
          <w:rFonts w:hint="default" w:ascii="Times New Roman" w:hAnsi="Times New Roman" w:eastAsia="宋体" w:cs="Times New Roman"/>
          <w:sz w:val="36"/>
        </w:rPr>
      </w:pPr>
    </w:p>
    <w:p>
      <w:pPr>
        <w:rPr>
          <w:rFonts w:hint="default" w:ascii="Times New Roman" w:hAnsi="Times New Roman" w:eastAsia="宋体" w:cs="Times New Roman"/>
          <w:sz w:val="36"/>
        </w:rPr>
      </w:pPr>
    </w:p>
    <w:p>
      <w:pPr>
        <w:rPr>
          <w:rFonts w:hint="default" w:ascii="Times New Roman" w:hAnsi="Times New Roman" w:eastAsia="宋体" w:cs="Times New Roman"/>
          <w:sz w:val="36"/>
        </w:rPr>
      </w:pPr>
    </w:p>
    <w:p>
      <w:pPr>
        <w:rPr>
          <w:rFonts w:hint="default" w:ascii="Times New Roman" w:hAnsi="Times New Roman" w:eastAsia="宋体" w:cs="Times New Roman"/>
          <w:sz w:val="36"/>
        </w:rPr>
      </w:pPr>
    </w:p>
    <w:p>
      <w:pPr>
        <w:rPr>
          <w:rFonts w:hint="default" w:ascii="Times New Roman" w:hAnsi="Times New Roman" w:eastAsia="宋体" w:cs="Times New Roman"/>
          <w:sz w:val="36"/>
        </w:rPr>
      </w:pPr>
    </w:p>
    <w:p>
      <w:pPr>
        <w:pStyle w:val="4"/>
        <w:spacing w:before="0" w:after="0" w:line="400" w:lineRule="atLeast"/>
        <w:jc w:val="center"/>
        <w:rPr>
          <w:rFonts w:hint="default" w:ascii="Times New Roman" w:hAnsi="Times New Roman" w:eastAsia="宋体" w:cs="Times New Roman"/>
          <w:sz w:val="36"/>
        </w:rPr>
      </w:pPr>
      <w:r>
        <w:rPr>
          <w:rFonts w:hint="default" w:ascii="Times New Roman" w:hAnsi="Times New Roman" w:eastAsia="宋体" w:cs="Times New Roman"/>
          <w:sz w:val="36"/>
        </w:rPr>
        <w:t>第七章 义乌市政府采购合同（样本）</w:t>
      </w:r>
      <w:bookmarkEnd w:id="106"/>
      <w:bookmarkEnd w:id="107"/>
    </w:p>
    <w:p>
      <w:pPr>
        <w:spacing w:line="400" w:lineRule="exact"/>
        <w:ind w:firstLine="480" w:firstLineChars="200"/>
        <w:rPr>
          <w:rFonts w:hint="default" w:ascii="Times New Roman" w:hAnsi="Times New Roman" w:eastAsia="宋体" w:cs="Times New Roman"/>
          <w:u w:val="single"/>
        </w:rPr>
      </w:pPr>
      <w:r>
        <w:rPr>
          <w:rFonts w:hint="default" w:ascii="Times New Roman" w:hAnsi="Times New Roman" w:eastAsia="宋体" w:cs="Times New Roman"/>
        </w:rPr>
        <w:t>需方：</w:t>
      </w:r>
    </w:p>
    <w:p>
      <w:pPr>
        <w:spacing w:line="400" w:lineRule="exact"/>
        <w:ind w:firstLine="480" w:firstLineChars="200"/>
        <w:rPr>
          <w:rFonts w:hint="default" w:ascii="Times New Roman" w:hAnsi="Times New Roman" w:eastAsia="宋体" w:cs="Times New Roman"/>
          <w:u w:val="single"/>
        </w:rPr>
      </w:pPr>
      <w:r>
        <w:rPr>
          <w:rFonts w:hint="default" w:ascii="Times New Roman" w:hAnsi="Times New Roman" w:eastAsia="宋体" w:cs="Times New Roman"/>
        </w:rPr>
        <w:t>供方：</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rPr>
        <w:t>供</w:t>
      </w:r>
      <w:r>
        <w:rPr>
          <w:rFonts w:hint="default" w:ascii="Times New Roman" w:hAnsi="Times New Roman" w:eastAsia="宋体" w:cs="Times New Roman"/>
          <w:highlight w:val="none"/>
        </w:rPr>
        <w:t>、需双方根据202</w:t>
      </w:r>
      <w:r>
        <w:rPr>
          <w:rFonts w:hint="eastAsia" w:cs="Times New Roman"/>
          <w:highlight w:val="none"/>
          <w:lang w:val="en-US" w:eastAsia="zh-CN"/>
        </w:rPr>
        <w:t>3</w:t>
      </w:r>
      <w:r>
        <w:rPr>
          <w:rFonts w:hint="default" w:ascii="Times New Roman" w:hAnsi="Times New Roman" w:eastAsia="宋体" w:cs="Times New Roman"/>
          <w:highlight w:val="none"/>
        </w:rPr>
        <w:t>年  月  日</w:t>
      </w:r>
      <w:r>
        <w:rPr>
          <w:rFonts w:hint="default" w:ascii="Times New Roman" w:hAnsi="Times New Roman" w:eastAsia="宋体" w:cs="Times New Roman"/>
          <w:color w:val="FF0000"/>
          <w:kern w:val="21"/>
          <w:highlight w:val="none"/>
          <w:u w:val="single"/>
        </w:rPr>
        <w:t>义乌市农业农村局义乌市农村宅基地基础信息调查项目</w:t>
      </w:r>
      <w:r>
        <w:rPr>
          <w:rFonts w:hint="default" w:ascii="Times New Roman" w:hAnsi="Times New Roman" w:eastAsia="宋体" w:cs="Times New Roman"/>
          <w:color w:val="FF0000"/>
          <w:kern w:val="21"/>
          <w:highlight w:val="none"/>
        </w:rPr>
        <w:t>（招标编号：</w:t>
      </w:r>
      <w:r>
        <w:rPr>
          <w:rFonts w:hint="default" w:ascii="Times New Roman" w:hAnsi="Times New Roman" w:eastAsia="宋体" w:cs="Times New Roman"/>
          <w:color w:val="FF0000"/>
          <w:kern w:val="21"/>
          <w:highlight w:val="none"/>
          <w:u w:val="single"/>
        </w:rPr>
        <w:t>YWCG2023</w:t>
      </w:r>
      <w:r>
        <w:rPr>
          <w:rFonts w:hint="eastAsia" w:cs="Times New Roman"/>
          <w:color w:val="FF0000"/>
          <w:kern w:val="21"/>
          <w:highlight w:val="none"/>
          <w:u w:val="single"/>
          <w:lang w:eastAsia="zh-CN"/>
        </w:rPr>
        <w:t>008</w:t>
      </w:r>
      <w:r>
        <w:rPr>
          <w:rFonts w:hint="default" w:ascii="Times New Roman" w:hAnsi="Times New Roman" w:eastAsia="宋体" w:cs="Times New Roman"/>
          <w:color w:val="FF0000"/>
          <w:kern w:val="21"/>
          <w:highlight w:val="none"/>
          <w:u w:val="single"/>
        </w:rPr>
        <w:t>GK</w:t>
      </w:r>
      <w:r>
        <w:rPr>
          <w:rFonts w:hint="default" w:ascii="Times New Roman" w:hAnsi="Times New Roman" w:eastAsia="宋体" w:cs="Times New Roman"/>
          <w:color w:val="FF0000"/>
          <w:kern w:val="21"/>
          <w:highlight w:val="none"/>
        </w:rPr>
        <w:t>）</w:t>
      </w:r>
      <w:r>
        <w:rPr>
          <w:rFonts w:hint="default" w:ascii="Times New Roman" w:hAnsi="Times New Roman" w:eastAsia="宋体" w:cs="Times New Roman"/>
          <w:highlight w:val="none"/>
        </w:rPr>
        <w:t>项目中标结果和投标文件的要求，依据《中华人民共和国民法典》并经双方协调一致，订立本采购合同。本合同（□是 □否）为可融资合同。</w:t>
      </w:r>
    </w:p>
    <w:p>
      <w:pPr>
        <w:spacing w:line="400" w:lineRule="exact"/>
        <w:ind w:firstLine="482" w:firstLineChars="200"/>
        <w:rPr>
          <w:rFonts w:hint="default" w:ascii="Times New Roman" w:hAnsi="Times New Roman" w:eastAsia="宋体" w:cs="Times New Roman"/>
        </w:rPr>
      </w:pPr>
      <w:r>
        <w:rPr>
          <w:rFonts w:hint="default" w:ascii="Times New Roman" w:hAnsi="Times New Roman" w:eastAsia="宋体" w:cs="Times New Roman"/>
          <w:b/>
          <w:highlight w:val="none"/>
        </w:rPr>
        <w:t>一、合同文件组成：</w:t>
      </w:r>
      <w:r>
        <w:rPr>
          <w:rFonts w:hint="default" w:ascii="Times New Roman" w:hAnsi="Times New Roman" w:eastAsia="宋体" w:cs="Times New Roman"/>
          <w:highlight w:val="none"/>
        </w:rPr>
        <w:t>招标文件及其补充更正文件、询标承诺、询疑答复、投标响应文件、双方来函。合同文件组成的所有内容是构成合</w:t>
      </w:r>
      <w:r>
        <w:rPr>
          <w:rFonts w:hint="default" w:ascii="Times New Roman" w:hAnsi="Times New Roman" w:eastAsia="宋体" w:cs="Times New Roman"/>
        </w:rPr>
        <w:t>同不可分割的部分，与合同具有同等法律效力。</w:t>
      </w:r>
    </w:p>
    <w:p>
      <w:pPr>
        <w:spacing w:line="40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二、合同金额</w:t>
      </w:r>
    </w:p>
    <w:p>
      <w:pPr>
        <w:pStyle w:val="29"/>
        <w:spacing w:line="440" w:lineRule="exact"/>
        <w:ind w:firstLine="480" w:firstLineChars="200"/>
        <w:rPr>
          <w:rFonts w:hint="default" w:ascii="Times New Roman" w:hAnsi="Times New Roman" w:eastAsia="宋体" w:cs="Times New Roman"/>
        </w:rPr>
      </w:pPr>
      <w:r>
        <w:rPr>
          <w:rFonts w:hint="default" w:ascii="Times New Roman" w:hAnsi="Times New Roman" w:eastAsia="宋体" w:cs="Times New Roman"/>
          <w:sz w:val="24"/>
        </w:rPr>
        <w:t>合同金额:</w:t>
      </w:r>
      <w:r>
        <w:rPr>
          <w:rFonts w:hint="default" w:ascii="Times New Roman" w:hAnsi="Times New Roman" w:eastAsia="宋体" w:cs="Times New Roman"/>
          <w:kern w:val="0"/>
          <w:sz w:val="24"/>
        </w:rPr>
        <w:t>________________</w:t>
      </w:r>
      <w:r>
        <w:rPr>
          <w:rFonts w:hint="default" w:ascii="Times New Roman" w:hAnsi="Times New Roman" w:eastAsia="宋体" w:cs="Times New Roman"/>
          <w:sz w:val="24"/>
        </w:rPr>
        <w:t>（价款以人民币进行结算，大写）。合同价款中包括___________________</w:t>
      </w:r>
      <w:r>
        <w:rPr>
          <w:rFonts w:hint="default" w:ascii="Times New Roman" w:hAnsi="Times New Roman" w:eastAsia="宋体" w:cs="Times New Roman"/>
          <w:sz w:val="24"/>
          <w:szCs w:val="24"/>
        </w:rPr>
        <w:t>等所有费用。</w:t>
      </w:r>
    </w:p>
    <w:p>
      <w:pPr>
        <w:spacing w:line="400" w:lineRule="exact"/>
        <w:ind w:firstLine="480" w:firstLineChars="200"/>
        <w:jc w:val="right"/>
        <w:rPr>
          <w:rFonts w:hint="default" w:ascii="Times New Roman" w:hAnsi="Times New Roman" w:eastAsia="宋体" w:cs="Times New Roman"/>
        </w:rPr>
      </w:pPr>
      <w:r>
        <w:rPr>
          <w:rFonts w:hint="default" w:ascii="Times New Roman" w:hAnsi="Times New Roman" w:eastAsia="宋体" w:cs="Times New Roman"/>
        </w:rPr>
        <w:t>单位：人民币元</w:t>
      </w:r>
    </w:p>
    <w:tbl>
      <w:tblPr>
        <w:tblStyle w:val="57"/>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649"/>
        <w:gridCol w:w="1741"/>
        <w:gridCol w:w="96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05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3649" w:type="dxa"/>
            <w:vAlign w:val="center"/>
          </w:tcPr>
          <w:p>
            <w:pPr>
              <w:spacing w:line="400" w:lineRule="exact"/>
              <w:ind w:firstLine="480" w:firstLineChars="200"/>
              <w:jc w:val="center"/>
              <w:rPr>
                <w:rFonts w:hint="default" w:ascii="Times New Roman" w:hAnsi="Times New Roman" w:eastAsia="宋体" w:cs="Times New Roman"/>
              </w:rPr>
            </w:pPr>
            <w:r>
              <w:rPr>
                <w:rFonts w:hint="default" w:ascii="Times New Roman" w:hAnsi="Times New Roman" w:eastAsia="宋体" w:cs="Times New Roman"/>
              </w:rPr>
              <w:t>采购项目</w:t>
            </w:r>
          </w:p>
        </w:tc>
        <w:tc>
          <w:tcPr>
            <w:tcW w:w="1741"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数量</w:t>
            </w:r>
          </w:p>
        </w:tc>
        <w:tc>
          <w:tcPr>
            <w:tcW w:w="967"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单价</w:t>
            </w:r>
          </w:p>
        </w:tc>
        <w:tc>
          <w:tcPr>
            <w:tcW w:w="1741" w:type="dxa"/>
            <w:vAlign w:val="center"/>
          </w:tcPr>
          <w:p>
            <w:pPr>
              <w:spacing w:line="400" w:lineRule="exact"/>
              <w:ind w:firstLine="480" w:firstLineChars="200"/>
              <w:jc w:val="center"/>
              <w:rPr>
                <w:rFonts w:hint="default" w:ascii="Times New Roman" w:hAnsi="Times New Roman" w:eastAsia="宋体" w:cs="Times New Roman"/>
              </w:rPr>
            </w:pPr>
            <w:r>
              <w:rPr>
                <w:rFonts w:hint="default" w:ascii="Times New Roman" w:hAnsi="Times New Roman" w:eastAsia="宋体" w:cs="Times New Roma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29"/>
              <w:adjustRightInd w:val="0"/>
              <w:snapToGrid w:val="0"/>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3649" w:type="dxa"/>
            <w:vAlign w:val="center"/>
          </w:tcPr>
          <w:p>
            <w:pPr>
              <w:pStyle w:val="29"/>
              <w:adjustRightInd w:val="0"/>
              <w:snapToGrid w:val="0"/>
              <w:spacing w:line="400" w:lineRule="exact"/>
              <w:jc w:val="center"/>
              <w:rPr>
                <w:rFonts w:hint="default" w:ascii="Times New Roman" w:hAnsi="Times New Roman" w:eastAsia="宋体" w:cs="Times New Roman"/>
                <w:sz w:val="24"/>
                <w:szCs w:val="24"/>
                <w:highlight w:val="yellow"/>
              </w:rPr>
            </w:pPr>
          </w:p>
        </w:tc>
        <w:tc>
          <w:tcPr>
            <w:tcW w:w="1741" w:type="dxa"/>
            <w:vAlign w:val="center"/>
          </w:tcPr>
          <w:p>
            <w:pPr>
              <w:pStyle w:val="29"/>
              <w:adjustRightInd w:val="0"/>
              <w:snapToGrid w:val="0"/>
              <w:spacing w:line="400" w:lineRule="exact"/>
              <w:jc w:val="center"/>
              <w:rPr>
                <w:rFonts w:hint="default" w:ascii="Times New Roman" w:hAnsi="Times New Roman" w:eastAsia="宋体" w:cs="Times New Roman"/>
                <w:sz w:val="24"/>
                <w:szCs w:val="24"/>
                <w:highlight w:val="yellow"/>
              </w:rPr>
            </w:pPr>
          </w:p>
        </w:tc>
        <w:tc>
          <w:tcPr>
            <w:tcW w:w="967" w:type="dxa"/>
            <w:vAlign w:val="center"/>
          </w:tcPr>
          <w:p>
            <w:pPr>
              <w:spacing w:line="400" w:lineRule="exact"/>
              <w:ind w:firstLine="480" w:firstLineChars="200"/>
              <w:jc w:val="center"/>
              <w:rPr>
                <w:rFonts w:hint="default" w:ascii="Times New Roman" w:hAnsi="Times New Roman" w:eastAsia="宋体" w:cs="Times New Roman"/>
              </w:rPr>
            </w:pPr>
          </w:p>
        </w:tc>
        <w:tc>
          <w:tcPr>
            <w:tcW w:w="1741" w:type="dxa"/>
          </w:tcPr>
          <w:p>
            <w:pPr>
              <w:spacing w:line="400" w:lineRule="exact"/>
              <w:ind w:firstLine="480" w:firstLineChars="20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29"/>
              <w:adjustRightInd w:val="0"/>
              <w:snapToGrid w:val="0"/>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3649" w:type="dxa"/>
            <w:vAlign w:val="center"/>
          </w:tcPr>
          <w:p>
            <w:pPr>
              <w:pStyle w:val="29"/>
              <w:adjustRightInd w:val="0"/>
              <w:snapToGrid w:val="0"/>
              <w:spacing w:line="400" w:lineRule="exact"/>
              <w:jc w:val="center"/>
              <w:rPr>
                <w:rFonts w:hint="default" w:ascii="Times New Roman" w:hAnsi="Times New Roman" w:eastAsia="宋体" w:cs="Times New Roman"/>
                <w:sz w:val="24"/>
                <w:szCs w:val="24"/>
                <w:highlight w:val="yellow"/>
              </w:rPr>
            </w:pPr>
          </w:p>
        </w:tc>
        <w:tc>
          <w:tcPr>
            <w:tcW w:w="1741" w:type="dxa"/>
            <w:vAlign w:val="center"/>
          </w:tcPr>
          <w:p>
            <w:pPr>
              <w:pStyle w:val="29"/>
              <w:adjustRightInd w:val="0"/>
              <w:snapToGrid w:val="0"/>
              <w:spacing w:line="400" w:lineRule="exact"/>
              <w:jc w:val="center"/>
              <w:rPr>
                <w:rFonts w:hint="default" w:ascii="Times New Roman" w:hAnsi="Times New Roman" w:eastAsia="宋体" w:cs="Times New Roman"/>
                <w:sz w:val="24"/>
                <w:szCs w:val="24"/>
                <w:highlight w:val="yellow"/>
              </w:rPr>
            </w:pPr>
          </w:p>
        </w:tc>
        <w:tc>
          <w:tcPr>
            <w:tcW w:w="967" w:type="dxa"/>
            <w:vAlign w:val="center"/>
          </w:tcPr>
          <w:p>
            <w:pPr>
              <w:spacing w:line="400" w:lineRule="exact"/>
              <w:ind w:firstLine="480" w:firstLineChars="200"/>
              <w:jc w:val="center"/>
              <w:rPr>
                <w:rFonts w:hint="default" w:ascii="Times New Roman" w:hAnsi="Times New Roman" w:eastAsia="宋体" w:cs="Times New Roman"/>
              </w:rPr>
            </w:pPr>
          </w:p>
        </w:tc>
        <w:tc>
          <w:tcPr>
            <w:tcW w:w="1741" w:type="dxa"/>
          </w:tcPr>
          <w:p>
            <w:pPr>
              <w:spacing w:line="400" w:lineRule="exact"/>
              <w:ind w:firstLine="480" w:firstLineChars="20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29"/>
              <w:adjustRightInd w:val="0"/>
              <w:snapToGrid w:val="0"/>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3649" w:type="dxa"/>
            <w:vAlign w:val="center"/>
          </w:tcPr>
          <w:p>
            <w:pPr>
              <w:pStyle w:val="29"/>
              <w:adjustRightInd w:val="0"/>
              <w:snapToGrid w:val="0"/>
              <w:spacing w:line="400" w:lineRule="exact"/>
              <w:jc w:val="center"/>
              <w:rPr>
                <w:rFonts w:hint="default" w:ascii="Times New Roman" w:hAnsi="Times New Roman" w:eastAsia="宋体" w:cs="Times New Roman"/>
                <w:sz w:val="24"/>
                <w:szCs w:val="24"/>
                <w:highlight w:val="yellow"/>
              </w:rPr>
            </w:pPr>
          </w:p>
        </w:tc>
        <w:tc>
          <w:tcPr>
            <w:tcW w:w="1741" w:type="dxa"/>
            <w:vAlign w:val="center"/>
          </w:tcPr>
          <w:p>
            <w:pPr>
              <w:pStyle w:val="29"/>
              <w:adjustRightInd w:val="0"/>
              <w:snapToGrid w:val="0"/>
              <w:spacing w:line="400" w:lineRule="exact"/>
              <w:jc w:val="center"/>
              <w:rPr>
                <w:rFonts w:hint="default" w:ascii="Times New Roman" w:hAnsi="Times New Roman" w:eastAsia="宋体" w:cs="Times New Roman"/>
                <w:sz w:val="24"/>
                <w:szCs w:val="24"/>
                <w:highlight w:val="yellow"/>
              </w:rPr>
            </w:pPr>
          </w:p>
        </w:tc>
        <w:tc>
          <w:tcPr>
            <w:tcW w:w="967" w:type="dxa"/>
            <w:vAlign w:val="center"/>
          </w:tcPr>
          <w:p>
            <w:pPr>
              <w:spacing w:line="400" w:lineRule="exact"/>
              <w:ind w:firstLine="480" w:firstLineChars="200"/>
              <w:jc w:val="center"/>
              <w:rPr>
                <w:rFonts w:hint="default" w:ascii="Times New Roman" w:hAnsi="Times New Roman" w:eastAsia="宋体" w:cs="Times New Roman"/>
              </w:rPr>
            </w:pPr>
          </w:p>
        </w:tc>
        <w:tc>
          <w:tcPr>
            <w:tcW w:w="1741" w:type="dxa"/>
          </w:tcPr>
          <w:p>
            <w:pPr>
              <w:spacing w:line="400" w:lineRule="exact"/>
              <w:ind w:firstLine="480" w:firstLineChars="20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29"/>
              <w:adjustRightInd w:val="0"/>
              <w:snapToGrid w:val="0"/>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649" w:type="dxa"/>
            <w:vAlign w:val="center"/>
          </w:tcPr>
          <w:p>
            <w:pPr>
              <w:pStyle w:val="29"/>
              <w:adjustRightInd w:val="0"/>
              <w:snapToGrid w:val="0"/>
              <w:spacing w:line="400" w:lineRule="exact"/>
              <w:jc w:val="center"/>
              <w:rPr>
                <w:rFonts w:hint="default" w:ascii="Times New Roman" w:hAnsi="Times New Roman" w:eastAsia="宋体" w:cs="Times New Roman"/>
                <w:sz w:val="24"/>
                <w:szCs w:val="24"/>
                <w:highlight w:val="yellow"/>
              </w:rPr>
            </w:pPr>
          </w:p>
        </w:tc>
        <w:tc>
          <w:tcPr>
            <w:tcW w:w="1741" w:type="dxa"/>
            <w:vAlign w:val="center"/>
          </w:tcPr>
          <w:p>
            <w:pPr>
              <w:pStyle w:val="29"/>
              <w:adjustRightInd w:val="0"/>
              <w:snapToGrid w:val="0"/>
              <w:spacing w:line="400" w:lineRule="exact"/>
              <w:jc w:val="center"/>
              <w:rPr>
                <w:rFonts w:hint="default" w:ascii="Times New Roman" w:hAnsi="Times New Roman" w:eastAsia="宋体" w:cs="Times New Roman"/>
                <w:sz w:val="24"/>
                <w:szCs w:val="24"/>
                <w:highlight w:val="yellow"/>
              </w:rPr>
            </w:pPr>
          </w:p>
        </w:tc>
        <w:tc>
          <w:tcPr>
            <w:tcW w:w="967" w:type="dxa"/>
            <w:vAlign w:val="center"/>
          </w:tcPr>
          <w:p>
            <w:pPr>
              <w:spacing w:line="400" w:lineRule="exact"/>
              <w:ind w:firstLine="480" w:firstLineChars="200"/>
              <w:jc w:val="center"/>
              <w:rPr>
                <w:rFonts w:hint="default" w:ascii="Times New Roman" w:hAnsi="Times New Roman" w:eastAsia="宋体" w:cs="Times New Roman"/>
              </w:rPr>
            </w:pPr>
          </w:p>
        </w:tc>
        <w:tc>
          <w:tcPr>
            <w:tcW w:w="1741" w:type="dxa"/>
          </w:tcPr>
          <w:p>
            <w:pPr>
              <w:spacing w:line="400" w:lineRule="exact"/>
              <w:ind w:firstLine="480" w:firstLineChars="20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050"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合计</w:t>
            </w:r>
          </w:p>
        </w:tc>
        <w:tc>
          <w:tcPr>
            <w:tcW w:w="8098" w:type="dxa"/>
            <w:gridSpan w:val="4"/>
            <w:vAlign w:val="center"/>
          </w:tcPr>
          <w:p>
            <w:pPr>
              <w:spacing w:line="400" w:lineRule="exact"/>
              <w:ind w:firstLine="480" w:firstLineChars="200"/>
              <w:rPr>
                <w:rFonts w:hint="default" w:ascii="Times New Roman" w:hAnsi="Times New Roman" w:eastAsia="宋体" w:cs="Times New Roman"/>
                <w:u w:val="single"/>
              </w:rPr>
            </w:pPr>
            <w:r>
              <w:rPr>
                <w:rFonts w:hint="default" w:ascii="Times New Roman" w:hAnsi="Times New Roman" w:eastAsia="宋体" w:cs="Times New Roman"/>
              </w:rPr>
              <w:t>￥：</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大写：</w:t>
            </w:r>
          </w:p>
        </w:tc>
      </w:tr>
    </w:tbl>
    <w:p>
      <w:pPr>
        <w:snapToGrid w:val="0"/>
        <w:spacing w:line="400" w:lineRule="exact"/>
        <w:ind w:left="480"/>
        <w:rPr>
          <w:rFonts w:hint="default" w:ascii="Times New Roman" w:hAnsi="Times New Roman" w:eastAsia="宋体" w:cs="Times New Roman"/>
          <w:b/>
        </w:rPr>
      </w:pPr>
      <w:r>
        <w:rPr>
          <w:rFonts w:hint="default" w:ascii="Times New Roman" w:hAnsi="Times New Roman" w:eastAsia="宋体" w:cs="Times New Roman"/>
          <w:b/>
        </w:rPr>
        <w:t xml:space="preserve">三、服务内容： </w:t>
      </w:r>
    </w:p>
    <w:p>
      <w:pPr>
        <w:snapToGrid w:val="0"/>
        <w:spacing w:line="400" w:lineRule="exact"/>
        <w:ind w:left="480" w:leftChars="200"/>
        <w:rPr>
          <w:rFonts w:hint="default" w:ascii="Times New Roman" w:hAnsi="Times New Roman" w:eastAsia="宋体" w:cs="Times New Roman"/>
          <w:b/>
        </w:rPr>
      </w:pPr>
      <w:r>
        <w:rPr>
          <w:rFonts w:hint="default" w:ascii="Times New Roman" w:hAnsi="Times New Roman" w:eastAsia="宋体" w:cs="Times New Roman"/>
          <w:b/>
        </w:rPr>
        <w:t xml:space="preserve">  </w:t>
      </w:r>
    </w:p>
    <w:p>
      <w:pPr>
        <w:snapToGrid w:val="0"/>
        <w:spacing w:line="400" w:lineRule="exact"/>
        <w:ind w:firstLine="482" w:firstLineChars="200"/>
        <w:rPr>
          <w:rFonts w:hint="default" w:ascii="Times New Roman" w:hAnsi="Times New Roman" w:eastAsia="宋体" w:cs="Times New Roman"/>
          <w:bCs/>
        </w:rPr>
      </w:pPr>
      <w:r>
        <w:rPr>
          <w:rFonts w:hint="default" w:ascii="Times New Roman" w:hAnsi="Times New Roman" w:eastAsia="宋体" w:cs="Times New Roman"/>
          <w:b/>
        </w:rPr>
        <w:t>四、服务期限：</w:t>
      </w:r>
      <w:r>
        <w:rPr>
          <w:rFonts w:hint="default" w:ascii="Times New Roman" w:hAnsi="Times New Roman" w:eastAsia="宋体" w:cs="Times New Roman"/>
          <w:bCs/>
        </w:rPr>
        <w:t>________________</w:t>
      </w:r>
    </w:p>
    <w:p>
      <w:pPr>
        <w:pStyle w:val="55"/>
        <w:ind w:left="480" w:firstLine="480"/>
        <w:rPr>
          <w:rFonts w:hint="default" w:ascii="Times New Roman" w:hAnsi="Times New Roman" w:eastAsia="宋体" w:cs="Times New Roman"/>
        </w:rPr>
      </w:pPr>
    </w:p>
    <w:p>
      <w:pPr>
        <w:snapToGrid w:val="0"/>
        <w:spacing w:line="40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五、付款方式：</w:t>
      </w:r>
      <w:r>
        <w:rPr>
          <w:rFonts w:hint="default" w:ascii="Times New Roman" w:hAnsi="Times New Roman" w:eastAsia="宋体" w:cs="Times New Roman"/>
          <w:bCs/>
        </w:rPr>
        <w:t>________________</w:t>
      </w:r>
    </w:p>
    <w:p>
      <w:pPr>
        <w:snapToGrid w:val="0"/>
        <w:spacing w:line="400" w:lineRule="exact"/>
        <w:ind w:firstLine="482" w:firstLineChars="200"/>
        <w:rPr>
          <w:rFonts w:hint="default" w:ascii="Times New Roman" w:hAnsi="Times New Roman" w:eastAsia="宋体" w:cs="Times New Roman"/>
          <w:b/>
        </w:rPr>
      </w:pPr>
    </w:p>
    <w:p>
      <w:pPr>
        <w:snapToGrid w:val="0"/>
        <w:spacing w:line="40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六、技术资料</w:t>
      </w:r>
    </w:p>
    <w:p>
      <w:pPr>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1.供方应按招标文件规定的时间向需方提供使用货物的有关技术资料。</w:t>
      </w:r>
    </w:p>
    <w:p>
      <w:pPr>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没有需方事先书面同意，供方不得将由需方提供的有关合同或任何合同条文、规格、计划、图纸、样品或资料提供给与履行本合同无关的任何其他人。即使向履行本合同有关的人员（项目经办人）提供，也应注意保密并限于履行合同的必需范围。</w:t>
      </w:r>
    </w:p>
    <w:p>
      <w:pPr>
        <w:snapToGrid w:val="0"/>
        <w:spacing w:line="400" w:lineRule="exact"/>
        <w:ind w:firstLine="590" w:firstLineChars="245"/>
        <w:rPr>
          <w:rFonts w:hint="default" w:ascii="Times New Roman" w:hAnsi="Times New Roman" w:eastAsia="宋体" w:cs="Times New Roman"/>
          <w:b/>
        </w:rPr>
      </w:pPr>
      <w:r>
        <w:rPr>
          <w:rFonts w:hint="default" w:ascii="Times New Roman" w:hAnsi="Times New Roman" w:eastAsia="宋体" w:cs="Times New Roman"/>
          <w:b/>
        </w:rPr>
        <w:t>七、知识产权</w:t>
      </w:r>
    </w:p>
    <w:p>
      <w:pPr>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供方应保证所提供的货物或其任何一部分均不会侵犯任何第三方的知识产权。</w:t>
      </w:r>
    </w:p>
    <w:p>
      <w:pPr>
        <w:snapToGrid w:val="0"/>
        <w:spacing w:line="400" w:lineRule="exact"/>
        <w:ind w:firstLine="472" w:firstLineChars="196"/>
        <w:rPr>
          <w:rFonts w:hint="default" w:ascii="Times New Roman" w:hAnsi="Times New Roman" w:eastAsia="宋体" w:cs="Times New Roman"/>
          <w:u w:val="single"/>
        </w:rPr>
      </w:pPr>
      <w:r>
        <w:rPr>
          <w:rFonts w:hint="default" w:ascii="Times New Roman" w:hAnsi="Times New Roman" w:eastAsia="宋体" w:cs="Times New Roman"/>
          <w:b/>
        </w:rPr>
        <w:t>八、产权担保</w:t>
      </w:r>
    </w:p>
    <w:p>
      <w:pPr>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供方保证所交付的货物的所有权完全属于供方且无任何抵押、查封等产权瑕疵。</w:t>
      </w:r>
    </w:p>
    <w:p>
      <w:pPr>
        <w:snapToGrid w:val="0"/>
        <w:spacing w:line="400" w:lineRule="exact"/>
        <w:ind w:firstLine="472" w:firstLineChars="196"/>
        <w:rPr>
          <w:rFonts w:hint="default" w:ascii="Times New Roman" w:hAnsi="Times New Roman" w:eastAsia="宋体" w:cs="Times New Roman"/>
        </w:rPr>
      </w:pPr>
      <w:r>
        <w:rPr>
          <w:rFonts w:hint="default" w:ascii="Times New Roman" w:hAnsi="Times New Roman" w:eastAsia="宋体" w:cs="Times New Roman"/>
          <w:b/>
        </w:rPr>
        <w:t>九、履约保证金：</w:t>
      </w:r>
      <w:r>
        <w:rPr>
          <w:rFonts w:hint="default" w:ascii="Times New Roman" w:hAnsi="Times New Roman" w:eastAsia="宋体" w:cs="Times New Roman"/>
        </w:rPr>
        <w:t>无</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b/>
        </w:rPr>
        <w:t>十、转包或分包</w:t>
      </w:r>
    </w:p>
    <w:p>
      <w:pPr>
        <w:widowControl w:val="0"/>
        <w:spacing w:line="264" w:lineRule="auto"/>
        <w:ind w:firstLine="480"/>
        <w:rPr>
          <w:rFonts w:hint="default" w:ascii="Times New Roman" w:hAnsi="Times New Roman" w:eastAsia="宋体" w:cs="Times New Roman"/>
        </w:rPr>
      </w:pPr>
      <w:r>
        <w:rPr>
          <w:rFonts w:hint="default" w:ascii="Times New Roman" w:hAnsi="Times New Roman" w:eastAsia="宋体" w:cs="Times New Roman"/>
        </w:rPr>
        <w:t>1、本合同范围的服务，应由供方直接供应，不得转让他人供应；</w:t>
      </w:r>
    </w:p>
    <w:p>
      <w:pPr>
        <w:widowControl w:val="0"/>
        <w:spacing w:line="264" w:lineRule="auto"/>
        <w:ind w:firstLine="480"/>
        <w:rPr>
          <w:rFonts w:hint="default" w:ascii="Times New Roman" w:hAnsi="Times New Roman" w:eastAsia="宋体" w:cs="Times New Roman"/>
        </w:rPr>
      </w:pPr>
      <w:r>
        <w:rPr>
          <w:rFonts w:hint="default" w:ascii="Times New Roman" w:hAnsi="Times New Roman" w:eastAsia="宋体" w:cs="Times New Roman"/>
        </w:rPr>
        <w:t>2、供方不得将本合同范围的服务全部或部分分包给他人供应；</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rPr>
        <w:t>3、如有转让和分包行为，需方中止合同，并追究供方的违约责任。</w:t>
      </w:r>
    </w:p>
    <w:p>
      <w:pPr>
        <w:pStyle w:val="29"/>
        <w:spacing w:line="440" w:lineRule="exact"/>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十一、需、供双方权利和义务：</w:t>
      </w:r>
    </w:p>
    <w:p>
      <w:pPr>
        <w:pStyle w:val="29"/>
        <w:spacing w:line="440" w:lineRule="exact"/>
        <w:ind w:firstLine="480" w:firstLineChars="200"/>
        <w:rPr>
          <w:rFonts w:hint="default" w:ascii="Times New Roman" w:hAnsi="Times New Roman" w:eastAsia="宋体" w:cs="Times New Roman"/>
          <w:sz w:val="24"/>
          <w:szCs w:val="24"/>
        </w:rPr>
      </w:pP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需方的权利和义务</w:t>
      </w:r>
    </w:p>
    <w:p>
      <w:pPr>
        <w:pStyle w:val="29"/>
        <w:spacing w:line="440" w:lineRule="exact"/>
        <w:ind w:firstLine="480" w:firstLineChars="200"/>
        <w:rPr>
          <w:rFonts w:hint="default" w:ascii="Times New Roman" w:hAnsi="Times New Roman" w:eastAsia="宋体" w:cs="Times New Roman"/>
          <w:sz w:val="24"/>
          <w:szCs w:val="24"/>
        </w:rPr>
      </w:pP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供方的权利和义务</w:t>
      </w:r>
    </w:p>
    <w:p>
      <w:pPr>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29"/>
        <w:spacing w:line="440" w:lineRule="exact"/>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十二、违约责任：</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1．需方无正当理由拒收接受服务的，需方向供方偿付合同款项百分之    作为违约金。</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2．需方无故逾期验收和办理款项支付手续的,需方应按逾期付款总额每日万分之  向供方支付违约金。</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3．供方未能如期提供服务的，每日向需方支付合同款项的千分之    作为违约金。供方超过约定日期个工作日仍不能提供服务的，需方可解除本合同。供方因未能如期提供服务或因其他违约行为导致需方解除合同的，供方应向需方支付合同总值百分之    的违约金，如造成需方损失超过违约金的，超出部分由供方继续承担赔偿责任。 </w:t>
      </w:r>
    </w:p>
    <w:p>
      <w:pPr>
        <w:pStyle w:val="29"/>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4.如果供方提供的服务项目的质量未达到本合同规定标准的，则需方有权拒绝，供方需向需方偿付合同款项的百分之    的违约金。如造成需方损失超过违约金的，超出部分由供方继续承担赔偿责任。</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b/>
        </w:rPr>
        <w:t>十三、税费</w:t>
      </w:r>
    </w:p>
    <w:p>
      <w:pPr>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本合同执行中相关的一切税费均由供方负担。</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b/>
        </w:rPr>
        <w:t>十四、不可抗力事件处理</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1.在合同有效期内，任何一方因不可抗力事件导致不能履行合同，则合同履行期可延长，其延长期与不可抗力影响期相同。</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2.不可抗力事件发生后，应立即通知对方，并寄送有关权威机构出具的证明。</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3.不可抗力事件延续_120_天以上，双方应通过友好协商，确定是否继续履行合同。</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b/>
        </w:rPr>
        <w:t>十五、诉讼</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本合同项目所在地为义乌市，本合同发生争议产生的诉讼，应向项目所在地有管辖权的法院提起诉讼。</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b/>
        </w:rPr>
        <w:t>十六、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b/>
        </w:rPr>
        <w:t>十七、合同生效及其它</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1.合同经双方法定代表人(或负责人)或授权代表签字并加盖单位公章后生效。</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2.本合同一式八份，供需双方各执三份，义乌市财政局和义乌市政府采购中心各执一份，均具同等法律效力。</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3.本合同未尽事宜，遵照《民法典》有关条文执行。</w:t>
      </w:r>
    </w:p>
    <w:p>
      <w:pPr>
        <w:pStyle w:val="29"/>
        <w:spacing w:line="440" w:lineRule="exact"/>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十八</w:t>
      </w:r>
      <w:r>
        <w:rPr>
          <w:rFonts w:hint="default" w:ascii="Times New Roman" w:hAnsi="Times New Roman" w:eastAsia="宋体" w:cs="Times New Roman"/>
          <w:sz w:val="24"/>
          <w:szCs w:val="24"/>
        </w:rPr>
        <w:t>、本合同一式    份，需供双方各执    份，义乌市财政局和义乌市政府采购中心各执一份，均具同等效力。</w:t>
      </w:r>
    </w:p>
    <w:p>
      <w:pPr>
        <w:pStyle w:val="29"/>
        <w:spacing w:line="440" w:lineRule="exact"/>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十九</w:t>
      </w:r>
      <w:r>
        <w:rPr>
          <w:rFonts w:hint="default" w:ascii="Times New Roman" w:hAnsi="Times New Roman" w:eastAsia="宋体" w:cs="Times New Roman"/>
          <w:sz w:val="24"/>
          <w:szCs w:val="24"/>
        </w:rPr>
        <w:t>、本合同在合同签订之日起报义乌市财政局备案。</w:t>
      </w:r>
    </w:p>
    <w:p>
      <w:pPr>
        <w:spacing w:line="400" w:lineRule="exact"/>
        <w:ind w:firstLine="480" w:firstLineChars="200"/>
        <w:rPr>
          <w:rFonts w:hint="default" w:ascii="Times New Roman" w:hAnsi="Times New Roman" w:eastAsia="宋体" w:cs="Times New Roman"/>
          <w:color w:val="000000"/>
        </w:rPr>
      </w:pP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需    方：________________________  供    方：__________________</w:t>
      </w:r>
      <w:r>
        <w:rPr>
          <w:rFonts w:hint="default" w:ascii="Times New Roman" w:hAnsi="Times New Roman" w:eastAsia="宋体" w:cs="Times New Roman"/>
          <w:color w:val="000000"/>
          <w:u w:val="single"/>
        </w:rPr>
        <w:t>__</w:t>
      </w:r>
      <w:r>
        <w:rPr>
          <w:rFonts w:hint="default" w:ascii="Times New Roman" w:hAnsi="Times New Roman" w:eastAsia="宋体" w:cs="Times New Roman"/>
          <w:color w:val="000000"/>
        </w:rPr>
        <w:t>____</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地    址：________________________  地    址：_____________________</w:t>
      </w:r>
      <w:r>
        <w:rPr>
          <w:rFonts w:hint="default" w:ascii="Times New Roman" w:hAnsi="Times New Roman" w:eastAsia="宋体" w:cs="Times New Roman"/>
          <w:color w:val="000000"/>
          <w:u w:val="single"/>
        </w:rPr>
        <w:t>__</w:t>
      </w:r>
      <w:r>
        <w:rPr>
          <w:rFonts w:hint="default" w:ascii="Times New Roman" w:hAnsi="Times New Roman" w:eastAsia="宋体" w:cs="Times New Roman"/>
          <w:color w:val="000000"/>
        </w:rPr>
        <w:t>_</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法定代表人(或负责人)：____________ 法定代表人(或负责人)______________</w:t>
      </w:r>
      <w:r>
        <w:rPr>
          <w:rFonts w:hint="default" w:ascii="Times New Roman" w:hAnsi="Times New Roman" w:eastAsia="宋体" w:cs="Times New Roman"/>
          <w:color w:val="000000"/>
          <w:u w:val="single"/>
        </w:rPr>
        <w:t xml:space="preserve"> </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授权代表：_____________________</w:t>
      </w:r>
      <w:r>
        <w:rPr>
          <w:rFonts w:hint="default" w:ascii="Times New Roman" w:hAnsi="Times New Roman" w:eastAsia="宋体" w:cs="Times New Roman"/>
          <w:color w:val="000000"/>
          <w:u w:val="single"/>
        </w:rPr>
        <w:t xml:space="preserve">  _</w:t>
      </w:r>
      <w:r>
        <w:rPr>
          <w:rFonts w:hint="default" w:ascii="Times New Roman" w:hAnsi="Times New Roman" w:eastAsia="宋体" w:cs="Times New Roman"/>
          <w:color w:val="000000"/>
        </w:rPr>
        <w:t xml:space="preserve">  授权代表：____________________</w:t>
      </w:r>
      <w:r>
        <w:rPr>
          <w:rFonts w:hint="default" w:ascii="Times New Roman" w:hAnsi="Times New Roman" w:eastAsia="宋体" w:cs="Times New Roman"/>
          <w:color w:val="000000"/>
          <w:u w:val="single"/>
        </w:rPr>
        <w:t xml:space="preserve">    </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电    话：________________________  电    话：________________________</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帐户名称：________________________  帐户名称：________________________</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开户银行：________________________  开户银行：________________________</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帐    号：________________________  帐    号：________________________</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color w:val="000000"/>
        </w:rPr>
        <w:t>签约时间：________________________  签约地点：</w:t>
      </w:r>
      <w:r>
        <w:rPr>
          <w:rFonts w:hint="default" w:ascii="Times New Roman" w:hAnsi="Times New Roman" w:eastAsia="宋体" w:cs="Times New Roman"/>
          <w:color w:val="000000"/>
          <w:u w:val="single"/>
        </w:rPr>
        <w:t xml:space="preserve">                        </w:t>
      </w:r>
    </w:p>
    <w:p>
      <w:pPr>
        <w:pStyle w:val="37"/>
        <w:jc w:val="center"/>
        <w:rPr>
          <w:rFonts w:hint="default" w:ascii="Times New Roman" w:hAnsi="Times New Roman" w:eastAsia="宋体" w:cs="Times New Roman"/>
          <w:color w:val="auto"/>
          <w:sz w:val="36"/>
          <w:szCs w:val="36"/>
        </w:rPr>
      </w:pPr>
    </w:p>
    <w:p>
      <w:pPr>
        <w:pStyle w:val="37"/>
        <w:jc w:val="center"/>
        <w:rPr>
          <w:rFonts w:hint="default" w:ascii="Times New Roman" w:hAnsi="Times New Roman" w:eastAsia="宋体" w:cs="Times New Roman"/>
          <w:color w:val="auto"/>
          <w:sz w:val="36"/>
          <w:szCs w:val="36"/>
        </w:rPr>
      </w:pPr>
    </w:p>
    <w:p>
      <w:pPr>
        <w:pStyle w:val="37"/>
        <w:jc w:val="center"/>
        <w:rPr>
          <w:rFonts w:hint="default" w:ascii="Times New Roman" w:hAnsi="Times New Roman" w:eastAsia="宋体" w:cs="Times New Roman"/>
          <w:color w:val="auto"/>
          <w:sz w:val="36"/>
          <w:szCs w:val="36"/>
        </w:rPr>
      </w:pPr>
    </w:p>
    <w:p>
      <w:pPr>
        <w:pStyle w:val="37"/>
        <w:jc w:val="center"/>
        <w:rPr>
          <w:rFonts w:hint="default" w:ascii="Times New Roman" w:hAnsi="Times New Roman" w:eastAsia="宋体" w:cs="Times New Roman"/>
          <w:color w:val="auto"/>
          <w:sz w:val="36"/>
          <w:szCs w:val="36"/>
        </w:rPr>
      </w:pPr>
    </w:p>
    <w:p>
      <w:pPr>
        <w:pStyle w:val="37"/>
        <w:jc w:val="center"/>
        <w:rPr>
          <w:rFonts w:hint="default" w:ascii="Times New Roman" w:hAnsi="Times New Roman" w:eastAsia="宋体" w:cs="Times New Roman"/>
          <w:color w:val="auto"/>
          <w:sz w:val="36"/>
          <w:szCs w:val="36"/>
        </w:rPr>
      </w:pPr>
    </w:p>
    <w:p>
      <w:pPr>
        <w:pStyle w:val="37"/>
        <w:jc w:val="center"/>
        <w:rPr>
          <w:rFonts w:hint="default" w:ascii="Times New Roman" w:hAnsi="Times New Roman" w:eastAsia="宋体" w:cs="Times New Roman"/>
          <w:color w:val="auto"/>
          <w:sz w:val="36"/>
          <w:szCs w:val="36"/>
        </w:rPr>
      </w:pPr>
    </w:p>
    <w:p>
      <w:pPr>
        <w:pStyle w:val="37"/>
        <w:jc w:val="center"/>
        <w:rPr>
          <w:rFonts w:hint="default" w:ascii="Times New Roman" w:hAnsi="Times New Roman" w:eastAsia="宋体" w:cs="Times New Roman"/>
          <w:color w:val="auto"/>
          <w:sz w:val="36"/>
          <w:szCs w:val="36"/>
        </w:rPr>
      </w:pPr>
    </w:p>
    <w:p>
      <w:pPr>
        <w:pStyle w:val="37"/>
        <w:jc w:val="center"/>
        <w:rPr>
          <w:rFonts w:hint="default" w:ascii="Times New Roman" w:hAnsi="Times New Roman" w:eastAsia="宋体" w:cs="Times New Roman"/>
          <w:color w:val="auto"/>
          <w:sz w:val="36"/>
          <w:szCs w:val="36"/>
        </w:rPr>
      </w:pPr>
    </w:p>
    <w:p>
      <w:pPr>
        <w:pStyle w:val="37"/>
        <w:jc w:val="center"/>
        <w:rPr>
          <w:rFonts w:hint="default" w:ascii="Times New Roman" w:hAnsi="Times New Roman" w:eastAsia="宋体" w:cs="Times New Roman"/>
          <w:color w:val="auto"/>
          <w:sz w:val="36"/>
          <w:szCs w:val="36"/>
        </w:rPr>
      </w:pPr>
    </w:p>
    <w:p>
      <w:pPr>
        <w:rPr>
          <w:rFonts w:hint="default" w:ascii="Times New Roman" w:hAnsi="Times New Roman" w:eastAsia="宋体" w:cs="Times New Roman"/>
          <w:sz w:val="36"/>
          <w:szCs w:val="36"/>
        </w:rPr>
      </w:pPr>
    </w:p>
    <w:p>
      <w:pPr>
        <w:pStyle w:val="4"/>
        <w:spacing w:before="0" w:after="0" w:line="400" w:lineRule="atLeast"/>
        <w:jc w:val="center"/>
        <w:rPr>
          <w:rFonts w:hint="default" w:ascii="Times New Roman" w:hAnsi="Times New Roman" w:eastAsia="宋体" w:cs="Times New Roman"/>
          <w:sz w:val="36"/>
        </w:rPr>
      </w:pPr>
      <w:bookmarkStart w:id="108" w:name="_Toc620"/>
      <w:bookmarkStart w:id="109" w:name="_Toc1594"/>
      <w:r>
        <w:rPr>
          <w:rFonts w:hint="default" w:ascii="Times New Roman" w:hAnsi="Times New Roman" w:eastAsia="宋体" w:cs="Times New Roman"/>
          <w:sz w:val="36"/>
        </w:rPr>
        <w:t>第八章 投标文件部分格式</w:t>
      </w:r>
      <w:bookmarkEnd w:id="100"/>
      <w:bookmarkEnd w:id="101"/>
      <w:bookmarkEnd w:id="102"/>
      <w:bookmarkEnd w:id="103"/>
      <w:bookmarkEnd w:id="104"/>
      <w:bookmarkEnd w:id="105"/>
      <w:bookmarkEnd w:id="108"/>
      <w:bookmarkEnd w:id="109"/>
    </w:p>
    <w:p>
      <w:pPr>
        <w:pStyle w:val="37"/>
        <w:spacing w:line="400" w:lineRule="exac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一、封面格式</w:t>
      </w:r>
    </w:p>
    <w:p>
      <w:pPr>
        <w:pStyle w:val="37"/>
        <w:spacing w:line="400" w:lineRule="exac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二、资格响应文件部分格式：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1、义乌市政府采购项目投标承诺书</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2、联合体协议</w:t>
      </w:r>
    </w:p>
    <w:p>
      <w:pPr>
        <w:pStyle w:val="37"/>
        <w:spacing w:line="400" w:lineRule="exac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二、商务技术响应文件部分格式：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3、规范偏离表</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4、项目组成人员表</w:t>
      </w:r>
    </w:p>
    <w:p>
      <w:pPr>
        <w:spacing w:line="400" w:lineRule="exact"/>
        <w:rPr>
          <w:rFonts w:hint="default" w:ascii="Times New Roman" w:hAnsi="Times New Roman" w:eastAsia="宋体" w:cs="Times New Roman"/>
        </w:rPr>
      </w:pPr>
      <w:r>
        <w:rPr>
          <w:rFonts w:hint="default" w:ascii="Times New Roman" w:hAnsi="Times New Roman" w:eastAsia="宋体" w:cs="Times New Roman"/>
        </w:rPr>
        <w:t>三、报价响应文件部分格式：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5、开标一览表</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6、项目成本报价表</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7、中小企业声明函</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8、残疾人福利企业声明函</w:t>
      </w:r>
    </w:p>
    <w:p>
      <w:pPr>
        <w:pStyle w:val="55"/>
        <w:spacing w:after="0" w:line="400" w:lineRule="exact"/>
        <w:ind w:left="0" w:leftChars="0" w:firstLine="0" w:firstLineChars="0"/>
        <w:rPr>
          <w:rFonts w:hint="default" w:ascii="Times New Roman" w:hAnsi="Times New Roman" w:eastAsia="宋体" w:cs="Times New Roman"/>
        </w:rPr>
      </w:pPr>
    </w:p>
    <w:p>
      <w:pPr>
        <w:rPr>
          <w:rFonts w:hint="default" w:ascii="Times New Roman" w:hAnsi="Times New Roman" w:eastAsia="宋体" w:cs="Times New Roman"/>
          <w:szCs w:val="21"/>
        </w:rPr>
      </w:pPr>
    </w:p>
    <w:p>
      <w:pPr>
        <w:jc w:val="center"/>
        <w:rPr>
          <w:rFonts w:hint="default" w:ascii="Times New Roman" w:hAnsi="Times New Roman" w:eastAsia="宋体" w:cs="Times New Roman"/>
          <w:szCs w:val="21"/>
          <w:u w:val="single"/>
        </w:rPr>
      </w:pPr>
    </w:p>
    <w:p>
      <w:pPr>
        <w:rPr>
          <w:rFonts w:hint="default" w:ascii="Times New Roman" w:hAnsi="Times New Roman" w:eastAsia="宋体" w:cs="Times New Roman"/>
          <w:sz w:val="52"/>
          <w:u w:val="single"/>
        </w:rPr>
      </w:pPr>
      <w:r>
        <w:rPr>
          <w:rFonts w:hint="default" w:ascii="Times New Roman" w:hAnsi="Times New Roman" w:eastAsia="宋体" w:cs="Times New Roman"/>
          <w:bCs/>
          <w:szCs w:val="21"/>
        </w:rPr>
        <w:br w:type="page"/>
      </w:r>
      <w:r>
        <w:rPr>
          <w:rFonts w:hint="default" w:ascii="Times New Roman" w:hAnsi="Times New Roman" w:eastAsia="宋体" w:cs="Times New Roman"/>
          <w:bCs/>
          <w:sz w:val="28"/>
        </w:rPr>
        <w:t>封面格式</w:t>
      </w:r>
    </w:p>
    <w:p>
      <w:pPr>
        <w:jc w:val="center"/>
        <w:rPr>
          <w:rFonts w:hint="default" w:ascii="Times New Roman" w:hAnsi="Times New Roman" w:eastAsia="宋体" w:cs="Times New Roman"/>
          <w:color w:val="000000"/>
          <w:sz w:val="52"/>
        </w:rPr>
      </w:pPr>
    </w:p>
    <w:p>
      <w:pPr>
        <w:jc w:val="center"/>
        <w:rPr>
          <w:rFonts w:hint="default" w:ascii="Times New Roman" w:hAnsi="Times New Roman" w:eastAsia="宋体" w:cs="Times New Roman"/>
          <w:color w:val="000000"/>
          <w:sz w:val="52"/>
        </w:rPr>
      </w:pPr>
    </w:p>
    <w:p>
      <w:pPr>
        <w:jc w:val="center"/>
        <w:rPr>
          <w:rFonts w:hint="default" w:ascii="Times New Roman" w:hAnsi="Times New Roman" w:eastAsia="宋体" w:cs="Times New Roman"/>
          <w:sz w:val="52"/>
        </w:rPr>
      </w:pPr>
      <w:r>
        <w:rPr>
          <w:rFonts w:hint="default" w:ascii="Times New Roman" w:hAnsi="Times New Roman" w:eastAsia="宋体" w:cs="Times New Roman"/>
          <w:color w:val="000000"/>
          <w:sz w:val="52"/>
        </w:rPr>
        <w:t xml:space="preserve"> </w:t>
      </w:r>
      <w:r>
        <w:rPr>
          <w:rFonts w:hint="default" w:ascii="Times New Roman" w:hAnsi="Times New Roman" w:eastAsia="宋体" w:cs="Times New Roman"/>
          <w:color w:val="000000"/>
          <w:sz w:val="52"/>
          <w:u w:val="single"/>
        </w:rPr>
        <w:t xml:space="preserve">            </w:t>
      </w:r>
      <w:bookmarkStart w:id="110" w:name="_Toc27136_WPSOffice_Level1"/>
      <w:bookmarkStart w:id="111" w:name="_Toc15653_WPSOffice_Level1"/>
      <w:r>
        <w:rPr>
          <w:rFonts w:hint="default" w:ascii="Times New Roman" w:hAnsi="Times New Roman" w:eastAsia="宋体" w:cs="Times New Roman"/>
          <w:color w:val="000000"/>
          <w:sz w:val="52"/>
        </w:rPr>
        <w:t>项目</w:t>
      </w:r>
      <w:bookmarkEnd w:id="110"/>
      <w:bookmarkEnd w:id="111"/>
    </w:p>
    <w:p>
      <w:pPr>
        <w:jc w:val="center"/>
        <w:rPr>
          <w:rFonts w:hint="default" w:ascii="Times New Roman" w:hAnsi="Times New Roman" w:eastAsia="宋体" w:cs="Times New Roman"/>
          <w:sz w:val="52"/>
        </w:rPr>
      </w:pPr>
    </w:p>
    <w:p>
      <w:pPr>
        <w:rPr>
          <w:rFonts w:hint="default" w:ascii="Times New Roman" w:hAnsi="Times New Roman" w:eastAsia="宋体" w:cs="Times New Roman"/>
          <w:sz w:val="52"/>
        </w:rPr>
      </w:pPr>
    </w:p>
    <w:p>
      <w:pPr>
        <w:rPr>
          <w:rFonts w:hint="default" w:ascii="Times New Roman" w:hAnsi="Times New Roman" w:eastAsia="宋体" w:cs="Times New Roman"/>
          <w:sz w:val="52"/>
        </w:rPr>
      </w:pPr>
    </w:p>
    <w:p>
      <w:pPr>
        <w:jc w:val="center"/>
        <w:rPr>
          <w:rFonts w:hint="default" w:ascii="Times New Roman" w:hAnsi="Times New Roman" w:eastAsia="宋体" w:cs="Times New Roman"/>
          <w:bCs/>
          <w:sz w:val="72"/>
        </w:rPr>
      </w:pPr>
      <w:r>
        <w:rPr>
          <w:rFonts w:hint="default" w:ascii="Times New Roman" w:hAnsi="Times New Roman" w:eastAsia="宋体" w:cs="Times New Roman"/>
          <w:bCs/>
          <w:sz w:val="72"/>
        </w:rPr>
        <w:t>投标文件</w:t>
      </w:r>
    </w:p>
    <w:p>
      <w:pPr>
        <w:jc w:val="center"/>
        <w:rPr>
          <w:rFonts w:hint="default" w:ascii="Times New Roman" w:hAnsi="Times New Roman" w:eastAsia="宋体" w:cs="Times New Roman"/>
          <w:bCs/>
          <w:sz w:val="28"/>
        </w:rPr>
      </w:pPr>
      <w:r>
        <w:rPr>
          <w:rFonts w:hint="default" w:ascii="Times New Roman" w:hAnsi="Times New Roman" w:eastAsia="宋体" w:cs="Times New Roman"/>
          <w:bCs/>
          <w:sz w:val="28"/>
        </w:rPr>
        <w:t>采购编号：</w:t>
      </w:r>
      <w:r>
        <w:rPr>
          <w:rFonts w:hint="default" w:ascii="Times New Roman" w:hAnsi="Times New Roman" w:eastAsia="宋体" w:cs="Times New Roman"/>
        </w:rPr>
        <w:t>*********</w:t>
      </w:r>
    </w:p>
    <w:p>
      <w:pPr>
        <w:jc w:val="center"/>
        <w:rPr>
          <w:rFonts w:hint="default" w:ascii="Times New Roman" w:hAnsi="Times New Roman" w:eastAsia="宋体" w:cs="Times New Roman"/>
          <w:bCs/>
          <w:sz w:val="28"/>
        </w:rPr>
      </w:pPr>
    </w:p>
    <w:p>
      <w:pPr>
        <w:jc w:val="center"/>
        <w:rPr>
          <w:rFonts w:hint="default" w:ascii="Times New Roman" w:hAnsi="Times New Roman" w:eastAsia="宋体" w:cs="Times New Roman"/>
          <w:bCs/>
          <w:sz w:val="28"/>
        </w:rPr>
      </w:pPr>
    </w:p>
    <w:p>
      <w:pPr>
        <w:jc w:val="center"/>
        <w:rPr>
          <w:rFonts w:hint="default" w:ascii="Times New Roman" w:hAnsi="Times New Roman" w:eastAsia="宋体" w:cs="Times New Roman"/>
          <w:bCs/>
          <w:sz w:val="28"/>
        </w:rPr>
      </w:pPr>
    </w:p>
    <w:p>
      <w:pPr>
        <w:rPr>
          <w:rFonts w:hint="default" w:ascii="Times New Roman" w:hAnsi="Times New Roman" w:eastAsia="宋体" w:cs="Times New Roman"/>
          <w:bCs/>
          <w:sz w:val="28"/>
        </w:rPr>
      </w:pPr>
    </w:p>
    <w:p>
      <w:pPr>
        <w:spacing w:line="900" w:lineRule="exact"/>
        <w:ind w:firstLine="320" w:firstLineChars="100"/>
        <w:jc w:val="center"/>
        <w:rPr>
          <w:rFonts w:hint="default" w:ascii="Times New Roman" w:hAnsi="Times New Roman" w:eastAsia="宋体" w:cs="Times New Roman"/>
          <w:sz w:val="32"/>
          <w:u w:val="single"/>
        </w:rPr>
      </w:pPr>
      <w:r>
        <w:rPr>
          <w:rFonts w:hint="default" w:ascii="Times New Roman" w:hAnsi="Times New Roman" w:eastAsia="宋体" w:cs="Times New Roman"/>
          <w:sz w:val="32"/>
        </w:rPr>
        <w:t>投标文件内容：</w:t>
      </w:r>
      <w:r>
        <w:rPr>
          <w:rFonts w:hint="default" w:ascii="Times New Roman" w:hAnsi="Times New Roman" w:eastAsia="宋体" w:cs="Times New Roman"/>
          <w:sz w:val="32"/>
          <w:u w:val="single"/>
        </w:rPr>
        <w:t>（资格、商务技术或报价响应文件）</w:t>
      </w:r>
    </w:p>
    <w:p>
      <w:pPr>
        <w:spacing w:line="900" w:lineRule="exact"/>
        <w:ind w:firstLine="313" w:firstLineChars="98"/>
        <w:jc w:val="center"/>
        <w:rPr>
          <w:rFonts w:hint="default" w:ascii="Times New Roman" w:hAnsi="Times New Roman" w:eastAsia="宋体" w:cs="Times New Roman"/>
          <w:sz w:val="32"/>
          <w:u w:val="single"/>
        </w:rPr>
      </w:pPr>
      <w:r>
        <w:rPr>
          <w:rFonts w:hint="default" w:ascii="Times New Roman" w:hAnsi="Times New Roman" w:eastAsia="宋体" w:cs="Times New Roman"/>
          <w:sz w:val="32"/>
        </w:rPr>
        <w:t>投标人：</w:t>
      </w:r>
      <w:r>
        <w:rPr>
          <w:rFonts w:hint="default" w:ascii="Times New Roman" w:hAnsi="Times New Roman" w:eastAsia="宋体" w:cs="Times New Roman"/>
          <w:sz w:val="32"/>
          <w:u w:val="single"/>
        </w:rPr>
        <w:t xml:space="preserve">              （电子签章）</w:t>
      </w:r>
    </w:p>
    <w:p>
      <w:pPr>
        <w:spacing w:line="900" w:lineRule="exact"/>
        <w:ind w:firstLine="320" w:firstLineChars="100"/>
        <w:jc w:val="center"/>
        <w:rPr>
          <w:rFonts w:hint="default" w:ascii="Times New Roman" w:hAnsi="Times New Roman" w:eastAsia="宋体" w:cs="Times New Roman"/>
          <w:sz w:val="32"/>
        </w:rPr>
      </w:pPr>
      <w:r>
        <w:rPr>
          <w:rFonts w:hint="default" w:ascii="Times New Roman" w:hAnsi="Times New Roman" w:eastAsia="宋体" w:cs="Times New Roman"/>
          <w:sz w:val="32"/>
        </w:rPr>
        <w:t>日期：</w:t>
      </w:r>
      <w:r>
        <w:rPr>
          <w:rFonts w:hint="default" w:ascii="Times New Roman" w:hAnsi="Times New Roman" w:eastAsia="宋体" w:cs="Times New Roman"/>
          <w:sz w:val="32"/>
          <w:u w:val="single"/>
        </w:rPr>
        <w:t xml:space="preserve">      年      月      日</w:t>
      </w:r>
    </w:p>
    <w:p>
      <w:pPr>
        <w:pStyle w:val="29"/>
        <w:spacing w:line="460" w:lineRule="exact"/>
        <w:ind w:left="274" w:leftChars="114"/>
        <w:jc w:val="center"/>
        <w:rPr>
          <w:rFonts w:hint="default" w:ascii="Times New Roman" w:hAnsi="Times New Roman" w:eastAsia="宋体" w:cs="Times New Roman"/>
          <w:bCs/>
          <w:sz w:val="36"/>
          <w:szCs w:val="36"/>
        </w:rPr>
      </w:pPr>
    </w:p>
    <w:p>
      <w:pPr>
        <w:pStyle w:val="29"/>
        <w:spacing w:line="460" w:lineRule="exact"/>
        <w:ind w:left="274" w:leftChars="114"/>
        <w:jc w:val="center"/>
        <w:rPr>
          <w:rFonts w:hint="default" w:ascii="Times New Roman" w:hAnsi="Times New Roman" w:eastAsia="宋体" w:cs="Times New Roman"/>
          <w:bCs/>
          <w:sz w:val="36"/>
          <w:szCs w:val="36"/>
        </w:rPr>
      </w:pPr>
    </w:p>
    <w:p>
      <w:pPr>
        <w:pStyle w:val="29"/>
        <w:spacing w:line="460" w:lineRule="exact"/>
        <w:ind w:left="274" w:leftChars="114"/>
        <w:jc w:val="center"/>
        <w:rPr>
          <w:rFonts w:hint="default" w:ascii="Times New Roman" w:hAnsi="Times New Roman" w:eastAsia="宋体" w:cs="Times New Roman"/>
          <w:bCs/>
          <w:sz w:val="36"/>
          <w:szCs w:val="36"/>
        </w:rPr>
      </w:pPr>
    </w:p>
    <w:p>
      <w:pPr>
        <w:pStyle w:val="29"/>
        <w:spacing w:line="460" w:lineRule="exact"/>
        <w:ind w:left="274" w:leftChars="114"/>
        <w:jc w:val="center"/>
        <w:rPr>
          <w:rFonts w:hint="default" w:ascii="Times New Roman" w:hAnsi="Times New Roman" w:eastAsia="宋体" w:cs="Times New Roman"/>
          <w:bCs/>
          <w:sz w:val="36"/>
          <w:szCs w:val="36"/>
        </w:rPr>
      </w:pPr>
    </w:p>
    <w:p>
      <w:pPr>
        <w:pStyle w:val="29"/>
        <w:spacing w:line="460" w:lineRule="exact"/>
        <w:ind w:left="274" w:leftChars="114"/>
        <w:jc w:val="center"/>
        <w:rPr>
          <w:rFonts w:hint="default" w:ascii="Times New Roman" w:hAnsi="Times New Roman" w:eastAsia="宋体" w:cs="Times New Roman"/>
          <w:bCs/>
          <w:sz w:val="36"/>
          <w:szCs w:val="36"/>
        </w:rPr>
      </w:pPr>
    </w:p>
    <w:p>
      <w:pPr>
        <w:pStyle w:val="29"/>
        <w:spacing w:line="460" w:lineRule="exact"/>
        <w:ind w:left="274" w:leftChars="114"/>
        <w:jc w:val="center"/>
        <w:rPr>
          <w:rFonts w:hint="default" w:ascii="Times New Roman" w:hAnsi="Times New Roman" w:eastAsia="宋体" w:cs="Times New Roman"/>
          <w:bCs/>
          <w:sz w:val="36"/>
          <w:szCs w:val="36"/>
        </w:rPr>
      </w:pPr>
    </w:p>
    <w:p>
      <w:pPr>
        <w:pStyle w:val="29"/>
        <w:spacing w:line="460" w:lineRule="exact"/>
        <w:rPr>
          <w:rFonts w:hint="default" w:ascii="Times New Roman" w:hAnsi="Times New Roman" w:eastAsia="宋体" w:cs="Times New Roman"/>
          <w:bCs/>
          <w:sz w:val="30"/>
          <w:szCs w:val="30"/>
        </w:rPr>
      </w:pPr>
    </w:p>
    <w:p>
      <w:pPr>
        <w:pStyle w:val="29"/>
        <w:spacing w:line="460" w:lineRule="exact"/>
        <w:rPr>
          <w:rFonts w:hint="default" w:ascii="Times New Roman" w:hAnsi="Times New Roman" w:eastAsia="宋体" w:cs="Times New Roman"/>
          <w:bCs/>
          <w:sz w:val="30"/>
          <w:szCs w:val="30"/>
        </w:rPr>
      </w:pPr>
    </w:p>
    <w:p>
      <w:pPr>
        <w:pStyle w:val="29"/>
        <w:spacing w:line="360" w:lineRule="exact"/>
        <w:rPr>
          <w:rFonts w:hint="default" w:ascii="Times New Roman" w:hAnsi="Times New Roman" w:eastAsia="宋体" w:cs="Times New Roman"/>
          <w:b/>
          <w:sz w:val="36"/>
          <w:szCs w:val="36"/>
        </w:rPr>
      </w:pPr>
    </w:p>
    <w:p>
      <w:pPr>
        <w:pStyle w:val="29"/>
        <w:widowControl w:val="0"/>
        <w:spacing w:line="264" w:lineRule="auto"/>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义乌市政府采购项目投标承诺书</w:t>
      </w:r>
    </w:p>
    <w:p>
      <w:pPr>
        <w:pStyle w:val="29"/>
        <w:spacing w:line="360" w:lineRule="exact"/>
        <w:rPr>
          <w:rFonts w:hint="default" w:ascii="Times New Roman" w:hAnsi="Times New Roman" w:eastAsia="宋体" w:cs="Times New Roman"/>
          <w:u w:val="single"/>
        </w:rPr>
      </w:pPr>
      <w:r>
        <w:rPr>
          <w:rFonts w:hint="default" w:ascii="Times New Roman" w:hAnsi="Times New Roman" w:eastAsia="宋体" w:cs="Times New Roman"/>
        </w:rPr>
        <w:t>致：</w:t>
      </w:r>
      <w:r>
        <w:rPr>
          <w:rFonts w:hint="default" w:ascii="Times New Roman" w:hAnsi="Times New Roman" w:eastAsia="宋体" w:cs="Times New Roman"/>
          <w:u w:val="single"/>
        </w:rPr>
        <w:t>采购人名称和代理机构名称</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rPr>
        <w:t>1、我单位已认真阅读了</w:t>
      </w:r>
      <w:r>
        <w:rPr>
          <w:rFonts w:hint="default" w:ascii="Times New Roman" w:hAnsi="Times New Roman" w:eastAsia="宋体" w:cs="Times New Roman"/>
          <w:color w:val="FF0000"/>
          <w:sz w:val="21"/>
          <w:szCs w:val="21"/>
          <w:highlight w:val="none"/>
        </w:rPr>
        <w:t>义乌市农业农村局义乌市农村宅基地基础信息调查项目（采购编号：YWCG2023</w:t>
      </w:r>
      <w:r>
        <w:rPr>
          <w:rFonts w:hint="eastAsia" w:cs="Times New Roman"/>
          <w:color w:val="FF0000"/>
          <w:sz w:val="21"/>
          <w:szCs w:val="21"/>
          <w:highlight w:val="none"/>
          <w:lang w:eastAsia="zh-CN"/>
        </w:rPr>
        <w:t>008GK</w:t>
      </w:r>
      <w:r>
        <w:rPr>
          <w:rFonts w:hint="default" w:ascii="Times New Roman" w:hAnsi="Times New Roman" w:eastAsia="宋体" w:cs="Times New Roman"/>
          <w:color w:val="FF0000"/>
          <w:sz w:val="21"/>
          <w:szCs w:val="21"/>
          <w:highlight w:val="none"/>
        </w:rPr>
        <w:t>）</w:t>
      </w:r>
      <w:r>
        <w:rPr>
          <w:rFonts w:hint="default" w:ascii="Times New Roman" w:hAnsi="Times New Roman" w:eastAsia="宋体" w:cs="Times New Roman"/>
          <w:sz w:val="21"/>
          <w:szCs w:val="21"/>
          <w:highlight w:val="none"/>
        </w:rPr>
        <w:t>招标文件、技术要求、图纸、招标补充（答疑）文件及相关资料，对其全部内容和要求有实质性了解，并对这些内容表示理解且无任何异议，接受其全部内容及要求，承诺我单位的投标文件已经完全响应并符合其全部条件和要求，愿意参加投标并愿意中标。</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2、自愿接受义乌市财政局的管理，并严格遵守义乌市财政局制定的招投标管理制度、规范和纪律。</w:t>
      </w:r>
    </w:p>
    <w:p>
      <w:pPr>
        <w:tabs>
          <w:tab w:val="left" w:pos="8820"/>
        </w:tabs>
        <w:spacing w:line="360" w:lineRule="exact"/>
        <w:ind w:firstLine="420" w:firstLineChars="200"/>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highlight w:val="none"/>
        </w:rPr>
        <w:t>3、我单位承诺参与本次投标的资格符合《中华人民共和国政府采购法》的规定，并承诺近三年内，在经营活动中没有重大违法记录。我单位承诺财务状况良好，并已</w:t>
      </w:r>
      <w:r>
        <w:rPr>
          <w:rFonts w:hint="default" w:ascii="Times New Roman" w:hAnsi="Times New Roman" w:eastAsia="宋体" w:cs="Times New Roman"/>
          <w:sz w:val="21"/>
          <w:szCs w:val="21"/>
        </w:rPr>
        <w:t>依法按时缴纳税收和社会保障资金。我单位承诺具备履行本项目合同所必需的设备和专业技术能力。如我单位中标，我单位承诺不转包和分包该项目。</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5、不转让、出借、涂改、伪造资质（资格）证书或者以其他方式允许其他单位（个人）以我单位（本人）名义承接业务。</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6、不与采购人或者其他投标人相互串通投标，围标，不以行贿等不正当手段谋取中标。</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7、在招标、投标、开标、评标、询标、中标、签订合同等招投标预备和进行的全过程中提供的资料均真实、有效，不弄虚作假。</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8、我单位已详细审核全部招标文件，包括更正文件(如果有的话)，及有关附件，我方同意放弃提出含糊不清或误解的权力。</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9.投标文件中未明确的内容一律按招标文件规定执行。</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10、我单位同意招标文件要求的投标有效期，如我方中标，我方将受此约束。</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11、我单位相信贵方的招标结果是公正、合法的，无论我单位中标还是落标，我方将接受这一结果。</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12、一旦我单位中标，我单位将严格依照招标文件和投标文件的规定与采购人签订合同。</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13、不低于企业成本价投标，不恶意过高报价，不扰乱招投标的正常秩序。</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14、严格遵守开标纪律，不在开标现场吵闹、滋事，服从工作人员指挥。</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15、按照法律法规和本项目招标文件规定的程序和方式进行异议和投诉，不越级投诉，不无理投诉。如捏造事实、伪造材料或者以非法手段取得材料进行投诉，给他人造成损失的，依法承担赔偿责任。</w:t>
      </w:r>
    </w:p>
    <w:p>
      <w:pPr>
        <w:spacing w:line="380" w:lineRule="exact"/>
        <w:ind w:firstLine="422" w:firstLineChars="20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15、指定我单位人员(姓名: _____________ 身份证号码：___________联系电话：_____________)全权代表我方联系和协调处理投标过程中的有关事项。</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承诺事项已认真逐项核对，均表达我单位真实意见，愿承担任何责任。若有任何弄虚作假内容或未遵守上述约定的，经查实后，愿意放弃投标及中标资格，如由此给采购人造成损失的，我方愿意承担赔偿责任。如我单位违反上述承诺事项，无条件接受义乌市财政局或相关监管部门作出的任何管理和处理决定，并自愿承担一切不利的后果。</w:t>
      </w:r>
    </w:p>
    <w:p>
      <w:pPr>
        <w:spacing w:line="360" w:lineRule="exact"/>
        <w:rPr>
          <w:rFonts w:hint="default" w:ascii="Times New Roman" w:hAnsi="Times New Roman" w:eastAsia="宋体" w:cs="Times New Roman"/>
          <w:sz w:val="21"/>
          <w:szCs w:val="21"/>
        </w:rPr>
      </w:pPr>
    </w:p>
    <w:p>
      <w:pPr>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投标人（电子签章）：                                  年  月  日</w:t>
      </w:r>
    </w:p>
    <w:p>
      <w:pPr>
        <w:widowControl w:val="0"/>
        <w:spacing w:line="264" w:lineRule="auto"/>
        <w:jc w:val="center"/>
        <w:rPr>
          <w:rFonts w:hint="default" w:ascii="Times New Roman" w:hAnsi="Times New Roman" w:eastAsia="宋体" w:cs="Times New Roman"/>
          <w:b/>
          <w:bCs/>
          <w:sz w:val="36"/>
          <w:szCs w:val="36"/>
          <w:lang w:val="zh-CN"/>
        </w:rPr>
      </w:pPr>
    </w:p>
    <w:p>
      <w:pPr>
        <w:widowControl w:val="0"/>
        <w:spacing w:line="264" w:lineRule="auto"/>
        <w:jc w:val="center"/>
        <w:rPr>
          <w:rFonts w:hint="default" w:ascii="Times New Roman" w:hAnsi="Times New Roman" w:eastAsia="宋体" w:cs="Times New Roman"/>
          <w:b/>
          <w:bCs/>
          <w:sz w:val="36"/>
          <w:szCs w:val="36"/>
          <w:lang w:val="zh-CN"/>
        </w:rPr>
      </w:pPr>
      <w:r>
        <w:rPr>
          <w:rFonts w:hint="default" w:ascii="Times New Roman" w:hAnsi="Times New Roman" w:eastAsia="宋体" w:cs="Times New Roman"/>
          <w:b/>
          <w:bCs/>
          <w:sz w:val="36"/>
          <w:szCs w:val="36"/>
          <w:lang w:val="zh-CN"/>
        </w:rPr>
        <w:t>联合体协议</w:t>
      </w:r>
    </w:p>
    <w:p>
      <w:pPr>
        <w:spacing w:line="360" w:lineRule="auto"/>
        <w:ind w:firstLine="482" w:firstLineChars="200"/>
        <w:rPr>
          <w:rFonts w:hint="default" w:ascii="Times New Roman" w:hAnsi="Times New Roman" w:eastAsia="宋体" w:cs="Times New Roman"/>
          <w:b/>
        </w:rPr>
      </w:pPr>
      <w:r>
        <w:rPr>
          <w:rFonts w:hint="default" w:ascii="Times New Roman" w:hAnsi="Times New Roman" w:eastAsia="宋体" w:cs="Times New Roman"/>
          <w:b/>
        </w:rPr>
        <w:t>（以联合体形式投标的，提供联合协议；本项目不接受联合体投标或者投标人不以联合体形式投标的，则不需要提供）</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u w:val="single"/>
        </w:rPr>
        <w:t>（联合体所有成员名称）</w:t>
      </w:r>
      <w:r>
        <w:rPr>
          <w:rFonts w:hint="default" w:ascii="Times New Roman" w:hAnsi="Times New Roman" w:eastAsia="宋体" w:cs="Times New Roman"/>
        </w:rPr>
        <w:t>自愿</w:t>
      </w:r>
      <w:r>
        <w:rPr>
          <w:rFonts w:hint="default" w:ascii="Times New Roman" w:hAnsi="Times New Roman" w:eastAsia="宋体" w:cs="Times New Roman"/>
          <w:lang w:val="zh-CN"/>
        </w:rPr>
        <w:t>组成一个联合体，以一个投标人的身份</w:t>
      </w:r>
      <w:r>
        <w:rPr>
          <w:rFonts w:hint="default" w:ascii="Times New Roman" w:hAnsi="Times New Roman" w:eastAsia="宋体" w:cs="Times New Roman"/>
        </w:rPr>
        <w:t>参加（项目名称）【招标编号：（采购编号）】</w:t>
      </w:r>
      <w:r>
        <w:rPr>
          <w:rFonts w:hint="default" w:ascii="Times New Roman" w:hAnsi="Times New Roman" w:eastAsia="宋体" w:cs="Times New Roman"/>
          <w:lang w:val="zh-CN"/>
        </w:rPr>
        <w:t xml:space="preserve">投标。 </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一、各方一致决定，</w:t>
      </w:r>
      <w:r>
        <w:rPr>
          <w:rFonts w:hint="default" w:ascii="Times New Roman" w:hAnsi="Times New Roman" w:eastAsia="宋体" w:cs="Times New Roman"/>
          <w:u w:val="single"/>
        </w:rPr>
        <w:t>（某联合体成员名称）</w:t>
      </w:r>
      <w:r>
        <w:rPr>
          <w:rFonts w:hint="default" w:ascii="Times New Roman" w:hAnsi="Times New Roman" w:eastAsia="宋体" w:cs="Times New Roman"/>
        </w:rPr>
        <w:t>为联合体</w:t>
      </w:r>
      <w:r>
        <w:rPr>
          <w:rFonts w:hint="default" w:ascii="Times New Roman" w:hAnsi="Times New Roman" w:eastAsia="宋体" w:cs="Times New Roman"/>
          <w:lang w:val="zh-CN"/>
        </w:rPr>
        <w:t>牵头人</w:t>
      </w:r>
      <w:r>
        <w:rPr>
          <w:rFonts w:hint="default" w:ascii="Times New Roman" w:hAnsi="Times New Roman" w:eastAsia="宋体" w:cs="Times New Roman"/>
        </w:rPr>
        <w:t>，代表所有联合体成员负责投标和合同实施阶段的主办、协调工作</w:t>
      </w:r>
      <w:r>
        <w:rPr>
          <w:rFonts w:hint="default" w:ascii="Times New Roman" w:hAnsi="Times New Roman" w:eastAsia="宋体" w:cs="Times New Roman"/>
          <w:lang w:val="zh-CN"/>
        </w:rPr>
        <w:t>。</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二、</w:t>
      </w:r>
      <w:r>
        <w:rPr>
          <w:rFonts w:hint="default" w:ascii="Times New Roman" w:hAnsi="Times New Roman" w:eastAsia="宋体" w:cs="Times New Roman"/>
        </w:rPr>
        <w:t>所有联合体成员各方签署授权书，授权书载明的</w:t>
      </w:r>
      <w:r>
        <w:rPr>
          <w:rFonts w:hint="default" w:ascii="Times New Roman" w:hAnsi="Times New Roman" w:eastAsia="宋体" w:cs="Times New Roman"/>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三、本次联合投标中，分工如下：</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u w:val="single"/>
        </w:rPr>
        <w:t>（联合体其中一方成员名称）</w:t>
      </w:r>
      <w:r>
        <w:rPr>
          <w:rFonts w:hint="default" w:ascii="Times New Roman" w:hAnsi="Times New Roman" w:eastAsia="宋体" w:cs="Times New Roman"/>
          <w:lang w:val="zh-CN"/>
        </w:rPr>
        <w:t>承担的工作和义务为：</w:t>
      </w:r>
      <w:r>
        <w:rPr>
          <w:rFonts w:hint="default" w:ascii="Times New Roman" w:hAnsi="Times New Roman" w:eastAsia="宋体" w:cs="Times New Roman"/>
          <w:u w:val="single"/>
        </w:rPr>
        <w:t xml:space="preserve">             </w:t>
      </w:r>
      <w:r>
        <w:rPr>
          <w:rFonts w:hint="default" w:ascii="Times New Roman" w:hAnsi="Times New Roman" w:eastAsia="宋体" w:cs="Times New Roman"/>
          <w:lang w:val="zh-CN"/>
        </w:rPr>
        <w:t>；……。</w:t>
      </w:r>
    </w:p>
    <w:p>
      <w:pPr>
        <w:snapToGrid w:val="0"/>
        <w:spacing w:line="360" w:lineRule="auto"/>
        <w:ind w:firstLine="576"/>
        <w:rPr>
          <w:rFonts w:hint="default" w:ascii="Times New Roman" w:hAnsi="Times New Roman" w:eastAsia="宋体" w:cs="Times New Roman"/>
          <w:b/>
          <w:highlight w:val="yellow"/>
          <w:lang w:val="zh-CN"/>
        </w:rPr>
      </w:pPr>
      <w:r>
        <w:rPr>
          <w:rFonts w:hint="default" w:ascii="Times New Roman" w:hAnsi="Times New Roman" w:eastAsia="宋体" w:cs="Times New Roman"/>
          <w:lang w:val="zh-CN"/>
        </w:rPr>
        <w:t>四、</w:t>
      </w:r>
      <w:r>
        <w:rPr>
          <w:rFonts w:hint="default" w:ascii="Times New Roman" w:hAnsi="Times New Roman" w:eastAsia="宋体" w:cs="Times New Roman"/>
          <w:u w:val="single"/>
        </w:rPr>
        <w:t>（联合体其中一方成员名称）</w:t>
      </w:r>
      <w:r>
        <w:rPr>
          <w:rFonts w:hint="default" w:ascii="Times New Roman" w:hAnsi="Times New Roman" w:eastAsia="宋体" w:cs="Times New Roman"/>
        </w:rPr>
        <w:t>提供的全部货物由小微企业制造或服务全部由符合政策要求的小微企业承接，其合同份额占到合同总金额</w:t>
      </w:r>
      <w:r>
        <w:rPr>
          <w:rFonts w:hint="default" w:ascii="Times New Roman" w:hAnsi="Times New Roman" w:eastAsia="宋体" w:cs="Times New Roman"/>
          <w:u w:val="single"/>
        </w:rPr>
        <w:t xml:space="preserve">     </w:t>
      </w:r>
      <w:r>
        <w:rPr>
          <w:rFonts w:hint="default" w:ascii="Times New Roman" w:hAnsi="Times New Roman" w:eastAsia="宋体" w:cs="Times New Roman"/>
        </w:rPr>
        <w:t>%以上；</w:t>
      </w:r>
      <w:r>
        <w:rPr>
          <w:rFonts w:hint="default" w:ascii="Times New Roman" w:hAnsi="Times New Roman" w:eastAsia="宋体" w:cs="Times New Roman"/>
          <w:lang w:val="zh-CN"/>
        </w:rPr>
        <w:t>……。（未预留份额专门面向中小企业采购的的采购项目，以及预留份额中的非预留部分采购包，接受联合体投标的，联合体其中一方提供的货物全部由小微企业制造或服务全部由符合政策要求的小微企业承接，且其合同份额占到合同总金额 30%以上，对联合体报价给予6%的扣除）</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五、如果中标，</w:t>
      </w:r>
      <w:r>
        <w:rPr>
          <w:rFonts w:hint="default" w:ascii="Times New Roman" w:hAnsi="Times New Roman" w:eastAsia="宋体" w:cs="Times New Roman"/>
        </w:rPr>
        <w:t>联合体各成员方共同与采购人签订合同，并就采购合同约定的事项对采购人承担连带责任。</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六、有关本次联合投标的其他事宜：</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1、联合体各方不再单独参加或者与其他供应商另外组成联合体参加同一合同项下的政府采购活动。</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2、联合体中有同类资质的各方按照联合体分工承担相同工作的，按照资质等级较低的供应商确定资质等级。</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3、本协议提交采购人、采购机构后，联合体各方不得以任何形式对上述内容进行修改或撤销。</w:t>
      </w:r>
    </w:p>
    <w:p>
      <w:pPr>
        <w:snapToGrid w:val="0"/>
        <w:spacing w:line="360" w:lineRule="auto"/>
        <w:rPr>
          <w:rFonts w:hint="default" w:ascii="Times New Roman" w:hAnsi="Times New Roman" w:eastAsia="宋体" w:cs="Times New Roman"/>
          <w:lang w:val="zh-CN"/>
        </w:rPr>
      </w:pPr>
      <w:r>
        <w:rPr>
          <w:rFonts w:hint="default" w:ascii="Times New Roman" w:hAnsi="Times New Roman" w:eastAsia="宋体" w:cs="Times New Roman"/>
          <w:lang w:val="zh-CN"/>
        </w:rPr>
        <w:t>联合体成员名称(盖公章)：</w:t>
      </w:r>
      <w:r>
        <w:rPr>
          <w:rFonts w:hint="default" w:ascii="Times New Roman" w:hAnsi="Times New Roman" w:eastAsia="宋体" w:cs="Times New Roman"/>
        </w:rPr>
        <w:t xml:space="preserve">                      </w:t>
      </w:r>
      <w:r>
        <w:rPr>
          <w:rFonts w:hint="default" w:ascii="Times New Roman" w:hAnsi="Times New Roman" w:eastAsia="宋体" w:cs="Times New Roman"/>
          <w:lang w:val="zh-CN"/>
        </w:rPr>
        <w:t>联合体成员名称(盖公章)：</w:t>
      </w:r>
    </w:p>
    <w:p>
      <w:pPr>
        <w:snapToGrid w:val="0"/>
        <w:spacing w:line="360" w:lineRule="auto"/>
        <w:ind w:firstLine="5760" w:firstLineChars="2400"/>
        <w:rPr>
          <w:rFonts w:hint="default" w:ascii="Times New Roman" w:hAnsi="Times New Roman" w:eastAsia="宋体" w:cs="Times New Roman"/>
        </w:rPr>
      </w:pPr>
      <w:r>
        <w:rPr>
          <w:rFonts w:hint="default" w:ascii="Times New Roman" w:hAnsi="Times New Roman" w:eastAsia="宋体" w:cs="Times New Roman"/>
          <w:lang w:val="zh-CN"/>
        </w:rPr>
        <w:t>……</w:t>
      </w:r>
    </w:p>
    <w:p>
      <w:pPr>
        <w:snapToGrid w:val="0"/>
        <w:spacing w:line="360" w:lineRule="auto"/>
        <w:rPr>
          <w:rFonts w:hint="default" w:ascii="Times New Roman" w:hAnsi="Times New Roman" w:eastAsia="宋体" w:cs="Times New Roman"/>
          <w:lang w:val="zh-CN"/>
        </w:rPr>
      </w:pPr>
      <w:r>
        <w:rPr>
          <w:rFonts w:hint="default" w:ascii="Times New Roman" w:hAnsi="Times New Roman" w:eastAsia="宋体" w:cs="Times New Roman"/>
          <w:lang w:val="zh-CN"/>
        </w:rPr>
        <w:t xml:space="preserve">                                               日期：  年  月   日</w:t>
      </w:r>
    </w:p>
    <w:p>
      <w:pPr>
        <w:pStyle w:val="29"/>
        <w:widowControl w:val="0"/>
        <w:jc w:val="center"/>
        <w:rPr>
          <w:rFonts w:hint="default" w:ascii="Times New Roman" w:hAnsi="Times New Roman" w:eastAsia="宋体" w:cs="Times New Roman"/>
          <w:b/>
          <w:bCs/>
          <w:sz w:val="36"/>
          <w:szCs w:val="36"/>
        </w:rPr>
      </w:pPr>
    </w:p>
    <w:p>
      <w:pPr>
        <w:pStyle w:val="29"/>
        <w:widowControl w:val="0"/>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规范偏离表</w:t>
      </w:r>
    </w:p>
    <w:p>
      <w:pPr>
        <w:spacing w:line="360" w:lineRule="auto"/>
        <w:rPr>
          <w:rFonts w:hint="eastAsia" w:ascii="Times New Roman" w:hAnsi="Times New Roman" w:eastAsia="宋体" w:cs="Times New Roman"/>
          <w:lang w:eastAsia="zh-CN"/>
        </w:rPr>
      </w:pPr>
      <w:r>
        <w:rPr>
          <w:rFonts w:hint="default" w:ascii="Times New Roman" w:hAnsi="Times New Roman" w:eastAsia="宋体" w:cs="Times New Roman"/>
          <w:sz w:val="21"/>
          <w:szCs w:val="21"/>
        </w:rPr>
        <w:t>采购编</w:t>
      </w:r>
      <w:r>
        <w:rPr>
          <w:rFonts w:hint="default" w:ascii="Times New Roman" w:hAnsi="Times New Roman" w:eastAsia="宋体" w:cs="Times New Roman"/>
          <w:sz w:val="21"/>
          <w:szCs w:val="21"/>
          <w:highlight w:val="none"/>
        </w:rPr>
        <w:t>号：</w:t>
      </w:r>
      <w:r>
        <w:rPr>
          <w:rFonts w:hint="default" w:ascii="Times New Roman" w:hAnsi="Times New Roman" w:eastAsia="宋体" w:cs="Times New Roman"/>
          <w:color w:val="FF0000"/>
          <w:highlight w:val="none"/>
        </w:rPr>
        <w:t>YWCG2023</w:t>
      </w:r>
      <w:r>
        <w:rPr>
          <w:rFonts w:hint="eastAsia" w:cs="Times New Roman"/>
          <w:color w:val="FF0000"/>
          <w:highlight w:val="none"/>
          <w:lang w:eastAsia="zh-CN"/>
        </w:rPr>
        <w:t>008GK</w:t>
      </w:r>
    </w:p>
    <w:tbl>
      <w:tblPr>
        <w:tblStyle w:val="5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10"/>
        <w:gridCol w:w="1430"/>
        <w:gridCol w:w="1984"/>
        <w:gridCol w:w="1843"/>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143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eastAsia="宋体" w:cs="Times New Roman"/>
              </w:rPr>
            </w:pPr>
            <w:r>
              <w:rPr>
                <w:rFonts w:hint="default" w:ascii="Times New Roman" w:hAnsi="Times New Roman" w:eastAsia="宋体" w:cs="Times New Roman"/>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招标文件</w:t>
            </w:r>
          </w:p>
          <w:p>
            <w:pPr>
              <w:jc w:val="center"/>
              <w:rPr>
                <w:rFonts w:hint="default" w:ascii="Times New Roman" w:hAnsi="Times New Roman" w:eastAsia="宋体" w:cs="Times New Roman"/>
              </w:rPr>
            </w:pPr>
            <w:r>
              <w:rPr>
                <w:rFonts w:hint="default" w:ascii="Times New Roman" w:hAnsi="Times New Roman" w:eastAsia="宋体" w:cs="Times New Roman"/>
              </w:rPr>
              <w:t>规范要求</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投标文件</w:t>
            </w:r>
          </w:p>
          <w:p>
            <w:pPr>
              <w:jc w:val="center"/>
              <w:rPr>
                <w:rFonts w:hint="default" w:ascii="Times New Roman" w:hAnsi="Times New Roman" w:eastAsia="宋体" w:cs="Times New Roman"/>
              </w:rPr>
            </w:pPr>
            <w:r>
              <w:rPr>
                <w:rFonts w:hint="default" w:ascii="Times New Roman" w:hAnsi="Times New Roman" w:eastAsia="宋体" w:cs="Times New Roman"/>
              </w:rPr>
              <w:t>对应规范</w:t>
            </w:r>
          </w:p>
        </w:tc>
        <w:tc>
          <w:tcPr>
            <w:tcW w:w="29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偏离情况</w:t>
            </w:r>
          </w:p>
          <w:p>
            <w:pPr>
              <w:jc w:val="center"/>
              <w:rPr>
                <w:rFonts w:hint="default" w:ascii="Times New Roman" w:hAnsi="Times New Roman" w:eastAsia="宋体" w:cs="Times New Roman"/>
              </w:rPr>
            </w:pPr>
            <w:r>
              <w:rPr>
                <w:rFonts w:hint="default" w:ascii="Times New Roman" w:hAnsi="Times New Roman" w:eastAsia="宋体" w:cs="Times New Roman"/>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rPr>
            </w:pPr>
            <w:r>
              <w:rPr>
                <w:rFonts w:hint="default" w:ascii="Times New Roman" w:hAnsi="Times New Roman" w:eastAsia="宋体" w:cs="Times New Roman"/>
              </w:rPr>
              <w:t>商务偏离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技术</w:t>
            </w:r>
          </w:p>
          <w:p>
            <w:pPr>
              <w:rPr>
                <w:rFonts w:hint="default" w:ascii="Times New Roman" w:hAnsi="Times New Roman" w:eastAsia="宋体" w:cs="Times New Roman"/>
              </w:rPr>
            </w:pPr>
            <w:r>
              <w:rPr>
                <w:rFonts w:hint="default" w:ascii="Times New Roman" w:hAnsi="Times New Roman" w:eastAsia="宋体" w:cs="Times New Roman"/>
              </w:rPr>
              <w:t>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tcPr>
          <w:p>
            <w:pPr>
              <w:spacing w:line="360" w:lineRule="auto"/>
              <w:jc w:val="cente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bl>
    <w:p>
      <w:pPr>
        <w:pStyle w:val="29"/>
        <w:spacing w:line="460" w:lineRule="exact"/>
        <w:ind w:left="274" w:leftChars="11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投标人名称（电子签章）：</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pStyle w:val="29"/>
        <w:spacing w:line="460" w:lineRule="exact"/>
        <w:ind w:left="274" w:leftChars="114"/>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日 期：   年   月   日</w:t>
      </w:r>
    </w:p>
    <w:p>
      <w:pPr>
        <w:spacing w:line="400" w:lineRule="exact"/>
        <w:ind w:firstLine="480" w:firstLineChars="200"/>
        <w:rPr>
          <w:rFonts w:hint="default" w:ascii="Times New Roman" w:hAnsi="Times New Roman" w:eastAsia="宋体" w:cs="Times New Roman"/>
        </w:rPr>
      </w:pP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备注：1、投标人应仔细对第三章招标项目要求进行逐条分析，如投标内容与招标文件内容有不一致的，则须在上表中列明并详细填写。</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2、如招标文件内容与投标文件内容都一致的，则本表可以在相关的盖章后，不需要填写其它内容或在“偏离情况详细说明”栏内只填写一个无字。</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3、此表在不改变表式内容的情况下可自行制作。</w:t>
      </w:r>
    </w:p>
    <w:p>
      <w:pPr>
        <w:pStyle w:val="29"/>
        <w:spacing w:line="400" w:lineRule="exact"/>
        <w:rPr>
          <w:rFonts w:hint="default" w:ascii="Times New Roman" w:hAnsi="Times New Roman" w:eastAsia="宋体" w:cs="Times New Roman"/>
          <w:bCs/>
          <w:sz w:val="28"/>
          <w:szCs w:val="28"/>
        </w:rPr>
      </w:pPr>
    </w:p>
    <w:p>
      <w:pPr>
        <w:jc w:val="center"/>
        <w:rPr>
          <w:rFonts w:hint="default" w:ascii="Times New Roman" w:hAnsi="Times New Roman" w:eastAsia="宋体" w:cs="Times New Roman"/>
          <w:b/>
          <w:bCs/>
          <w:sz w:val="36"/>
        </w:rPr>
      </w:pPr>
    </w:p>
    <w:p>
      <w:pPr>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rPr>
        <w:t>项目组成人员表</w:t>
      </w:r>
      <w:r>
        <w:rPr>
          <w:rFonts w:hint="default" w:ascii="Times New Roman" w:hAnsi="Times New Roman" w:eastAsia="宋体" w:cs="Times New Roman"/>
          <w:b/>
          <w:bCs/>
          <w:sz w:val="36"/>
          <w:szCs w:val="36"/>
        </w:rPr>
        <w:t>（格式）</w:t>
      </w:r>
    </w:p>
    <w:p>
      <w:pPr>
        <w:spacing w:line="400" w:lineRule="exact"/>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项目</w:t>
      </w:r>
      <w:r>
        <w:rPr>
          <w:rFonts w:hint="default" w:ascii="Times New Roman" w:hAnsi="Times New Roman" w:eastAsia="宋体" w:cs="Times New Roman"/>
          <w:b/>
          <w:bCs/>
          <w:sz w:val="36"/>
          <w:szCs w:val="36"/>
          <w:lang w:eastAsia="zh-CN"/>
        </w:rPr>
        <w:t>负责人</w:t>
      </w:r>
      <w:r>
        <w:rPr>
          <w:rFonts w:hint="default" w:ascii="Times New Roman" w:hAnsi="Times New Roman" w:eastAsia="宋体" w:cs="Times New Roman"/>
          <w:b/>
          <w:bCs/>
          <w:sz w:val="36"/>
          <w:szCs w:val="36"/>
        </w:rPr>
        <w:t>简历表</w:t>
      </w:r>
    </w:p>
    <w:p>
      <w:pPr>
        <w:rPr>
          <w:rFonts w:hint="eastAsia" w:ascii="Times New Roman" w:hAnsi="Times New Roman" w:eastAsia="宋体" w:cs="Times New Roman"/>
          <w:b/>
          <w:szCs w:val="21"/>
          <w:lang w:eastAsia="zh-CN"/>
        </w:rPr>
      </w:pPr>
      <w:r>
        <w:rPr>
          <w:rFonts w:hint="default" w:ascii="Times New Roman" w:hAnsi="Times New Roman" w:eastAsia="宋体" w:cs="Times New Roman"/>
          <w:b/>
          <w:szCs w:val="21"/>
        </w:rPr>
        <w:t xml:space="preserve">投标人：（电子签章）_________________             </w:t>
      </w:r>
      <w:r>
        <w:rPr>
          <w:rFonts w:hint="default" w:ascii="Times New Roman" w:hAnsi="Times New Roman" w:eastAsia="宋体" w:cs="Times New Roman"/>
        </w:rPr>
        <w:t>采购编</w:t>
      </w:r>
      <w:r>
        <w:rPr>
          <w:rFonts w:hint="default" w:ascii="Times New Roman" w:hAnsi="Times New Roman" w:eastAsia="宋体" w:cs="Times New Roman"/>
          <w:highlight w:val="none"/>
        </w:rPr>
        <w:t>号：</w:t>
      </w:r>
      <w:r>
        <w:rPr>
          <w:rFonts w:hint="default" w:ascii="Times New Roman" w:hAnsi="Times New Roman" w:eastAsia="宋体" w:cs="Times New Roman"/>
          <w:color w:val="FF0000"/>
          <w:highlight w:val="none"/>
        </w:rPr>
        <w:t>YWCG2023</w:t>
      </w:r>
      <w:r>
        <w:rPr>
          <w:rFonts w:hint="eastAsia" w:cs="Times New Roman"/>
          <w:color w:val="FF0000"/>
          <w:highlight w:val="none"/>
          <w:lang w:eastAsia="zh-CN"/>
        </w:rPr>
        <w:t>008GK</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318"/>
        <w:gridCol w:w="1242"/>
        <w:gridCol w:w="231"/>
        <w:gridCol w:w="433"/>
        <w:gridCol w:w="702"/>
        <w:gridCol w:w="101"/>
        <w:gridCol w:w="577"/>
        <w:gridCol w:w="535"/>
        <w:gridCol w:w="127"/>
        <w:gridCol w:w="396"/>
        <w:gridCol w:w="566"/>
        <w:gridCol w:w="230"/>
        <w:gridCol w:w="584"/>
        <w:gridCol w:w="609"/>
        <w:gridCol w:w="51"/>
        <w:gridCol w:w="91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姓名</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性别</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6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年龄</w:t>
            </w: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523" w:type="dxa"/>
            <w:gridSpan w:val="2"/>
            <w:tcBorders>
              <w:top w:val="single" w:color="auto" w:sz="4" w:space="0"/>
              <w:left w:val="single" w:color="auto" w:sz="4" w:space="0"/>
              <w:bottom w:val="single" w:color="auto" w:sz="4" w:space="0"/>
              <w:right w:val="single" w:color="auto" w:sz="4" w:space="0"/>
            </w:tcBorders>
            <w:vAlign w:val="center"/>
          </w:tcPr>
          <w:p>
            <w:pPr>
              <w:ind w:right="-110" w:rightChars="-46"/>
              <w:jc w:val="center"/>
              <w:rPr>
                <w:rFonts w:hint="default" w:ascii="Times New Roman" w:hAnsi="Times New Roman" w:eastAsia="宋体" w:cs="Times New Roman"/>
                <w:szCs w:val="21"/>
              </w:rPr>
            </w:pPr>
            <w:r>
              <w:rPr>
                <w:rFonts w:hint="default" w:ascii="Times New Roman" w:hAnsi="Times New Roman" w:eastAsia="宋体" w:cs="Times New Roman"/>
                <w:szCs w:val="21"/>
              </w:rPr>
              <w:t>学历</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职称</w:t>
            </w:r>
          </w:p>
        </w:tc>
        <w:tc>
          <w:tcPr>
            <w:tcW w:w="276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职务</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36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参加工作</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时间</w:t>
            </w:r>
          </w:p>
        </w:tc>
        <w:tc>
          <w:tcPr>
            <w:tcW w:w="2302" w:type="dxa"/>
            <w:gridSpan w:val="6"/>
            <w:tcBorders>
              <w:top w:val="single" w:color="auto" w:sz="4" w:space="0"/>
              <w:left w:val="single" w:color="auto" w:sz="4" w:space="0"/>
              <w:bottom w:val="single" w:color="auto" w:sz="4" w:space="0"/>
              <w:right w:val="single" w:color="auto" w:sz="4" w:space="0"/>
            </w:tcBorders>
            <w:vAlign w:val="center"/>
          </w:tcPr>
          <w:p>
            <w:pPr>
              <w:tabs>
                <w:tab w:val="left" w:pos="632"/>
              </w:tabs>
              <w:jc w:val="center"/>
              <w:rPr>
                <w:rFonts w:hint="default" w:ascii="Times New Roman" w:hAnsi="Times New Roman" w:eastAsia="宋体" w:cs="Times New Roman"/>
                <w:szCs w:val="21"/>
              </w:rPr>
            </w:pPr>
            <w:r>
              <w:rPr>
                <w:rFonts w:hint="default" w:ascii="Times New Roman" w:hAnsi="Times New Roman" w:eastAsia="宋体" w:cs="Times New Roman"/>
                <w:szCs w:val="21"/>
              </w:rPr>
              <w:t>年  月  日</w:t>
            </w:r>
          </w:p>
        </w:tc>
        <w:tc>
          <w:tcPr>
            <w:tcW w:w="147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从事类似</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工作年限</w:t>
            </w:r>
          </w:p>
        </w:tc>
        <w:tc>
          <w:tcPr>
            <w:tcW w:w="210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9288" w:type="dxa"/>
            <w:gridSpan w:val="18"/>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近三年负责完成的类似主要项目情况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业主单位</w:t>
            </w: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项目名称</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项目内容</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项目金额</w:t>
            </w:r>
          </w:p>
        </w:tc>
        <w:tc>
          <w:tcPr>
            <w:tcW w:w="11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委托日期</w:t>
            </w:r>
          </w:p>
        </w:tc>
        <w:tc>
          <w:tcPr>
            <w:tcW w:w="966" w:type="dxa"/>
            <w:gridSpan w:val="2"/>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联系人</w:t>
            </w:r>
          </w:p>
        </w:tc>
        <w:tc>
          <w:tcPr>
            <w:tcW w:w="1194"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192" w:type="dxa"/>
            <w:gridSpan w:val="3"/>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193" w:type="dxa"/>
            <w:gridSpan w:val="2"/>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966" w:type="dxa"/>
            <w:gridSpan w:val="2"/>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194" w:type="dxa"/>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192" w:type="dxa"/>
            <w:gridSpan w:val="3"/>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193" w:type="dxa"/>
            <w:gridSpan w:val="2"/>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966" w:type="dxa"/>
            <w:gridSpan w:val="2"/>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194" w:type="dxa"/>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192" w:type="dxa"/>
            <w:gridSpan w:val="3"/>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193" w:type="dxa"/>
            <w:gridSpan w:val="2"/>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966" w:type="dxa"/>
            <w:gridSpan w:val="2"/>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194" w:type="dxa"/>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r>
    </w:tbl>
    <w:p>
      <w:pPr>
        <w:pStyle w:val="29"/>
        <w:rPr>
          <w:rFonts w:hint="default" w:ascii="Times New Roman" w:hAnsi="Times New Roman" w:eastAsia="宋体" w:cs="Times New Roman"/>
          <w:b/>
        </w:rPr>
      </w:pPr>
      <w:r>
        <w:rPr>
          <w:rFonts w:hint="default" w:ascii="Times New Roman" w:hAnsi="Times New Roman" w:eastAsia="宋体" w:cs="Times New Roman"/>
          <w:b/>
        </w:rPr>
        <w:t>注：1.如有技术等级或职称证书，需将证书扫描件附于表后；</w:t>
      </w:r>
    </w:p>
    <w:p>
      <w:pPr>
        <w:pStyle w:val="29"/>
        <w:rPr>
          <w:rFonts w:hint="default" w:ascii="Times New Roman" w:hAnsi="Times New Roman" w:eastAsia="宋体" w:cs="Times New Roman"/>
          <w:b/>
        </w:rPr>
      </w:pPr>
      <w:r>
        <w:rPr>
          <w:rFonts w:hint="default" w:ascii="Times New Roman" w:hAnsi="Times New Roman" w:eastAsia="宋体" w:cs="Times New Roman"/>
          <w:b/>
        </w:rPr>
        <w:t xml:space="preserve">    2.在投标文件中需提供相关证书扫描件和个人社保缴费清单（社保缴费清单要求是持证人员近三个月的在投标单位缴纳的个人社保缴费清单，如投标单位新成立不足三个月的，按实际缴纳情况提供持证人员在该单位的社保缴费清单，社保缴费清单需加盖缴费当地社保机构公章或业务章。近三个月指的是从2022年</w:t>
      </w:r>
      <w:r>
        <w:rPr>
          <w:rFonts w:hint="default" w:ascii="Times New Roman" w:hAnsi="Times New Roman" w:eastAsia="宋体" w:cs="Times New Roman"/>
          <w:b/>
          <w:lang w:val="en-US" w:eastAsia="zh-CN"/>
        </w:rPr>
        <w:t>1</w:t>
      </w:r>
      <w:r>
        <w:rPr>
          <w:rFonts w:hint="eastAsia" w:ascii="Times New Roman" w:hAnsi="Times New Roman" w:cs="Times New Roman"/>
          <w:b/>
          <w:lang w:val="en-US" w:eastAsia="zh-CN"/>
        </w:rPr>
        <w:t>2</w:t>
      </w:r>
      <w:r>
        <w:rPr>
          <w:rFonts w:hint="default" w:ascii="Times New Roman" w:hAnsi="Times New Roman" w:eastAsia="宋体" w:cs="Times New Roman"/>
          <w:b/>
        </w:rPr>
        <w:t>月01日至投标截止时止期间中任何一个连续3个月）。</w:t>
      </w:r>
    </w:p>
    <w:p>
      <w:pPr>
        <w:pStyle w:val="29"/>
        <w:ind w:firstLine="422" w:firstLineChars="200"/>
        <w:rPr>
          <w:rFonts w:hint="default" w:ascii="Times New Roman" w:hAnsi="Times New Roman" w:eastAsia="宋体" w:cs="Times New Roman"/>
        </w:rPr>
      </w:pPr>
      <w:r>
        <w:rPr>
          <w:rFonts w:hint="default" w:ascii="Times New Roman" w:hAnsi="Times New Roman" w:eastAsia="宋体" w:cs="Times New Roman"/>
          <w:b/>
        </w:rPr>
        <w:t>3.此表在不改变格式内容的情况下，可自行制作。</w:t>
      </w:r>
    </w:p>
    <w:p>
      <w:pPr>
        <w:pStyle w:val="55"/>
        <w:ind w:left="480" w:firstLine="480"/>
        <w:rPr>
          <w:rFonts w:hint="default" w:ascii="Times New Roman" w:hAnsi="Times New Roman" w:eastAsia="宋体" w:cs="Times New Roman"/>
        </w:rPr>
      </w:pPr>
    </w:p>
    <w:p>
      <w:pPr>
        <w:spacing w:line="400" w:lineRule="exact"/>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项目组成主要成员表</w:t>
      </w:r>
    </w:p>
    <w:p>
      <w:pPr>
        <w:rPr>
          <w:rFonts w:hint="eastAsia" w:ascii="Times New Roman" w:hAnsi="Times New Roman" w:eastAsia="宋体" w:cs="Times New Roman"/>
          <w:szCs w:val="21"/>
          <w:lang w:eastAsia="zh-CN"/>
        </w:rPr>
      </w:pPr>
      <w:r>
        <w:rPr>
          <w:rFonts w:hint="default" w:ascii="Times New Roman" w:hAnsi="Times New Roman" w:eastAsia="宋体" w:cs="Times New Roman"/>
          <w:b/>
          <w:szCs w:val="21"/>
        </w:rPr>
        <w:t xml:space="preserve">投标人：（电子签章）_________________             </w:t>
      </w:r>
      <w:r>
        <w:rPr>
          <w:rFonts w:hint="default" w:ascii="Times New Roman" w:hAnsi="Times New Roman" w:eastAsia="宋体" w:cs="Times New Roman"/>
          <w:highlight w:val="none"/>
        </w:rPr>
        <w:t>采购编号：</w:t>
      </w:r>
      <w:r>
        <w:rPr>
          <w:rFonts w:hint="default" w:ascii="Times New Roman" w:hAnsi="Times New Roman" w:eastAsia="宋体" w:cs="Times New Roman"/>
          <w:color w:val="FF0000"/>
          <w:highlight w:val="none"/>
        </w:rPr>
        <w:t>YWCG2023</w:t>
      </w:r>
      <w:r>
        <w:rPr>
          <w:rFonts w:hint="eastAsia" w:cs="Times New Roman"/>
          <w:color w:val="FF0000"/>
          <w:highlight w:val="none"/>
          <w:lang w:eastAsia="zh-CN"/>
        </w:rPr>
        <w:t>008GK</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2"/>
        <w:gridCol w:w="933"/>
        <w:gridCol w:w="1313"/>
        <w:gridCol w:w="945"/>
        <w:gridCol w:w="1773"/>
        <w:gridCol w:w="151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szCs w:val="21"/>
              </w:rPr>
            </w:pPr>
            <w:r>
              <w:rPr>
                <w:rFonts w:hint="default" w:ascii="Times New Roman" w:hAnsi="Times New Roman" w:eastAsia="宋体" w:cs="Times New Roman"/>
                <w:b/>
                <w:szCs w:val="21"/>
              </w:rPr>
              <w:t>序号</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szCs w:val="21"/>
              </w:rPr>
            </w:pPr>
            <w:r>
              <w:rPr>
                <w:rFonts w:hint="default" w:ascii="Times New Roman" w:hAnsi="Times New Roman" w:eastAsia="宋体" w:cs="Times New Roman"/>
                <w:b/>
                <w:szCs w:val="21"/>
              </w:rPr>
              <w:t>姓名</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szCs w:val="21"/>
              </w:rPr>
            </w:pPr>
            <w:r>
              <w:rPr>
                <w:rFonts w:hint="default" w:ascii="Times New Roman" w:hAnsi="Times New Roman" w:eastAsia="宋体" w:cs="Times New Roman"/>
                <w:b/>
                <w:szCs w:val="21"/>
              </w:rPr>
              <w:t>性别</w:t>
            </w: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szCs w:val="21"/>
              </w:rPr>
            </w:pPr>
            <w:r>
              <w:rPr>
                <w:rFonts w:hint="default" w:ascii="Times New Roman" w:hAnsi="Times New Roman" w:eastAsia="宋体" w:cs="Times New Roman"/>
                <w:b/>
                <w:szCs w:val="21"/>
              </w:rPr>
              <w:t>技术等级或职称</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szCs w:val="21"/>
              </w:rPr>
            </w:pPr>
            <w:r>
              <w:rPr>
                <w:rFonts w:hint="default" w:ascii="Times New Roman" w:hAnsi="Times New Roman" w:eastAsia="宋体" w:cs="Times New Roman"/>
                <w:b/>
                <w:szCs w:val="21"/>
              </w:rPr>
              <w:t>岗位</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szCs w:val="21"/>
              </w:rPr>
            </w:pPr>
            <w:r>
              <w:rPr>
                <w:rFonts w:hint="default" w:ascii="Times New Roman" w:hAnsi="Times New Roman" w:eastAsia="宋体" w:cs="Times New Roman"/>
                <w:b/>
                <w:szCs w:val="21"/>
              </w:rPr>
              <w:t>从事该岗位时间</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szCs w:val="21"/>
              </w:rPr>
            </w:pPr>
            <w:r>
              <w:rPr>
                <w:rFonts w:hint="default" w:ascii="Times New Roman" w:hAnsi="Times New Roman" w:eastAsia="宋体" w:cs="Times New Roman"/>
                <w:b/>
                <w:szCs w:val="21"/>
              </w:rPr>
              <w:t>从事过类似主要项目</w:t>
            </w:r>
          </w:p>
        </w:tc>
        <w:tc>
          <w:tcPr>
            <w:tcW w:w="880" w:type="dxa"/>
            <w:tcBorders>
              <w:top w:val="single" w:color="auto" w:sz="4" w:space="0"/>
              <w:left w:val="single" w:color="auto" w:sz="4" w:space="0"/>
              <w:bottom w:val="single" w:color="auto" w:sz="4" w:space="0"/>
              <w:right w:val="single" w:color="auto" w:sz="4" w:space="0"/>
            </w:tcBorders>
            <w:vAlign w:val="center"/>
          </w:tcPr>
          <w:p>
            <w:pPr>
              <w:tabs>
                <w:tab w:val="left" w:pos="510"/>
              </w:tabs>
              <w:jc w:val="center"/>
              <w:rPr>
                <w:rFonts w:hint="default" w:ascii="Times New Roman" w:hAnsi="Times New Roman" w:eastAsia="宋体" w:cs="Times New Roman"/>
                <w:b/>
                <w:szCs w:val="21"/>
              </w:rPr>
            </w:pPr>
            <w:r>
              <w:rPr>
                <w:rFonts w:hint="default" w:ascii="Times New Roman" w:hAnsi="Times New Roman"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880"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880"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880"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rPr>
            </w:pPr>
          </w:p>
        </w:tc>
        <w:tc>
          <w:tcPr>
            <w:tcW w:w="880" w:type="dxa"/>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szCs w:val="21"/>
              </w:rPr>
            </w:pPr>
          </w:p>
        </w:tc>
      </w:tr>
    </w:tbl>
    <w:p>
      <w:pPr>
        <w:pStyle w:val="29"/>
        <w:wordWrap w:val="0"/>
        <w:ind w:firstLine="422" w:firstLineChars="200"/>
        <w:rPr>
          <w:rFonts w:hint="default" w:ascii="Times New Roman" w:hAnsi="Times New Roman" w:eastAsia="宋体" w:cs="Times New Roman"/>
          <w:b/>
        </w:rPr>
      </w:pPr>
      <w:r>
        <w:rPr>
          <w:rFonts w:hint="default" w:ascii="Times New Roman" w:hAnsi="Times New Roman" w:eastAsia="宋体" w:cs="Times New Roman"/>
          <w:b/>
        </w:rPr>
        <w:t>注：1.如有技术等级或职称证书，需将证书扫描件附于表后；</w:t>
      </w:r>
    </w:p>
    <w:p>
      <w:pPr>
        <w:pStyle w:val="29"/>
        <w:wordWrap w:val="0"/>
        <w:ind w:firstLine="422" w:firstLineChars="200"/>
        <w:rPr>
          <w:rFonts w:hint="default" w:ascii="Times New Roman" w:hAnsi="Times New Roman" w:eastAsia="宋体" w:cs="Times New Roman"/>
          <w:b/>
        </w:rPr>
      </w:pPr>
      <w:r>
        <w:rPr>
          <w:rFonts w:hint="default" w:ascii="Times New Roman" w:hAnsi="Times New Roman" w:eastAsia="宋体" w:cs="Times New Roman"/>
          <w:b/>
        </w:rPr>
        <w:t>2.在投标文件中需提供相关证书扫描件和个人社保缴费清单（社保缴费清单要求是持证人员近三个月的在投标单位缴纳的个人社保缴费清单，如投标单位新成立不足三个月的，按实际缴纳情况提供持证人员在该单位的社保缴费清单，社保缴费清单需加盖缴费当地社保机构公章或业务章。近三个月指的是从2022年</w:t>
      </w:r>
      <w:r>
        <w:rPr>
          <w:rFonts w:hint="default" w:ascii="Times New Roman" w:hAnsi="Times New Roman" w:eastAsia="宋体" w:cs="Times New Roman"/>
          <w:b/>
          <w:lang w:val="en-US" w:eastAsia="zh-CN"/>
        </w:rPr>
        <w:t>1</w:t>
      </w:r>
      <w:r>
        <w:rPr>
          <w:rFonts w:hint="eastAsia" w:ascii="Times New Roman" w:hAnsi="Times New Roman" w:cs="Times New Roman"/>
          <w:b/>
          <w:lang w:val="en-US" w:eastAsia="zh-CN"/>
        </w:rPr>
        <w:t>2</w:t>
      </w:r>
      <w:r>
        <w:rPr>
          <w:rFonts w:hint="default" w:ascii="Times New Roman" w:hAnsi="Times New Roman" w:eastAsia="宋体" w:cs="Times New Roman"/>
          <w:b/>
        </w:rPr>
        <w:t>月01日至投标截止时止期间中任何一个连续3个月）。</w:t>
      </w:r>
    </w:p>
    <w:p>
      <w:pPr>
        <w:pStyle w:val="29"/>
        <w:wordWrap w:val="0"/>
        <w:ind w:firstLine="422" w:firstLineChars="200"/>
        <w:rPr>
          <w:rFonts w:hint="default" w:ascii="Times New Roman" w:hAnsi="Times New Roman" w:eastAsia="宋体" w:cs="Times New Roman"/>
          <w:b/>
        </w:rPr>
      </w:pPr>
      <w:r>
        <w:rPr>
          <w:rFonts w:hint="default" w:ascii="Times New Roman" w:hAnsi="Times New Roman" w:eastAsia="宋体" w:cs="Times New Roman"/>
          <w:b/>
        </w:rPr>
        <w:t>3.“从事过类主要项目”栏中注明每个参与的项目名称、内容、金额、参与项目的时间、业主联系人、联系人的联系电话、手机等内容。</w:t>
      </w:r>
    </w:p>
    <w:p>
      <w:pPr>
        <w:pStyle w:val="29"/>
        <w:wordWrap w:val="0"/>
        <w:ind w:firstLine="422" w:firstLineChars="200"/>
        <w:rPr>
          <w:rFonts w:hint="default" w:ascii="Times New Roman" w:hAnsi="Times New Roman" w:eastAsia="宋体" w:cs="Times New Roman"/>
          <w:b/>
        </w:rPr>
      </w:pPr>
      <w:r>
        <w:rPr>
          <w:rFonts w:hint="default" w:ascii="Times New Roman" w:hAnsi="Times New Roman" w:eastAsia="宋体" w:cs="Times New Roman"/>
          <w:b/>
        </w:rPr>
        <w:t>4.此表在不改变格式内容的情况下，可自行制作。</w:t>
      </w:r>
    </w:p>
    <w:p>
      <w:pPr>
        <w:pStyle w:val="29"/>
        <w:widowControl w:val="0"/>
        <w:jc w:val="center"/>
        <w:rPr>
          <w:rFonts w:hint="default" w:ascii="Times New Roman" w:hAnsi="Times New Roman" w:eastAsia="宋体" w:cs="Times New Roman"/>
          <w:b/>
          <w:bCs/>
          <w:sz w:val="36"/>
          <w:szCs w:val="36"/>
        </w:rPr>
      </w:pPr>
    </w:p>
    <w:p>
      <w:pPr>
        <w:pStyle w:val="29"/>
        <w:widowControl w:val="0"/>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rPr>
        <w:t>开标一览表</w:t>
      </w:r>
      <w:r>
        <w:rPr>
          <w:rFonts w:hint="default" w:ascii="Times New Roman" w:hAnsi="Times New Roman" w:eastAsia="宋体" w:cs="Times New Roman"/>
          <w:b/>
          <w:bCs/>
          <w:sz w:val="36"/>
          <w:szCs w:val="36"/>
          <w:lang w:eastAsia="zh-CN"/>
        </w:rPr>
        <w:t>（标项</w:t>
      </w:r>
      <w:r>
        <w:rPr>
          <w:rFonts w:hint="default" w:ascii="Times New Roman" w:hAnsi="Times New Roman" w:eastAsia="宋体" w:cs="Times New Roman"/>
          <w:b/>
          <w:bCs/>
          <w:sz w:val="36"/>
          <w:szCs w:val="36"/>
          <w:lang w:val="en-US" w:eastAsia="zh-CN"/>
        </w:rPr>
        <w:t>一</w:t>
      </w:r>
      <w:r>
        <w:rPr>
          <w:rFonts w:hint="default" w:ascii="Times New Roman" w:hAnsi="Times New Roman" w:eastAsia="宋体" w:cs="Times New Roman"/>
          <w:b/>
          <w:bCs/>
          <w:sz w:val="36"/>
          <w:szCs w:val="36"/>
          <w:lang w:eastAsia="zh-CN"/>
        </w:rPr>
        <w:t>）</w:t>
      </w:r>
    </w:p>
    <w:p>
      <w:pPr>
        <w:spacing w:line="360" w:lineRule="auto"/>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highlight w:val="none"/>
        </w:rPr>
        <w:t>项目名称：义乌市农业农村局义乌市农村宅基地基础信息调查项目</w:t>
      </w:r>
    </w:p>
    <w:p>
      <w:pPr>
        <w:spacing w:line="360" w:lineRule="auto"/>
        <w:rPr>
          <w:rFonts w:hint="eastAsia" w:ascii="Times New Roman" w:hAnsi="Times New Roman" w:eastAsia="宋体" w:cs="Times New Roman"/>
          <w:color w:val="FF0000"/>
          <w:highlight w:val="none"/>
          <w:lang w:eastAsia="zh-CN"/>
        </w:rPr>
      </w:pPr>
      <w:r>
        <w:rPr>
          <w:rFonts w:hint="default" w:ascii="Times New Roman" w:hAnsi="Times New Roman" w:eastAsia="宋体" w:cs="Times New Roman"/>
          <w:color w:val="FF0000"/>
          <w:highlight w:val="none"/>
        </w:rPr>
        <w:t>采购编号：YWCG2023</w:t>
      </w:r>
      <w:r>
        <w:rPr>
          <w:rFonts w:hint="eastAsia" w:cs="Times New Roman"/>
          <w:color w:val="FF0000"/>
          <w:highlight w:val="none"/>
          <w:lang w:eastAsia="zh-CN"/>
        </w:rPr>
        <w:t>008GK</w:t>
      </w:r>
    </w:p>
    <w:tbl>
      <w:tblPr>
        <w:tblStyle w:val="57"/>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609"/>
        <w:gridCol w:w="1390"/>
        <w:gridCol w:w="1635"/>
        <w:gridCol w:w="1905"/>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10"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序号</w:t>
            </w:r>
          </w:p>
        </w:tc>
        <w:tc>
          <w:tcPr>
            <w:tcW w:w="1609"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项目内容</w:t>
            </w:r>
          </w:p>
        </w:tc>
        <w:tc>
          <w:tcPr>
            <w:tcW w:w="1390"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数量</w:t>
            </w:r>
          </w:p>
        </w:tc>
        <w:tc>
          <w:tcPr>
            <w:tcW w:w="1635"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单价</w:t>
            </w:r>
          </w:p>
        </w:tc>
        <w:tc>
          <w:tcPr>
            <w:tcW w:w="1905"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总价</w:t>
            </w:r>
          </w:p>
        </w:tc>
        <w:tc>
          <w:tcPr>
            <w:tcW w:w="2129" w:type="dxa"/>
            <w:noWrap/>
            <w:vAlign w:val="center"/>
          </w:tcPr>
          <w:p>
            <w:pPr>
              <w:spacing w:line="360" w:lineRule="auto"/>
              <w:jc w:val="center"/>
              <w:rPr>
                <w:rFonts w:hint="default"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609" w:type="dxa"/>
            <w:noWrap/>
            <w:vAlign w:val="center"/>
          </w:tcPr>
          <w:p>
            <w:pPr>
              <w:spacing w:line="360" w:lineRule="auto"/>
              <w:jc w:val="center"/>
              <w:rPr>
                <w:rFonts w:hint="default" w:ascii="Times New Roman" w:hAnsi="Times New Roman" w:eastAsia="宋体" w:cs="Times New Roman"/>
                <w:color w:val="000000"/>
                <w:sz w:val="24"/>
                <w:szCs w:val="24"/>
                <w:lang w:eastAsia="zh-CN" w:bidi="ar"/>
              </w:rPr>
            </w:pPr>
            <w:r>
              <w:rPr>
                <w:rFonts w:hint="default" w:ascii="Times New Roman" w:hAnsi="Times New Roman" w:eastAsia="宋体" w:cs="Times New Roman"/>
                <w:color w:val="000000"/>
                <w:sz w:val="24"/>
                <w:szCs w:val="24"/>
                <w:lang w:eastAsia="zh-CN" w:bidi="ar"/>
              </w:rPr>
              <w:t>标项一</w:t>
            </w:r>
          </w:p>
        </w:tc>
        <w:tc>
          <w:tcPr>
            <w:tcW w:w="1390" w:type="dxa"/>
            <w:noWrap/>
            <w:vAlign w:val="center"/>
          </w:tcPr>
          <w:p>
            <w:pPr>
              <w:spacing w:line="360" w:lineRule="auto"/>
              <w:jc w:val="center"/>
              <w:rPr>
                <w:rFonts w:hint="default" w:ascii="Times New Roman" w:hAnsi="Times New Roman" w:eastAsia="宋体" w:cs="Times New Roman"/>
                <w:color w:val="000000"/>
                <w:sz w:val="24"/>
                <w:szCs w:val="24"/>
                <w:lang w:eastAsia="zh-CN" w:bidi="ar"/>
              </w:rPr>
            </w:pPr>
            <w:r>
              <w:rPr>
                <w:rFonts w:hint="default" w:ascii="Times New Roman" w:hAnsi="Times New Roman" w:eastAsia="宋体" w:cs="Times New Roman"/>
                <w:i w:val="0"/>
                <w:color w:val="000000"/>
                <w:kern w:val="0"/>
                <w:sz w:val="24"/>
                <w:szCs w:val="24"/>
                <w:u w:val="none"/>
                <w:lang w:val="en-US" w:eastAsia="zh-CN" w:bidi="ar"/>
              </w:rPr>
              <w:t>74314</w:t>
            </w:r>
            <w:r>
              <w:rPr>
                <w:rFonts w:hint="default" w:ascii="Times New Roman" w:hAnsi="Times New Roman" w:eastAsia="宋体" w:cs="Times New Roman"/>
                <w:color w:val="000000"/>
                <w:sz w:val="24"/>
                <w:szCs w:val="24"/>
                <w:lang w:eastAsia="zh-CN" w:bidi="ar"/>
              </w:rPr>
              <w:t>宗</w:t>
            </w:r>
          </w:p>
        </w:tc>
        <w:tc>
          <w:tcPr>
            <w:tcW w:w="1635" w:type="dxa"/>
            <w:noWrap/>
            <w:vAlign w:val="center"/>
          </w:tcPr>
          <w:p>
            <w:pPr>
              <w:spacing w:line="360" w:lineRule="auto"/>
              <w:jc w:val="center"/>
              <w:rPr>
                <w:rFonts w:hint="default" w:ascii="Times New Roman" w:hAnsi="Times New Roman" w:eastAsia="宋体" w:cs="Times New Roman"/>
                <w:color w:val="000000"/>
                <w:sz w:val="24"/>
                <w:szCs w:val="24"/>
                <w:lang w:eastAsia="zh-Hans" w:bidi="ar"/>
              </w:rPr>
            </w:pPr>
          </w:p>
        </w:tc>
        <w:tc>
          <w:tcPr>
            <w:tcW w:w="1905" w:type="dxa"/>
            <w:noWrap/>
            <w:vAlign w:val="center"/>
          </w:tcPr>
          <w:p>
            <w:pPr>
              <w:spacing w:line="360" w:lineRule="auto"/>
              <w:jc w:val="center"/>
              <w:rPr>
                <w:rFonts w:hint="default" w:ascii="Times New Roman" w:hAnsi="Times New Roman" w:eastAsia="宋体" w:cs="Times New Roman"/>
                <w:b/>
                <w:color w:val="000000"/>
                <w:sz w:val="24"/>
                <w:szCs w:val="24"/>
              </w:rPr>
            </w:pPr>
          </w:p>
        </w:tc>
        <w:tc>
          <w:tcPr>
            <w:tcW w:w="2129"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color w:val="auto"/>
                <w:sz w:val="24"/>
                <w:szCs w:val="24"/>
                <w:highlight w:val="none"/>
                <w:lang w:val="en-US" w:eastAsia="zh-CN"/>
              </w:rPr>
              <w:t>标项一单价最高限价为74元/宗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合计</w:t>
            </w:r>
          </w:p>
        </w:tc>
        <w:tc>
          <w:tcPr>
            <w:tcW w:w="8668" w:type="dxa"/>
            <w:gridSpan w:val="5"/>
            <w:noWrap/>
            <w:vAlign w:val="center"/>
          </w:tcPr>
          <w:p>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大写：</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spacing w:line="360" w:lineRule="auto"/>
              <w:jc w:val="both"/>
              <w:rPr>
                <w:rFonts w:hint="default" w:ascii="Times New Roman" w:hAnsi="Times New Roman" w:eastAsia="宋体" w:cs="Times New Roman"/>
                <w:b/>
                <w:color w:val="000000"/>
                <w:sz w:val="24"/>
                <w:szCs w:val="24"/>
              </w:rPr>
            </w:pPr>
            <w:r>
              <w:rPr>
                <w:rFonts w:hint="default" w:ascii="Times New Roman" w:hAnsi="Times New Roman" w:eastAsia="宋体" w:cs="Times New Roman"/>
                <w:sz w:val="24"/>
                <w:szCs w:val="24"/>
              </w:rPr>
              <w:t>小写￥：</w:t>
            </w:r>
            <w:r>
              <w:rPr>
                <w:rFonts w:hint="default" w:ascii="Times New Roman" w:hAnsi="Times New Roman" w:eastAsia="宋体" w:cs="Times New Roman"/>
                <w:sz w:val="24"/>
                <w:szCs w:val="24"/>
                <w:u w:val="single"/>
              </w:rPr>
              <w:t xml:space="preserve">                           </w:t>
            </w:r>
          </w:p>
        </w:tc>
      </w:tr>
    </w:tbl>
    <w:p>
      <w:pPr>
        <w:spacing w:line="400" w:lineRule="exact"/>
        <w:rPr>
          <w:rFonts w:hint="default" w:ascii="Times New Roman" w:hAnsi="Times New Roman" w:eastAsia="宋体" w:cs="Times New Roman"/>
        </w:rPr>
      </w:pPr>
    </w:p>
    <w:p>
      <w:pPr>
        <w:pStyle w:val="29"/>
        <w:spacing w:line="460" w:lineRule="exact"/>
        <w:ind w:left="274" w:leftChars="11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投标人名称（电子签章）：</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pStyle w:val="29"/>
        <w:spacing w:line="460" w:lineRule="exact"/>
        <w:ind w:left="274" w:leftChars="11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日 期：    年    月    日</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备注：1、投标报价以人民币为结算货币，</w:t>
      </w:r>
      <w:r>
        <w:rPr>
          <w:rFonts w:hint="eastAsia" w:ascii="Times New Roman" w:hAnsi="Times New Roman" w:eastAsia="宋体" w:cs="Times New Roman"/>
          <w:color w:val="000000"/>
        </w:rPr>
        <w:t>投标报价须包含项目达到预期使用效果所需的调查费、税费、报告编制费等一切费用和政策性文件规定及合同包含的所有风险、责任等各项应有费用。应是招标文件确定的招标范围内的全部工作内容的价格表现，完成该项目的所有费用及各环节所必需的连带工作或服务、成果验收、以及政策性文件规定、合同包含的所有风险责任等所有费用。如有漏项，视同已包含在本报价中，投标单价不做调整。</w:t>
      </w:r>
      <w:r>
        <w:rPr>
          <w:rFonts w:hint="default" w:ascii="Times New Roman" w:hAnsi="Times New Roman" w:eastAsia="宋体" w:cs="Times New Roman"/>
          <w:color w:val="000000"/>
        </w:rPr>
        <w:t>投标报价为投标人所能承受的最低、最终报价。只允许有一个报价，有选择的报价将不予接受。</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2、项目投标总价不得超过项目预算价及最高限价，不得低于投标人自报的成本价，否则投标无效。</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3、此表在不改变表式的情况下，可自行制作。</w:t>
      </w:r>
    </w:p>
    <w:p>
      <w:pPr>
        <w:spacing w:line="360" w:lineRule="auto"/>
        <w:rPr>
          <w:rFonts w:hint="default" w:ascii="Times New Roman" w:hAnsi="Times New Roman" w:eastAsia="宋体" w:cs="Times New Roman"/>
          <w:sz w:val="28"/>
          <w:szCs w:val="28"/>
          <w:highlight w:val="green"/>
        </w:rPr>
      </w:pPr>
    </w:p>
    <w:p>
      <w:pPr>
        <w:pStyle w:val="2"/>
        <w:rPr>
          <w:rFonts w:hint="default" w:ascii="Times New Roman" w:hAnsi="Times New Roman" w:eastAsia="宋体" w:cs="Times New Roman"/>
          <w:sz w:val="28"/>
          <w:szCs w:val="28"/>
          <w:highlight w:val="green"/>
        </w:rPr>
      </w:pPr>
    </w:p>
    <w:p>
      <w:pPr>
        <w:pStyle w:val="3"/>
        <w:rPr>
          <w:rFonts w:hint="default" w:ascii="Times New Roman" w:hAnsi="Times New Roman" w:eastAsia="宋体" w:cs="Times New Roman"/>
          <w:sz w:val="28"/>
          <w:szCs w:val="28"/>
          <w:highlight w:val="green"/>
        </w:rPr>
      </w:pPr>
    </w:p>
    <w:p>
      <w:pPr>
        <w:pStyle w:val="3"/>
        <w:rPr>
          <w:rFonts w:hint="default" w:ascii="Times New Roman" w:hAnsi="Times New Roman" w:eastAsia="宋体" w:cs="Times New Roman"/>
          <w:sz w:val="28"/>
          <w:szCs w:val="28"/>
          <w:highlight w:val="green"/>
        </w:rPr>
      </w:pPr>
    </w:p>
    <w:p>
      <w:pPr>
        <w:pStyle w:val="3"/>
        <w:rPr>
          <w:rFonts w:hint="default" w:ascii="Times New Roman" w:hAnsi="Times New Roman" w:eastAsia="宋体" w:cs="Times New Roman"/>
          <w:sz w:val="28"/>
          <w:szCs w:val="28"/>
          <w:highlight w:val="green"/>
        </w:rPr>
      </w:pPr>
    </w:p>
    <w:p>
      <w:pPr>
        <w:pStyle w:val="3"/>
        <w:rPr>
          <w:rFonts w:hint="default" w:ascii="Times New Roman" w:hAnsi="Times New Roman" w:eastAsia="宋体" w:cs="Times New Roman"/>
          <w:sz w:val="28"/>
          <w:szCs w:val="28"/>
          <w:highlight w:val="green"/>
        </w:rPr>
      </w:pPr>
    </w:p>
    <w:p>
      <w:pPr>
        <w:pStyle w:val="3"/>
        <w:rPr>
          <w:rFonts w:hint="default" w:ascii="Times New Roman" w:hAnsi="Times New Roman" w:eastAsia="宋体" w:cs="Times New Roman"/>
          <w:sz w:val="28"/>
          <w:szCs w:val="28"/>
          <w:highlight w:val="green"/>
        </w:rPr>
      </w:pPr>
    </w:p>
    <w:p>
      <w:pPr>
        <w:pStyle w:val="29"/>
        <w:widowControl w:val="0"/>
        <w:jc w:val="center"/>
        <w:rPr>
          <w:rFonts w:hint="default" w:ascii="Times New Roman" w:hAnsi="Times New Roman" w:eastAsia="宋体" w:cs="Times New Roman"/>
          <w:b/>
          <w:bCs/>
          <w:sz w:val="36"/>
          <w:szCs w:val="36"/>
        </w:rPr>
      </w:pPr>
    </w:p>
    <w:p>
      <w:pPr>
        <w:pStyle w:val="29"/>
        <w:widowControl w:val="0"/>
        <w:jc w:val="center"/>
        <w:rPr>
          <w:rFonts w:hint="default" w:ascii="Times New Roman" w:hAnsi="Times New Roman" w:eastAsia="宋体" w:cs="Times New Roman"/>
          <w:b/>
          <w:bCs/>
          <w:sz w:val="36"/>
          <w:szCs w:val="36"/>
        </w:rPr>
      </w:pPr>
    </w:p>
    <w:p>
      <w:pPr>
        <w:pStyle w:val="29"/>
        <w:widowControl w:val="0"/>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开标一览表</w:t>
      </w:r>
      <w:r>
        <w:rPr>
          <w:rFonts w:hint="default" w:ascii="Times New Roman" w:hAnsi="Times New Roman" w:eastAsia="宋体" w:cs="Times New Roman"/>
          <w:b/>
          <w:bCs/>
          <w:sz w:val="36"/>
          <w:szCs w:val="36"/>
          <w:highlight w:val="none"/>
          <w:lang w:eastAsia="zh-CN"/>
        </w:rPr>
        <w:t>（标项</w:t>
      </w:r>
      <w:r>
        <w:rPr>
          <w:rFonts w:hint="default" w:ascii="Times New Roman" w:hAnsi="Times New Roman" w:eastAsia="宋体" w:cs="Times New Roman"/>
          <w:b/>
          <w:bCs/>
          <w:sz w:val="36"/>
          <w:szCs w:val="36"/>
          <w:highlight w:val="none"/>
          <w:lang w:val="en-US" w:eastAsia="zh-CN"/>
        </w:rPr>
        <w:t>二</w:t>
      </w:r>
      <w:r>
        <w:rPr>
          <w:rFonts w:hint="default" w:ascii="Times New Roman" w:hAnsi="Times New Roman" w:eastAsia="宋体" w:cs="Times New Roman"/>
          <w:b/>
          <w:bCs/>
          <w:sz w:val="36"/>
          <w:szCs w:val="36"/>
          <w:highlight w:val="none"/>
          <w:lang w:eastAsia="zh-CN"/>
        </w:rPr>
        <w:t>）</w:t>
      </w:r>
    </w:p>
    <w:p>
      <w:pPr>
        <w:spacing w:line="360" w:lineRule="auto"/>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highlight w:val="none"/>
        </w:rPr>
        <w:t>项目名称：义乌市农业农村局义乌市农村宅基地基础信息调查项目</w:t>
      </w:r>
    </w:p>
    <w:p>
      <w:pPr>
        <w:spacing w:line="360" w:lineRule="auto"/>
        <w:rPr>
          <w:rFonts w:hint="eastAsia" w:ascii="Times New Roman" w:hAnsi="Times New Roman" w:eastAsia="宋体" w:cs="Times New Roman"/>
          <w:color w:val="FF0000"/>
          <w:highlight w:val="none"/>
          <w:lang w:eastAsia="zh-CN"/>
        </w:rPr>
      </w:pPr>
      <w:r>
        <w:rPr>
          <w:rFonts w:hint="default" w:ascii="Times New Roman" w:hAnsi="Times New Roman" w:eastAsia="宋体" w:cs="Times New Roman"/>
          <w:color w:val="FF0000"/>
          <w:highlight w:val="none"/>
        </w:rPr>
        <w:t>采购编号：YWCG2023</w:t>
      </w:r>
      <w:r>
        <w:rPr>
          <w:rFonts w:hint="eastAsia" w:cs="Times New Roman"/>
          <w:color w:val="FF0000"/>
          <w:highlight w:val="none"/>
          <w:lang w:eastAsia="zh-CN"/>
        </w:rPr>
        <w:t>008GK</w:t>
      </w:r>
    </w:p>
    <w:tbl>
      <w:tblPr>
        <w:tblStyle w:val="57"/>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609"/>
        <w:gridCol w:w="1390"/>
        <w:gridCol w:w="1635"/>
        <w:gridCol w:w="1905"/>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10"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序号</w:t>
            </w:r>
          </w:p>
        </w:tc>
        <w:tc>
          <w:tcPr>
            <w:tcW w:w="1609"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项目内容</w:t>
            </w:r>
          </w:p>
        </w:tc>
        <w:tc>
          <w:tcPr>
            <w:tcW w:w="1390"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数量</w:t>
            </w:r>
          </w:p>
        </w:tc>
        <w:tc>
          <w:tcPr>
            <w:tcW w:w="1635"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单价</w:t>
            </w:r>
          </w:p>
        </w:tc>
        <w:tc>
          <w:tcPr>
            <w:tcW w:w="1905"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总价</w:t>
            </w:r>
          </w:p>
        </w:tc>
        <w:tc>
          <w:tcPr>
            <w:tcW w:w="2129" w:type="dxa"/>
            <w:noWrap/>
            <w:vAlign w:val="center"/>
          </w:tcPr>
          <w:p>
            <w:pPr>
              <w:spacing w:line="360" w:lineRule="auto"/>
              <w:jc w:val="center"/>
              <w:rPr>
                <w:rFonts w:hint="default"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609" w:type="dxa"/>
            <w:noWrap/>
            <w:vAlign w:val="center"/>
          </w:tcPr>
          <w:p>
            <w:pPr>
              <w:spacing w:line="360" w:lineRule="auto"/>
              <w:jc w:val="center"/>
              <w:rPr>
                <w:rFonts w:hint="default" w:ascii="Times New Roman" w:hAnsi="Times New Roman" w:eastAsia="宋体" w:cs="Times New Roman"/>
                <w:color w:val="000000"/>
                <w:sz w:val="24"/>
                <w:szCs w:val="24"/>
                <w:lang w:eastAsia="zh-CN" w:bidi="ar"/>
              </w:rPr>
            </w:pPr>
            <w:r>
              <w:rPr>
                <w:rFonts w:hint="default" w:ascii="Times New Roman" w:hAnsi="Times New Roman" w:eastAsia="宋体" w:cs="Times New Roman"/>
                <w:color w:val="000000"/>
                <w:sz w:val="24"/>
                <w:szCs w:val="24"/>
                <w:lang w:eastAsia="zh-CN" w:bidi="ar"/>
              </w:rPr>
              <w:t>标项二</w:t>
            </w:r>
          </w:p>
        </w:tc>
        <w:tc>
          <w:tcPr>
            <w:tcW w:w="1390" w:type="dxa"/>
            <w:noWrap/>
            <w:vAlign w:val="center"/>
          </w:tcPr>
          <w:p>
            <w:pPr>
              <w:spacing w:line="360" w:lineRule="auto"/>
              <w:jc w:val="center"/>
              <w:rPr>
                <w:rFonts w:hint="default" w:ascii="Times New Roman" w:hAnsi="Times New Roman" w:eastAsia="宋体" w:cs="Times New Roman"/>
                <w:color w:val="000000"/>
                <w:sz w:val="24"/>
                <w:szCs w:val="24"/>
                <w:lang w:eastAsia="zh-CN" w:bidi="ar"/>
              </w:rPr>
            </w:pPr>
            <w:r>
              <w:rPr>
                <w:rFonts w:hint="default" w:ascii="Times New Roman" w:hAnsi="Times New Roman" w:eastAsia="宋体" w:cs="Times New Roman"/>
                <w:i w:val="0"/>
                <w:color w:val="000000"/>
                <w:kern w:val="0"/>
                <w:sz w:val="24"/>
                <w:szCs w:val="24"/>
                <w:u w:val="none"/>
                <w:lang w:val="en-US" w:eastAsia="zh-CN" w:bidi="ar"/>
              </w:rPr>
              <w:t>73842宗</w:t>
            </w:r>
          </w:p>
        </w:tc>
        <w:tc>
          <w:tcPr>
            <w:tcW w:w="1635" w:type="dxa"/>
            <w:noWrap/>
            <w:vAlign w:val="center"/>
          </w:tcPr>
          <w:p>
            <w:pPr>
              <w:spacing w:line="360" w:lineRule="auto"/>
              <w:jc w:val="center"/>
              <w:rPr>
                <w:rFonts w:hint="default" w:ascii="Times New Roman" w:hAnsi="Times New Roman" w:eastAsia="宋体" w:cs="Times New Roman"/>
                <w:color w:val="000000"/>
                <w:sz w:val="24"/>
                <w:szCs w:val="24"/>
                <w:lang w:eastAsia="zh-Hans" w:bidi="ar"/>
              </w:rPr>
            </w:pPr>
          </w:p>
        </w:tc>
        <w:tc>
          <w:tcPr>
            <w:tcW w:w="1905" w:type="dxa"/>
            <w:noWrap/>
            <w:vAlign w:val="center"/>
          </w:tcPr>
          <w:p>
            <w:pPr>
              <w:spacing w:line="360" w:lineRule="auto"/>
              <w:jc w:val="center"/>
              <w:rPr>
                <w:rFonts w:hint="default" w:ascii="Times New Roman" w:hAnsi="Times New Roman" w:eastAsia="宋体" w:cs="Times New Roman"/>
                <w:b/>
                <w:color w:val="000000"/>
                <w:sz w:val="24"/>
                <w:szCs w:val="24"/>
              </w:rPr>
            </w:pPr>
          </w:p>
        </w:tc>
        <w:tc>
          <w:tcPr>
            <w:tcW w:w="2129"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color w:val="auto"/>
                <w:sz w:val="24"/>
                <w:szCs w:val="24"/>
                <w:highlight w:val="none"/>
                <w:lang w:val="en-US" w:eastAsia="zh-CN"/>
              </w:rPr>
              <w:t>标项二单价最高限价为70元/宗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合计</w:t>
            </w:r>
          </w:p>
        </w:tc>
        <w:tc>
          <w:tcPr>
            <w:tcW w:w="8668" w:type="dxa"/>
            <w:gridSpan w:val="5"/>
            <w:noWrap/>
            <w:vAlign w:val="center"/>
          </w:tcPr>
          <w:p>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大写：</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spacing w:line="360" w:lineRule="auto"/>
              <w:jc w:val="both"/>
              <w:rPr>
                <w:rFonts w:hint="default" w:ascii="Times New Roman" w:hAnsi="Times New Roman" w:eastAsia="宋体" w:cs="Times New Roman"/>
                <w:b/>
                <w:color w:val="000000"/>
                <w:sz w:val="24"/>
                <w:szCs w:val="24"/>
              </w:rPr>
            </w:pPr>
            <w:r>
              <w:rPr>
                <w:rFonts w:hint="default" w:ascii="Times New Roman" w:hAnsi="Times New Roman" w:eastAsia="宋体" w:cs="Times New Roman"/>
                <w:sz w:val="24"/>
                <w:szCs w:val="24"/>
              </w:rPr>
              <w:t>小写￥：</w:t>
            </w:r>
            <w:r>
              <w:rPr>
                <w:rFonts w:hint="default" w:ascii="Times New Roman" w:hAnsi="Times New Roman" w:eastAsia="宋体" w:cs="Times New Roman"/>
                <w:sz w:val="24"/>
                <w:szCs w:val="24"/>
                <w:u w:val="single"/>
              </w:rPr>
              <w:t xml:space="preserve">                           </w:t>
            </w:r>
          </w:p>
        </w:tc>
      </w:tr>
    </w:tbl>
    <w:p>
      <w:pPr>
        <w:spacing w:line="400" w:lineRule="exact"/>
        <w:rPr>
          <w:rFonts w:hint="default" w:ascii="Times New Roman" w:hAnsi="Times New Roman" w:eastAsia="宋体" w:cs="Times New Roman"/>
        </w:rPr>
      </w:pPr>
    </w:p>
    <w:p>
      <w:pPr>
        <w:pStyle w:val="29"/>
        <w:spacing w:line="460" w:lineRule="exact"/>
        <w:ind w:left="274" w:leftChars="11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投标人名称（电子签章）：</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pStyle w:val="29"/>
        <w:spacing w:line="460" w:lineRule="exact"/>
        <w:ind w:left="274" w:leftChars="11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日 期：    年    月    日</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备注：1、投标报价以人民币为结算货币，</w:t>
      </w:r>
      <w:r>
        <w:rPr>
          <w:rFonts w:hint="eastAsia" w:ascii="Times New Roman" w:hAnsi="Times New Roman" w:eastAsia="宋体" w:cs="Times New Roman"/>
          <w:color w:val="000000"/>
        </w:rPr>
        <w:t>投标报价须包含项目达到预期使用效果所需的调查费、税费、报告编制费等一切费用和政策性文件规定及合同包含的所有风险、责任等各项应有费用。应是招标文件确定的招标范围内的全部工作内容的价格表现，完成该项目的所有费用及各环节所必需的连带工作或服务、成果验收、以及政策性文件规定、合同包含的所有风险责任等所有费用。如有漏项，视同已包含在本报价中，投标单价不做调整。</w:t>
      </w:r>
      <w:r>
        <w:rPr>
          <w:rFonts w:hint="default" w:ascii="Times New Roman" w:hAnsi="Times New Roman" w:eastAsia="宋体" w:cs="Times New Roman"/>
          <w:color w:val="000000"/>
        </w:rPr>
        <w:t>投标报价为投标人所能承受的最低、最终报价。只允许有一个报价，有选择的报价将不予接受。</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2、项目投标总价不得超过项目预算价及最高限价，不得低于投标人自报的成本价，否则投标无效。</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3、此表在不改变表式的情况下，可自行制作。</w:t>
      </w:r>
    </w:p>
    <w:p>
      <w:pPr>
        <w:pStyle w:val="29"/>
        <w:widowControl w:val="0"/>
        <w:jc w:val="center"/>
        <w:rPr>
          <w:rFonts w:hint="default" w:ascii="Times New Roman" w:hAnsi="Times New Roman" w:eastAsia="宋体" w:cs="Times New Roman"/>
          <w:b/>
          <w:bCs/>
          <w:sz w:val="36"/>
          <w:szCs w:val="36"/>
        </w:rPr>
      </w:pPr>
    </w:p>
    <w:p>
      <w:pPr>
        <w:pStyle w:val="29"/>
        <w:widowControl w:val="0"/>
        <w:jc w:val="center"/>
        <w:rPr>
          <w:rFonts w:hint="default" w:ascii="Times New Roman" w:hAnsi="Times New Roman" w:eastAsia="宋体" w:cs="Times New Roman"/>
          <w:b/>
          <w:bCs/>
          <w:sz w:val="36"/>
          <w:szCs w:val="36"/>
        </w:rPr>
      </w:pPr>
    </w:p>
    <w:p>
      <w:pPr>
        <w:pStyle w:val="29"/>
        <w:widowControl w:val="0"/>
        <w:jc w:val="center"/>
        <w:rPr>
          <w:rFonts w:hint="default" w:ascii="Times New Roman" w:hAnsi="Times New Roman" w:eastAsia="宋体" w:cs="Times New Roman"/>
          <w:b/>
          <w:bCs/>
          <w:sz w:val="36"/>
          <w:szCs w:val="36"/>
        </w:rPr>
      </w:pPr>
    </w:p>
    <w:p>
      <w:pPr>
        <w:pStyle w:val="29"/>
        <w:widowControl w:val="0"/>
        <w:jc w:val="center"/>
        <w:rPr>
          <w:rFonts w:hint="default" w:ascii="Times New Roman" w:hAnsi="Times New Roman" w:eastAsia="宋体" w:cs="Times New Roman"/>
          <w:b/>
          <w:bCs/>
          <w:sz w:val="36"/>
          <w:szCs w:val="36"/>
        </w:rPr>
      </w:pPr>
    </w:p>
    <w:p>
      <w:pPr>
        <w:pStyle w:val="29"/>
        <w:widowControl w:val="0"/>
        <w:jc w:val="center"/>
        <w:rPr>
          <w:rFonts w:hint="default" w:ascii="Times New Roman" w:hAnsi="Times New Roman" w:eastAsia="宋体" w:cs="Times New Roman"/>
          <w:b/>
          <w:bCs/>
          <w:sz w:val="36"/>
          <w:szCs w:val="36"/>
        </w:rPr>
      </w:pPr>
    </w:p>
    <w:p>
      <w:pPr>
        <w:pStyle w:val="29"/>
        <w:widowControl w:val="0"/>
        <w:jc w:val="center"/>
        <w:rPr>
          <w:rFonts w:hint="default" w:ascii="Times New Roman" w:hAnsi="Times New Roman" w:eastAsia="宋体" w:cs="Times New Roman"/>
          <w:b/>
          <w:bCs/>
          <w:sz w:val="36"/>
          <w:szCs w:val="36"/>
        </w:rPr>
      </w:pPr>
    </w:p>
    <w:p>
      <w:pPr>
        <w:pStyle w:val="29"/>
        <w:widowControl w:val="0"/>
        <w:jc w:val="center"/>
        <w:rPr>
          <w:rFonts w:hint="default" w:ascii="Times New Roman" w:hAnsi="Times New Roman" w:eastAsia="宋体" w:cs="Times New Roman"/>
          <w:b/>
          <w:bCs/>
          <w:sz w:val="36"/>
          <w:szCs w:val="36"/>
        </w:rPr>
      </w:pPr>
    </w:p>
    <w:p>
      <w:pPr>
        <w:pStyle w:val="29"/>
        <w:widowControl w:val="0"/>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rPr>
        <w:t>开标一览表</w:t>
      </w:r>
      <w:r>
        <w:rPr>
          <w:rFonts w:hint="default" w:ascii="Times New Roman" w:hAnsi="Times New Roman" w:eastAsia="宋体" w:cs="Times New Roman"/>
          <w:b/>
          <w:bCs/>
          <w:sz w:val="36"/>
          <w:szCs w:val="36"/>
          <w:lang w:eastAsia="zh-CN"/>
        </w:rPr>
        <w:t>（标项</w:t>
      </w:r>
      <w:r>
        <w:rPr>
          <w:rFonts w:hint="default" w:ascii="Times New Roman" w:hAnsi="Times New Roman" w:eastAsia="宋体" w:cs="Times New Roman"/>
          <w:b/>
          <w:bCs/>
          <w:sz w:val="36"/>
          <w:szCs w:val="36"/>
          <w:lang w:val="en-US" w:eastAsia="zh-CN"/>
        </w:rPr>
        <w:t>三</w:t>
      </w:r>
      <w:r>
        <w:rPr>
          <w:rFonts w:hint="default" w:ascii="Times New Roman" w:hAnsi="Times New Roman" w:eastAsia="宋体" w:cs="Times New Roman"/>
          <w:b/>
          <w:bCs/>
          <w:sz w:val="36"/>
          <w:szCs w:val="36"/>
          <w:lang w:eastAsia="zh-CN"/>
        </w:rPr>
        <w:t>）</w:t>
      </w:r>
    </w:p>
    <w:p>
      <w:pPr>
        <w:spacing w:line="360" w:lineRule="auto"/>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rPr>
        <w:t>项目名</w:t>
      </w:r>
      <w:r>
        <w:rPr>
          <w:rFonts w:hint="default" w:ascii="Times New Roman" w:hAnsi="Times New Roman" w:eastAsia="宋体" w:cs="Times New Roman"/>
          <w:color w:val="FF0000"/>
          <w:highlight w:val="none"/>
        </w:rPr>
        <w:t>称：义乌市农业农村局义乌市农村宅基地基础信息调查项目</w:t>
      </w:r>
    </w:p>
    <w:p>
      <w:pPr>
        <w:spacing w:line="360" w:lineRule="auto"/>
        <w:rPr>
          <w:rFonts w:hint="eastAsia" w:ascii="Times New Roman" w:hAnsi="Times New Roman" w:eastAsia="宋体" w:cs="Times New Roman"/>
          <w:color w:val="FF0000"/>
          <w:highlight w:val="none"/>
          <w:lang w:eastAsia="zh-CN"/>
        </w:rPr>
      </w:pPr>
      <w:r>
        <w:rPr>
          <w:rFonts w:hint="default" w:ascii="Times New Roman" w:hAnsi="Times New Roman" w:eastAsia="宋体" w:cs="Times New Roman"/>
          <w:color w:val="FF0000"/>
          <w:highlight w:val="none"/>
        </w:rPr>
        <w:t>采购编号：YWCG2023</w:t>
      </w:r>
      <w:r>
        <w:rPr>
          <w:rFonts w:hint="eastAsia" w:cs="Times New Roman"/>
          <w:color w:val="FF0000"/>
          <w:highlight w:val="none"/>
          <w:lang w:eastAsia="zh-CN"/>
        </w:rPr>
        <w:t>008GK</w:t>
      </w:r>
    </w:p>
    <w:tbl>
      <w:tblPr>
        <w:tblStyle w:val="57"/>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609"/>
        <w:gridCol w:w="1390"/>
        <w:gridCol w:w="1635"/>
        <w:gridCol w:w="1905"/>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10"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序号</w:t>
            </w:r>
          </w:p>
        </w:tc>
        <w:tc>
          <w:tcPr>
            <w:tcW w:w="1609"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项目内容</w:t>
            </w:r>
          </w:p>
        </w:tc>
        <w:tc>
          <w:tcPr>
            <w:tcW w:w="1390"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数量</w:t>
            </w:r>
          </w:p>
        </w:tc>
        <w:tc>
          <w:tcPr>
            <w:tcW w:w="1635"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单价</w:t>
            </w:r>
          </w:p>
        </w:tc>
        <w:tc>
          <w:tcPr>
            <w:tcW w:w="1905"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总价</w:t>
            </w:r>
          </w:p>
        </w:tc>
        <w:tc>
          <w:tcPr>
            <w:tcW w:w="2129" w:type="dxa"/>
            <w:noWrap/>
            <w:vAlign w:val="center"/>
          </w:tcPr>
          <w:p>
            <w:pPr>
              <w:spacing w:line="360" w:lineRule="auto"/>
              <w:jc w:val="center"/>
              <w:rPr>
                <w:rFonts w:hint="default"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609" w:type="dxa"/>
            <w:noWrap/>
            <w:vAlign w:val="center"/>
          </w:tcPr>
          <w:p>
            <w:pPr>
              <w:spacing w:line="360" w:lineRule="auto"/>
              <w:jc w:val="center"/>
              <w:rPr>
                <w:rFonts w:hint="default" w:ascii="Times New Roman" w:hAnsi="Times New Roman" w:eastAsia="宋体" w:cs="Times New Roman"/>
                <w:color w:val="000000"/>
                <w:sz w:val="24"/>
                <w:szCs w:val="24"/>
                <w:lang w:eastAsia="zh-CN" w:bidi="ar"/>
              </w:rPr>
            </w:pPr>
            <w:r>
              <w:rPr>
                <w:rFonts w:hint="default" w:ascii="Times New Roman" w:hAnsi="Times New Roman" w:eastAsia="宋体" w:cs="Times New Roman"/>
                <w:color w:val="000000"/>
                <w:sz w:val="24"/>
                <w:szCs w:val="24"/>
                <w:lang w:eastAsia="zh-CN" w:bidi="ar"/>
              </w:rPr>
              <w:t>标项三</w:t>
            </w:r>
          </w:p>
        </w:tc>
        <w:tc>
          <w:tcPr>
            <w:tcW w:w="1390" w:type="dxa"/>
            <w:noWrap/>
            <w:vAlign w:val="center"/>
          </w:tcPr>
          <w:p>
            <w:pPr>
              <w:spacing w:line="360" w:lineRule="auto"/>
              <w:jc w:val="center"/>
              <w:rPr>
                <w:rFonts w:hint="default" w:ascii="Times New Roman" w:hAnsi="Times New Roman" w:eastAsia="宋体" w:cs="Times New Roman"/>
                <w:color w:val="000000"/>
                <w:sz w:val="24"/>
                <w:szCs w:val="24"/>
                <w:lang w:eastAsia="zh-CN" w:bidi="ar"/>
              </w:rPr>
            </w:pPr>
            <w:r>
              <w:rPr>
                <w:rFonts w:hint="default" w:ascii="Times New Roman" w:hAnsi="Times New Roman" w:eastAsia="宋体" w:cs="Times New Roman"/>
                <w:i w:val="0"/>
                <w:color w:val="000000"/>
                <w:kern w:val="0"/>
                <w:sz w:val="24"/>
                <w:szCs w:val="24"/>
                <w:u w:val="none"/>
                <w:lang w:val="en-US" w:eastAsia="zh-CN" w:bidi="ar"/>
              </w:rPr>
              <w:t>71601宗</w:t>
            </w:r>
          </w:p>
        </w:tc>
        <w:tc>
          <w:tcPr>
            <w:tcW w:w="1635" w:type="dxa"/>
            <w:noWrap/>
            <w:vAlign w:val="center"/>
          </w:tcPr>
          <w:p>
            <w:pPr>
              <w:spacing w:line="360" w:lineRule="auto"/>
              <w:jc w:val="center"/>
              <w:rPr>
                <w:rFonts w:hint="default" w:ascii="Times New Roman" w:hAnsi="Times New Roman" w:eastAsia="宋体" w:cs="Times New Roman"/>
                <w:color w:val="000000"/>
                <w:sz w:val="24"/>
                <w:szCs w:val="24"/>
                <w:lang w:eastAsia="zh-Hans" w:bidi="ar"/>
              </w:rPr>
            </w:pPr>
          </w:p>
        </w:tc>
        <w:tc>
          <w:tcPr>
            <w:tcW w:w="1905" w:type="dxa"/>
            <w:noWrap/>
            <w:vAlign w:val="center"/>
          </w:tcPr>
          <w:p>
            <w:pPr>
              <w:spacing w:line="360" w:lineRule="auto"/>
              <w:jc w:val="center"/>
              <w:rPr>
                <w:rFonts w:hint="default" w:ascii="Times New Roman" w:hAnsi="Times New Roman" w:eastAsia="宋体" w:cs="Times New Roman"/>
                <w:b/>
                <w:color w:val="000000"/>
                <w:sz w:val="24"/>
                <w:szCs w:val="24"/>
              </w:rPr>
            </w:pPr>
          </w:p>
        </w:tc>
        <w:tc>
          <w:tcPr>
            <w:tcW w:w="2129" w:type="dxa"/>
            <w:noWrap/>
            <w:vAlign w:val="center"/>
          </w:tcPr>
          <w:p>
            <w:pPr>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color w:val="auto"/>
                <w:sz w:val="24"/>
                <w:szCs w:val="24"/>
                <w:highlight w:val="none"/>
                <w:lang w:val="en-US" w:eastAsia="zh-CN"/>
              </w:rPr>
              <w:t>标项三单价最高限价为70元/宗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合计</w:t>
            </w:r>
          </w:p>
        </w:tc>
        <w:tc>
          <w:tcPr>
            <w:tcW w:w="8668" w:type="dxa"/>
            <w:gridSpan w:val="5"/>
            <w:noWrap/>
            <w:vAlign w:val="center"/>
          </w:tcPr>
          <w:p>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大写：</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spacing w:line="360" w:lineRule="auto"/>
              <w:jc w:val="both"/>
              <w:rPr>
                <w:rFonts w:hint="default" w:ascii="Times New Roman" w:hAnsi="Times New Roman" w:eastAsia="宋体" w:cs="Times New Roman"/>
                <w:b/>
                <w:color w:val="000000"/>
                <w:sz w:val="24"/>
                <w:szCs w:val="24"/>
              </w:rPr>
            </w:pPr>
            <w:r>
              <w:rPr>
                <w:rFonts w:hint="default" w:ascii="Times New Roman" w:hAnsi="Times New Roman" w:eastAsia="宋体" w:cs="Times New Roman"/>
                <w:sz w:val="24"/>
                <w:szCs w:val="24"/>
              </w:rPr>
              <w:t>小写￥：</w:t>
            </w:r>
            <w:r>
              <w:rPr>
                <w:rFonts w:hint="default" w:ascii="Times New Roman" w:hAnsi="Times New Roman" w:eastAsia="宋体" w:cs="Times New Roman"/>
                <w:sz w:val="24"/>
                <w:szCs w:val="24"/>
                <w:u w:val="single"/>
              </w:rPr>
              <w:t xml:space="preserve">                           </w:t>
            </w:r>
          </w:p>
        </w:tc>
      </w:tr>
    </w:tbl>
    <w:p>
      <w:pPr>
        <w:spacing w:line="400" w:lineRule="exact"/>
        <w:rPr>
          <w:rFonts w:hint="default" w:ascii="Times New Roman" w:hAnsi="Times New Roman" w:eastAsia="宋体" w:cs="Times New Roman"/>
        </w:rPr>
      </w:pPr>
    </w:p>
    <w:p>
      <w:pPr>
        <w:pStyle w:val="29"/>
        <w:spacing w:line="460" w:lineRule="exact"/>
        <w:ind w:left="274" w:leftChars="11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投标人名称（电子签章）：</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pStyle w:val="29"/>
        <w:spacing w:line="460" w:lineRule="exact"/>
        <w:ind w:left="274" w:leftChars="11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日 期：    年    月    日</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备注：1、投标报价以人民币为结算货币，</w:t>
      </w:r>
      <w:r>
        <w:rPr>
          <w:rFonts w:hint="eastAsia" w:ascii="Times New Roman" w:hAnsi="Times New Roman" w:eastAsia="宋体" w:cs="Times New Roman"/>
          <w:color w:val="000000"/>
        </w:rPr>
        <w:t>投标报价须包含项目达到预期使用效果所需的调查费、税费、报告编制费等一切费用和政策性文件规定及合同包含的所有风险、责任等各项应有费用。应是招标文件确定的招标范围内的全部工作内容的价格表现，完成该项目的所有费用及各环节所必需的连带工作或服务、成果验收、以及政策性文件规定、合同包含的所有风险责任等所有费用。如有漏项，视同已包含在本报价中，投标单价不做调整。</w:t>
      </w:r>
      <w:r>
        <w:rPr>
          <w:rFonts w:hint="default" w:ascii="Times New Roman" w:hAnsi="Times New Roman" w:eastAsia="宋体" w:cs="Times New Roman"/>
          <w:color w:val="000000"/>
        </w:rPr>
        <w:t>投标报价为投标人所能承受的最低、最终报价。只允许有一个报价，有选择的报价将不予接受。</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2、项目投标总价不得超过项目预算价及最高限价，不得低于投标人自报的成本价，否则投标无效。</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3、此表在不改变表式的情况下，可自行制作。</w:t>
      </w:r>
    </w:p>
    <w:p>
      <w:pPr>
        <w:pStyle w:val="3"/>
        <w:rPr>
          <w:rFonts w:hint="default" w:ascii="Times New Roman" w:hAnsi="Times New Roman" w:eastAsia="宋体" w:cs="Times New Roman"/>
          <w:sz w:val="28"/>
          <w:szCs w:val="28"/>
          <w:highlight w:val="green"/>
        </w:rPr>
      </w:pPr>
    </w:p>
    <w:p>
      <w:pPr>
        <w:pStyle w:val="3"/>
        <w:rPr>
          <w:rFonts w:hint="default" w:ascii="Times New Roman" w:hAnsi="Times New Roman" w:eastAsia="宋体" w:cs="Times New Roman"/>
          <w:sz w:val="28"/>
          <w:szCs w:val="28"/>
          <w:highlight w:val="green"/>
        </w:rPr>
      </w:pPr>
    </w:p>
    <w:p>
      <w:pPr>
        <w:pStyle w:val="3"/>
        <w:rPr>
          <w:rFonts w:hint="default" w:ascii="Times New Roman" w:hAnsi="Times New Roman" w:eastAsia="宋体" w:cs="Times New Roman"/>
          <w:sz w:val="28"/>
          <w:szCs w:val="28"/>
          <w:highlight w:val="green"/>
        </w:rPr>
      </w:pPr>
    </w:p>
    <w:p>
      <w:pPr>
        <w:pStyle w:val="3"/>
        <w:rPr>
          <w:rFonts w:hint="default" w:ascii="Times New Roman" w:hAnsi="Times New Roman" w:eastAsia="宋体" w:cs="Times New Roman"/>
          <w:sz w:val="28"/>
          <w:szCs w:val="28"/>
          <w:highlight w:val="green"/>
        </w:rPr>
      </w:pPr>
    </w:p>
    <w:p>
      <w:pPr>
        <w:pStyle w:val="3"/>
        <w:rPr>
          <w:rFonts w:hint="default" w:ascii="Times New Roman" w:hAnsi="Times New Roman" w:eastAsia="宋体" w:cs="Times New Roman"/>
          <w:sz w:val="28"/>
          <w:szCs w:val="28"/>
          <w:highlight w:val="green"/>
        </w:rPr>
      </w:pPr>
    </w:p>
    <w:p>
      <w:pPr>
        <w:pStyle w:val="3"/>
        <w:rPr>
          <w:rFonts w:hint="default" w:ascii="Times New Roman" w:hAnsi="Times New Roman" w:eastAsia="宋体" w:cs="Times New Roman"/>
          <w:sz w:val="28"/>
          <w:szCs w:val="28"/>
          <w:highlight w:val="green"/>
        </w:rPr>
      </w:pPr>
    </w:p>
    <w:p>
      <w:pPr>
        <w:pStyle w:val="3"/>
        <w:rPr>
          <w:rFonts w:hint="default" w:ascii="Times New Roman" w:hAnsi="Times New Roman" w:eastAsia="宋体" w:cs="Times New Roman"/>
          <w:sz w:val="28"/>
          <w:szCs w:val="28"/>
          <w:highlight w:val="green"/>
        </w:rPr>
      </w:pPr>
    </w:p>
    <w:p>
      <w:pPr>
        <w:pStyle w:val="3"/>
        <w:rPr>
          <w:rFonts w:hint="default" w:ascii="Times New Roman" w:hAnsi="Times New Roman" w:eastAsia="宋体" w:cs="Times New Roman"/>
          <w:sz w:val="28"/>
          <w:szCs w:val="28"/>
          <w:highlight w:val="green"/>
        </w:rPr>
      </w:pPr>
    </w:p>
    <w:p>
      <w:pPr>
        <w:pStyle w:val="29"/>
        <w:widowControl w:val="0"/>
        <w:jc w:val="center"/>
        <w:rPr>
          <w:rFonts w:hint="default" w:ascii="Times New Roman" w:hAnsi="Times New Roman" w:eastAsia="宋体" w:cs="Times New Roman"/>
          <w:b/>
          <w:bCs/>
          <w:sz w:val="36"/>
          <w:szCs w:val="36"/>
        </w:rPr>
      </w:pPr>
    </w:p>
    <w:p>
      <w:pPr>
        <w:pStyle w:val="29"/>
        <w:widowControl w:val="0"/>
        <w:jc w:val="center"/>
        <w:rPr>
          <w:rFonts w:hint="default" w:ascii="Times New Roman" w:hAnsi="Times New Roman" w:eastAsia="宋体" w:cs="Times New Roman"/>
          <w:b/>
          <w:bCs/>
          <w:sz w:val="36"/>
          <w:szCs w:val="36"/>
        </w:rPr>
      </w:pPr>
    </w:p>
    <w:p>
      <w:pPr>
        <w:pStyle w:val="29"/>
        <w:widowControl w:val="0"/>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rPr>
        <w:t>项目成本报价表</w:t>
      </w:r>
      <w:r>
        <w:rPr>
          <w:rFonts w:hint="default" w:ascii="Times New Roman" w:hAnsi="Times New Roman" w:eastAsia="宋体" w:cs="Times New Roman"/>
          <w:b/>
          <w:bCs/>
          <w:sz w:val="36"/>
          <w:szCs w:val="36"/>
          <w:lang w:eastAsia="zh-CN"/>
        </w:rPr>
        <w:t>（标项</w:t>
      </w:r>
      <w:r>
        <w:rPr>
          <w:rFonts w:hint="default" w:ascii="Times New Roman" w:hAnsi="Times New Roman" w:eastAsia="宋体" w:cs="Times New Roman"/>
          <w:b/>
          <w:bCs/>
          <w:sz w:val="36"/>
          <w:szCs w:val="36"/>
          <w:lang w:val="en-US" w:eastAsia="zh-CN"/>
        </w:rPr>
        <w:t xml:space="preserve">    </w:t>
      </w:r>
      <w:r>
        <w:rPr>
          <w:rFonts w:hint="default" w:ascii="Times New Roman" w:hAnsi="Times New Roman" w:eastAsia="宋体" w:cs="Times New Roman"/>
          <w:b/>
          <w:bCs/>
          <w:sz w:val="36"/>
          <w:szCs w:val="36"/>
          <w:lang w:eastAsia="zh-CN"/>
        </w:rPr>
        <w:t>）</w:t>
      </w:r>
    </w:p>
    <w:p>
      <w:pPr>
        <w:spacing w:line="360" w:lineRule="auto"/>
        <w:jc w:val="center"/>
        <w:rPr>
          <w:rFonts w:hint="default" w:ascii="Times New Roman" w:hAnsi="Times New Roman" w:eastAsia="宋体" w:cs="Times New Roman"/>
          <w:b/>
          <w:color w:val="000000"/>
          <w:sz w:val="44"/>
        </w:rPr>
      </w:pPr>
    </w:p>
    <w:tbl>
      <w:tblPr>
        <w:tblStyle w:val="5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644" w:type="dxa"/>
            <w:vAlign w:val="center"/>
          </w:tcPr>
          <w:p>
            <w:pPr>
              <w:spacing w:line="42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项目名称</w:t>
            </w:r>
          </w:p>
        </w:tc>
        <w:tc>
          <w:tcPr>
            <w:tcW w:w="4926" w:type="dxa"/>
            <w:vAlign w:val="center"/>
          </w:tcPr>
          <w:p>
            <w:pPr>
              <w:spacing w:line="42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项目成本总价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4644" w:type="dxa"/>
            <w:vAlign w:val="center"/>
          </w:tcPr>
          <w:p>
            <w:pPr>
              <w:spacing w:line="420" w:lineRule="exact"/>
              <w:jc w:val="center"/>
              <w:rPr>
                <w:rFonts w:hint="default" w:ascii="Times New Roman" w:hAnsi="Times New Roman" w:eastAsia="宋体" w:cs="Times New Roman"/>
              </w:rPr>
            </w:pPr>
            <w:bookmarkStart w:id="112" w:name="_GoBack"/>
            <w:r>
              <w:rPr>
                <w:rFonts w:hint="default" w:ascii="Times New Roman" w:hAnsi="Times New Roman" w:eastAsia="宋体" w:cs="Times New Roman"/>
                <w:color w:val="FF0000"/>
                <w:szCs w:val="21"/>
                <w:highlight w:val="none"/>
              </w:rPr>
              <w:t>义乌市农业农村局义乌市农村宅基地基础信息调查项目（采购编号：YWCG2023</w:t>
            </w:r>
            <w:r>
              <w:rPr>
                <w:rFonts w:hint="eastAsia" w:cs="Times New Roman"/>
                <w:color w:val="FF0000"/>
                <w:szCs w:val="21"/>
                <w:highlight w:val="none"/>
                <w:lang w:eastAsia="zh-CN"/>
              </w:rPr>
              <w:t>008GK</w:t>
            </w:r>
            <w:r>
              <w:rPr>
                <w:rFonts w:hint="default" w:ascii="Times New Roman" w:hAnsi="Times New Roman" w:eastAsia="宋体" w:cs="Times New Roman"/>
                <w:color w:val="FF0000"/>
                <w:szCs w:val="21"/>
                <w:highlight w:val="none"/>
              </w:rPr>
              <w:t>）</w:t>
            </w:r>
            <w:bookmarkEnd w:id="112"/>
          </w:p>
        </w:tc>
        <w:tc>
          <w:tcPr>
            <w:tcW w:w="4926" w:type="dxa"/>
            <w:vAlign w:val="center"/>
          </w:tcPr>
          <w:p>
            <w:pPr>
              <w:ind w:right="480"/>
              <w:jc w:val="center"/>
              <w:rPr>
                <w:rFonts w:hint="default" w:ascii="Times New Roman" w:hAnsi="Times New Roman" w:eastAsia="宋体" w:cs="Times New Roman"/>
                <w:u w:val="single"/>
              </w:rPr>
            </w:pPr>
            <w:r>
              <w:rPr>
                <w:rFonts w:hint="default" w:ascii="Times New Roman" w:hAnsi="Times New Roman" w:eastAsia="宋体" w:cs="Times New Roman"/>
              </w:rPr>
              <w:t>(大写)：</w:t>
            </w:r>
            <w:r>
              <w:rPr>
                <w:rFonts w:hint="default" w:ascii="Times New Roman" w:hAnsi="Times New Roman" w:eastAsia="宋体" w:cs="Times New Roman"/>
                <w:u w:val="single"/>
              </w:rPr>
              <w:t xml:space="preserve">                     元</w:t>
            </w:r>
          </w:p>
          <w:p>
            <w:pPr>
              <w:spacing w:line="420" w:lineRule="exact"/>
              <w:jc w:val="center"/>
              <w:rPr>
                <w:rFonts w:hint="default" w:ascii="Times New Roman" w:hAnsi="Times New Roman" w:eastAsia="宋体" w:cs="Times New Roman"/>
              </w:rPr>
            </w:pPr>
          </w:p>
          <w:p>
            <w:pPr>
              <w:spacing w:line="420" w:lineRule="exact"/>
              <w:jc w:val="center"/>
              <w:rPr>
                <w:rFonts w:hint="default" w:ascii="Times New Roman" w:hAnsi="Times New Roman" w:eastAsia="宋体" w:cs="Times New Roman"/>
                <w:color w:val="000000"/>
              </w:rPr>
            </w:pPr>
            <w:r>
              <w:rPr>
                <w:rFonts w:hint="default" w:ascii="Times New Roman" w:hAnsi="Times New Roman" w:eastAsia="宋体" w:cs="Times New Roman"/>
              </w:rPr>
              <w:t>(小写)￥:</w:t>
            </w:r>
            <w:r>
              <w:rPr>
                <w:rFonts w:hint="default" w:ascii="Times New Roman" w:hAnsi="Times New Roman" w:eastAsia="宋体" w:cs="Times New Roman"/>
                <w:u w:val="single"/>
              </w:rPr>
              <w:t xml:space="preserve">                     元</w:t>
            </w:r>
          </w:p>
        </w:tc>
      </w:tr>
    </w:tbl>
    <w:p>
      <w:pPr>
        <w:spacing w:line="360" w:lineRule="auto"/>
        <w:rPr>
          <w:rFonts w:hint="default" w:ascii="Times New Roman" w:hAnsi="Times New Roman" w:eastAsia="宋体" w:cs="Times New Roman"/>
        </w:rPr>
      </w:pPr>
    </w:p>
    <w:p>
      <w:pPr>
        <w:pStyle w:val="29"/>
        <w:spacing w:line="460" w:lineRule="exact"/>
        <w:ind w:left="274" w:leftChars="11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投标人名称（电子签章）：</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pStyle w:val="29"/>
        <w:spacing w:line="460" w:lineRule="exact"/>
        <w:ind w:left="274" w:leftChars="114"/>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 xml:space="preserve">                                   日 期：    年    月    日</w:t>
      </w:r>
    </w:p>
    <w:p>
      <w:pPr>
        <w:pStyle w:val="55"/>
        <w:ind w:left="480" w:firstLine="480"/>
        <w:rPr>
          <w:rFonts w:hint="default" w:ascii="Times New Roman" w:hAnsi="Times New Roman" w:eastAsia="宋体" w:cs="Times New Roman"/>
          <w:highlight w:val="green"/>
        </w:rPr>
      </w:pPr>
    </w:p>
    <w:p>
      <w:pPr>
        <w:spacing w:line="360" w:lineRule="auto"/>
        <w:ind w:left="960" w:hanging="960" w:hangingChars="400"/>
        <w:rPr>
          <w:rFonts w:hint="default" w:ascii="Times New Roman" w:hAnsi="Times New Roman" w:eastAsia="宋体" w:cs="Times New Roman"/>
          <w:bCs/>
        </w:rPr>
      </w:pPr>
      <w:r>
        <w:rPr>
          <w:rFonts w:hint="default" w:ascii="Times New Roman" w:hAnsi="Times New Roman" w:eastAsia="宋体" w:cs="Times New Roman"/>
          <w:bCs/>
        </w:rPr>
        <w:t>备注：</w:t>
      </w:r>
    </w:p>
    <w:p>
      <w:pPr>
        <w:spacing w:line="460" w:lineRule="exact"/>
        <w:ind w:firstLine="235" w:firstLineChars="98"/>
        <w:rPr>
          <w:rFonts w:hint="default" w:ascii="Times New Roman" w:hAnsi="Times New Roman" w:eastAsia="宋体" w:cs="Times New Roman"/>
          <w:bCs/>
          <w:u w:val="single"/>
        </w:rPr>
      </w:pPr>
      <w:r>
        <w:rPr>
          <w:rFonts w:hint="default" w:ascii="Times New Roman" w:hAnsi="Times New Roman" w:eastAsia="宋体" w:cs="Times New Roman"/>
        </w:rPr>
        <w:t>1、投标单位应按照招标项目内容要求，根据项目特点和企业条件确定该项目成本报价，</w:t>
      </w:r>
      <w:r>
        <w:rPr>
          <w:rFonts w:hint="default" w:ascii="Times New Roman" w:hAnsi="Times New Roman" w:eastAsia="宋体" w:cs="Times New Roman"/>
          <w:u w:val="single"/>
        </w:rPr>
        <w:t>项目成本总价不得高于投标总价，否则投标无效。</w:t>
      </w:r>
    </w:p>
    <w:p>
      <w:pPr>
        <w:spacing w:line="360" w:lineRule="auto"/>
        <w:ind w:firstLine="240" w:firstLineChars="100"/>
        <w:rPr>
          <w:rFonts w:hint="default" w:ascii="Times New Roman" w:hAnsi="Times New Roman" w:eastAsia="宋体" w:cs="Times New Roman"/>
        </w:rPr>
      </w:pPr>
      <w:r>
        <w:rPr>
          <w:rFonts w:hint="default" w:ascii="Times New Roman" w:hAnsi="Times New Roman" w:eastAsia="宋体" w:cs="Times New Roman"/>
        </w:rPr>
        <w:t>2、此表在不改变表式的情况下，可自行制作。</w:t>
      </w:r>
    </w:p>
    <w:p>
      <w:pPr>
        <w:pStyle w:val="55"/>
        <w:ind w:left="480" w:firstLine="480"/>
        <w:rPr>
          <w:rFonts w:hint="default" w:ascii="Times New Roman" w:hAnsi="Times New Roman" w:eastAsia="宋体" w:cs="Times New Roman"/>
        </w:rPr>
      </w:pPr>
    </w:p>
    <w:p>
      <w:pPr>
        <w:spacing w:line="360" w:lineRule="auto"/>
        <w:ind w:firstLine="240" w:firstLineChars="100"/>
        <w:rPr>
          <w:rFonts w:hint="default" w:ascii="Times New Roman" w:hAnsi="Times New Roman" w:eastAsia="宋体" w:cs="Times New Roman"/>
        </w:rPr>
      </w:pPr>
    </w:p>
    <w:p>
      <w:pPr>
        <w:spacing w:line="360" w:lineRule="auto"/>
        <w:ind w:firstLine="240" w:firstLineChars="10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snapToGrid w:val="0"/>
        <w:spacing w:before="50" w:after="50"/>
        <w:jc w:val="center"/>
        <w:rPr>
          <w:rFonts w:hint="default" w:ascii="Times New Roman" w:hAnsi="Times New Roman" w:eastAsia="宋体" w:cs="Times New Roman"/>
          <w:b/>
          <w:sz w:val="36"/>
          <w:szCs w:val="36"/>
        </w:rPr>
      </w:pPr>
    </w:p>
    <w:p>
      <w:pPr>
        <w:snapToGrid w:val="0"/>
        <w:spacing w:before="50" w:after="50"/>
        <w:jc w:val="center"/>
        <w:rPr>
          <w:rFonts w:hint="default" w:ascii="Times New Roman" w:hAnsi="Times New Roman" w:eastAsia="宋体" w:cs="Times New Roman"/>
          <w:b/>
          <w:sz w:val="36"/>
          <w:szCs w:val="36"/>
        </w:rPr>
      </w:pPr>
    </w:p>
    <w:p>
      <w:pPr>
        <w:snapToGrid w:val="0"/>
        <w:spacing w:before="50" w:after="50"/>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中小企业声明函（工程、服务）</w:t>
      </w:r>
    </w:p>
    <w:p>
      <w:pPr>
        <w:snapToGrid w:val="0"/>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本公司（联合体）郑重声明，根据《政府采购促进中小企业发展管理办法》（财库﹝2020﹞46号）的规定，本公司（联合体）参加</w:t>
      </w:r>
      <w:r>
        <w:rPr>
          <w:rFonts w:hint="default" w:ascii="Times New Roman" w:hAnsi="Times New Roman" w:eastAsia="宋体" w:cs="Times New Roman"/>
          <w:i/>
          <w:iCs/>
          <w:sz w:val="28"/>
          <w:szCs w:val="28"/>
          <w:u w:val="single"/>
        </w:rPr>
        <w:t>（单位名称）</w:t>
      </w:r>
      <w:r>
        <w:rPr>
          <w:rFonts w:hint="default" w:ascii="Times New Roman" w:hAnsi="Times New Roman" w:eastAsia="宋体" w:cs="Times New Roman"/>
          <w:sz w:val="28"/>
          <w:szCs w:val="28"/>
        </w:rPr>
        <w:t>的</w:t>
      </w:r>
      <w:r>
        <w:rPr>
          <w:rFonts w:hint="default" w:ascii="Times New Roman" w:hAnsi="Times New Roman" w:eastAsia="宋体" w:cs="Times New Roman"/>
          <w:i/>
          <w:iCs/>
          <w:sz w:val="28"/>
          <w:szCs w:val="28"/>
          <w:u w:val="single"/>
        </w:rPr>
        <w:t>（项目名称）</w:t>
      </w:r>
      <w:r>
        <w:rPr>
          <w:rFonts w:hint="default" w:ascii="Times New Roman" w:hAnsi="Times New Roman" w:eastAsia="宋体" w:cs="Times New Roman"/>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r>
        <w:rPr>
          <w:rFonts w:hint="default" w:ascii="Times New Roman" w:hAnsi="Times New Roman" w:eastAsia="宋体" w:cs="Times New Roman"/>
          <w:i/>
          <w:iCs/>
          <w:sz w:val="28"/>
          <w:szCs w:val="28"/>
          <w:u w:val="single"/>
        </w:rPr>
        <w:t>（标的名称）</w:t>
      </w:r>
      <w:r>
        <w:rPr>
          <w:rFonts w:hint="default" w:ascii="Times New Roman" w:hAnsi="Times New Roman" w:eastAsia="宋体" w:cs="Times New Roman"/>
          <w:sz w:val="28"/>
          <w:szCs w:val="28"/>
        </w:rPr>
        <w:t>，属于</w:t>
      </w:r>
      <w:r>
        <w:rPr>
          <w:rFonts w:hint="default" w:ascii="Times New Roman" w:hAnsi="Times New Roman" w:eastAsia="宋体" w:cs="Times New Roman"/>
          <w:i/>
          <w:iCs/>
          <w:sz w:val="28"/>
          <w:szCs w:val="28"/>
          <w:u w:val="single"/>
        </w:rPr>
        <w:t>（采购文件中明确的所属行业）</w:t>
      </w:r>
      <w:r>
        <w:rPr>
          <w:rFonts w:hint="default" w:ascii="Times New Roman" w:hAnsi="Times New Roman" w:eastAsia="宋体" w:cs="Times New Roman"/>
          <w:sz w:val="28"/>
          <w:szCs w:val="28"/>
        </w:rPr>
        <w:t>；承建（承接）企业为</w:t>
      </w:r>
      <w:r>
        <w:rPr>
          <w:rFonts w:hint="default" w:ascii="Times New Roman" w:hAnsi="Times New Roman" w:eastAsia="宋体" w:cs="Times New Roman"/>
          <w:i/>
          <w:iCs/>
          <w:sz w:val="28"/>
          <w:szCs w:val="28"/>
          <w:u w:val="single"/>
        </w:rPr>
        <w:t>（企业名称）</w:t>
      </w:r>
      <w:r>
        <w:rPr>
          <w:rFonts w:hint="default" w:ascii="Times New Roman" w:hAnsi="Times New Roman" w:eastAsia="宋体" w:cs="Times New Roman"/>
          <w:sz w:val="28"/>
          <w:szCs w:val="28"/>
        </w:rPr>
        <w:t>，从业人员______人，营业收入为______万元，资产总额为______万元，属于</w:t>
      </w:r>
      <w:r>
        <w:rPr>
          <w:rFonts w:hint="default" w:ascii="Times New Roman" w:hAnsi="Times New Roman" w:eastAsia="宋体" w:cs="Times New Roman"/>
          <w:i/>
          <w:iCs/>
          <w:sz w:val="28"/>
          <w:szCs w:val="28"/>
          <w:u w:val="single"/>
        </w:rPr>
        <w:t>（中型企业、小型企业、微型企业）</w:t>
      </w:r>
      <w:r>
        <w:rPr>
          <w:rFonts w:hint="default" w:ascii="Times New Roman" w:hAnsi="Times New Roman" w:eastAsia="宋体" w:cs="Times New Roman"/>
          <w:sz w:val="28"/>
          <w:szCs w:val="28"/>
        </w:rPr>
        <w:t>；</w:t>
      </w:r>
    </w:p>
    <w:p>
      <w:pPr>
        <w:snapToGrid w:val="0"/>
        <w:spacing w:line="360" w:lineRule="auto"/>
        <w:ind w:firstLine="560" w:firstLineChars="200"/>
        <w:rPr>
          <w:rFonts w:hint="default" w:ascii="Times New Roman" w:hAnsi="Times New Roman" w:eastAsia="宋体" w:cs="Times New Roman"/>
        </w:rPr>
      </w:pPr>
      <w:r>
        <w:rPr>
          <w:rFonts w:hint="default" w:ascii="Times New Roman" w:hAnsi="Times New Roman" w:eastAsia="宋体" w:cs="Times New Roman"/>
          <w:sz w:val="28"/>
          <w:szCs w:val="28"/>
        </w:rPr>
        <w:t>2.</w:t>
      </w:r>
      <w:r>
        <w:rPr>
          <w:rFonts w:hint="default" w:ascii="Times New Roman" w:hAnsi="Times New Roman" w:eastAsia="宋体" w:cs="Times New Roman"/>
          <w:i/>
          <w:iCs/>
          <w:sz w:val="28"/>
          <w:szCs w:val="28"/>
          <w:u w:val="single"/>
        </w:rPr>
        <w:t>（标的名称）</w:t>
      </w:r>
      <w:r>
        <w:rPr>
          <w:rFonts w:hint="default" w:ascii="Times New Roman" w:hAnsi="Times New Roman" w:eastAsia="宋体" w:cs="Times New Roman"/>
          <w:sz w:val="28"/>
          <w:szCs w:val="28"/>
        </w:rPr>
        <w:t>，属于</w:t>
      </w:r>
      <w:r>
        <w:rPr>
          <w:rFonts w:hint="default" w:ascii="Times New Roman" w:hAnsi="Times New Roman" w:eastAsia="宋体" w:cs="Times New Roman"/>
          <w:i/>
          <w:iCs/>
          <w:sz w:val="28"/>
          <w:szCs w:val="28"/>
          <w:u w:val="single"/>
        </w:rPr>
        <w:t>（采购文件中明确的所属行业）</w:t>
      </w:r>
      <w:r>
        <w:rPr>
          <w:rFonts w:hint="default" w:ascii="Times New Roman" w:hAnsi="Times New Roman" w:eastAsia="宋体" w:cs="Times New Roman"/>
          <w:sz w:val="28"/>
          <w:szCs w:val="28"/>
        </w:rPr>
        <w:t>；承建（承接）企业为</w:t>
      </w:r>
      <w:r>
        <w:rPr>
          <w:rFonts w:hint="default" w:ascii="Times New Roman" w:hAnsi="Times New Roman" w:eastAsia="宋体" w:cs="Times New Roman"/>
          <w:i/>
          <w:iCs/>
          <w:sz w:val="28"/>
          <w:szCs w:val="28"/>
          <w:u w:val="single"/>
        </w:rPr>
        <w:t>（企业名称）</w:t>
      </w:r>
      <w:r>
        <w:rPr>
          <w:rFonts w:hint="default" w:ascii="Times New Roman" w:hAnsi="Times New Roman" w:eastAsia="宋体" w:cs="Times New Roman"/>
          <w:sz w:val="28"/>
          <w:szCs w:val="28"/>
        </w:rPr>
        <w:t>，从业人员______人，营业收入为______万元，资产总额为______万元，属于</w:t>
      </w:r>
      <w:r>
        <w:rPr>
          <w:rFonts w:hint="default" w:ascii="Times New Roman" w:hAnsi="Times New Roman" w:eastAsia="宋体" w:cs="Times New Roman"/>
          <w:i/>
          <w:iCs/>
          <w:sz w:val="28"/>
          <w:szCs w:val="28"/>
          <w:u w:val="single"/>
        </w:rPr>
        <w:t>（中型企业、小型企业、微型企业）</w:t>
      </w:r>
      <w:r>
        <w:rPr>
          <w:rFonts w:hint="default" w:ascii="Times New Roman" w:hAnsi="Times New Roman" w:eastAsia="宋体" w:cs="Times New Roman"/>
          <w:sz w:val="28"/>
          <w:szCs w:val="28"/>
        </w:rPr>
        <w:t>；</w:t>
      </w:r>
    </w:p>
    <w:p>
      <w:pPr>
        <w:snapToGrid w:val="0"/>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p>
    <w:p>
      <w:pPr>
        <w:snapToGrid w:val="0"/>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以上企业，不属于大企业的分支机构，不存在控股股东为大企业的情形，也不存在与大企业的负责人为同一人的情形。</w:t>
      </w:r>
    </w:p>
    <w:p>
      <w:pPr>
        <w:snapToGrid w:val="0"/>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本企业对上述声明内容的真实性负责。如有虚假，将依法承担相应责任。</w:t>
      </w:r>
    </w:p>
    <w:p>
      <w:pPr>
        <w:snapToGrid w:val="0"/>
        <w:spacing w:line="360" w:lineRule="auto"/>
        <w:ind w:firstLine="3080" w:firstLineChars="11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企业（投标人）名称（盖章）：_______</w:t>
      </w:r>
    </w:p>
    <w:p>
      <w:pPr>
        <w:snapToGrid w:val="0"/>
        <w:spacing w:line="360" w:lineRule="auto"/>
        <w:ind w:firstLine="5880" w:firstLineChars="21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日 期：_______</w:t>
      </w:r>
    </w:p>
    <w:p>
      <w:pPr>
        <w:snapToGrid w:val="0"/>
        <w:spacing w:line="360" w:lineRule="auto"/>
        <w:rPr>
          <w:rFonts w:hint="default" w:ascii="Times New Roman" w:hAnsi="Times New Roman" w:eastAsia="宋体" w:cs="Times New Roman"/>
          <w:bCs/>
        </w:rPr>
      </w:pPr>
      <w:r>
        <w:rPr>
          <w:rFonts w:hint="default" w:ascii="Times New Roman" w:hAnsi="Times New Roman" w:eastAsia="宋体" w:cs="Times New Roman"/>
          <w:bCs/>
        </w:rPr>
        <w:t>备注：</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rPr>
        <w:t>1.从业人员、营</w:t>
      </w:r>
      <w:r>
        <w:rPr>
          <w:rFonts w:hint="default" w:ascii="Times New Roman" w:hAnsi="Times New Roman" w:eastAsia="宋体" w:cs="Times New Roman"/>
          <w:highlight w:val="none"/>
        </w:rPr>
        <w:t>业收入、资产总额填报上一年度数据，无上一年度数据的新成立企业可不填报。</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2.本项目采购标的所属行业：</w:t>
      </w:r>
      <w:r>
        <w:rPr>
          <w:rFonts w:hint="default" w:ascii="Times New Roman" w:hAnsi="Times New Roman" w:eastAsia="宋体" w:cs="Times New Roman"/>
          <w:color w:val="FF0000"/>
          <w:highlight w:val="none"/>
        </w:rPr>
        <w:t>其他未列明行业。</w:t>
      </w: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49"/>
        <w:spacing w:after="0" w:line="400" w:lineRule="exact"/>
        <w:ind w:firstLine="480" w:firstLineChars="200"/>
        <w:textAlignment w:val="baseline"/>
        <w:rPr>
          <w:rFonts w:hint="default" w:ascii="Times New Roman" w:hAnsi="Times New Roman" w:eastAsia="宋体" w:cs="Times New Roman"/>
          <w:color w:val="0000FF"/>
        </w:rPr>
      </w:pPr>
    </w:p>
    <w:p>
      <w:pPr>
        <w:pStyle w:val="49"/>
        <w:spacing w:after="0" w:line="400" w:lineRule="exact"/>
        <w:ind w:firstLine="480" w:firstLineChars="200"/>
        <w:textAlignment w:val="baseline"/>
        <w:rPr>
          <w:rFonts w:hint="default" w:ascii="Times New Roman" w:hAnsi="Times New Roman" w:eastAsia="宋体" w:cs="Times New Roman"/>
          <w:color w:val="0000FF"/>
        </w:rPr>
      </w:pPr>
    </w:p>
    <w:p>
      <w:pPr>
        <w:pStyle w:val="29"/>
        <w:widowControl w:val="0"/>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残疾人福利性单位声明函</w:t>
      </w:r>
    </w:p>
    <w:p>
      <w:pPr>
        <w:rPr>
          <w:rFonts w:hint="default" w:ascii="Times New Roman" w:hAnsi="Times New Roman" w:eastAsia="宋体" w:cs="Times New Roman"/>
        </w:rPr>
      </w:pPr>
    </w:p>
    <w:p>
      <w:pPr>
        <w:snapToGrid w:val="0"/>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本单位对上述声明的真实性负责。如有虚假，将依法承担相应责任。</w:t>
      </w:r>
    </w:p>
    <w:p>
      <w:pPr>
        <w:snapToGrid w:val="0"/>
        <w:spacing w:line="360" w:lineRule="auto"/>
        <w:ind w:firstLine="560" w:firstLineChars="200"/>
        <w:rPr>
          <w:rFonts w:hint="default" w:ascii="Times New Roman" w:hAnsi="Times New Roman" w:eastAsia="宋体" w:cs="Times New Roman"/>
          <w:sz w:val="28"/>
          <w:szCs w:val="28"/>
        </w:rPr>
      </w:pPr>
    </w:p>
    <w:p>
      <w:pPr>
        <w:spacing w:line="588" w:lineRule="exact"/>
        <w:ind w:firstLine="624" w:firstLineChars="200"/>
        <w:rPr>
          <w:rFonts w:hint="default" w:ascii="Times New Roman" w:hAnsi="Times New Roman" w:eastAsia="宋体" w:cs="Times New Roman"/>
          <w:spacing w:val="6"/>
          <w:sz w:val="30"/>
          <w:szCs w:val="30"/>
        </w:rPr>
      </w:pPr>
    </w:p>
    <w:p>
      <w:pPr>
        <w:pStyle w:val="29"/>
        <w:spacing w:line="460" w:lineRule="exact"/>
        <w:ind w:left="274" w:leftChars="114"/>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投标人名称（电子签章）：</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 </w:t>
      </w:r>
    </w:p>
    <w:p>
      <w:pPr>
        <w:pStyle w:val="29"/>
        <w:spacing w:line="460" w:lineRule="exact"/>
        <w:ind w:left="274" w:leftChars="114"/>
        <w:jc w:val="center"/>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 xml:space="preserve">                                   日 期：    年    月    日</w:t>
      </w: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p>
      <w:pPr>
        <w:pStyle w:val="55"/>
        <w:ind w:left="480" w:firstLine="480"/>
        <w:rPr>
          <w:rFonts w:hint="default" w:ascii="Times New Roman" w:hAnsi="Times New Roman" w:eastAsia="宋体" w:cs="Times New Roman"/>
        </w:rPr>
      </w:pPr>
    </w:p>
    <w:sectPr>
      <w:headerReference r:id="rId3" w:type="default"/>
      <w:footerReference r:id="rId4" w:type="default"/>
      <w:pgSz w:w="11906" w:h="16838"/>
      <w:pgMar w:top="1134" w:right="1134" w:bottom="1134" w:left="1134" w:header="851" w:footer="992" w:gutter="0"/>
      <w:pgNumType w:start="0"/>
      <w:cols w:space="720"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Dutch801 Rm BT">
    <w:panose1 w:val="02020603060505020304"/>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panose1 w:val="02060409020205020404"/>
    <w:charset w:val="00"/>
    <w:family w:val="modern"/>
    <w:pitch w:val="default"/>
    <w:sig w:usb0="00000007" w:usb1="00000000" w:usb2="00000000" w:usb3="00000000" w:csb0="00000093"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兰亭黑简体">
    <w:altName w:val="微软雅黑"/>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8797"/>
    </w:sdtPr>
    <w:sdtContent>
      <w:p>
        <w:pPr>
          <w:pStyle w:val="35"/>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90" w:firstLineChar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322AE"/>
    <w:multiLevelType w:val="singleLevel"/>
    <w:tmpl w:val="8C3322AE"/>
    <w:lvl w:ilvl="0" w:tentative="0">
      <w:start w:val="4"/>
      <w:numFmt w:val="decimal"/>
      <w:lvlText w:val="%1."/>
      <w:lvlJc w:val="left"/>
      <w:pPr>
        <w:tabs>
          <w:tab w:val="left" w:pos="312"/>
        </w:tabs>
      </w:pPr>
    </w:lvl>
  </w:abstractNum>
  <w:abstractNum w:abstractNumId="1">
    <w:nsid w:val="902B47DA"/>
    <w:multiLevelType w:val="singleLevel"/>
    <w:tmpl w:val="902B47DA"/>
    <w:lvl w:ilvl="0" w:tentative="0">
      <w:start w:val="3"/>
      <w:numFmt w:val="chineseCounting"/>
      <w:suff w:val="nothing"/>
      <w:lvlText w:val="%1、"/>
      <w:lvlJc w:val="left"/>
      <w:pPr>
        <w:ind w:left="58"/>
      </w:pPr>
      <w:rPr>
        <w:rFonts w:hint="eastAsia"/>
      </w:rPr>
    </w:lvl>
  </w:abstractNum>
  <w:abstractNum w:abstractNumId="2">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1M2QzYzRjYzJmNGM3NmVhMTUxYWVjZDQ3YTAyMjQifQ=="/>
  </w:docVars>
  <w:rsids>
    <w:rsidRoot w:val="00D01565"/>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C4"/>
    <w:rsid w:val="00010D8E"/>
    <w:rsid w:val="00011521"/>
    <w:rsid w:val="00011578"/>
    <w:rsid w:val="00011620"/>
    <w:rsid w:val="0001170F"/>
    <w:rsid w:val="00011C4A"/>
    <w:rsid w:val="00012174"/>
    <w:rsid w:val="000123B3"/>
    <w:rsid w:val="0001253B"/>
    <w:rsid w:val="00012665"/>
    <w:rsid w:val="00012692"/>
    <w:rsid w:val="00012963"/>
    <w:rsid w:val="00012C0A"/>
    <w:rsid w:val="00012CF7"/>
    <w:rsid w:val="00012D37"/>
    <w:rsid w:val="00012DBF"/>
    <w:rsid w:val="00012E61"/>
    <w:rsid w:val="000130C1"/>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416"/>
    <w:rsid w:val="00017A4B"/>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C3A"/>
    <w:rsid w:val="00035FBC"/>
    <w:rsid w:val="0003611D"/>
    <w:rsid w:val="00036331"/>
    <w:rsid w:val="00036559"/>
    <w:rsid w:val="000371E5"/>
    <w:rsid w:val="000372EE"/>
    <w:rsid w:val="0003734C"/>
    <w:rsid w:val="00037A85"/>
    <w:rsid w:val="00037AD8"/>
    <w:rsid w:val="00037CCE"/>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5728"/>
    <w:rsid w:val="00045854"/>
    <w:rsid w:val="00045DAB"/>
    <w:rsid w:val="00045F25"/>
    <w:rsid w:val="00046776"/>
    <w:rsid w:val="00046FC0"/>
    <w:rsid w:val="000470F2"/>
    <w:rsid w:val="000475D0"/>
    <w:rsid w:val="000477AD"/>
    <w:rsid w:val="00050042"/>
    <w:rsid w:val="0005006D"/>
    <w:rsid w:val="00050163"/>
    <w:rsid w:val="000503DE"/>
    <w:rsid w:val="00050889"/>
    <w:rsid w:val="00051218"/>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E73"/>
    <w:rsid w:val="000551EE"/>
    <w:rsid w:val="00055369"/>
    <w:rsid w:val="000556FB"/>
    <w:rsid w:val="000559BF"/>
    <w:rsid w:val="00055A7D"/>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24AC"/>
    <w:rsid w:val="000725A2"/>
    <w:rsid w:val="00072A21"/>
    <w:rsid w:val="00072A6F"/>
    <w:rsid w:val="00072AF5"/>
    <w:rsid w:val="00072B5D"/>
    <w:rsid w:val="00072D3F"/>
    <w:rsid w:val="0007310F"/>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5943"/>
    <w:rsid w:val="00076101"/>
    <w:rsid w:val="00076522"/>
    <w:rsid w:val="000766FE"/>
    <w:rsid w:val="00076A6F"/>
    <w:rsid w:val="00076BFF"/>
    <w:rsid w:val="000772DC"/>
    <w:rsid w:val="0007737D"/>
    <w:rsid w:val="000777BC"/>
    <w:rsid w:val="0008039C"/>
    <w:rsid w:val="00080597"/>
    <w:rsid w:val="00080AB5"/>
    <w:rsid w:val="00080C6C"/>
    <w:rsid w:val="00080DB3"/>
    <w:rsid w:val="00080F4C"/>
    <w:rsid w:val="000819BB"/>
    <w:rsid w:val="00081B24"/>
    <w:rsid w:val="00081CC1"/>
    <w:rsid w:val="00081E7A"/>
    <w:rsid w:val="0008228A"/>
    <w:rsid w:val="0008230E"/>
    <w:rsid w:val="000825A7"/>
    <w:rsid w:val="00082606"/>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3FF"/>
    <w:rsid w:val="00095557"/>
    <w:rsid w:val="000959AC"/>
    <w:rsid w:val="00095CAD"/>
    <w:rsid w:val="00095D40"/>
    <w:rsid w:val="000966D0"/>
    <w:rsid w:val="00096C05"/>
    <w:rsid w:val="00097206"/>
    <w:rsid w:val="0009723E"/>
    <w:rsid w:val="000973A6"/>
    <w:rsid w:val="00097B17"/>
    <w:rsid w:val="00097B83"/>
    <w:rsid w:val="000A05E8"/>
    <w:rsid w:val="000A0616"/>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D6A"/>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E1E"/>
    <w:rsid w:val="000B3009"/>
    <w:rsid w:val="000B35F9"/>
    <w:rsid w:val="000B38A3"/>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58C"/>
    <w:rsid w:val="000C4711"/>
    <w:rsid w:val="000C51C6"/>
    <w:rsid w:val="000C51D6"/>
    <w:rsid w:val="000C5A02"/>
    <w:rsid w:val="000C5E34"/>
    <w:rsid w:val="000C6296"/>
    <w:rsid w:val="000C67A4"/>
    <w:rsid w:val="000C685E"/>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157D"/>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8FE"/>
    <w:rsid w:val="000E5DD0"/>
    <w:rsid w:val="000E5EA0"/>
    <w:rsid w:val="000E74E9"/>
    <w:rsid w:val="000E75DA"/>
    <w:rsid w:val="000E7BAD"/>
    <w:rsid w:val="000E7F35"/>
    <w:rsid w:val="000F0104"/>
    <w:rsid w:val="000F0139"/>
    <w:rsid w:val="000F0316"/>
    <w:rsid w:val="000F0E74"/>
    <w:rsid w:val="000F1086"/>
    <w:rsid w:val="000F1597"/>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F67"/>
    <w:rsid w:val="000F4FBE"/>
    <w:rsid w:val="000F5060"/>
    <w:rsid w:val="000F54E3"/>
    <w:rsid w:val="000F56D2"/>
    <w:rsid w:val="000F57D6"/>
    <w:rsid w:val="000F5B2B"/>
    <w:rsid w:val="000F60C1"/>
    <w:rsid w:val="000F61E4"/>
    <w:rsid w:val="000F6317"/>
    <w:rsid w:val="000F6612"/>
    <w:rsid w:val="000F6D0F"/>
    <w:rsid w:val="000F6D91"/>
    <w:rsid w:val="000F7038"/>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0B5"/>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BEE"/>
    <w:rsid w:val="00125E8F"/>
    <w:rsid w:val="00125EB5"/>
    <w:rsid w:val="00125F3E"/>
    <w:rsid w:val="00125F9A"/>
    <w:rsid w:val="0012674B"/>
    <w:rsid w:val="001270ED"/>
    <w:rsid w:val="00127182"/>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762"/>
    <w:rsid w:val="00137C85"/>
    <w:rsid w:val="00137CCF"/>
    <w:rsid w:val="00137D2C"/>
    <w:rsid w:val="00140623"/>
    <w:rsid w:val="001406E5"/>
    <w:rsid w:val="0014083C"/>
    <w:rsid w:val="00140D1F"/>
    <w:rsid w:val="00141205"/>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C90"/>
    <w:rsid w:val="001462CF"/>
    <w:rsid w:val="001471C0"/>
    <w:rsid w:val="001471E4"/>
    <w:rsid w:val="00147341"/>
    <w:rsid w:val="00147539"/>
    <w:rsid w:val="00147876"/>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217"/>
    <w:rsid w:val="001702F0"/>
    <w:rsid w:val="00170532"/>
    <w:rsid w:val="00170593"/>
    <w:rsid w:val="00170916"/>
    <w:rsid w:val="00170BF1"/>
    <w:rsid w:val="00171BA3"/>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A8"/>
    <w:rsid w:val="001821D8"/>
    <w:rsid w:val="00182382"/>
    <w:rsid w:val="00182A73"/>
    <w:rsid w:val="00183354"/>
    <w:rsid w:val="00183457"/>
    <w:rsid w:val="001837EC"/>
    <w:rsid w:val="00183C13"/>
    <w:rsid w:val="00184367"/>
    <w:rsid w:val="001843CC"/>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8A3"/>
    <w:rsid w:val="00192A2A"/>
    <w:rsid w:val="00192AE0"/>
    <w:rsid w:val="00192E0F"/>
    <w:rsid w:val="00192E73"/>
    <w:rsid w:val="0019365D"/>
    <w:rsid w:val="0019386C"/>
    <w:rsid w:val="00193F27"/>
    <w:rsid w:val="00193F49"/>
    <w:rsid w:val="00194B51"/>
    <w:rsid w:val="00194CC7"/>
    <w:rsid w:val="00194CF0"/>
    <w:rsid w:val="00194F7B"/>
    <w:rsid w:val="001958B3"/>
    <w:rsid w:val="001959CA"/>
    <w:rsid w:val="00196009"/>
    <w:rsid w:val="00196273"/>
    <w:rsid w:val="00196752"/>
    <w:rsid w:val="00196C9A"/>
    <w:rsid w:val="00196D1E"/>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B8"/>
    <w:rsid w:val="001A71CA"/>
    <w:rsid w:val="001A7202"/>
    <w:rsid w:val="001A72B0"/>
    <w:rsid w:val="001A72BC"/>
    <w:rsid w:val="001A7597"/>
    <w:rsid w:val="001A7826"/>
    <w:rsid w:val="001A79A1"/>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2B4"/>
    <w:rsid w:val="001E03A5"/>
    <w:rsid w:val="001E04DE"/>
    <w:rsid w:val="001E051E"/>
    <w:rsid w:val="001E0621"/>
    <w:rsid w:val="001E0B1F"/>
    <w:rsid w:val="001E0C22"/>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777"/>
    <w:rsid w:val="002208D2"/>
    <w:rsid w:val="00220AA9"/>
    <w:rsid w:val="00221155"/>
    <w:rsid w:val="002214CB"/>
    <w:rsid w:val="0022154B"/>
    <w:rsid w:val="002215A1"/>
    <w:rsid w:val="002215BA"/>
    <w:rsid w:val="00221F38"/>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5DC0"/>
    <w:rsid w:val="0023618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108F"/>
    <w:rsid w:val="00251261"/>
    <w:rsid w:val="002512B9"/>
    <w:rsid w:val="00251436"/>
    <w:rsid w:val="00251660"/>
    <w:rsid w:val="00251D17"/>
    <w:rsid w:val="00251D8A"/>
    <w:rsid w:val="00252341"/>
    <w:rsid w:val="00252398"/>
    <w:rsid w:val="00252468"/>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255"/>
    <w:rsid w:val="0025647B"/>
    <w:rsid w:val="00256A56"/>
    <w:rsid w:val="00257099"/>
    <w:rsid w:val="0025736D"/>
    <w:rsid w:val="002574FC"/>
    <w:rsid w:val="00257628"/>
    <w:rsid w:val="00257695"/>
    <w:rsid w:val="002578CD"/>
    <w:rsid w:val="00257C1F"/>
    <w:rsid w:val="00257C54"/>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F5"/>
    <w:rsid w:val="0028399E"/>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87E8B"/>
    <w:rsid w:val="002901EF"/>
    <w:rsid w:val="00290478"/>
    <w:rsid w:val="00290665"/>
    <w:rsid w:val="002909E4"/>
    <w:rsid w:val="002909F0"/>
    <w:rsid w:val="00290BCE"/>
    <w:rsid w:val="002919B8"/>
    <w:rsid w:val="00291A8A"/>
    <w:rsid w:val="002924FE"/>
    <w:rsid w:val="00292557"/>
    <w:rsid w:val="0029277A"/>
    <w:rsid w:val="00292E2E"/>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01A"/>
    <w:rsid w:val="002A346B"/>
    <w:rsid w:val="002A35E3"/>
    <w:rsid w:val="002A36F1"/>
    <w:rsid w:val="002A3898"/>
    <w:rsid w:val="002A39ED"/>
    <w:rsid w:val="002A3B9F"/>
    <w:rsid w:val="002A3DA8"/>
    <w:rsid w:val="002A3EB9"/>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C69"/>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CD3"/>
    <w:rsid w:val="002D4F00"/>
    <w:rsid w:val="002D5038"/>
    <w:rsid w:val="002D5294"/>
    <w:rsid w:val="002D5304"/>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4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C0C"/>
    <w:rsid w:val="002E5F2C"/>
    <w:rsid w:val="002E6279"/>
    <w:rsid w:val="002E6498"/>
    <w:rsid w:val="002E68A0"/>
    <w:rsid w:val="002E6A94"/>
    <w:rsid w:val="002E6C4D"/>
    <w:rsid w:val="002E6C76"/>
    <w:rsid w:val="002E7119"/>
    <w:rsid w:val="002E7277"/>
    <w:rsid w:val="002E7964"/>
    <w:rsid w:val="002E7A5D"/>
    <w:rsid w:val="002E7A85"/>
    <w:rsid w:val="002F04DA"/>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6268"/>
    <w:rsid w:val="002F6754"/>
    <w:rsid w:val="002F681D"/>
    <w:rsid w:val="002F6E45"/>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D18"/>
    <w:rsid w:val="00306D32"/>
    <w:rsid w:val="003077BF"/>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E3C"/>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A03"/>
    <w:rsid w:val="00363223"/>
    <w:rsid w:val="003637B4"/>
    <w:rsid w:val="00363869"/>
    <w:rsid w:val="00363902"/>
    <w:rsid w:val="00363B17"/>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7D4"/>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520"/>
    <w:rsid w:val="00384881"/>
    <w:rsid w:val="00384AC0"/>
    <w:rsid w:val="00384C80"/>
    <w:rsid w:val="00384D2A"/>
    <w:rsid w:val="00384FF6"/>
    <w:rsid w:val="00385999"/>
    <w:rsid w:val="00385A61"/>
    <w:rsid w:val="00385D98"/>
    <w:rsid w:val="00385F6F"/>
    <w:rsid w:val="00386074"/>
    <w:rsid w:val="0038643C"/>
    <w:rsid w:val="00386493"/>
    <w:rsid w:val="003864FE"/>
    <w:rsid w:val="00386CFE"/>
    <w:rsid w:val="003874A2"/>
    <w:rsid w:val="00387741"/>
    <w:rsid w:val="00387B20"/>
    <w:rsid w:val="00387C9B"/>
    <w:rsid w:val="00387DD6"/>
    <w:rsid w:val="00387E7F"/>
    <w:rsid w:val="00387F95"/>
    <w:rsid w:val="0039023F"/>
    <w:rsid w:val="00390667"/>
    <w:rsid w:val="00390966"/>
    <w:rsid w:val="00390C0E"/>
    <w:rsid w:val="00390E45"/>
    <w:rsid w:val="00391012"/>
    <w:rsid w:val="003911A9"/>
    <w:rsid w:val="00391414"/>
    <w:rsid w:val="003914F2"/>
    <w:rsid w:val="0039163E"/>
    <w:rsid w:val="00391654"/>
    <w:rsid w:val="00391A2D"/>
    <w:rsid w:val="00391C90"/>
    <w:rsid w:val="00391CAE"/>
    <w:rsid w:val="003921C7"/>
    <w:rsid w:val="003922A8"/>
    <w:rsid w:val="00392330"/>
    <w:rsid w:val="0039252C"/>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DC2"/>
    <w:rsid w:val="003A2273"/>
    <w:rsid w:val="003A2AA3"/>
    <w:rsid w:val="003A2BA6"/>
    <w:rsid w:val="003A2D13"/>
    <w:rsid w:val="003A2EA4"/>
    <w:rsid w:val="003A314E"/>
    <w:rsid w:val="003A326B"/>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71A0"/>
    <w:rsid w:val="003A71C9"/>
    <w:rsid w:val="003A72C8"/>
    <w:rsid w:val="003A7A0D"/>
    <w:rsid w:val="003A7D7A"/>
    <w:rsid w:val="003A7DD5"/>
    <w:rsid w:val="003A7E11"/>
    <w:rsid w:val="003A7EAC"/>
    <w:rsid w:val="003B0E80"/>
    <w:rsid w:val="003B0F52"/>
    <w:rsid w:val="003B108D"/>
    <w:rsid w:val="003B125E"/>
    <w:rsid w:val="003B13CC"/>
    <w:rsid w:val="003B19D2"/>
    <w:rsid w:val="003B1B62"/>
    <w:rsid w:val="003B1B8E"/>
    <w:rsid w:val="003B1DFB"/>
    <w:rsid w:val="003B22BA"/>
    <w:rsid w:val="003B267B"/>
    <w:rsid w:val="003B278B"/>
    <w:rsid w:val="003B27A8"/>
    <w:rsid w:val="003B27B1"/>
    <w:rsid w:val="003B28FF"/>
    <w:rsid w:val="003B291C"/>
    <w:rsid w:val="003B2B70"/>
    <w:rsid w:val="003B2CC0"/>
    <w:rsid w:val="003B332E"/>
    <w:rsid w:val="003B33E2"/>
    <w:rsid w:val="003B38F6"/>
    <w:rsid w:val="003B3903"/>
    <w:rsid w:val="003B3B59"/>
    <w:rsid w:val="003B3B78"/>
    <w:rsid w:val="003B3CCF"/>
    <w:rsid w:val="003B3E0C"/>
    <w:rsid w:val="003B3F9B"/>
    <w:rsid w:val="003B4193"/>
    <w:rsid w:val="003B435A"/>
    <w:rsid w:val="003B441E"/>
    <w:rsid w:val="003B4A93"/>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153"/>
    <w:rsid w:val="003D4414"/>
    <w:rsid w:val="003D466D"/>
    <w:rsid w:val="003D4BF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ECD"/>
    <w:rsid w:val="003F111A"/>
    <w:rsid w:val="003F1160"/>
    <w:rsid w:val="003F12DD"/>
    <w:rsid w:val="003F1671"/>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333"/>
    <w:rsid w:val="004035C1"/>
    <w:rsid w:val="0040365B"/>
    <w:rsid w:val="004036AE"/>
    <w:rsid w:val="00403D96"/>
    <w:rsid w:val="00404292"/>
    <w:rsid w:val="0040468B"/>
    <w:rsid w:val="004046AF"/>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07EF7"/>
    <w:rsid w:val="004100D7"/>
    <w:rsid w:val="00410491"/>
    <w:rsid w:val="004107D6"/>
    <w:rsid w:val="00410A95"/>
    <w:rsid w:val="00410B5B"/>
    <w:rsid w:val="00410B89"/>
    <w:rsid w:val="00410F16"/>
    <w:rsid w:val="00411191"/>
    <w:rsid w:val="004111B1"/>
    <w:rsid w:val="0041125B"/>
    <w:rsid w:val="004112CC"/>
    <w:rsid w:val="00411E01"/>
    <w:rsid w:val="00411E85"/>
    <w:rsid w:val="00412083"/>
    <w:rsid w:val="004121EF"/>
    <w:rsid w:val="004123EE"/>
    <w:rsid w:val="00412990"/>
    <w:rsid w:val="00412E34"/>
    <w:rsid w:val="004146B9"/>
    <w:rsid w:val="00414A07"/>
    <w:rsid w:val="00415123"/>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AE9"/>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37F16"/>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689"/>
    <w:rsid w:val="00455BE4"/>
    <w:rsid w:val="00455F33"/>
    <w:rsid w:val="004567A0"/>
    <w:rsid w:val="00457291"/>
    <w:rsid w:val="00457359"/>
    <w:rsid w:val="004574B7"/>
    <w:rsid w:val="00457565"/>
    <w:rsid w:val="00457DB1"/>
    <w:rsid w:val="0046015F"/>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682"/>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30B9"/>
    <w:rsid w:val="004732B9"/>
    <w:rsid w:val="004734B4"/>
    <w:rsid w:val="004739C6"/>
    <w:rsid w:val="00473BB1"/>
    <w:rsid w:val="00473C43"/>
    <w:rsid w:val="00473E18"/>
    <w:rsid w:val="00473E41"/>
    <w:rsid w:val="00473EC4"/>
    <w:rsid w:val="0047402C"/>
    <w:rsid w:val="00474087"/>
    <w:rsid w:val="004748F4"/>
    <w:rsid w:val="00474B0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38D"/>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EC"/>
    <w:rsid w:val="004C67E0"/>
    <w:rsid w:val="004C6952"/>
    <w:rsid w:val="004C6BA2"/>
    <w:rsid w:val="004C6FE9"/>
    <w:rsid w:val="004C7156"/>
    <w:rsid w:val="004C71AC"/>
    <w:rsid w:val="004C72AD"/>
    <w:rsid w:val="004C74AA"/>
    <w:rsid w:val="004C759D"/>
    <w:rsid w:val="004C75FB"/>
    <w:rsid w:val="004C774E"/>
    <w:rsid w:val="004C77A9"/>
    <w:rsid w:val="004C787E"/>
    <w:rsid w:val="004C7C27"/>
    <w:rsid w:val="004C7E6D"/>
    <w:rsid w:val="004C7F96"/>
    <w:rsid w:val="004D00D2"/>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BF9"/>
    <w:rsid w:val="004E1E22"/>
    <w:rsid w:val="004E200E"/>
    <w:rsid w:val="004E20AF"/>
    <w:rsid w:val="004E2399"/>
    <w:rsid w:val="004E2400"/>
    <w:rsid w:val="004E2545"/>
    <w:rsid w:val="004E2604"/>
    <w:rsid w:val="004E27BB"/>
    <w:rsid w:val="004E2A4C"/>
    <w:rsid w:val="004E2DD1"/>
    <w:rsid w:val="004E30E2"/>
    <w:rsid w:val="004E316C"/>
    <w:rsid w:val="004E3A00"/>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B1A"/>
    <w:rsid w:val="004F5BAC"/>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877"/>
    <w:rsid w:val="00503A3C"/>
    <w:rsid w:val="00503C5C"/>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63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7F2"/>
    <w:rsid w:val="00537874"/>
    <w:rsid w:val="00537936"/>
    <w:rsid w:val="005379AB"/>
    <w:rsid w:val="00537A9F"/>
    <w:rsid w:val="0054092C"/>
    <w:rsid w:val="005409CC"/>
    <w:rsid w:val="00540BFF"/>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1CD"/>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462"/>
    <w:rsid w:val="00550674"/>
    <w:rsid w:val="005509F2"/>
    <w:rsid w:val="00550A7E"/>
    <w:rsid w:val="00550AE6"/>
    <w:rsid w:val="00550BA5"/>
    <w:rsid w:val="0055111F"/>
    <w:rsid w:val="00551171"/>
    <w:rsid w:val="0055131A"/>
    <w:rsid w:val="00551643"/>
    <w:rsid w:val="005517ED"/>
    <w:rsid w:val="00551AE8"/>
    <w:rsid w:val="00551D78"/>
    <w:rsid w:val="00552211"/>
    <w:rsid w:val="005522E5"/>
    <w:rsid w:val="00552FBC"/>
    <w:rsid w:val="0055314C"/>
    <w:rsid w:val="00553942"/>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87"/>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5321"/>
    <w:rsid w:val="0056544E"/>
    <w:rsid w:val="00565528"/>
    <w:rsid w:val="00565657"/>
    <w:rsid w:val="00565917"/>
    <w:rsid w:val="0056591B"/>
    <w:rsid w:val="00565934"/>
    <w:rsid w:val="00565A74"/>
    <w:rsid w:val="00565C4C"/>
    <w:rsid w:val="00566073"/>
    <w:rsid w:val="005668B0"/>
    <w:rsid w:val="00566A43"/>
    <w:rsid w:val="0056757C"/>
    <w:rsid w:val="00567798"/>
    <w:rsid w:val="005678B2"/>
    <w:rsid w:val="0056791D"/>
    <w:rsid w:val="00567938"/>
    <w:rsid w:val="00567AAF"/>
    <w:rsid w:val="005705BD"/>
    <w:rsid w:val="005707D1"/>
    <w:rsid w:val="00570AFA"/>
    <w:rsid w:val="005716BF"/>
    <w:rsid w:val="005719FA"/>
    <w:rsid w:val="00571A2E"/>
    <w:rsid w:val="0057229D"/>
    <w:rsid w:val="00572904"/>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EB"/>
    <w:rsid w:val="005874F3"/>
    <w:rsid w:val="00587712"/>
    <w:rsid w:val="0058798A"/>
    <w:rsid w:val="00587CE8"/>
    <w:rsid w:val="00587F91"/>
    <w:rsid w:val="00590401"/>
    <w:rsid w:val="00590683"/>
    <w:rsid w:val="00590C6F"/>
    <w:rsid w:val="00590D14"/>
    <w:rsid w:val="00590F1F"/>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D08"/>
    <w:rsid w:val="00597148"/>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33"/>
    <w:rsid w:val="005A1F60"/>
    <w:rsid w:val="005A1FE6"/>
    <w:rsid w:val="005A20D8"/>
    <w:rsid w:val="005A25DB"/>
    <w:rsid w:val="005A2697"/>
    <w:rsid w:val="005A2C45"/>
    <w:rsid w:val="005A2D60"/>
    <w:rsid w:val="005A2DE2"/>
    <w:rsid w:val="005A308A"/>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45B"/>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F11"/>
    <w:rsid w:val="005C64BC"/>
    <w:rsid w:val="005C64C2"/>
    <w:rsid w:val="005C64C6"/>
    <w:rsid w:val="005C650D"/>
    <w:rsid w:val="005C66DF"/>
    <w:rsid w:val="005C6748"/>
    <w:rsid w:val="005C6797"/>
    <w:rsid w:val="005C6B9D"/>
    <w:rsid w:val="005C6C83"/>
    <w:rsid w:val="005C6F18"/>
    <w:rsid w:val="005C7B21"/>
    <w:rsid w:val="005C7F4E"/>
    <w:rsid w:val="005C7FFB"/>
    <w:rsid w:val="005D0023"/>
    <w:rsid w:val="005D058B"/>
    <w:rsid w:val="005D0949"/>
    <w:rsid w:val="005D0D09"/>
    <w:rsid w:val="005D0F81"/>
    <w:rsid w:val="005D18A2"/>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95B"/>
    <w:rsid w:val="00612B53"/>
    <w:rsid w:val="00613124"/>
    <w:rsid w:val="0061319D"/>
    <w:rsid w:val="00613505"/>
    <w:rsid w:val="0061395D"/>
    <w:rsid w:val="006139FF"/>
    <w:rsid w:val="0061407A"/>
    <w:rsid w:val="00614780"/>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9BA"/>
    <w:rsid w:val="006238BE"/>
    <w:rsid w:val="00623979"/>
    <w:rsid w:val="006247A3"/>
    <w:rsid w:val="006247F4"/>
    <w:rsid w:val="006249E0"/>
    <w:rsid w:val="00624CD2"/>
    <w:rsid w:val="00624DDA"/>
    <w:rsid w:val="00624E4D"/>
    <w:rsid w:val="006251BB"/>
    <w:rsid w:val="0062527A"/>
    <w:rsid w:val="0062552E"/>
    <w:rsid w:val="00625589"/>
    <w:rsid w:val="006255E0"/>
    <w:rsid w:val="006257DB"/>
    <w:rsid w:val="00625851"/>
    <w:rsid w:val="00625C85"/>
    <w:rsid w:val="00625D6D"/>
    <w:rsid w:val="00626212"/>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BA9"/>
    <w:rsid w:val="00631D54"/>
    <w:rsid w:val="00632486"/>
    <w:rsid w:val="00632680"/>
    <w:rsid w:val="006328F6"/>
    <w:rsid w:val="0063298A"/>
    <w:rsid w:val="006329C8"/>
    <w:rsid w:val="00632A44"/>
    <w:rsid w:val="00632FBB"/>
    <w:rsid w:val="0063330D"/>
    <w:rsid w:val="006335FF"/>
    <w:rsid w:val="006338D5"/>
    <w:rsid w:val="00633C70"/>
    <w:rsid w:val="00634056"/>
    <w:rsid w:val="00634259"/>
    <w:rsid w:val="00634308"/>
    <w:rsid w:val="0063435A"/>
    <w:rsid w:val="00634512"/>
    <w:rsid w:val="00634687"/>
    <w:rsid w:val="00634EB4"/>
    <w:rsid w:val="0063500F"/>
    <w:rsid w:val="0063529E"/>
    <w:rsid w:val="006356AC"/>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D2"/>
    <w:rsid w:val="00656378"/>
    <w:rsid w:val="006564B1"/>
    <w:rsid w:val="00656B55"/>
    <w:rsid w:val="00656BAC"/>
    <w:rsid w:val="00656CE0"/>
    <w:rsid w:val="00656F45"/>
    <w:rsid w:val="0065753D"/>
    <w:rsid w:val="006577DA"/>
    <w:rsid w:val="006578FB"/>
    <w:rsid w:val="00657954"/>
    <w:rsid w:val="0066016B"/>
    <w:rsid w:val="00660194"/>
    <w:rsid w:val="00660803"/>
    <w:rsid w:val="00660C53"/>
    <w:rsid w:val="0066110C"/>
    <w:rsid w:val="00661BBD"/>
    <w:rsid w:val="00661C64"/>
    <w:rsid w:val="006620E7"/>
    <w:rsid w:val="006622A7"/>
    <w:rsid w:val="0066230A"/>
    <w:rsid w:val="0066242A"/>
    <w:rsid w:val="00662472"/>
    <w:rsid w:val="006624EF"/>
    <w:rsid w:val="00662682"/>
    <w:rsid w:val="00662B69"/>
    <w:rsid w:val="00662E1D"/>
    <w:rsid w:val="0066364F"/>
    <w:rsid w:val="006639A4"/>
    <w:rsid w:val="00663FED"/>
    <w:rsid w:val="00663FF1"/>
    <w:rsid w:val="0066404B"/>
    <w:rsid w:val="00664092"/>
    <w:rsid w:val="00664138"/>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51B"/>
    <w:rsid w:val="00677812"/>
    <w:rsid w:val="006778E8"/>
    <w:rsid w:val="00680007"/>
    <w:rsid w:val="0068029E"/>
    <w:rsid w:val="006807F3"/>
    <w:rsid w:val="00680866"/>
    <w:rsid w:val="0068093E"/>
    <w:rsid w:val="00680984"/>
    <w:rsid w:val="00681035"/>
    <w:rsid w:val="006810EF"/>
    <w:rsid w:val="00681448"/>
    <w:rsid w:val="00681636"/>
    <w:rsid w:val="00681AD9"/>
    <w:rsid w:val="00681F87"/>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A1C"/>
    <w:rsid w:val="00695DA1"/>
    <w:rsid w:val="00695F83"/>
    <w:rsid w:val="006963F2"/>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3FE"/>
    <w:rsid w:val="006B2A2D"/>
    <w:rsid w:val="006B33AA"/>
    <w:rsid w:val="006B373A"/>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0C3"/>
    <w:rsid w:val="006C71CD"/>
    <w:rsid w:val="006C7BC6"/>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F35"/>
    <w:rsid w:val="006E2115"/>
    <w:rsid w:val="006E21DB"/>
    <w:rsid w:val="006E28C2"/>
    <w:rsid w:val="006E2A6C"/>
    <w:rsid w:val="006E2AE3"/>
    <w:rsid w:val="006E2C41"/>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C10"/>
    <w:rsid w:val="006F3C7F"/>
    <w:rsid w:val="006F3CFA"/>
    <w:rsid w:val="006F4735"/>
    <w:rsid w:val="006F4CA2"/>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BD1"/>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A7A"/>
    <w:rsid w:val="00732232"/>
    <w:rsid w:val="00732350"/>
    <w:rsid w:val="00732609"/>
    <w:rsid w:val="0073265A"/>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259"/>
    <w:rsid w:val="00742846"/>
    <w:rsid w:val="007429E2"/>
    <w:rsid w:val="00742B3A"/>
    <w:rsid w:val="00742B86"/>
    <w:rsid w:val="00742C12"/>
    <w:rsid w:val="007430DF"/>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F48"/>
    <w:rsid w:val="00745F6B"/>
    <w:rsid w:val="007479AF"/>
    <w:rsid w:val="00747AD7"/>
    <w:rsid w:val="007500EB"/>
    <w:rsid w:val="007500F1"/>
    <w:rsid w:val="00750391"/>
    <w:rsid w:val="00750571"/>
    <w:rsid w:val="00750808"/>
    <w:rsid w:val="00751263"/>
    <w:rsid w:val="007513FF"/>
    <w:rsid w:val="0075140F"/>
    <w:rsid w:val="0075150F"/>
    <w:rsid w:val="00751620"/>
    <w:rsid w:val="00751985"/>
    <w:rsid w:val="00751C21"/>
    <w:rsid w:val="00751DAF"/>
    <w:rsid w:val="00751E16"/>
    <w:rsid w:val="00752476"/>
    <w:rsid w:val="00752DB8"/>
    <w:rsid w:val="00753189"/>
    <w:rsid w:val="007535F8"/>
    <w:rsid w:val="00753655"/>
    <w:rsid w:val="00753EA9"/>
    <w:rsid w:val="00753F44"/>
    <w:rsid w:val="00754092"/>
    <w:rsid w:val="007545F7"/>
    <w:rsid w:val="00754834"/>
    <w:rsid w:val="00754976"/>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6217"/>
    <w:rsid w:val="00766CC5"/>
    <w:rsid w:val="00766F68"/>
    <w:rsid w:val="007675FC"/>
    <w:rsid w:val="007677B5"/>
    <w:rsid w:val="00770897"/>
    <w:rsid w:val="00770941"/>
    <w:rsid w:val="00770B53"/>
    <w:rsid w:val="00771685"/>
    <w:rsid w:val="00771AF7"/>
    <w:rsid w:val="00772AAD"/>
    <w:rsid w:val="0077308C"/>
    <w:rsid w:val="0077309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4F7A"/>
    <w:rsid w:val="00785E81"/>
    <w:rsid w:val="00785F42"/>
    <w:rsid w:val="00785FE6"/>
    <w:rsid w:val="00786251"/>
    <w:rsid w:val="00786317"/>
    <w:rsid w:val="0078637B"/>
    <w:rsid w:val="007864CD"/>
    <w:rsid w:val="00786B62"/>
    <w:rsid w:val="00787193"/>
    <w:rsid w:val="00787839"/>
    <w:rsid w:val="00787FBF"/>
    <w:rsid w:val="0079005F"/>
    <w:rsid w:val="007901E2"/>
    <w:rsid w:val="00790375"/>
    <w:rsid w:val="007905B4"/>
    <w:rsid w:val="00790E2F"/>
    <w:rsid w:val="007916FD"/>
    <w:rsid w:val="00791B35"/>
    <w:rsid w:val="00791D74"/>
    <w:rsid w:val="00791EE6"/>
    <w:rsid w:val="00791EF8"/>
    <w:rsid w:val="007921D0"/>
    <w:rsid w:val="00792603"/>
    <w:rsid w:val="00792C34"/>
    <w:rsid w:val="00792CB1"/>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1E3"/>
    <w:rsid w:val="00795672"/>
    <w:rsid w:val="007956A1"/>
    <w:rsid w:val="00795977"/>
    <w:rsid w:val="00795D8A"/>
    <w:rsid w:val="007969A5"/>
    <w:rsid w:val="00796B73"/>
    <w:rsid w:val="00796C60"/>
    <w:rsid w:val="00797816"/>
    <w:rsid w:val="007979E7"/>
    <w:rsid w:val="00797A47"/>
    <w:rsid w:val="00797A6B"/>
    <w:rsid w:val="00797DC3"/>
    <w:rsid w:val="00797EBA"/>
    <w:rsid w:val="007A02C6"/>
    <w:rsid w:val="007A0395"/>
    <w:rsid w:val="007A03F9"/>
    <w:rsid w:val="007A04D2"/>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AB4"/>
    <w:rsid w:val="007B2E21"/>
    <w:rsid w:val="007B2F81"/>
    <w:rsid w:val="007B2FA6"/>
    <w:rsid w:val="007B3063"/>
    <w:rsid w:val="007B313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E69"/>
    <w:rsid w:val="007C1392"/>
    <w:rsid w:val="007C1492"/>
    <w:rsid w:val="007C1495"/>
    <w:rsid w:val="007C17B2"/>
    <w:rsid w:val="007C18D7"/>
    <w:rsid w:val="007C22B5"/>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629"/>
    <w:rsid w:val="007C5716"/>
    <w:rsid w:val="007C59AD"/>
    <w:rsid w:val="007C5A38"/>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A6A"/>
    <w:rsid w:val="007D0A80"/>
    <w:rsid w:val="007D0F4D"/>
    <w:rsid w:val="007D1292"/>
    <w:rsid w:val="007D1C2D"/>
    <w:rsid w:val="007D1C90"/>
    <w:rsid w:val="007D213E"/>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7DB"/>
    <w:rsid w:val="008068E8"/>
    <w:rsid w:val="008069AC"/>
    <w:rsid w:val="00806CCC"/>
    <w:rsid w:val="00806E78"/>
    <w:rsid w:val="00806F42"/>
    <w:rsid w:val="0080738B"/>
    <w:rsid w:val="00807DA8"/>
    <w:rsid w:val="008100BB"/>
    <w:rsid w:val="00810629"/>
    <w:rsid w:val="008109A2"/>
    <w:rsid w:val="00810D48"/>
    <w:rsid w:val="0081133A"/>
    <w:rsid w:val="0081201E"/>
    <w:rsid w:val="008120D5"/>
    <w:rsid w:val="008127E8"/>
    <w:rsid w:val="00812AD3"/>
    <w:rsid w:val="00813704"/>
    <w:rsid w:val="0081375D"/>
    <w:rsid w:val="008138CD"/>
    <w:rsid w:val="0081392F"/>
    <w:rsid w:val="00813962"/>
    <w:rsid w:val="00813D9F"/>
    <w:rsid w:val="00814987"/>
    <w:rsid w:val="008149E8"/>
    <w:rsid w:val="00814E9E"/>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977"/>
    <w:rsid w:val="00816AD6"/>
    <w:rsid w:val="00817249"/>
    <w:rsid w:val="008173C5"/>
    <w:rsid w:val="008174B0"/>
    <w:rsid w:val="008176FE"/>
    <w:rsid w:val="00817742"/>
    <w:rsid w:val="00817BF2"/>
    <w:rsid w:val="00817F08"/>
    <w:rsid w:val="00820483"/>
    <w:rsid w:val="0082082B"/>
    <w:rsid w:val="0082082C"/>
    <w:rsid w:val="008208F1"/>
    <w:rsid w:val="00820CD0"/>
    <w:rsid w:val="00821076"/>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1AF"/>
    <w:rsid w:val="008302BE"/>
    <w:rsid w:val="008302E4"/>
    <w:rsid w:val="00830374"/>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CC"/>
    <w:rsid w:val="00855AF7"/>
    <w:rsid w:val="008560AB"/>
    <w:rsid w:val="0085624F"/>
    <w:rsid w:val="0085638E"/>
    <w:rsid w:val="008563AE"/>
    <w:rsid w:val="00856C3B"/>
    <w:rsid w:val="00857114"/>
    <w:rsid w:val="00857638"/>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16"/>
    <w:rsid w:val="00882EA2"/>
    <w:rsid w:val="00882EF8"/>
    <w:rsid w:val="00883015"/>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699"/>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4AE"/>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7F8"/>
    <w:rsid w:val="008C5C29"/>
    <w:rsid w:val="008C606B"/>
    <w:rsid w:val="008C61E5"/>
    <w:rsid w:val="008C62D3"/>
    <w:rsid w:val="008C64F0"/>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6F"/>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116A"/>
    <w:rsid w:val="00901476"/>
    <w:rsid w:val="009014FE"/>
    <w:rsid w:val="00901599"/>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980"/>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CDE"/>
    <w:rsid w:val="00925ED2"/>
    <w:rsid w:val="009263FB"/>
    <w:rsid w:val="00926AC2"/>
    <w:rsid w:val="00926B75"/>
    <w:rsid w:val="00926C40"/>
    <w:rsid w:val="009270FB"/>
    <w:rsid w:val="00927314"/>
    <w:rsid w:val="00927470"/>
    <w:rsid w:val="0092797D"/>
    <w:rsid w:val="00927BB5"/>
    <w:rsid w:val="00927E3A"/>
    <w:rsid w:val="00930087"/>
    <w:rsid w:val="009300A0"/>
    <w:rsid w:val="00930BB8"/>
    <w:rsid w:val="00930DC4"/>
    <w:rsid w:val="00931401"/>
    <w:rsid w:val="009315AA"/>
    <w:rsid w:val="0093164B"/>
    <w:rsid w:val="00931DF8"/>
    <w:rsid w:val="00931DFC"/>
    <w:rsid w:val="0093222E"/>
    <w:rsid w:val="009323AD"/>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957"/>
    <w:rsid w:val="00936E6B"/>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E3A"/>
    <w:rsid w:val="00944F2C"/>
    <w:rsid w:val="009451F0"/>
    <w:rsid w:val="00945505"/>
    <w:rsid w:val="009456AC"/>
    <w:rsid w:val="00945BF5"/>
    <w:rsid w:val="00945CD4"/>
    <w:rsid w:val="00945EA5"/>
    <w:rsid w:val="0094663E"/>
    <w:rsid w:val="009467ED"/>
    <w:rsid w:val="00946B04"/>
    <w:rsid w:val="00946F16"/>
    <w:rsid w:val="009475B2"/>
    <w:rsid w:val="00947A43"/>
    <w:rsid w:val="00947CE8"/>
    <w:rsid w:val="00950177"/>
    <w:rsid w:val="00950569"/>
    <w:rsid w:val="00950861"/>
    <w:rsid w:val="009508FC"/>
    <w:rsid w:val="0095093B"/>
    <w:rsid w:val="00950A38"/>
    <w:rsid w:val="00950CC4"/>
    <w:rsid w:val="00951077"/>
    <w:rsid w:val="009511A0"/>
    <w:rsid w:val="009511DA"/>
    <w:rsid w:val="00951733"/>
    <w:rsid w:val="0095181D"/>
    <w:rsid w:val="0095187A"/>
    <w:rsid w:val="00951A17"/>
    <w:rsid w:val="00951B78"/>
    <w:rsid w:val="00951B86"/>
    <w:rsid w:val="00951DAE"/>
    <w:rsid w:val="00951FA3"/>
    <w:rsid w:val="00952D9D"/>
    <w:rsid w:val="00952E6C"/>
    <w:rsid w:val="00953228"/>
    <w:rsid w:val="0095336D"/>
    <w:rsid w:val="00953536"/>
    <w:rsid w:val="009536E1"/>
    <w:rsid w:val="00953C00"/>
    <w:rsid w:val="00953EC4"/>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B7E"/>
    <w:rsid w:val="00983C4C"/>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52E0"/>
    <w:rsid w:val="009A55E3"/>
    <w:rsid w:val="009A5B56"/>
    <w:rsid w:val="009A5C85"/>
    <w:rsid w:val="009A5D7E"/>
    <w:rsid w:val="009A616D"/>
    <w:rsid w:val="009A6854"/>
    <w:rsid w:val="009A6ED3"/>
    <w:rsid w:val="009A7255"/>
    <w:rsid w:val="009A758C"/>
    <w:rsid w:val="009A766B"/>
    <w:rsid w:val="009A79F2"/>
    <w:rsid w:val="009A7CAA"/>
    <w:rsid w:val="009A7E88"/>
    <w:rsid w:val="009A7EE7"/>
    <w:rsid w:val="009A7F95"/>
    <w:rsid w:val="009B0160"/>
    <w:rsid w:val="009B0180"/>
    <w:rsid w:val="009B0398"/>
    <w:rsid w:val="009B0875"/>
    <w:rsid w:val="009B0A67"/>
    <w:rsid w:val="009B106E"/>
    <w:rsid w:val="009B113E"/>
    <w:rsid w:val="009B115D"/>
    <w:rsid w:val="009B19D9"/>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09B"/>
    <w:rsid w:val="009B574F"/>
    <w:rsid w:val="009B5920"/>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FC6"/>
    <w:rsid w:val="009C6060"/>
    <w:rsid w:val="009C63B0"/>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FA"/>
    <w:rsid w:val="009E29C8"/>
    <w:rsid w:val="009E2EBF"/>
    <w:rsid w:val="009E325D"/>
    <w:rsid w:val="009E41DC"/>
    <w:rsid w:val="009E4683"/>
    <w:rsid w:val="009E4A62"/>
    <w:rsid w:val="009E4B89"/>
    <w:rsid w:val="009E4D53"/>
    <w:rsid w:val="009E5011"/>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B6"/>
    <w:rsid w:val="009E76B8"/>
    <w:rsid w:val="009E7746"/>
    <w:rsid w:val="009E7A53"/>
    <w:rsid w:val="009E7D2D"/>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00A"/>
    <w:rsid w:val="009F7189"/>
    <w:rsid w:val="009F7347"/>
    <w:rsid w:val="009F7357"/>
    <w:rsid w:val="009F752D"/>
    <w:rsid w:val="009F7987"/>
    <w:rsid w:val="009F7B02"/>
    <w:rsid w:val="009F7B60"/>
    <w:rsid w:val="009F7E1D"/>
    <w:rsid w:val="009F7FAC"/>
    <w:rsid w:val="009F7FE4"/>
    <w:rsid w:val="00A00212"/>
    <w:rsid w:val="00A00260"/>
    <w:rsid w:val="00A002D7"/>
    <w:rsid w:val="00A0035E"/>
    <w:rsid w:val="00A004E4"/>
    <w:rsid w:val="00A00C7E"/>
    <w:rsid w:val="00A00D92"/>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3071"/>
    <w:rsid w:val="00A234EC"/>
    <w:rsid w:val="00A23A2F"/>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EB1"/>
    <w:rsid w:val="00A26EE2"/>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508"/>
    <w:rsid w:val="00A3377D"/>
    <w:rsid w:val="00A33A92"/>
    <w:rsid w:val="00A340D5"/>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F07"/>
    <w:rsid w:val="00A50450"/>
    <w:rsid w:val="00A507FE"/>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703A"/>
    <w:rsid w:val="00A5773F"/>
    <w:rsid w:val="00A57F36"/>
    <w:rsid w:val="00A602EA"/>
    <w:rsid w:val="00A6070A"/>
    <w:rsid w:val="00A60715"/>
    <w:rsid w:val="00A60933"/>
    <w:rsid w:val="00A60D4C"/>
    <w:rsid w:val="00A6165B"/>
    <w:rsid w:val="00A61928"/>
    <w:rsid w:val="00A61953"/>
    <w:rsid w:val="00A61A8E"/>
    <w:rsid w:val="00A61D69"/>
    <w:rsid w:val="00A62092"/>
    <w:rsid w:val="00A620EB"/>
    <w:rsid w:val="00A621CC"/>
    <w:rsid w:val="00A62430"/>
    <w:rsid w:val="00A62606"/>
    <w:rsid w:val="00A627AA"/>
    <w:rsid w:val="00A628EB"/>
    <w:rsid w:val="00A629E9"/>
    <w:rsid w:val="00A62AEB"/>
    <w:rsid w:val="00A62C9E"/>
    <w:rsid w:val="00A62FB0"/>
    <w:rsid w:val="00A6305C"/>
    <w:rsid w:val="00A637A0"/>
    <w:rsid w:val="00A638F4"/>
    <w:rsid w:val="00A63CCC"/>
    <w:rsid w:val="00A6429A"/>
    <w:rsid w:val="00A6437C"/>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665"/>
    <w:rsid w:val="00A776C3"/>
    <w:rsid w:val="00A7770B"/>
    <w:rsid w:val="00A778DE"/>
    <w:rsid w:val="00A77C9E"/>
    <w:rsid w:val="00A77CA5"/>
    <w:rsid w:val="00A77FC4"/>
    <w:rsid w:val="00A80096"/>
    <w:rsid w:val="00A8031E"/>
    <w:rsid w:val="00A8033A"/>
    <w:rsid w:val="00A80481"/>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30C"/>
    <w:rsid w:val="00A84A1A"/>
    <w:rsid w:val="00A84CBE"/>
    <w:rsid w:val="00A85020"/>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FE"/>
    <w:rsid w:val="00AA37FC"/>
    <w:rsid w:val="00AA382F"/>
    <w:rsid w:val="00AA3D2D"/>
    <w:rsid w:val="00AA4426"/>
    <w:rsid w:val="00AA4500"/>
    <w:rsid w:val="00AA487A"/>
    <w:rsid w:val="00AA4EC3"/>
    <w:rsid w:val="00AA4F62"/>
    <w:rsid w:val="00AA5042"/>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122"/>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2E95"/>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851"/>
    <w:rsid w:val="00AC5A60"/>
    <w:rsid w:val="00AC5C7F"/>
    <w:rsid w:val="00AC5D4C"/>
    <w:rsid w:val="00AC6164"/>
    <w:rsid w:val="00AC6709"/>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62F"/>
    <w:rsid w:val="00AD4819"/>
    <w:rsid w:val="00AD4894"/>
    <w:rsid w:val="00AD49C8"/>
    <w:rsid w:val="00AD49E9"/>
    <w:rsid w:val="00AD4A24"/>
    <w:rsid w:val="00AD4A8D"/>
    <w:rsid w:val="00AD4A98"/>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3B3"/>
    <w:rsid w:val="00AE2521"/>
    <w:rsid w:val="00AE25A0"/>
    <w:rsid w:val="00AE3116"/>
    <w:rsid w:val="00AE3243"/>
    <w:rsid w:val="00AE3457"/>
    <w:rsid w:val="00AE3D4E"/>
    <w:rsid w:val="00AE3E51"/>
    <w:rsid w:val="00AE3E7F"/>
    <w:rsid w:val="00AE42DE"/>
    <w:rsid w:val="00AE4881"/>
    <w:rsid w:val="00AE495E"/>
    <w:rsid w:val="00AE49AE"/>
    <w:rsid w:val="00AE4C85"/>
    <w:rsid w:val="00AE54CF"/>
    <w:rsid w:val="00AE5726"/>
    <w:rsid w:val="00AE5D0E"/>
    <w:rsid w:val="00AE5E0B"/>
    <w:rsid w:val="00AE600D"/>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D5D"/>
    <w:rsid w:val="00B00604"/>
    <w:rsid w:val="00B00813"/>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170"/>
    <w:rsid w:val="00B111CB"/>
    <w:rsid w:val="00B1127F"/>
    <w:rsid w:val="00B112B5"/>
    <w:rsid w:val="00B1132D"/>
    <w:rsid w:val="00B11625"/>
    <w:rsid w:val="00B1199E"/>
    <w:rsid w:val="00B11AB4"/>
    <w:rsid w:val="00B11FDE"/>
    <w:rsid w:val="00B12061"/>
    <w:rsid w:val="00B120E2"/>
    <w:rsid w:val="00B12385"/>
    <w:rsid w:val="00B12411"/>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200A1"/>
    <w:rsid w:val="00B20A76"/>
    <w:rsid w:val="00B20ACE"/>
    <w:rsid w:val="00B2109D"/>
    <w:rsid w:val="00B214AF"/>
    <w:rsid w:val="00B21876"/>
    <w:rsid w:val="00B21AEA"/>
    <w:rsid w:val="00B21D65"/>
    <w:rsid w:val="00B21FE6"/>
    <w:rsid w:val="00B22973"/>
    <w:rsid w:val="00B2312D"/>
    <w:rsid w:val="00B23344"/>
    <w:rsid w:val="00B23718"/>
    <w:rsid w:val="00B23916"/>
    <w:rsid w:val="00B23C08"/>
    <w:rsid w:val="00B23F70"/>
    <w:rsid w:val="00B243C8"/>
    <w:rsid w:val="00B24900"/>
    <w:rsid w:val="00B24CCA"/>
    <w:rsid w:val="00B24E82"/>
    <w:rsid w:val="00B24EEC"/>
    <w:rsid w:val="00B24F52"/>
    <w:rsid w:val="00B2508F"/>
    <w:rsid w:val="00B250A9"/>
    <w:rsid w:val="00B25271"/>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30235"/>
    <w:rsid w:val="00B3077D"/>
    <w:rsid w:val="00B30A80"/>
    <w:rsid w:val="00B31886"/>
    <w:rsid w:val="00B31CC7"/>
    <w:rsid w:val="00B325D4"/>
    <w:rsid w:val="00B32914"/>
    <w:rsid w:val="00B32B79"/>
    <w:rsid w:val="00B32C19"/>
    <w:rsid w:val="00B32F2B"/>
    <w:rsid w:val="00B33546"/>
    <w:rsid w:val="00B33662"/>
    <w:rsid w:val="00B3367A"/>
    <w:rsid w:val="00B33749"/>
    <w:rsid w:val="00B33783"/>
    <w:rsid w:val="00B337C8"/>
    <w:rsid w:val="00B339A4"/>
    <w:rsid w:val="00B3424B"/>
    <w:rsid w:val="00B34318"/>
    <w:rsid w:val="00B344E8"/>
    <w:rsid w:val="00B3458A"/>
    <w:rsid w:val="00B349DC"/>
    <w:rsid w:val="00B34A98"/>
    <w:rsid w:val="00B35013"/>
    <w:rsid w:val="00B35170"/>
    <w:rsid w:val="00B354B6"/>
    <w:rsid w:val="00B35AFF"/>
    <w:rsid w:val="00B35C75"/>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504A2"/>
    <w:rsid w:val="00B5055D"/>
    <w:rsid w:val="00B50815"/>
    <w:rsid w:val="00B509E5"/>
    <w:rsid w:val="00B50B8A"/>
    <w:rsid w:val="00B50D79"/>
    <w:rsid w:val="00B50F45"/>
    <w:rsid w:val="00B50F5B"/>
    <w:rsid w:val="00B50FD1"/>
    <w:rsid w:val="00B51324"/>
    <w:rsid w:val="00B519C8"/>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873"/>
    <w:rsid w:val="00B64C94"/>
    <w:rsid w:val="00B64CE9"/>
    <w:rsid w:val="00B64D3C"/>
    <w:rsid w:val="00B65102"/>
    <w:rsid w:val="00B653F3"/>
    <w:rsid w:val="00B65D83"/>
    <w:rsid w:val="00B662CD"/>
    <w:rsid w:val="00B6639D"/>
    <w:rsid w:val="00B663A4"/>
    <w:rsid w:val="00B66F2F"/>
    <w:rsid w:val="00B672A4"/>
    <w:rsid w:val="00B67316"/>
    <w:rsid w:val="00B675DE"/>
    <w:rsid w:val="00B678DF"/>
    <w:rsid w:val="00B67AB4"/>
    <w:rsid w:val="00B67CC2"/>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214"/>
    <w:rsid w:val="00B7433C"/>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C7"/>
    <w:rsid w:val="00B85B36"/>
    <w:rsid w:val="00B85D65"/>
    <w:rsid w:val="00B85E63"/>
    <w:rsid w:val="00B8611D"/>
    <w:rsid w:val="00B861DC"/>
    <w:rsid w:val="00B8628D"/>
    <w:rsid w:val="00B86367"/>
    <w:rsid w:val="00B8661C"/>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791"/>
    <w:rsid w:val="00B978AF"/>
    <w:rsid w:val="00B97B45"/>
    <w:rsid w:val="00BA0041"/>
    <w:rsid w:val="00BA0328"/>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2BC9"/>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A8A"/>
    <w:rsid w:val="00BC6DAD"/>
    <w:rsid w:val="00BC705A"/>
    <w:rsid w:val="00BC749F"/>
    <w:rsid w:val="00BC7CF3"/>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B3"/>
    <w:rsid w:val="00BF51E5"/>
    <w:rsid w:val="00BF595C"/>
    <w:rsid w:val="00BF5A32"/>
    <w:rsid w:val="00BF5A70"/>
    <w:rsid w:val="00BF5BC8"/>
    <w:rsid w:val="00BF61E0"/>
    <w:rsid w:val="00BF61EB"/>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C00072"/>
    <w:rsid w:val="00C000B5"/>
    <w:rsid w:val="00C001E2"/>
    <w:rsid w:val="00C0044B"/>
    <w:rsid w:val="00C00693"/>
    <w:rsid w:val="00C00F80"/>
    <w:rsid w:val="00C010F5"/>
    <w:rsid w:val="00C01214"/>
    <w:rsid w:val="00C01437"/>
    <w:rsid w:val="00C018AA"/>
    <w:rsid w:val="00C018E4"/>
    <w:rsid w:val="00C01C4F"/>
    <w:rsid w:val="00C021BD"/>
    <w:rsid w:val="00C02218"/>
    <w:rsid w:val="00C024D3"/>
    <w:rsid w:val="00C02F26"/>
    <w:rsid w:val="00C03A2A"/>
    <w:rsid w:val="00C03C7F"/>
    <w:rsid w:val="00C042A1"/>
    <w:rsid w:val="00C04497"/>
    <w:rsid w:val="00C04562"/>
    <w:rsid w:val="00C0469F"/>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FD4"/>
    <w:rsid w:val="00C113D4"/>
    <w:rsid w:val="00C11460"/>
    <w:rsid w:val="00C115D3"/>
    <w:rsid w:val="00C11849"/>
    <w:rsid w:val="00C11CEA"/>
    <w:rsid w:val="00C120F2"/>
    <w:rsid w:val="00C12198"/>
    <w:rsid w:val="00C12466"/>
    <w:rsid w:val="00C124C3"/>
    <w:rsid w:val="00C12B02"/>
    <w:rsid w:val="00C13059"/>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E78"/>
    <w:rsid w:val="00C17150"/>
    <w:rsid w:val="00C17205"/>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516E"/>
    <w:rsid w:val="00C25228"/>
    <w:rsid w:val="00C253DA"/>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203A"/>
    <w:rsid w:val="00C32071"/>
    <w:rsid w:val="00C32107"/>
    <w:rsid w:val="00C3220A"/>
    <w:rsid w:val="00C323DE"/>
    <w:rsid w:val="00C32643"/>
    <w:rsid w:val="00C3292F"/>
    <w:rsid w:val="00C3293C"/>
    <w:rsid w:val="00C32CA8"/>
    <w:rsid w:val="00C32D68"/>
    <w:rsid w:val="00C32F79"/>
    <w:rsid w:val="00C32FD3"/>
    <w:rsid w:val="00C32FEF"/>
    <w:rsid w:val="00C3334A"/>
    <w:rsid w:val="00C33679"/>
    <w:rsid w:val="00C3395E"/>
    <w:rsid w:val="00C33AEF"/>
    <w:rsid w:val="00C33BEF"/>
    <w:rsid w:val="00C34010"/>
    <w:rsid w:val="00C34712"/>
    <w:rsid w:val="00C34AF4"/>
    <w:rsid w:val="00C34CCC"/>
    <w:rsid w:val="00C34E32"/>
    <w:rsid w:val="00C3544D"/>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635D"/>
    <w:rsid w:val="00C565BC"/>
    <w:rsid w:val="00C567DE"/>
    <w:rsid w:val="00C56D47"/>
    <w:rsid w:val="00C56DA5"/>
    <w:rsid w:val="00C5754E"/>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6B5"/>
    <w:rsid w:val="00C629BD"/>
    <w:rsid w:val="00C62AA6"/>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67F62"/>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FB"/>
    <w:rsid w:val="00C76744"/>
    <w:rsid w:val="00C76797"/>
    <w:rsid w:val="00C769DE"/>
    <w:rsid w:val="00C77266"/>
    <w:rsid w:val="00C77700"/>
    <w:rsid w:val="00C77885"/>
    <w:rsid w:val="00C77BB1"/>
    <w:rsid w:val="00C77CFD"/>
    <w:rsid w:val="00C77E7C"/>
    <w:rsid w:val="00C80326"/>
    <w:rsid w:val="00C80494"/>
    <w:rsid w:val="00C80605"/>
    <w:rsid w:val="00C80790"/>
    <w:rsid w:val="00C80C60"/>
    <w:rsid w:val="00C81086"/>
    <w:rsid w:val="00C812EF"/>
    <w:rsid w:val="00C8143E"/>
    <w:rsid w:val="00C814B8"/>
    <w:rsid w:val="00C81A50"/>
    <w:rsid w:val="00C82018"/>
    <w:rsid w:val="00C820EC"/>
    <w:rsid w:val="00C82130"/>
    <w:rsid w:val="00C82383"/>
    <w:rsid w:val="00C8255E"/>
    <w:rsid w:val="00C8282B"/>
    <w:rsid w:val="00C83089"/>
    <w:rsid w:val="00C836F8"/>
    <w:rsid w:val="00C838C2"/>
    <w:rsid w:val="00C838E2"/>
    <w:rsid w:val="00C83B87"/>
    <w:rsid w:val="00C83CF3"/>
    <w:rsid w:val="00C848A7"/>
    <w:rsid w:val="00C84BB1"/>
    <w:rsid w:val="00C84D6C"/>
    <w:rsid w:val="00C85814"/>
    <w:rsid w:val="00C85DB7"/>
    <w:rsid w:val="00C85E67"/>
    <w:rsid w:val="00C85F4F"/>
    <w:rsid w:val="00C8611B"/>
    <w:rsid w:val="00C867EF"/>
    <w:rsid w:val="00C86B19"/>
    <w:rsid w:val="00C86D14"/>
    <w:rsid w:val="00C87017"/>
    <w:rsid w:val="00C87C39"/>
    <w:rsid w:val="00C87DC1"/>
    <w:rsid w:val="00C904C6"/>
    <w:rsid w:val="00C90C57"/>
    <w:rsid w:val="00C91018"/>
    <w:rsid w:val="00C911ED"/>
    <w:rsid w:val="00C91BA9"/>
    <w:rsid w:val="00C91C04"/>
    <w:rsid w:val="00C91CCB"/>
    <w:rsid w:val="00C91D6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40"/>
    <w:rsid w:val="00C94FE9"/>
    <w:rsid w:val="00C9514B"/>
    <w:rsid w:val="00C9518D"/>
    <w:rsid w:val="00C954B4"/>
    <w:rsid w:val="00C95C80"/>
    <w:rsid w:val="00C95F5C"/>
    <w:rsid w:val="00C96E1B"/>
    <w:rsid w:val="00C97068"/>
    <w:rsid w:val="00C97117"/>
    <w:rsid w:val="00C97426"/>
    <w:rsid w:val="00C9756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4F99"/>
    <w:rsid w:val="00CA5085"/>
    <w:rsid w:val="00CA5148"/>
    <w:rsid w:val="00CA5202"/>
    <w:rsid w:val="00CA5A6A"/>
    <w:rsid w:val="00CA5C84"/>
    <w:rsid w:val="00CA631B"/>
    <w:rsid w:val="00CA63C9"/>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3AE"/>
    <w:rsid w:val="00CB252F"/>
    <w:rsid w:val="00CB264E"/>
    <w:rsid w:val="00CB2AE6"/>
    <w:rsid w:val="00CB2AFE"/>
    <w:rsid w:val="00CB2C5D"/>
    <w:rsid w:val="00CB2CB1"/>
    <w:rsid w:val="00CB3363"/>
    <w:rsid w:val="00CB33FD"/>
    <w:rsid w:val="00CB34DD"/>
    <w:rsid w:val="00CB3850"/>
    <w:rsid w:val="00CB39B4"/>
    <w:rsid w:val="00CB3DF3"/>
    <w:rsid w:val="00CB3ED0"/>
    <w:rsid w:val="00CB4280"/>
    <w:rsid w:val="00CB463C"/>
    <w:rsid w:val="00CB4D04"/>
    <w:rsid w:val="00CB50A7"/>
    <w:rsid w:val="00CB53D7"/>
    <w:rsid w:val="00CB5637"/>
    <w:rsid w:val="00CB5C0F"/>
    <w:rsid w:val="00CB5CEF"/>
    <w:rsid w:val="00CB655D"/>
    <w:rsid w:val="00CB67B5"/>
    <w:rsid w:val="00CB687C"/>
    <w:rsid w:val="00CB6CB9"/>
    <w:rsid w:val="00CB6EF4"/>
    <w:rsid w:val="00CB71AF"/>
    <w:rsid w:val="00CB77E4"/>
    <w:rsid w:val="00CB77FF"/>
    <w:rsid w:val="00CB79C5"/>
    <w:rsid w:val="00CB7AC8"/>
    <w:rsid w:val="00CB7DB7"/>
    <w:rsid w:val="00CC026A"/>
    <w:rsid w:val="00CC02E6"/>
    <w:rsid w:val="00CC041E"/>
    <w:rsid w:val="00CC0440"/>
    <w:rsid w:val="00CC0AA9"/>
    <w:rsid w:val="00CC0AAE"/>
    <w:rsid w:val="00CC0C12"/>
    <w:rsid w:val="00CC0E23"/>
    <w:rsid w:val="00CC0ED7"/>
    <w:rsid w:val="00CC2582"/>
    <w:rsid w:val="00CC2609"/>
    <w:rsid w:val="00CC261A"/>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E21"/>
    <w:rsid w:val="00CC6444"/>
    <w:rsid w:val="00CC662D"/>
    <w:rsid w:val="00CC668C"/>
    <w:rsid w:val="00CC67B7"/>
    <w:rsid w:val="00CC6F46"/>
    <w:rsid w:val="00CC6F77"/>
    <w:rsid w:val="00CC72CA"/>
    <w:rsid w:val="00CC7991"/>
    <w:rsid w:val="00CC7FE7"/>
    <w:rsid w:val="00CD00FE"/>
    <w:rsid w:val="00CD024D"/>
    <w:rsid w:val="00CD02B2"/>
    <w:rsid w:val="00CD0342"/>
    <w:rsid w:val="00CD047D"/>
    <w:rsid w:val="00CD07D5"/>
    <w:rsid w:val="00CD0B8F"/>
    <w:rsid w:val="00CD15CD"/>
    <w:rsid w:val="00CD16A8"/>
    <w:rsid w:val="00CD16C7"/>
    <w:rsid w:val="00CD18E1"/>
    <w:rsid w:val="00CD199F"/>
    <w:rsid w:val="00CD1BFF"/>
    <w:rsid w:val="00CD1C08"/>
    <w:rsid w:val="00CD1F15"/>
    <w:rsid w:val="00CD2117"/>
    <w:rsid w:val="00CD2264"/>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6225"/>
    <w:rsid w:val="00CE6339"/>
    <w:rsid w:val="00CE65E2"/>
    <w:rsid w:val="00CE6B38"/>
    <w:rsid w:val="00CE6DA2"/>
    <w:rsid w:val="00CE6F31"/>
    <w:rsid w:val="00CE6F62"/>
    <w:rsid w:val="00CE6F74"/>
    <w:rsid w:val="00CE6FA5"/>
    <w:rsid w:val="00CE7051"/>
    <w:rsid w:val="00CE73ED"/>
    <w:rsid w:val="00CE772F"/>
    <w:rsid w:val="00CE7A3B"/>
    <w:rsid w:val="00CE7D5C"/>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81C"/>
    <w:rsid w:val="00D22CCB"/>
    <w:rsid w:val="00D23117"/>
    <w:rsid w:val="00D23367"/>
    <w:rsid w:val="00D2359A"/>
    <w:rsid w:val="00D235A1"/>
    <w:rsid w:val="00D23984"/>
    <w:rsid w:val="00D23ACD"/>
    <w:rsid w:val="00D23C06"/>
    <w:rsid w:val="00D23C7A"/>
    <w:rsid w:val="00D23D1E"/>
    <w:rsid w:val="00D23F8F"/>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547"/>
    <w:rsid w:val="00D33913"/>
    <w:rsid w:val="00D33BD7"/>
    <w:rsid w:val="00D33C9B"/>
    <w:rsid w:val="00D33CD5"/>
    <w:rsid w:val="00D33CFA"/>
    <w:rsid w:val="00D33FAE"/>
    <w:rsid w:val="00D33FBF"/>
    <w:rsid w:val="00D35118"/>
    <w:rsid w:val="00D3517D"/>
    <w:rsid w:val="00D35AEC"/>
    <w:rsid w:val="00D35C62"/>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4049"/>
    <w:rsid w:val="00D44902"/>
    <w:rsid w:val="00D44AF1"/>
    <w:rsid w:val="00D44FBD"/>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094"/>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1E1"/>
    <w:rsid w:val="00D534BD"/>
    <w:rsid w:val="00D53550"/>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1B9"/>
    <w:rsid w:val="00D81569"/>
    <w:rsid w:val="00D815FF"/>
    <w:rsid w:val="00D81841"/>
    <w:rsid w:val="00D8196F"/>
    <w:rsid w:val="00D819DD"/>
    <w:rsid w:val="00D81FAD"/>
    <w:rsid w:val="00D827A2"/>
    <w:rsid w:val="00D82A5C"/>
    <w:rsid w:val="00D83088"/>
    <w:rsid w:val="00D83591"/>
    <w:rsid w:val="00D837C0"/>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AA7"/>
    <w:rsid w:val="00D87B3E"/>
    <w:rsid w:val="00D90009"/>
    <w:rsid w:val="00D901C7"/>
    <w:rsid w:val="00D902CA"/>
    <w:rsid w:val="00D90B86"/>
    <w:rsid w:val="00D90CB6"/>
    <w:rsid w:val="00D90F9B"/>
    <w:rsid w:val="00D91089"/>
    <w:rsid w:val="00D9164B"/>
    <w:rsid w:val="00D91A1A"/>
    <w:rsid w:val="00D922B0"/>
    <w:rsid w:val="00D922C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B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7E"/>
    <w:rsid w:val="00DC5219"/>
    <w:rsid w:val="00DC530D"/>
    <w:rsid w:val="00DC5B84"/>
    <w:rsid w:val="00DC5E55"/>
    <w:rsid w:val="00DC5F5A"/>
    <w:rsid w:val="00DC6397"/>
    <w:rsid w:val="00DC67CE"/>
    <w:rsid w:val="00DC6830"/>
    <w:rsid w:val="00DC685B"/>
    <w:rsid w:val="00DC68A4"/>
    <w:rsid w:val="00DC6954"/>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F9"/>
    <w:rsid w:val="00DD6576"/>
    <w:rsid w:val="00DD69FE"/>
    <w:rsid w:val="00DD6AB0"/>
    <w:rsid w:val="00DD6D79"/>
    <w:rsid w:val="00DD71F3"/>
    <w:rsid w:val="00DD7312"/>
    <w:rsid w:val="00DD7327"/>
    <w:rsid w:val="00DD7382"/>
    <w:rsid w:val="00DD7675"/>
    <w:rsid w:val="00DD77EA"/>
    <w:rsid w:val="00DD7BEA"/>
    <w:rsid w:val="00DD7C5B"/>
    <w:rsid w:val="00DD7C96"/>
    <w:rsid w:val="00DD7C9F"/>
    <w:rsid w:val="00DD7FDF"/>
    <w:rsid w:val="00DE0044"/>
    <w:rsid w:val="00DE02FA"/>
    <w:rsid w:val="00DE14F2"/>
    <w:rsid w:val="00DE1932"/>
    <w:rsid w:val="00DE1D84"/>
    <w:rsid w:val="00DE2012"/>
    <w:rsid w:val="00DE2901"/>
    <w:rsid w:val="00DE3083"/>
    <w:rsid w:val="00DE3487"/>
    <w:rsid w:val="00DE3A1D"/>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FD5"/>
    <w:rsid w:val="00DF259A"/>
    <w:rsid w:val="00DF28A3"/>
    <w:rsid w:val="00DF2947"/>
    <w:rsid w:val="00DF29A4"/>
    <w:rsid w:val="00DF372A"/>
    <w:rsid w:val="00DF38A2"/>
    <w:rsid w:val="00DF3944"/>
    <w:rsid w:val="00DF3998"/>
    <w:rsid w:val="00DF3BBA"/>
    <w:rsid w:val="00DF3DEB"/>
    <w:rsid w:val="00DF3F73"/>
    <w:rsid w:val="00DF3FF7"/>
    <w:rsid w:val="00DF4415"/>
    <w:rsid w:val="00DF4547"/>
    <w:rsid w:val="00DF47E4"/>
    <w:rsid w:val="00DF4995"/>
    <w:rsid w:val="00DF4B58"/>
    <w:rsid w:val="00DF4E3B"/>
    <w:rsid w:val="00DF4E70"/>
    <w:rsid w:val="00DF4FAA"/>
    <w:rsid w:val="00DF5142"/>
    <w:rsid w:val="00DF5585"/>
    <w:rsid w:val="00DF5813"/>
    <w:rsid w:val="00DF58FA"/>
    <w:rsid w:val="00DF5961"/>
    <w:rsid w:val="00DF5A72"/>
    <w:rsid w:val="00DF5CD6"/>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3DF"/>
    <w:rsid w:val="00E0342A"/>
    <w:rsid w:val="00E03536"/>
    <w:rsid w:val="00E03872"/>
    <w:rsid w:val="00E039C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2E4"/>
    <w:rsid w:val="00E10DCE"/>
    <w:rsid w:val="00E10F22"/>
    <w:rsid w:val="00E10F5B"/>
    <w:rsid w:val="00E113F9"/>
    <w:rsid w:val="00E114D2"/>
    <w:rsid w:val="00E116F6"/>
    <w:rsid w:val="00E118AE"/>
    <w:rsid w:val="00E119F5"/>
    <w:rsid w:val="00E11C32"/>
    <w:rsid w:val="00E11E59"/>
    <w:rsid w:val="00E1239E"/>
    <w:rsid w:val="00E124A1"/>
    <w:rsid w:val="00E124F2"/>
    <w:rsid w:val="00E126A3"/>
    <w:rsid w:val="00E126AC"/>
    <w:rsid w:val="00E129C4"/>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7583"/>
    <w:rsid w:val="00E47615"/>
    <w:rsid w:val="00E477D9"/>
    <w:rsid w:val="00E4799B"/>
    <w:rsid w:val="00E503E4"/>
    <w:rsid w:val="00E50458"/>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7E"/>
    <w:rsid w:val="00E5310C"/>
    <w:rsid w:val="00E5371C"/>
    <w:rsid w:val="00E537C0"/>
    <w:rsid w:val="00E5382E"/>
    <w:rsid w:val="00E53950"/>
    <w:rsid w:val="00E53E81"/>
    <w:rsid w:val="00E53F1D"/>
    <w:rsid w:val="00E5411F"/>
    <w:rsid w:val="00E5431B"/>
    <w:rsid w:val="00E54450"/>
    <w:rsid w:val="00E545B8"/>
    <w:rsid w:val="00E54CC2"/>
    <w:rsid w:val="00E54D12"/>
    <w:rsid w:val="00E54EA8"/>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4E9"/>
    <w:rsid w:val="00E61630"/>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610"/>
    <w:rsid w:val="00E65B6D"/>
    <w:rsid w:val="00E65C65"/>
    <w:rsid w:val="00E65E29"/>
    <w:rsid w:val="00E65E87"/>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3082"/>
    <w:rsid w:val="00E73124"/>
    <w:rsid w:val="00E73424"/>
    <w:rsid w:val="00E7365F"/>
    <w:rsid w:val="00E73762"/>
    <w:rsid w:val="00E739C4"/>
    <w:rsid w:val="00E739D8"/>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5B8"/>
    <w:rsid w:val="00E77A87"/>
    <w:rsid w:val="00E77BF8"/>
    <w:rsid w:val="00E77C72"/>
    <w:rsid w:val="00E77CAE"/>
    <w:rsid w:val="00E77EC5"/>
    <w:rsid w:val="00E77ECD"/>
    <w:rsid w:val="00E8012D"/>
    <w:rsid w:val="00E80A12"/>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8D3"/>
    <w:rsid w:val="00E91934"/>
    <w:rsid w:val="00E91C28"/>
    <w:rsid w:val="00E91F76"/>
    <w:rsid w:val="00E91FB1"/>
    <w:rsid w:val="00E921BC"/>
    <w:rsid w:val="00E921D1"/>
    <w:rsid w:val="00E925DB"/>
    <w:rsid w:val="00E926B5"/>
    <w:rsid w:val="00E92C17"/>
    <w:rsid w:val="00E93052"/>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B7BD5"/>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6269"/>
    <w:rsid w:val="00EC6652"/>
    <w:rsid w:val="00EC6864"/>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2B2"/>
    <w:rsid w:val="00ED34A0"/>
    <w:rsid w:val="00ED3661"/>
    <w:rsid w:val="00ED37D4"/>
    <w:rsid w:val="00ED3BCC"/>
    <w:rsid w:val="00ED3D74"/>
    <w:rsid w:val="00ED3EAA"/>
    <w:rsid w:val="00ED427B"/>
    <w:rsid w:val="00ED4C37"/>
    <w:rsid w:val="00ED5353"/>
    <w:rsid w:val="00ED551D"/>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C39"/>
    <w:rsid w:val="00EE411C"/>
    <w:rsid w:val="00EE42E7"/>
    <w:rsid w:val="00EE446E"/>
    <w:rsid w:val="00EE46A0"/>
    <w:rsid w:val="00EE4885"/>
    <w:rsid w:val="00EE5065"/>
    <w:rsid w:val="00EE5738"/>
    <w:rsid w:val="00EE5843"/>
    <w:rsid w:val="00EE5C7B"/>
    <w:rsid w:val="00EE5E79"/>
    <w:rsid w:val="00EE6079"/>
    <w:rsid w:val="00EE61E8"/>
    <w:rsid w:val="00EE6423"/>
    <w:rsid w:val="00EE668E"/>
    <w:rsid w:val="00EE670A"/>
    <w:rsid w:val="00EE6B5C"/>
    <w:rsid w:val="00EE6C2B"/>
    <w:rsid w:val="00EE6D42"/>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9A3"/>
    <w:rsid w:val="00F37A21"/>
    <w:rsid w:val="00F37C01"/>
    <w:rsid w:val="00F37DC7"/>
    <w:rsid w:val="00F37EC1"/>
    <w:rsid w:val="00F40B89"/>
    <w:rsid w:val="00F40DF0"/>
    <w:rsid w:val="00F41246"/>
    <w:rsid w:val="00F4136A"/>
    <w:rsid w:val="00F41F58"/>
    <w:rsid w:val="00F421E9"/>
    <w:rsid w:val="00F4271F"/>
    <w:rsid w:val="00F427FC"/>
    <w:rsid w:val="00F42867"/>
    <w:rsid w:val="00F428E4"/>
    <w:rsid w:val="00F43228"/>
    <w:rsid w:val="00F43845"/>
    <w:rsid w:val="00F4446C"/>
    <w:rsid w:val="00F44701"/>
    <w:rsid w:val="00F44998"/>
    <w:rsid w:val="00F44AF3"/>
    <w:rsid w:val="00F4532E"/>
    <w:rsid w:val="00F45516"/>
    <w:rsid w:val="00F458AC"/>
    <w:rsid w:val="00F45D98"/>
    <w:rsid w:val="00F46157"/>
    <w:rsid w:val="00F463E4"/>
    <w:rsid w:val="00F4679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601D9"/>
    <w:rsid w:val="00F603B5"/>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452"/>
    <w:rsid w:val="00F657EC"/>
    <w:rsid w:val="00F65B74"/>
    <w:rsid w:val="00F65C06"/>
    <w:rsid w:val="00F65E06"/>
    <w:rsid w:val="00F664B8"/>
    <w:rsid w:val="00F67751"/>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EB6"/>
    <w:rsid w:val="00F76F09"/>
    <w:rsid w:val="00F777EA"/>
    <w:rsid w:val="00F778E8"/>
    <w:rsid w:val="00F77E22"/>
    <w:rsid w:val="00F77E25"/>
    <w:rsid w:val="00F8020A"/>
    <w:rsid w:val="00F802BD"/>
    <w:rsid w:val="00F802D5"/>
    <w:rsid w:val="00F8065D"/>
    <w:rsid w:val="00F80C40"/>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CD0"/>
    <w:rsid w:val="00F94D8C"/>
    <w:rsid w:val="00F95BA5"/>
    <w:rsid w:val="00F95D12"/>
    <w:rsid w:val="00F95EDB"/>
    <w:rsid w:val="00F95F29"/>
    <w:rsid w:val="00F95F8E"/>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F"/>
    <w:rsid w:val="00FA6CC5"/>
    <w:rsid w:val="00FA6FF2"/>
    <w:rsid w:val="00FA71B7"/>
    <w:rsid w:val="00FA749D"/>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FB"/>
    <w:rsid w:val="00FB3C9C"/>
    <w:rsid w:val="00FB3F73"/>
    <w:rsid w:val="00FB4387"/>
    <w:rsid w:val="00FB4456"/>
    <w:rsid w:val="00FB46AE"/>
    <w:rsid w:val="00FB486F"/>
    <w:rsid w:val="00FB49A1"/>
    <w:rsid w:val="00FB4C9F"/>
    <w:rsid w:val="00FB5305"/>
    <w:rsid w:val="00FB5507"/>
    <w:rsid w:val="00FB5633"/>
    <w:rsid w:val="00FB5985"/>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D0"/>
    <w:rsid w:val="00FC222F"/>
    <w:rsid w:val="00FC22E3"/>
    <w:rsid w:val="00FC2A31"/>
    <w:rsid w:val="00FC2AE5"/>
    <w:rsid w:val="00FC2C22"/>
    <w:rsid w:val="00FC300A"/>
    <w:rsid w:val="00FC3676"/>
    <w:rsid w:val="00FC3B4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ED"/>
    <w:rsid w:val="00FD0F72"/>
    <w:rsid w:val="00FD1A10"/>
    <w:rsid w:val="00FD1DD4"/>
    <w:rsid w:val="00FD1FDE"/>
    <w:rsid w:val="00FD203E"/>
    <w:rsid w:val="00FD2A8A"/>
    <w:rsid w:val="00FD2E2F"/>
    <w:rsid w:val="00FD3219"/>
    <w:rsid w:val="00FD3565"/>
    <w:rsid w:val="00FD362E"/>
    <w:rsid w:val="00FD3739"/>
    <w:rsid w:val="00FD3896"/>
    <w:rsid w:val="00FD39B9"/>
    <w:rsid w:val="00FD3B2A"/>
    <w:rsid w:val="00FD3B5E"/>
    <w:rsid w:val="00FD3BFA"/>
    <w:rsid w:val="00FD3CE5"/>
    <w:rsid w:val="00FD3CFE"/>
    <w:rsid w:val="00FD4107"/>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87"/>
    <w:rsid w:val="00FE4CCD"/>
    <w:rsid w:val="00FE4F03"/>
    <w:rsid w:val="00FE53EF"/>
    <w:rsid w:val="00FE5AF7"/>
    <w:rsid w:val="00FE5D12"/>
    <w:rsid w:val="00FE5D3D"/>
    <w:rsid w:val="00FE5D84"/>
    <w:rsid w:val="00FE6655"/>
    <w:rsid w:val="00FE6771"/>
    <w:rsid w:val="00FE6A04"/>
    <w:rsid w:val="00FE6B05"/>
    <w:rsid w:val="00FE6F9C"/>
    <w:rsid w:val="00FE70A3"/>
    <w:rsid w:val="00FE775E"/>
    <w:rsid w:val="00FE78F4"/>
    <w:rsid w:val="00FE7CF8"/>
    <w:rsid w:val="00FE7DAA"/>
    <w:rsid w:val="00FF0040"/>
    <w:rsid w:val="00FF00ED"/>
    <w:rsid w:val="00FF013E"/>
    <w:rsid w:val="00FF04E3"/>
    <w:rsid w:val="00FF05A8"/>
    <w:rsid w:val="00FF0603"/>
    <w:rsid w:val="00FF0785"/>
    <w:rsid w:val="00FF0BDB"/>
    <w:rsid w:val="00FF0F2B"/>
    <w:rsid w:val="00FF0F6A"/>
    <w:rsid w:val="00FF0F6C"/>
    <w:rsid w:val="00FF1789"/>
    <w:rsid w:val="00FF18C9"/>
    <w:rsid w:val="00FF19BD"/>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3C9"/>
    <w:rsid w:val="00FF671B"/>
    <w:rsid w:val="00FF6C3E"/>
    <w:rsid w:val="00FF72D7"/>
    <w:rsid w:val="00FF73BC"/>
    <w:rsid w:val="00FF79F0"/>
    <w:rsid w:val="018529B4"/>
    <w:rsid w:val="01AC7B14"/>
    <w:rsid w:val="01DE4ECE"/>
    <w:rsid w:val="01E12AAD"/>
    <w:rsid w:val="020E18BD"/>
    <w:rsid w:val="023D2E2D"/>
    <w:rsid w:val="02586DCE"/>
    <w:rsid w:val="027125A2"/>
    <w:rsid w:val="027D7D34"/>
    <w:rsid w:val="028939B3"/>
    <w:rsid w:val="02B713E7"/>
    <w:rsid w:val="02D22AD8"/>
    <w:rsid w:val="02F65B82"/>
    <w:rsid w:val="04320AD2"/>
    <w:rsid w:val="045114D0"/>
    <w:rsid w:val="0456036D"/>
    <w:rsid w:val="04BB298F"/>
    <w:rsid w:val="04CA0807"/>
    <w:rsid w:val="04F8642A"/>
    <w:rsid w:val="05673A0B"/>
    <w:rsid w:val="05BE089C"/>
    <w:rsid w:val="060B4078"/>
    <w:rsid w:val="06253D34"/>
    <w:rsid w:val="063F1A72"/>
    <w:rsid w:val="06EA3271"/>
    <w:rsid w:val="06FF6B3B"/>
    <w:rsid w:val="07854716"/>
    <w:rsid w:val="078A3842"/>
    <w:rsid w:val="07A170B8"/>
    <w:rsid w:val="08950206"/>
    <w:rsid w:val="08CA6DC7"/>
    <w:rsid w:val="09021B37"/>
    <w:rsid w:val="09091AAB"/>
    <w:rsid w:val="096A52F9"/>
    <w:rsid w:val="0A50541C"/>
    <w:rsid w:val="0A945A74"/>
    <w:rsid w:val="0AF57594"/>
    <w:rsid w:val="0B22261C"/>
    <w:rsid w:val="0B444337"/>
    <w:rsid w:val="0B6513AC"/>
    <w:rsid w:val="0B7D2976"/>
    <w:rsid w:val="0BE02A3D"/>
    <w:rsid w:val="0BF8040D"/>
    <w:rsid w:val="0C5D7941"/>
    <w:rsid w:val="0C726359"/>
    <w:rsid w:val="0C79434C"/>
    <w:rsid w:val="0C850E6F"/>
    <w:rsid w:val="0CF37472"/>
    <w:rsid w:val="0CFE568F"/>
    <w:rsid w:val="0D4E4B08"/>
    <w:rsid w:val="0D6F195E"/>
    <w:rsid w:val="0DA337C7"/>
    <w:rsid w:val="0DB73590"/>
    <w:rsid w:val="0DD2246A"/>
    <w:rsid w:val="0E544C71"/>
    <w:rsid w:val="0E7F4560"/>
    <w:rsid w:val="0EF747DF"/>
    <w:rsid w:val="0EFB4C56"/>
    <w:rsid w:val="0F7518C9"/>
    <w:rsid w:val="0F846179"/>
    <w:rsid w:val="0FAA0377"/>
    <w:rsid w:val="100E695A"/>
    <w:rsid w:val="10A22B38"/>
    <w:rsid w:val="11327F8F"/>
    <w:rsid w:val="113767C0"/>
    <w:rsid w:val="11763776"/>
    <w:rsid w:val="124C1D82"/>
    <w:rsid w:val="12841571"/>
    <w:rsid w:val="12A84AA7"/>
    <w:rsid w:val="12AD4BAF"/>
    <w:rsid w:val="12BF7372"/>
    <w:rsid w:val="12C43695"/>
    <w:rsid w:val="12C856CF"/>
    <w:rsid w:val="12D312B6"/>
    <w:rsid w:val="12DB6374"/>
    <w:rsid w:val="1301218E"/>
    <w:rsid w:val="13074B89"/>
    <w:rsid w:val="131A290F"/>
    <w:rsid w:val="13BC1154"/>
    <w:rsid w:val="148B4F67"/>
    <w:rsid w:val="148E0073"/>
    <w:rsid w:val="14C16114"/>
    <w:rsid w:val="14FD0A9C"/>
    <w:rsid w:val="1515071F"/>
    <w:rsid w:val="154A4194"/>
    <w:rsid w:val="15D04F5C"/>
    <w:rsid w:val="16052B78"/>
    <w:rsid w:val="160E39EE"/>
    <w:rsid w:val="161567DC"/>
    <w:rsid w:val="16515610"/>
    <w:rsid w:val="1674575B"/>
    <w:rsid w:val="169601DF"/>
    <w:rsid w:val="169B3532"/>
    <w:rsid w:val="16FF07C3"/>
    <w:rsid w:val="17152445"/>
    <w:rsid w:val="172A4898"/>
    <w:rsid w:val="175E3075"/>
    <w:rsid w:val="187A67E4"/>
    <w:rsid w:val="18EE068E"/>
    <w:rsid w:val="1909682D"/>
    <w:rsid w:val="19280A44"/>
    <w:rsid w:val="19713818"/>
    <w:rsid w:val="19C625BC"/>
    <w:rsid w:val="19F6088D"/>
    <w:rsid w:val="1A055EF5"/>
    <w:rsid w:val="1A6C6CB1"/>
    <w:rsid w:val="1B4D27CF"/>
    <w:rsid w:val="1B7C0448"/>
    <w:rsid w:val="1C0E655B"/>
    <w:rsid w:val="1C353069"/>
    <w:rsid w:val="1CC02D30"/>
    <w:rsid w:val="1D0C3924"/>
    <w:rsid w:val="1D1952CF"/>
    <w:rsid w:val="1D4A443B"/>
    <w:rsid w:val="1D7258CC"/>
    <w:rsid w:val="1DFB7F87"/>
    <w:rsid w:val="1E941CCC"/>
    <w:rsid w:val="1EE513F6"/>
    <w:rsid w:val="1F126B05"/>
    <w:rsid w:val="1F162294"/>
    <w:rsid w:val="1F26710E"/>
    <w:rsid w:val="1F7D0C63"/>
    <w:rsid w:val="1F82572C"/>
    <w:rsid w:val="1FB876AC"/>
    <w:rsid w:val="1FC6016B"/>
    <w:rsid w:val="202104E0"/>
    <w:rsid w:val="202E120E"/>
    <w:rsid w:val="209A3C89"/>
    <w:rsid w:val="20B56A2C"/>
    <w:rsid w:val="2111539E"/>
    <w:rsid w:val="21201FA6"/>
    <w:rsid w:val="219D34AE"/>
    <w:rsid w:val="21C63924"/>
    <w:rsid w:val="22295F55"/>
    <w:rsid w:val="2248323A"/>
    <w:rsid w:val="229A382D"/>
    <w:rsid w:val="23AD0CCB"/>
    <w:rsid w:val="23FF6FC2"/>
    <w:rsid w:val="24276909"/>
    <w:rsid w:val="24E43759"/>
    <w:rsid w:val="25134482"/>
    <w:rsid w:val="25520D67"/>
    <w:rsid w:val="2565030D"/>
    <w:rsid w:val="25B25C72"/>
    <w:rsid w:val="25DB61BD"/>
    <w:rsid w:val="26116B73"/>
    <w:rsid w:val="26442D52"/>
    <w:rsid w:val="268E61C6"/>
    <w:rsid w:val="273177B6"/>
    <w:rsid w:val="28257C9E"/>
    <w:rsid w:val="287E4090"/>
    <w:rsid w:val="28D8378A"/>
    <w:rsid w:val="294E6051"/>
    <w:rsid w:val="294F209A"/>
    <w:rsid w:val="297B7334"/>
    <w:rsid w:val="29BC46C0"/>
    <w:rsid w:val="29C261AC"/>
    <w:rsid w:val="29E73412"/>
    <w:rsid w:val="29E75B05"/>
    <w:rsid w:val="29F344B7"/>
    <w:rsid w:val="2A026DBF"/>
    <w:rsid w:val="2A352B1B"/>
    <w:rsid w:val="2A822F09"/>
    <w:rsid w:val="2ADB17E0"/>
    <w:rsid w:val="2AF306F7"/>
    <w:rsid w:val="2B34764C"/>
    <w:rsid w:val="2B38497C"/>
    <w:rsid w:val="2B9E02F7"/>
    <w:rsid w:val="2BC57252"/>
    <w:rsid w:val="2BD138AE"/>
    <w:rsid w:val="2BE128DA"/>
    <w:rsid w:val="2C192E2F"/>
    <w:rsid w:val="2C3B2551"/>
    <w:rsid w:val="2CD011B9"/>
    <w:rsid w:val="2D0202C4"/>
    <w:rsid w:val="2D5822AA"/>
    <w:rsid w:val="2DD7185C"/>
    <w:rsid w:val="2E095920"/>
    <w:rsid w:val="2E1032C7"/>
    <w:rsid w:val="2E340B5D"/>
    <w:rsid w:val="2E436F91"/>
    <w:rsid w:val="2E614A9C"/>
    <w:rsid w:val="2E846266"/>
    <w:rsid w:val="2EC23956"/>
    <w:rsid w:val="2ECB7A5C"/>
    <w:rsid w:val="2ECD1744"/>
    <w:rsid w:val="2ED44775"/>
    <w:rsid w:val="2EDD5B69"/>
    <w:rsid w:val="2F325C0B"/>
    <w:rsid w:val="2F8279F1"/>
    <w:rsid w:val="2FDB7433"/>
    <w:rsid w:val="301629CB"/>
    <w:rsid w:val="301F5C96"/>
    <w:rsid w:val="303D023A"/>
    <w:rsid w:val="30812569"/>
    <w:rsid w:val="30AE2533"/>
    <w:rsid w:val="30B44ED3"/>
    <w:rsid w:val="30CB6347"/>
    <w:rsid w:val="30D21D56"/>
    <w:rsid w:val="30D669E1"/>
    <w:rsid w:val="31315EA6"/>
    <w:rsid w:val="315370AA"/>
    <w:rsid w:val="32020E78"/>
    <w:rsid w:val="328800D8"/>
    <w:rsid w:val="328A7EE9"/>
    <w:rsid w:val="3297205F"/>
    <w:rsid w:val="32B47CEB"/>
    <w:rsid w:val="32C125DB"/>
    <w:rsid w:val="32F73637"/>
    <w:rsid w:val="33716A1B"/>
    <w:rsid w:val="340C62AC"/>
    <w:rsid w:val="34276FAE"/>
    <w:rsid w:val="345A4296"/>
    <w:rsid w:val="346C2BB3"/>
    <w:rsid w:val="34E23C9A"/>
    <w:rsid w:val="358F3143"/>
    <w:rsid w:val="365D5FB6"/>
    <w:rsid w:val="374F3BA0"/>
    <w:rsid w:val="37765DAA"/>
    <w:rsid w:val="3783108C"/>
    <w:rsid w:val="378A0C60"/>
    <w:rsid w:val="37AB570F"/>
    <w:rsid w:val="37CF4E21"/>
    <w:rsid w:val="37E544F2"/>
    <w:rsid w:val="384E3F22"/>
    <w:rsid w:val="389D3837"/>
    <w:rsid w:val="38AB1352"/>
    <w:rsid w:val="38E11897"/>
    <w:rsid w:val="390C4194"/>
    <w:rsid w:val="39390692"/>
    <w:rsid w:val="39792262"/>
    <w:rsid w:val="39990BCC"/>
    <w:rsid w:val="39CD13C3"/>
    <w:rsid w:val="39F6323F"/>
    <w:rsid w:val="39FE388F"/>
    <w:rsid w:val="3A1140CF"/>
    <w:rsid w:val="3A356B68"/>
    <w:rsid w:val="3A397CE2"/>
    <w:rsid w:val="3A3D0AC2"/>
    <w:rsid w:val="3ABA2EFD"/>
    <w:rsid w:val="3BF77969"/>
    <w:rsid w:val="3C3E6B43"/>
    <w:rsid w:val="3C477781"/>
    <w:rsid w:val="3CA8168F"/>
    <w:rsid w:val="3CD73A22"/>
    <w:rsid w:val="3CE119F2"/>
    <w:rsid w:val="3CFB3D7D"/>
    <w:rsid w:val="3D0A28B0"/>
    <w:rsid w:val="3D1B21F4"/>
    <w:rsid w:val="3D4F4B56"/>
    <w:rsid w:val="3D984E7C"/>
    <w:rsid w:val="3EA33D47"/>
    <w:rsid w:val="3EB30D20"/>
    <w:rsid w:val="3F235243"/>
    <w:rsid w:val="3F411CB6"/>
    <w:rsid w:val="3F493F24"/>
    <w:rsid w:val="3FB4690F"/>
    <w:rsid w:val="3FF725EF"/>
    <w:rsid w:val="406C27D8"/>
    <w:rsid w:val="40702B02"/>
    <w:rsid w:val="411A37CE"/>
    <w:rsid w:val="41273B5B"/>
    <w:rsid w:val="414D5B4E"/>
    <w:rsid w:val="415413B2"/>
    <w:rsid w:val="415D7F83"/>
    <w:rsid w:val="41617C05"/>
    <w:rsid w:val="41B024AC"/>
    <w:rsid w:val="42055E4C"/>
    <w:rsid w:val="4207357A"/>
    <w:rsid w:val="42193B5D"/>
    <w:rsid w:val="428D6814"/>
    <w:rsid w:val="42EC3E94"/>
    <w:rsid w:val="43065501"/>
    <w:rsid w:val="432E1D29"/>
    <w:rsid w:val="43640760"/>
    <w:rsid w:val="438F4D93"/>
    <w:rsid w:val="44255C3D"/>
    <w:rsid w:val="44A845BE"/>
    <w:rsid w:val="44F34EB6"/>
    <w:rsid w:val="450F25F9"/>
    <w:rsid w:val="451E76EF"/>
    <w:rsid w:val="453B489A"/>
    <w:rsid w:val="45527FDA"/>
    <w:rsid w:val="45760298"/>
    <w:rsid w:val="462823F5"/>
    <w:rsid w:val="46804BD6"/>
    <w:rsid w:val="46A00937"/>
    <w:rsid w:val="46A22D8D"/>
    <w:rsid w:val="46CE4F01"/>
    <w:rsid w:val="46EE143D"/>
    <w:rsid w:val="46EE66FC"/>
    <w:rsid w:val="47105B83"/>
    <w:rsid w:val="477066B1"/>
    <w:rsid w:val="47A56F0F"/>
    <w:rsid w:val="47CE48E1"/>
    <w:rsid w:val="48B70426"/>
    <w:rsid w:val="48E004FF"/>
    <w:rsid w:val="48E635D8"/>
    <w:rsid w:val="49587E25"/>
    <w:rsid w:val="4A151FD5"/>
    <w:rsid w:val="4B042537"/>
    <w:rsid w:val="4B337350"/>
    <w:rsid w:val="4BAF25AC"/>
    <w:rsid w:val="4BBB00B1"/>
    <w:rsid w:val="4BEB6655"/>
    <w:rsid w:val="4C252C83"/>
    <w:rsid w:val="4C65298C"/>
    <w:rsid w:val="4C6530A7"/>
    <w:rsid w:val="4CA45761"/>
    <w:rsid w:val="4CD028FA"/>
    <w:rsid w:val="4CDA6B7E"/>
    <w:rsid w:val="4CE132A1"/>
    <w:rsid w:val="4D915B65"/>
    <w:rsid w:val="4DA63C5F"/>
    <w:rsid w:val="4DFE0852"/>
    <w:rsid w:val="4E692B55"/>
    <w:rsid w:val="4E826A10"/>
    <w:rsid w:val="4EBC62FF"/>
    <w:rsid w:val="4ED11D39"/>
    <w:rsid w:val="4EE51345"/>
    <w:rsid w:val="4F237574"/>
    <w:rsid w:val="4F9F177D"/>
    <w:rsid w:val="4FE97361"/>
    <w:rsid w:val="501129B5"/>
    <w:rsid w:val="50196C29"/>
    <w:rsid w:val="501A1792"/>
    <w:rsid w:val="504F7772"/>
    <w:rsid w:val="5065769E"/>
    <w:rsid w:val="506D3B8D"/>
    <w:rsid w:val="509317D3"/>
    <w:rsid w:val="50A03FB3"/>
    <w:rsid w:val="50A63302"/>
    <w:rsid w:val="50AE08E2"/>
    <w:rsid w:val="50F828F3"/>
    <w:rsid w:val="519020AB"/>
    <w:rsid w:val="52271DA0"/>
    <w:rsid w:val="52532F4D"/>
    <w:rsid w:val="52E41D5F"/>
    <w:rsid w:val="52F650AE"/>
    <w:rsid w:val="53280486"/>
    <w:rsid w:val="532F140E"/>
    <w:rsid w:val="5341442D"/>
    <w:rsid w:val="53964A22"/>
    <w:rsid w:val="53A711D6"/>
    <w:rsid w:val="53CC2C25"/>
    <w:rsid w:val="53F77028"/>
    <w:rsid w:val="5409750E"/>
    <w:rsid w:val="545B37BC"/>
    <w:rsid w:val="54BA6F1B"/>
    <w:rsid w:val="54C54814"/>
    <w:rsid w:val="54FE1F7B"/>
    <w:rsid w:val="5583490A"/>
    <w:rsid w:val="55EB2850"/>
    <w:rsid w:val="561D3342"/>
    <w:rsid w:val="568B1FB7"/>
    <w:rsid w:val="56D568E9"/>
    <w:rsid w:val="56F75296"/>
    <w:rsid w:val="56FF5CFA"/>
    <w:rsid w:val="577C0A50"/>
    <w:rsid w:val="57B036AC"/>
    <w:rsid w:val="57E234DB"/>
    <w:rsid w:val="5857493E"/>
    <w:rsid w:val="58D07136"/>
    <w:rsid w:val="595538DF"/>
    <w:rsid w:val="59971CF3"/>
    <w:rsid w:val="5A49135C"/>
    <w:rsid w:val="5AB76B78"/>
    <w:rsid w:val="5AEE6AE1"/>
    <w:rsid w:val="5B475AEF"/>
    <w:rsid w:val="5B8359FB"/>
    <w:rsid w:val="5BC05736"/>
    <w:rsid w:val="5BE926E4"/>
    <w:rsid w:val="5C37089D"/>
    <w:rsid w:val="5CD32D08"/>
    <w:rsid w:val="5D1B700F"/>
    <w:rsid w:val="5DAB2F61"/>
    <w:rsid w:val="5DF80942"/>
    <w:rsid w:val="5E4356E9"/>
    <w:rsid w:val="5E556177"/>
    <w:rsid w:val="5E616B93"/>
    <w:rsid w:val="5EB85C9C"/>
    <w:rsid w:val="5F2E3351"/>
    <w:rsid w:val="5F6019F0"/>
    <w:rsid w:val="60102521"/>
    <w:rsid w:val="60266139"/>
    <w:rsid w:val="60995E4C"/>
    <w:rsid w:val="60DE6E72"/>
    <w:rsid w:val="61AB51F7"/>
    <w:rsid w:val="621F4C38"/>
    <w:rsid w:val="624A6336"/>
    <w:rsid w:val="62DA4BD4"/>
    <w:rsid w:val="62ED0D06"/>
    <w:rsid w:val="63006CC4"/>
    <w:rsid w:val="63292665"/>
    <w:rsid w:val="63987D70"/>
    <w:rsid w:val="63C37FF6"/>
    <w:rsid w:val="63D54CBE"/>
    <w:rsid w:val="63DF79B2"/>
    <w:rsid w:val="647519DC"/>
    <w:rsid w:val="64DA7755"/>
    <w:rsid w:val="64EE71C4"/>
    <w:rsid w:val="659C7FA5"/>
    <w:rsid w:val="65BF4977"/>
    <w:rsid w:val="661A0833"/>
    <w:rsid w:val="66201296"/>
    <w:rsid w:val="66347096"/>
    <w:rsid w:val="665C4585"/>
    <w:rsid w:val="66A43E11"/>
    <w:rsid w:val="66A54812"/>
    <w:rsid w:val="66D502FC"/>
    <w:rsid w:val="67233ED7"/>
    <w:rsid w:val="673C5317"/>
    <w:rsid w:val="673E4DB9"/>
    <w:rsid w:val="67A6413B"/>
    <w:rsid w:val="67FC3D66"/>
    <w:rsid w:val="6806382A"/>
    <w:rsid w:val="682B0F33"/>
    <w:rsid w:val="68305151"/>
    <w:rsid w:val="68577B89"/>
    <w:rsid w:val="68B33B09"/>
    <w:rsid w:val="69314B96"/>
    <w:rsid w:val="696944C2"/>
    <w:rsid w:val="6AF052B5"/>
    <w:rsid w:val="6B2C4A74"/>
    <w:rsid w:val="6B380223"/>
    <w:rsid w:val="6B9A72A4"/>
    <w:rsid w:val="6C382307"/>
    <w:rsid w:val="6C3A79FD"/>
    <w:rsid w:val="6CA374F3"/>
    <w:rsid w:val="6D5A6601"/>
    <w:rsid w:val="6D721B2E"/>
    <w:rsid w:val="6D8B622C"/>
    <w:rsid w:val="6D8F388A"/>
    <w:rsid w:val="6D921F7D"/>
    <w:rsid w:val="6DD972D3"/>
    <w:rsid w:val="6E0557EE"/>
    <w:rsid w:val="6E151CA2"/>
    <w:rsid w:val="6E761F72"/>
    <w:rsid w:val="6E7D378E"/>
    <w:rsid w:val="6E831BEC"/>
    <w:rsid w:val="6F5870E1"/>
    <w:rsid w:val="6F645712"/>
    <w:rsid w:val="700B3968"/>
    <w:rsid w:val="70192BA8"/>
    <w:rsid w:val="70BE2264"/>
    <w:rsid w:val="70C72E2A"/>
    <w:rsid w:val="70D769C7"/>
    <w:rsid w:val="71385700"/>
    <w:rsid w:val="717C7298"/>
    <w:rsid w:val="724927C5"/>
    <w:rsid w:val="728F5B6A"/>
    <w:rsid w:val="72A3703D"/>
    <w:rsid w:val="72A37F22"/>
    <w:rsid w:val="73276ACD"/>
    <w:rsid w:val="739E397D"/>
    <w:rsid w:val="73B86821"/>
    <w:rsid w:val="73DE452A"/>
    <w:rsid w:val="743541D1"/>
    <w:rsid w:val="745A5548"/>
    <w:rsid w:val="745D090A"/>
    <w:rsid w:val="749602A9"/>
    <w:rsid w:val="74D62F6D"/>
    <w:rsid w:val="751C607E"/>
    <w:rsid w:val="75912989"/>
    <w:rsid w:val="75E4175D"/>
    <w:rsid w:val="760E3640"/>
    <w:rsid w:val="764906A7"/>
    <w:rsid w:val="76725067"/>
    <w:rsid w:val="76E275A6"/>
    <w:rsid w:val="77193E72"/>
    <w:rsid w:val="77954CE5"/>
    <w:rsid w:val="78506292"/>
    <w:rsid w:val="785A24C9"/>
    <w:rsid w:val="78A559EA"/>
    <w:rsid w:val="78AC75E8"/>
    <w:rsid w:val="78C93116"/>
    <w:rsid w:val="78E44A59"/>
    <w:rsid w:val="79090D90"/>
    <w:rsid w:val="792340AF"/>
    <w:rsid w:val="798C773A"/>
    <w:rsid w:val="79CC44D6"/>
    <w:rsid w:val="7A4A0603"/>
    <w:rsid w:val="7A4E74D7"/>
    <w:rsid w:val="7A5101BC"/>
    <w:rsid w:val="7A523FBA"/>
    <w:rsid w:val="7A624CB6"/>
    <w:rsid w:val="7AC17880"/>
    <w:rsid w:val="7ADC4DAA"/>
    <w:rsid w:val="7B64725E"/>
    <w:rsid w:val="7B6B5809"/>
    <w:rsid w:val="7B831E71"/>
    <w:rsid w:val="7BBF2554"/>
    <w:rsid w:val="7BF72387"/>
    <w:rsid w:val="7C142488"/>
    <w:rsid w:val="7C267C71"/>
    <w:rsid w:val="7C935D0C"/>
    <w:rsid w:val="7CE47418"/>
    <w:rsid w:val="7D303E99"/>
    <w:rsid w:val="7D377B9D"/>
    <w:rsid w:val="7D8024C0"/>
    <w:rsid w:val="7DC90240"/>
    <w:rsid w:val="7E3101C9"/>
    <w:rsid w:val="7F1478C7"/>
    <w:rsid w:val="7F2841C8"/>
    <w:rsid w:val="7F905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18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42"/>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113"/>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53"/>
    <w:qFormat/>
    <w:uiPriority w:val="0"/>
    <w:pPr>
      <w:keepNext/>
      <w:keepLines/>
      <w:spacing w:before="280" w:after="290" w:line="376" w:lineRule="auto"/>
      <w:outlineLvl w:val="3"/>
    </w:pPr>
    <w:rPr>
      <w:rFonts w:ascii="Arial" w:hAnsi="Arial" w:eastAsia="黑体"/>
      <w:b/>
      <w:bCs/>
      <w:kern w:val="2"/>
      <w:sz w:val="28"/>
      <w:szCs w:val="28"/>
    </w:rPr>
  </w:style>
  <w:style w:type="paragraph" w:styleId="8">
    <w:name w:val="heading 5"/>
    <w:basedOn w:val="1"/>
    <w:next w:val="1"/>
    <w:link w:val="215"/>
    <w:qFormat/>
    <w:uiPriority w:val="0"/>
    <w:pPr>
      <w:keepNext/>
      <w:keepLines/>
      <w:spacing w:before="280" w:after="290" w:line="376" w:lineRule="auto"/>
      <w:outlineLvl w:val="4"/>
    </w:pPr>
    <w:rPr>
      <w:b/>
      <w:bCs/>
      <w:kern w:val="2"/>
      <w:sz w:val="28"/>
      <w:szCs w:val="28"/>
    </w:rPr>
  </w:style>
  <w:style w:type="paragraph" w:styleId="9">
    <w:name w:val="heading 6"/>
    <w:basedOn w:val="1"/>
    <w:next w:val="1"/>
    <w:link w:val="235"/>
    <w:qFormat/>
    <w:uiPriority w:val="0"/>
    <w:pPr>
      <w:keepNext/>
      <w:keepLines/>
      <w:spacing w:before="240" w:after="64" w:line="320" w:lineRule="auto"/>
      <w:outlineLvl w:val="5"/>
    </w:pPr>
    <w:rPr>
      <w:rFonts w:ascii="Arial" w:hAnsi="Arial" w:eastAsia="黑体"/>
      <w:b/>
      <w:bCs/>
      <w:kern w:val="2"/>
    </w:rPr>
  </w:style>
  <w:style w:type="paragraph" w:styleId="10">
    <w:name w:val="heading 7"/>
    <w:basedOn w:val="1"/>
    <w:next w:val="1"/>
    <w:link w:val="119"/>
    <w:qFormat/>
    <w:uiPriority w:val="0"/>
    <w:pPr>
      <w:keepNext/>
      <w:keepLines/>
      <w:spacing w:before="240" w:after="64" w:line="320" w:lineRule="auto"/>
      <w:outlineLvl w:val="6"/>
    </w:pPr>
    <w:rPr>
      <w:b/>
      <w:bCs/>
      <w:kern w:val="2"/>
    </w:rPr>
  </w:style>
  <w:style w:type="paragraph" w:styleId="11">
    <w:name w:val="heading 8"/>
    <w:basedOn w:val="1"/>
    <w:next w:val="1"/>
    <w:link w:val="193"/>
    <w:qFormat/>
    <w:uiPriority w:val="0"/>
    <w:pPr>
      <w:keepNext/>
      <w:keepLines/>
      <w:spacing w:before="240" w:after="64" w:line="320" w:lineRule="auto"/>
      <w:outlineLvl w:val="7"/>
    </w:pPr>
    <w:rPr>
      <w:rFonts w:ascii="Arial" w:hAnsi="Arial" w:eastAsia="黑体"/>
      <w:kern w:val="2"/>
    </w:rPr>
  </w:style>
  <w:style w:type="paragraph" w:styleId="12">
    <w:name w:val="heading 9"/>
    <w:basedOn w:val="1"/>
    <w:next w:val="1"/>
    <w:link w:val="109"/>
    <w:qFormat/>
    <w:uiPriority w:val="0"/>
    <w:pPr>
      <w:keepNext/>
      <w:keepLines/>
      <w:spacing w:before="240" w:after="64" w:line="320" w:lineRule="auto"/>
      <w:outlineLvl w:val="8"/>
    </w:pPr>
    <w:rPr>
      <w:rFonts w:ascii="Arial" w:hAnsi="Arial" w:eastAsia="黑体"/>
      <w:kern w:val="2"/>
      <w:sz w:val="21"/>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33"/>
    <w:qFormat/>
    <w:uiPriority w:val="0"/>
    <w:pPr>
      <w:jc w:val="center"/>
    </w:pPr>
    <w:rPr>
      <w:rFonts w:ascii="宋体" w:hAnsi="宋体"/>
      <w:b/>
      <w:bCs/>
      <w:color w:val="000000"/>
      <w:kern w:val="2"/>
      <w:sz w:val="72"/>
      <w:szCs w:val="20"/>
    </w:rPr>
  </w:style>
  <w:style w:type="paragraph" w:styleId="3">
    <w:name w:val="Body Text First Indent"/>
    <w:basedOn w:val="2"/>
    <w:next w:val="1"/>
    <w:link w:val="167"/>
    <w:qFormat/>
    <w:uiPriority w:val="0"/>
    <w:pPr>
      <w:spacing w:after="120"/>
      <w:ind w:firstLine="420" w:firstLineChars="100"/>
      <w:jc w:val="both"/>
    </w:pPr>
    <w:rPr>
      <w:rFonts w:ascii="Times New Roman" w:hAnsi="Times New Roman"/>
      <w:b w:val="0"/>
      <w:bCs w:val="0"/>
      <w:color w:val="auto"/>
      <w:sz w:val="21"/>
      <w:szCs w:val="24"/>
    </w:rPr>
  </w:style>
  <w:style w:type="paragraph" w:styleId="13">
    <w:name w:val="toc 7"/>
    <w:basedOn w:val="1"/>
    <w:next w:val="1"/>
    <w:semiHidden/>
    <w:qFormat/>
    <w:uiPriority w:val="0"/>
    <w:pPr>
      <w:ind w:left="2520" w:leftChars="1200"/>
    </w:pPr>
  </w:style>
  <w:style w:type="paragraph" w:styleId="14">
    <w:name w:val="index 8"/>
    <w:basedOn w:val="1"/>
    <w:next w:val="1"/>
    <w:semiHidden/>
    <w:qFormat/>
    <w:uiPriority w:val="0"/>
    <w:pPr>
      <w:ind w:left="1400" w:leftChars="1400"/>
    </w:pPr>
  </w:style>
  <w:style w:type="paragraph" w:styleId="15">
    <w:name w:val="List Number"/>
    <w:basedOn w:val="1"/>
    <w:qFormat/>
    <w:uiPriority w:val="0"/>
    <w:pPr>
      <w:tabs>
        <w:tab w:val="left" w:pos="360"/>
      </w:tabs>
      <w:ind w:left="360" w:hanging="360"/>
    </w:pPr>
  </w:style>
  <w:style w:type="paragraph" w:styleId="16">
    <w:name w:val="Normal Indent"/>
    <w:basedOn w:val="1"/>
    <w:link w:val="170"/>
    <w:qFormat/>
    <w:uiPriority w:val="0"/>
    <w:pPr>
      <w:ind w:firstLine="420" w:firstLineChars="200"/>
    </w:pPr>
    <w:rPr>
      <w:kern w:val="2"/>
      <w:sz w:val="28"/>
      <w:szCs w:val="20"/>
    </w:rPr>
  </w:style>
  <w:style w:type="paragraph" w:styleId="17">
    <w:name w:val="caption"/>
    <w:basedOn w:val="1"/>
    <w:next w:val="1"/>
    <w:qFormat/>
    <w:uiPriority w:val="0"/>
    <w:pPr>
      <w:spacing w:before="152" w:after="160"/>
    </w:pPr>
    <w:rPr>
      <w:rFonts w:ascii="Arial" w:hAnsi="Arial" w:eastAsia="黑体"/>
      <w:sz w:val="20"/>
      <w:szCs w:val="20"/>
    </w:rPr>
  </w:style>
  <w:style w:type="paragraph" w:styleId="18">
    <w:name w:val="index 5"/>
    <w:basedOn w:val="1"/>
    <w:next w:val="1"/>
    <w:semiHidden/>
    <w:qFormat/>
    <w:uiPriority w:val="0"/>
    <w:pPr>
      <w:ind w:left="800" w:leftChars="800"/>
    </w:pPr>
  </w:style>
  <w:style w:type="paragraph" w:styleId="19">
    <w:name w:val="Document Map"/>
    <w:basedOn w:val="1"/>
    <w:link w:val="226"/>
    <w:qFormat/>
    <w:uiPriority w:val="0"/>
    <w:pPr>
      <w:shd w:val="clear" w:color="auto" w:fill="000080"/>
    </w:pPr>
    <w:rPr>
      <w:kern w:val="2"/>
      <w:sz w:val="21"/>
    </w:rPr>
  </w:style>
  <w:style w:type="paragraph" w:styleId="20">
    <w:name w:val="annotation text"/>
    <w:basedOn w:val="1"/>
    <w:link w:val="178"/>
    <w:qFormat/>
    <w:uiPriority w:val="0"/>
    <w:rPr>
      <w:kern w:val="2"/>
      <w:sz w:val="21"/>
    </w:rPr>
  </w:style>
  <w:style w:type="paragraph" w:styleId="21">
    <w:name w:val="index 6"/>
    <w:basedOn w:val="1"/>
    <w:next w:val="1"/>
    <w:semiHidden/>
    <w:qFormat/>
    <w:uiPriority w:val="0"/>
    <w:pPr>
      <w:ind w:left="1000" w:leftChars="1000"/>
    </w:pPr>
  </w:style>
  <w:style w:type="paragraph" w:styleId="22">
    <w:name w:val="Body Text 3"/>
    <w:basedOn w:val="1"/>
    <w:link w:val="234"/>
    <w:qFormat/>
    <w:uiPriority w:val="0"/>
    <w:pPr>
      <w:spacing w:after="120"/>
    </w:pPr>
    <w:rPr>
      <w:kern w:val="2"/>
      <w:sz w:val="16"/>
      <w:szCs w:val="16"/>
    </w:rPr>
  </w:style>
  <w:style w:type="paragraph" w:styleId="23">
    <w:name w:val="Body Text Indent"/>
    <w:basedOn w:val="1"/>
    <w:next w:val="1"/>
    <w:link w:val="96"/>
    <w:qFormat/>
    <w:uiPriority w:val="0"/>
    <w:pPr>
      <w:spacing w:line="460" w:lineRule="exact"/>
      <w:ind w:firstLine="482" w:firstLineChars="200"/>
    </w:pPr>
    <w:rPr>
      <w:b/>
      <w:bCs/>
      <w:shd w:val="clear" w:color="auto" w:fill="CCCCCC"/>
    </w:rPr>
  </w:style>
  <w:style w:type="paragraph" w:styleId="24">
    <w:name w:val="List Number 3"/>
    <w:basedOn w:val="1"/>
    <w:qFormat/>
    <w:uiPriority w:val="0"/>
    <w:pPr>
      <w:widowControl w:val="0"/>
      <w:tabs>
        <w:tab w:val="left" w:pos="360"/>
        <w:tab w:val="left" w:pos="1200"/>
      </w:tabs>
      <w:ind w:left="360" w:hanging="360"/>
      <w:jc w:val="both"/>
    </w:pPr>
    <w:rPr>
      <w:kern w:val="2"/>
      <w:sz w:val="21"/>
    </w:rPr>
  </w:style>
  <w:style w:type="paragraph" w:styleId="25">
    <w:name w:val="List 2"/>
    <w:basedOn w:val="1"/>
    <w:qFormat/>
    <w:uiPriority w:val="0"/>
    <w:pPr>
      <w:widowControl w:val="0"/>
      <w:ind w:left="100" w:leftChars="200" w:hanging="200" w:hangingChars="200"/>
      <w:jc w:val="both"/>
    </w:pPr>
    <w:rPr>
      <w:kern w:val="2"/>
      <w:sz w:val="28"/>
    </w:rPr>
  </w:style>
  <w:style w:type="paragraph" w:styleId="26">
    <w:name w:val="index 4"/>
    <w:basedOn w:val="1"/>
    <w:next w:val="1"/>
    <w:semiHidden/>
    <w:qFormat/>
    <w:uiPriority w:val="0"/>
    <w:pPr>
      <w:ind w:left="600" w:leftChars="600"/>
    </w:pPr>
  </w:style>
  <w:style w:type="paragraph" w:styleId="27">
    <w:name w:val="toc 5"/>
    <w:basedOn w:val="1"/>
    <w:next w:val="1"/>
    <w:semiHidden/>
    <w:qFormat/>
    <w:uiPriority w:val="0"/>
    <w:pPr>
      <w:ind w:left="1680" w:leftChars="800"/>
    </w:pPr>
  </w:style>
  <w:style w:type="paragraph" w:styleId="28">
    <w:name w:val="toc 3"/>
    <w:basedOn w:val="1"/>
    <w:next w:val="1"/>
    <w:qFormat/>
    <w:uiPriority w:val="39"/>
    <w:pPr>
      <w:ind w:left="840" w:leftChars="400"/>
    </w:pPr>
  </w:style>
  <w:style w:type="paragraph" w:styleId="29">
    <w:name w:val="Plain Text"/>
    <w:basedOn w:val="1"/>
    <w:next w:val="1"/>
    <w:link w:val="135"/>
    <w:qFormat/>
    <w:uiPriority w:val="0"/>
    <w:rPr>
      <w:rFonts w:ascii="宋体" w:hAnsi="Courier New" w:cs="Courier New"/>
      <w:kern w:val="2"/>
      <w:sz w:val="21"/>
      <w:szCs w:val="21"/>
    </w:rPr>
  </w:style>
  <w:style w:type="paragraph" w:styleId="30">
    <w:name w:val="toc 8"/>
    <w:basedOn w:val="1"/>
    <w:next w:val="1"/>
    <w:semiHidden/>
    <w:qFormat/>
    <w:uiPriority w:val="0"/>
    <w:pPr>
      <w:ind w:left="2940" w:leftChars="1400"/>
    </w:pPr>
  </w:style>
  <w:style w:type="paragraph" w:styleId="31">
    <w:name w:val="index 3"/>
    <w:basedOn w:val="1"/>
    <w:next w:val="1"/>
    <w:semiHidden/>
    <w:qFormat/>
    <w:uiPriority w:val="0"/>
    <w:pPr>
      <w:ind w:left="400" w:leftChars="400"/>
    </w:pPr>
  </w:style>
  <w:style w:type="paragraph" w:styleId="32">
    <w:name w:val="Date"/>
    <w:basedOn w:val="1"/>
    <w:next w:val="1"/>
    <w:link w:val="355"/>
    <w:qFormat/>
    <w:uiPriority w:val="0"/>
    <w:pPr>
      <w:ind w:left="100" w:leftChars="2500"/>
    </w:pPr>
  </w:style>
  <w:style w:type="paragraph" w:styleId="33">
    <w:name w:val="Body Text Indent 2"/>
    <w:basedOn w:val="1"/>
    <w:link w:val="352"/>
    <w:qFormat/>
    <w:uiPriority w:val="0"/>
    <w:pPr>
      <w:spacing w:line="360" w:lineRule="auto"/>
      <w:ind w:firstLine="480"/>
    </w:pPr>
    <w:rPr>
      <w:rFonts w:hint="eastAsia" w:ascii="宋体" w:eastAsia="新宋体"/>
      <w:szCs w:val="20"/>
    </w:rPr>
  </w:style>
  <w:style w:type="paragraph" w:styleId="34">
    <w:name w:val="Balloon Text"/>
    <w:basedOn w:val="1"/>
    <w:link w:val="156"/>
    <w:qFormat/>
    <w:uiPriority w:val="0"/>
    <w:rPr>
      <w:kern w:val="2"/>
      <w:sz w:val="18"/>
      <w:szCs w:val="18"/>
    </w:rPr>
  </w:style>
  <w:style w:type="paragraph" w:styleId="35">
    <w:name w:val="footer"/>
    <w:basedOn w:val="1"/>
    <w:link w:val="137"/>
    <w:qFormat/>
    <w:uiPriority w:val="99"/>
    <w:pPr>
      <w:tabs>
        <w:tab w:val="center" w:pos="4153"/>
        <w:tab w:val="right" w:pos="8306"/>
      </w:tabs>
      <w:snapToGrid w:val="0"/>
    </w:pPr>
    <w:rPr>
      <w:kern w:val="2"/>
      <w:sz w:val="18"/>
      <w:szCs w:val="18"/>
    </w:rPr>
  </w:style>
  <w:style w:type="paragraph" w:styleId="36">
    <w:name w:val="header"/>
    <w:basedOn w:val="1"/>
    <w:link w:val="205"/>
    <w:qFormat/>
    <w:uiPriority w:val="0"/>
    <w:pPr>
      <w:pBdr>
        <w:bottom w:val="single" w:color="auto" w:sz="6" w:space="1"/>
      </w:pBdr>
      <w:tabs>
        <w:tab w:val="center" w:pos="4153"/>
        <w:tab w:val="right" w:pos="8306"/>
      </w:tabs>
      <w:snapToGrid w:val="0"/>
      <w:jc w:val="center"/>
    </w:pPr>
    <w:rPr>
      <w:kern w:val="2"/>
      <w:sz w:val="18"/>
      <w:szCs w:val="18"/>
    </w:rPr>
  </w:style>
  <w:style w:type="paragraph" w:styleId="37">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38">
    <w:name w:val="toc 4"/>
    <w:basedOn w:val="1"/>
    <w:next w:val="1"/>
    <w:semiHidden/>
    <w:qFormat/>
    <w:uiPriority w:val="0"/>
    <w:pPr>
      <w:ind w:left="1260" w:leftChars="600"/>
    </w:pPr>
  </w:style>
  <w:style w:type="paragraph" w:styleId="39">
    <w:name w:val="index heading"/>
    <w:basedOn w:val="1"/>
    <w:next w:val="40"/>
    <w:semiHidden/>
    <w:qFormat/>
    <w:uiPriority w:val="0"/>
  </w:style>
  <w:style w:type="paragraph" w:styleId="40">
    <w:name w:val="index 1"/>
    <w:basedOn w:val="1"/>
    <w:next w:val="1"/>
    <w:semiHidden/>
    <w:qFormat/>
    <w:uiPriority w:val="0"/>
    <w:pPr>
      <w:spacing w:line="560" w:lineRule="exact"/>
    </w:pPr>
    <w:rPr>
      <w:sz w:val="28"/>
    </w:rPr>
  </w:style>
  <w:style w:type="paragraph" w:styleId="41">
    <w:name w:val="List"/>
    <w:basedOn w:val="1"/>
    <w:qFormat/>
    <w:uiPriority w:val="0"/>
    <w:pPr>
      <w:widowControl w:val="0"/>
      <w:ind w:left="200" w:hanging="200" w:hangingChars="200"/>
      <w:jc w:val="both"/>
    </w:pPr>
    <w:rPr>
      <w:kern w:val="2"/>
      <w:sz w:val="28"/>
    </w:rPr>
  </w:style>
  <w:style w:type="paragraph" w:styleId="42">
    <w:name w:val="toc 6"/>
    <w:basedOn w:val="1"/>
    <w:next w:val="1"/>
    <w:semiHidden/>
    <w:qFormat/>
    <w:uiPriority w:val="0"/>
    <w:pPr>
      <w:ind w:left="2100" w:leftChars="1000"/>
    </w:pPr>
  </w:style>
  <w:style w:type="paragraph" w:styleId="43">
    <w:name w:val="Body Text Indent 3"/>
    <w:basedOn w:val="1"/>
    <w:link w:val="349"/>
    <w:qFormat/>
    <w:uiPriority w:val="0"/>
    <w:pPr>
      <w:spacing w:after="120"/>
      <w:ind w:left="420" w:leftChars="200"/>
    </w:pPr>
    <w:rPr>
      <w:sz w:val="16"/>
      <w:szCs w:val="16"/>
    </w:rPr>
  </w:style>
  <w:style w:type="paragraph" w:styleId="44">
    <w:name w:val="index 7"/>
    <w:basedOn w:val="1"/>
    <w:next w:val="1"/>
    <w:semiHidden/>
    <w:qFormat/>
    <w:uiPriority w:val="0"/>
    <w:pPr>
      <w:ind w:left="1200" w:leftChars="1200"/>
    </w:pPr>
  </w:style>
  <w:style w:type="paragraph" w:styleId="45">
    <w:name w:val="index 9"/>
    <w:basedOn w:val="1"/>
    <w:next w:val="1"/>
    <w:semiHidden/>
    <w:qFormat/>
    <w:uiPriority w:val="0"/>
    <w:pPr>
      <w:ind w:left="1600" w:leftChars="1600"/>
    </w:pPr>
  </w:style>
  <w:style w:type="paragraph" w:styleId="46">
    <w:name w:val="table of figures"/>
    <w:basedOn w:val="1"/>
    <w:next w:val="1"/>
    <w:semiHidden/>
    <w:qFormat/>
    <w:uiPriority w:val="0"/>
    <w:pPr>
      <w:spacing w:line="560" w:lineRule="exact"/>
    </w:pPr>
    <w:rPr>
      <w:b/>
      <w:sz w:val="28"/>
    </w:rPr>
  </w:style>
  <w:style w:type="paragraph" w:styleId="47">
    <w:name w:val="toc 2"/>
    <w:basedOn w:val="1"/>
    <w:next w:val="1"/>
    <w:qFormat/>
    <w:uiPriority w:val="39"/>
    <w:pPr>
      <w:spacing w:line="400" w:lineRule="exact"/>
      <w:ind w:left="200" w:leftChars="200"/>
    </w:pPr>
  </w:style>
  <w:style w:type="paragraph" w:styleId="48">
    <w:name w:val="toc 9"/>
    <w:basedOn w:val="1"/>
    <w:next w:val="1"/>
    <w:semiHidden/>
    <w:qFormat/>
    <w:uiPriority w:val="0"/>
    <w:pPr>
      <w:ind w:left="3360" w:leftChars="1600"/>
    </w:pPr>
  </w:style>
  <w:style w:type="paragraph" w:styleId="49">
    <w:name w:val="Body Text 2"/>
    <w:basedOn w:val="1"/>
    <w:link w:val="353"/>
    <w:qFormat/>
    <w:uiPriority w:val="0"/>
    <w:pPr>
      <w:spacing w:after="120" w:line="480" w:lineRule="auto"/>
    </w:pPr>
  </w:style>
  <w:style w:type="paragraph" w:styleId="50">
    <w:name w:val="HTML Preformatted"/>
    <w:basedOn w:val="1"/>
    <w:link w:val="31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1">
    <w:name w:val="Normal (Web)"/>
    <w:basedOn w:val="1"/>
    <w:qFormat/>
    <w:uiPriority w:val="99"/>
  </w:style>
  <w:style w:type="paragraph" w:styleId="52">
    <w:name w:val="index 2"/>
    <w:basedOn w:val="1"/>
    <w:next w:val="1"/>
    <w:semiHidden/>
    <w:qFormat/>
    <w:uiPriority w:val="0"/>
    <w:pPr>
      <w:spacing w:line="560" w:lineRule="exact"/>
      <w:ind w:left="200" w:leftChars="200"/>
    </w:pPr>
    <w:rPr>
      <w:sz w:val="28"/>
    </w:rPr>
  </w:style>
  <w:style w:type="paragraph" w:styleId="53">
    <w:name w:val="Title"/>
    <w:basedOn w:val="1"/>
    <w:next w:val="1"/>
    <w:link w:val="177"/>
    <w:qFormat/>
    <w:uiPriority w:val="0"/>
    <w:pPr>
      <w:spacing w:before="240" w:after="60"/>
      <w:jc w:val="center"/>
      <w:outlineLvl w:val="0"/>
    </w:pPr>
    <w:rPr>
      <w:rFonts w:ascii="Cambria" w:hAnsi="Cambria"/>
      <w:b/>
      <w:bCs/>
      <w:kern w:val="2"/>
      <w:sz w:val="32"/>
      <w:szCs w:val="32"/>
    </w:rPr>
  </w:style>
  <w:style w:type="paragraph" w:styleId="54">
    <w:name w:val="annotation subject"/>
    <w:basedOn w:val="20"/>
    <w:next w:val="20"/>
    <w:link w:val="216"/>
    <w:qFormat/>
    <w:uiPriority w:val="0"/>
    <w:rPr>
      <w:rFonts w:ascii="Calibri" w:hAnsi="Calibri" w:cs="Calibri"/>
      <w:b/>
      <w:bCs/>
      <w:kern w:val="0"/>
      <w:sz w:val="24"/>
    </w:rPr>
  </w:style>
  <w:style w:type="paragraph" w:styleId="55">
    <w:name w:val="Body Text First Indent 2"/>
    <w:basedOn w:val="23"/>
    <w:next w:val="56"/>
    <w:link w:val="200"/>
    <w:qFormat/>
    <w:uiPriority w:val="0"/>
    <w:pPr>
      <w:spacing w:after="120" w:line="240" w:lineRule="auto"/>
      <w:ind w:left="420" w:leftChars="200" w:firstLine="420"/>
    </w:pPr>
    <w:rPr>
      <w:b w:val="0"/>
      <w:bCs w:val="0"/>
      <w:shd w:val="clear" w:color="auto" w:fill="auto"/>
    </w:rPr>
  </w:style>
  <w:style w:type="paragraph" w:customStyle="1" w:styleId="56">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58">
    <w:name w:val="Table Grid"/>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0"/>
    <w:rPr>
      <w:b/>
      <w:bCs/>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Hyperlink"/>
    <w:qFormat/>
    <w:uiPriority w:val="0"/>
    <w:rPr>
      <w:color w:val="0000FF"/>
      <w:u w:val="single"/>
    </w:rPr>
  </w:style>
  <w:style w:type="character" w:styleId="64">
    <w:name w:val="annotation reference"/>
    <w:basedOn w:val="59"/>
    <w:unhideWhenUsed/>
    <w:qFormat/>
    <w:uiPriority w:val="99"/>
  </w:style>
  <w:style w:type="paragraph" w:customStyle="1" w:styleId="65">
    <w:name w:val="正文首行缩进2字符"/>
    <w:basedOn w:val="1"/>
    <w:qFormat/>
    <w:uiPriority w:val="0"/>
    <w:pPr>
      <w:adjustRightInd w:val="0"/>
      <w:snapToGrid w:val="0"/>
    </w:pPr>
    <w:rPr>
      <w:szCs w:val="21"/>
    </w:rPr>
  </w:style>
  <w:style w:type="paragraph" w:customStyle="1" w:styleId="66">
    <w:name w:val="Default"/>
    <w:basedOn w:val="1"/>
    <w:qFormat/>
    <w:uiPriority w:val="0"/>
    <w:pPr>
      <w:autoSpaceDE w:val="0"/>
      <w:autoSpaceDN w:val="0"/>
      <w:adjustRightInd w:val="0"/>
      <w:spacing w:before="96" w:after="96"/>
      <w:jc w:val="right"/>
    </w:pPr>
    <w:rPr>
      <w:rFonts w:ascii="宋体" w:hAnsi="Calibri" w:cs="宋体"/>
      <w:color w:val="000000"/>
    </w:rPr>
  </w:style>
  <w:style w:type="character" w:customStyle="1" w:styleId="67">
    <w:name w:val="标题 2 Char"/>
    <w:qFormat/>
    <w:uiPriority w:val="9"/>
    <w:rPr>
      <w:rFonts w:ascii="宋体" w:hAnsi="宋体" w:eastAsia="宋体" w:cs="Times New Roman"/>
      <w:b/>
      <w:bCs/>
      <w:sz w:val="28"/>
      <w:szCs w:val="24"/>
    </w:rPr>
  </w:style>
  <w:style w:type="character" w:customStyle="1" w:styleId="68">
    <w:name w:val="页脚 Char"/>
    <w:qFormat/>
    <w:uiPriority w:val="99"/>
    <w:rPr>
      <w:rFonts w:ascii="Calibri" w:hAnsi="Calibri" w:eastAsia="宋体" w:cs="Times New Roman"/>
      <w:sz w:val="18"/>
      <w:szCs w:val="18"/>
    </w:rPr>
  </w:style>
  <w:style w:type="character" w:customStyle="1" w:styleId="69">
    <w:name w:val="页眉 Char"/>
    <w:qFormat/>
    <w:uiPriority w:val="99"/>
    <w:rPr>
      <w:rFonts w:ascii="Calibri" w:hAnsi="Calibri" w:eastAsia="宋体" w:cs="Times New Roman"/>
      <w:sz w:val="18"/>
      <w:szCs w:val="18"/>
    </w:rPr>
  </w:style>
  <w:style w:type="character" w:customStyle="1" w:styleId="70">
    <w:name w:val="-正文- Char"/>
    <w:link w:val="71"/>
    <w:qFormat/>
    <w:uiPriority w:val="0"/>
    <w:rPr>
      <w:rFonts w:eastAsia="宋体" w:cs="宋体"/>
      <w:kern w:val="2"/>
      <w:sz w:val="21"/>
      <w:lang w:val="en-US" w:eastAsia="zh-CN" w:bidi="ar-SA"/>
    </w:rPr>
  </w:style>
  <w:style w:type="paragraph" w:customStyle="1" w:styleId="71">
    <w:name w:val="-正文-"/>
    <w:basedOn w:val="1"/>
    <w:link w:val="70"/>
    <w:qFormat/>
    <w:uiPriority w:val="0"/>
    <w:pPr>
      <w:spacing w:line="360" w:lineRule="auto"/>
      <w:ind w:firstLine="420" w:firstLineChars="200"/>
    </w:pPr>
    <w:rPr>
      <w:rFonts w:cs="宋体"/>
      <w:kern w:val="2"/>
      <w:sz w:val="21"/>
      <w:szCs w:val="20"/>
    </w:rPr>
  </w:style>
  <w:style w:type="character" w:customStyle="1" w:styleId="72">
    <w:name w:val="正文主体 Char"/>
    <w:link w:val="73"/>
    <w:qFormat/>
    <w:uiPriority w:val="0"/>
    <w:rPr>
      <w:rFonts w:eastAsia="宋体"/>
      <w:kern w:val="2"/>
      <w:sz w:val="24"/>
      <w:szCs w:val="24"/>
      <w:lang w:val="en-US" w:eastAsia="zh-CN" w:bidi="ar-SA"/>
    </w:rPr>
  </w:style>
  <w:style w:type="paragraph" w:customStyle="1" w:styleId="73">
    <w:name w:val="正文主体"/>
    <w:basedOn w:val="74"/>
    <w:link w:val="72"/>
    <w:qFormat/>
    <w:uiPriority w:val="0"/>
    <w:rPr>
      <w:kern w:val="2"/>
    </w:rPr>
  </w:style>
  <w:style w:type="paragraph" w:customStyle="1" w:styleId="74">
    <w:name w:val="样式  + 首行缩进:  2 字符"/>
    <w:basedOn w:val="75"/>
    <w:qFormat/>
    <w:uiPriority w:val="0"/>
    <w:pPr>
      <w:ind w:firstLine="480"/>
    </w:pPr>
  </w:style>
  <w:style w:type="paragraph" w:customStyle="1" w:styleId="75">
    <w:name w:val="9"/>
    <w:basedOn w:val="1"/>
    <w:next w:val="2"/>
    <w:qFormat/>
    <w:uiPriority w:val="0"/>
    <w:pPr>
      <w:spacing w:before="60" w:after="60" w:line="360" w:lineRule="auto"/>
      <w:ind w:firstLine="200" w:firstLineChars="200"/>
    </w:pPr>
  </w:style>
  <w:style w:type="character" w:customStyle="1" w:styleId="76">
    <w:name w:val="列出段落 字符"/>
    <w:link w:val="77"/>
    <w:qFormat/>
    <w:uiPriority w:val="0"/>
    <w:rPr>
      <w:rFonts w:ascii="Calibri" w:hAnsi="Calibri" w:eastAsia="宋体"/>
      <w:kern w:val="2"/>
      <w:sz w:val="21"/>
      <w:szCs w:val="22"/>
      <w:lang w:val="en-US" w:eastAsia="zh-CN" w:bidi="ar-SA"/>
    </w:rPr>
  </w:style>
  <w:style w:type="paragraph" w:styleId="77">
    <w:name w:val="List Paragraph"/>
    <w:basedOn w:val="1"/>
    <w:link w:val="76"/>
    <w:qFormat/>
    <w:uiPriority w:val="34"/>
    <w:pPr>
      <w:ind w:firstLine="420" w:firstLineChars="200"/>
    </w:pPr>
    <w:rPr>
      <w:rFonts w:ascii="Calibri" w:hAnsi="Calibri"/>
      <w:kern w:val="2"/>
      <w:sz w:val="21"/>
      <w:szCs w:val="22"/>
    </w:rPr>
  </w:style>
  <w:style w:type="character" w:customStyle="1" w:styleId="78">
    <w:name w:val="文档结构图 Char Char"/>
    <w:link w:val="79"/>
    <w:qFormat/>
    <w:uiPriority w:val="0"/>
    <w:rPr>
      <w:rFonts w:ascii="宋体" w:hAnsi="Calibri"/>
      <w:kern w:val="2"/>
      <w:sz w:val="18"/>
      <w:szCs w:val="18"/>
      <w:lang w:bidi="ar-SA"/>
    </w:rPr>
  </w:style>
  <w:style w:type="paragraph" w:customStyle="1" w:styleId="79">
    <w:name w:val="文档结构图1"/>
    <w:basedOn w:val="1"/>
    <w:link w:val="78"/>
    <w:qFormat/>
    <w:uiPriority w:val="0"/>
    <w:pPr>
      <w:spacing w:line="360" w:lineRule="auto"/>
      <w:ind w:firstLine="200" w:firstLineChars="200"/>
    </w:pPr>
    <w:rPr>
      <w:rFonts w:ascii="宋体" w:hAnsi="Calibri"/>
      <w:kern w:val="2"/>
      <w:sz w:val="18"/>
      <w:szCs w:val="18"/>
    </w:rPr>
  </w:style>
  <w:style w:type="character" w:customStyle="1" w:styleId="80">
    <w:name w:val="-标题2- Char"/>
    <w:link w:val="81"/>
    <w:qFormat/>
    <w:uiPriority w:val="0"/>
    <w:rPr>
      <w:rFonts w:ascii="宋体" w:hAnsi="宋体"/>
      <w:b/>
      <w:bCs/>
      <w:kern w:val="44"/>
      <w:sz w:val="28"/>
      <w:szCs w:val="28"/>
    </w:rPr>
  </w:style>
  <w:style w:type="paragraph" w:customStyle="1" w:styleId="81">
    <w:name w:val="-标题2-"/>
    <w:basedOn w:val="1"/>
    <w:link w:val="80"/>
    <w:qFormat/>
    <w:uiPriority w:val="0"/>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82">
    <w:name w:val="纯文本 Char2"/>
    <w:qFormat/>
    <w:uiPriority w:val="0"/>
    <w:rPr>
      <w:rFonts w:ascii="宋体" w:hAnsi="Courier New" w:eastAsia="宋体" w:cs="Courier New"/>
      <w:kern w:val="2"/>
      <w:sz w:val="21"/>
      <w:szCs w:val="21"/>
      <w:lang w:val="en-US" w:eastAsia="zh-CN" w:bidi="ar-SA"/>
    </w:rPr>
  </w:style>
  <w:style w:type="character" w:customStyle="1" w:styleId="83">
    <w:name w:val="标题 3 Char"/>
    <w:qFormat/>
    <w:uiPriority w:val="0"/>
    <w:rPr>
      <w:rFonts w:ascii="宋体" w:hAnsi="宋体" w:eastAsia="宋体" w:cs="Times New Roman"/>
      <w:b/>
      <w:bCs/>
      <w:sz w:val="28"/>
      <w:szCs w:val="24"/>
    </w:rPr>
  </w:style>
  <w:style w:type="character" w:customStyle="1" w:styleId="84">
    <w:name w:val="正文，首行缩进: Char"/>
    <w:link w:val="85"/>
    <w:qFormat/>
    <w:uiPriority w:val="0"/>
    <w:rPr>
      <w:rFonts w:ascii="Arial" w:hAnsi="Arial"/>
      <w:kern w:val="2"/>
      <w:sz w:val="24"/>
      <w:szCs w:val="24"/>
      <w:lang w:bidi="ar-SA"/>
    </w:rPr>
  </w:style>
  <w:style w:type="paragraph" w:customStyle="1" w:styleId="85">
    <w:name w:val="正文，首行缩进:"/>
    <w:basedOn w:val="1"/>
    <w:link w:val="84"/>
    <w:qFormat/>
    <w:uiPriority w:val="0"/>
    <w:pPr>
      <w:spacing w:line="360" w:lineRule="auto"/>
      <w:ind w:firstLine="480" w:firstLineChars="200"/>
    </w:pPr>
    <w:rPr>
      <w:rFonts w:ascii="Arial" w:hAnsi="Arial"/>
      <w:kern w:val="2"/>
    </w:rPr>
  </w:style>
  <w:style w:type="character" w:customStyle="1" w:styleId="86">
    <w:name w:val="表格文字 Char"/>
    <w:link w:val="87"/>
    <w:qFormat/>
    <w:uiPriority w:val="0"/>
    <w:rPr>
      <w:sz w:val="18"/>
      <w:szCs w:val="24"/>
      <w:lang w:bidi="ar-SA"/>
    </w:rPr>
  </w:style>
  <w:style w:type="paragraph" w:customStyle="1" w:styleId="87">
    <w:name w:val="表格文字"/>
    <w:basedOn w:val="1"/>
    <w:link w:val="86"/>
    <w:qFormat/>
    <w:uiPriority w:val="0"/>
    <w:pPr>
      <w:textAlignment w:val="top"/>
    </w:pPr>
    <w:rPr>
      <w:sz w:val="18"/>
    </w:rPr>
  </w:style>
  <w:style w:type="character" w:customStyle="1" w:styleId="88">
    <w:name w:val="G-正文缩进 Char"/>
    <w:link w:val="89"/>
    <w:qFormat/>
    <w:uiPriority w:val="0"/>
    <w:rPr>
      <w:kern w:val="2"/>
      <w:sz w:val="24"/>
      <w:szCs w:val="24"/>
      <w:lang w:bidi="ar-SA"/>
    </w:rPr>
  </w:style>
  <w:style w:type="paragraph" w:customStyle="1" w:styleId="89">
    <w:name w:val="G-正文缩进"/>
    <w:basedOn w:val="1"/>
    <w:link w:val="88"/>
    <w:qFormat/>
    <w:uiPriority w:val="0"/>
    <w:pPr>
      <w:spacing w:line="312" w:lineRule="auto"/>
      <w:ind w:firstLine="480" w:firstLineChars="200"/>
    </w:pPr>
    <w:rPr>
      <w:kern w:val="2"/>
    </w:rPr>
  </w:style>
  <w:style w:type="character" w:customStyle="1" w:styleId="90">
    <w:name w:val="正文文本缩进 2 Char"/>
    <w:link w:val="91"/>
    <w:qFormat/>
    <w:uiPriority w:val="0"/>
    <w:rPr>
      <w:rFonts w:ascii="Calibri" w:hAnsi="Calibri" w:eastAsia="仿宋_GB2312"/>
      <w:kern w:val="2"/>
      <w:sz w:val="24"/>
      <w:szCs w:val="22"/>
      <w:lang w:bidi="ar-SA"/>
    </w:rPr>
  </w:style>
  <w:style w:type="paragraph" w:customStyle="1" w:styleId="91">
    <w:name w:val="正文文本缩进 21"/>
    <w:basedOn w:val="1"/>
    <w:link w:val="90"/>
    <w:qFormat/>
    <w:uiPriority w:val="0"/>
    <w:pPr>
      <w:spacing w:after="120" w:line="480" w:lineRule="auto"/>
      <w:ind w:left="420" w:leftChars="200"/>
    </w:pPr>
    <w:rPr>
      <w:rFonts w:ascii="Calibri" w:hAnsi="Calibri" w:eastAsia="仿宋_GB2312"/>
      <w:kern w:val="2"/>
      <w:szCs w:val="22"/>
    </w:rPr>
  </w:style>
  <w:style w:type="character" w:customStyle="1" w:styleId="92">
    <w:name w:val="my正文 Char"/>
    <w:link w:val="93"/>
    <w:qFormat/>
    <w:uiPriority w:val="0"/>
    <w:rPr>
      <w:kern w:val="2"/>
      <w:sz w:val="24"/>
      <w:szCs w:val="24"/>
    </w:rPr>
  </w:style>
  <w:style w:type="paragraph" w:customStyle="1" w:styleId="93">
    <w:name w:val="my正文"/>
    <w:basedOn w:val="1"/>
    <w:link w:val="92"/>
    <w:qFormat/>
    <w:uiPriority w:val="0"/>
    <w:pPr>
      <w:spacing w:line="360" w:lineRule="auto"/>
      <w:ind w:firstLine="200" w:firstLineChars="200"/>
    </w:pPr>
    <w:rPr>
      <w:kern w:val="2"/>
    </w:rPr>
  </w:style>
  <w:style w:type="character" w:customStyle="1" w:styleId="94">
    <w:name w:val="批注文字 Char"/>
    <w:qFormat/>
    <w:uiPriority w:val="99"/>
    <w:rPr>
      <w:kern w:val="2"/>
      <w:sz w:val="24"/>
      <w:szCs w:val="22"/>
    </w:rPr>
  </w:style>
  <w:style w:type="character" w:customStyle="1" w:styleId="95">
    <w:name w:val="正文文本 Char1"/>
    <w:qFormat/>
    <w:uiPriority w:val="0"/>
    <w:rPr>
      <w:rFonts w:hint="eastAsia" w:ascii="宋体" w:hAnsi="宋体" w:eastAsia="宋体" w:cs="宋体"/>
      <w:b/>
      <w:color w:val="000000"/>
      <w:sz w:val="72"/>
    </w:rPr>
  </w:style>
  <w:style w:type="character" w:customStyle="1" w:styleId="96">
    <w:name w:val="正文文本缩进 字符"/>
    <w:link w:val="23"/>
    <w:qFormat/>
    <w:uiPriority w:val="0"/>
    <w:rPr>
      <w:rFonts w:ascii="Times New Roman" w:hAnsi="Times New Roman"/>
      <w:b/>
      <w:bCs/>
      <w:sz w:val="24"/>
      <w:szCs w:val="24"/>
    </w:rPr>
  </w:style>
  <w:style w:type="character" w:customStyle="1" w:styleId="97">
    <w:name w:val="正文首行缩进 Char1"/>
    <w:qFormat/>
    <w:uiPriority w:val="0"/>
    <w:rPr>
      <w:rFonts w:eastAsia="仿宋_GB2312"/>
      <w:kern w:val="2"/>
      <w:sz w:val="28"/>
      <w:szCs w:val="24"/>
    </w:rPr>
  </w:style>
  <w:style w:type="character" w:customStyle="1" w:styleId="98">
    <w:name w:val="普通文字 Char Char3"/>
    <w:qFormat/>
    <w:uiPriority w:val="0"/>
    <w:rPr>
      <w:rFonts w:ascii="宋体" w:hAnsi="Courier New" w:eastAsia="宋体" w:cs="Courier New"/>
      <w:kern w:val="2"/>
      <w:sz w:val="21"/>
      <w:szCs w:val="21"/>
      <w:lang w:val="en-US" w:eastAsia="zh-CN" w:bidi="ar-SA"/>
    </w:rPr>
  </w:style>
  <w:style w:type="character" w:customStyle="1" w:styleId="99">
    <w:name w:val="样式 段前: 0.5 行 段后: 0.5 行 Char Char"/>
    <w:link w:val="100"/>
    <w:qFormat/>
    <w:uiPriority w:val="0"/>
    <w:rPr>
      <w:rFonts w:ascii="仿宋_GB2312" w:eastAsia="仿宋_GB2312"/>
      <w:color w:val="000000"/>
      <w:sz w:val="28"/>
      <w:szCs w:val="28"/>
      <w:lang w:bidi="ar-SA"/>
    </w:rPr>
  </w:style>
  <w:style w:type="paragraph" w:customStyle="1" w:styleId="100">
    <w:name w:val="样式 段前: 0.5 行 段后: 0.5 行"/>
    <w:basedOn w:val="1"/>
    <w:link w:val="99"/>
    <w:qFormat/>
    <w:uiPriority w:val="0"/>
    <w:pPr>
      <w:adjustRightInd w:val="0"/>
      <w:snapToGrid w:val="0"/>
      <w:spacing w:beforeLines="50" w:afterLines="50" w:line="360" w:lineRule="auto"/>
      <w:ind w:firstLine="480" w:firstLineChars="200"/>
    </w:pPr>
    <w:rPr>
      <w:rFonts w:ascii="仿宋_GB2312" w:eastAsia="仿宋_GB2312"/>
      <w:color w:val="000000"/>
      <w:sz w:val="28"/>
      <w:szCs w:val="28"/>
    </w:rPr>
  </w:style>
  <w:style w:type="character" w:customStyle="1" w:styleId="101">
    <w:name w:val="font31"/>
    <w:qFormat/>
    <w:uiPriority w:val="0"/>
    <w:rPr>
      <w:rFonts w:ascii="Calibri" w:hAnsi="Calibri" w:cs="Calibri"/>
      <w:color w:val="000000"/>
      <w:sz w:val="21"/>
      <w:szCs w:val="21"/>
      <w:u w:val="none"/>
    </w:rPr>
  </w:style>
  <w:style w:type="character" w:customStyle="1" w:styleId="102">
    <w:name w:val="标题 6 Char"/>
    <w:qFormat/>
    <w:uiPriority w:val="0"/>
    <w:rPr>
      <w:rFonts w:ascii="Arial" w:hAnsi="Arial" w:eastAsia="黑体" w:cs="Times New Roman"/>
      <w:b/>
      <w:bCs/>
      <w:sz w:val="24"/>
      <w:szCs w:val="24"/>
    </w:rPr>
  </w:style>
  <w:style w:type="character" w:customStyle="1" w:styleId="103">
    <w:name w:val="三级目录 Char Char"/>
    <w:link w:val="104"/>
    <w:qFormat/>
    <w:uiPriority w:val="0"/>
    <w:rPr>
      <w:rFonts w:ascii="Cambria" w:hAnsi="Cambria" w:eastAsia="楷体"/>
      <w:b/>
      <w:bCs/>
      <w:color w:val="000000"/>
      <w:sz w:val="26"/>
      <w:szCs w:val="26"/>
      <w:lang w:val="en-GB" w:bidi="ar-SA"/>
    </w:rPr>
  </w:style>
  <w:style w:type="paragraph" w:customStyle="1" w:styleId="104">
    <w:name w:val="三级目录"/>
    <w:basedOn w:val="5"/>
    <w:link w:val="103"/>
    <w:qFormat/>
    <w:uiPriority w:val="0"/>
    <w:pPr>
      <w:numPr>
        <w:ilvl w:val="0"/>
        <w:numId w:val="0"/>
      </w:numPr>
      <w:spacing w:before="240" w:after="0" w:line="276" w:lineRule="auto"/>
      <w:ind w:left="1418" w:hanging="567"/>
    </w:pPr>
    <w:rPr>
      <w:rFonts w:ascii="Cambria" w:hAnsi="Cambria" w:eastAsia="楷体"/>
      <w:color w:val="000000"/>
      <w:sz w:val="26"/>
      <w:szCs w:val="26"/>
      <w:lang w:val="en-GB"/>
    </w:rPr>
  </w:style>
  <w:style w:type="character" w:customStyle="1" w:styleId="105">
    <w:name w:val="正文文本缩进 2 Char1"/>
    <w:link w:val="106"/>
    <w:qFormat/>
    <w:uiPriority w:val="0"/>
    <w:rPr>
      <w:rFonts w:ascii="Calibri" w:hAnsi="Calibri" w:eastAsia="仿宋_GB2312"/>
      <w:kern w:val="2"/>
      <w:sz w:val="24"/>
      <w:szCs w:val="22"/>
      <w:lang w:bidi="ar-SA"/>
    </w:rPr>
  </w:style>
  <w:style w:type="paragraph" w:customStyle="1" w:styleId="106">
    <w:name w:val="正文文本缩进 22"/>
    <w:basedOn w:val="1"/>
    <w:link w:val="105"/>
    <w:qFormat/>
    <w:uiPriority w:val="0"/>
    <w:pPr>
      <w:spacing w:after="120" w:line="480" w:lineRule="auto"/>
      <w:ind w:left="420" w:leftChars="200" w:firstLine="200" w:firstLineChars="200"/>
    </w:pPr>
    <w:rPr>
      <w:rFonts w:ascii="Calibri" w:hAnsi="Calibri" w:eastAsia="仿宋_GB2312"/>
      <w:kern w:val="2"/>
      <w:szCs w:val="22"/>
    </w:rPr>
  </w:style>
  <w:style w:type="character" w:customStyle="1" w:styleId="107">
    <w:name w:val="方案正文 Char Char"/>
    <w:link w:val="108"/>
    <w:qFormat/>
    <w:uiPriority w:val="0"/>
    <w:rPr>
      <w:rFonts w:eastAsia="宋体"/>
      <w:kern w:val="2"/>
      <w:sz w:val="24"/>
      <w:szCs w:val="24"/>
      <w:lang w:val="en-US" w:eastAsia="zh-CN" w:bidi="ar-SA"/>
    </w:rPr>
  </w:style>
  <w:style w:type="paragraph" w:customStyle="1" w:styleId="108">
    <w:name w:val="方案正文"/>
    <w:basedOn w:val="1"/>
    <w:link w:val="107"/>
    <w:qFormat/>
    <w:uiPriority w:val="0"/>
    <w:pPr>
      <w:adjustRightInd w:val="0"/>
      <w:snapToGrid w:val="0"/>
      <w:spacing w:line="360" w:lineRule="auto"/>
      <w:ind w:firstLine="480" w:firstLineChars="200"/>
    </w:pPr>
    <w:rPr>
      <w:kern w:val="2"/>
    </w:rPr>
  </w:style>
  <w:style w:type="character" w:customStyle="1" w:styleId="109">
    <w:name w:val="标题 9 字符1"/>
    <w:link w:val="12"/>
    <w:qFormat/>
    <w:uiPriority w:val="0"/>
    <w:rPr>
      <w:rFonts w:ascii="Arial" w:hAnsi="Arial" w:eastAsia="黑体"/>
      <w:kern w:val="2"/>
      <w:sz w:val="21"/>
      <w:szCs w:val="21"/>
    </w:rPr>
  </w:style>
  <w:style w:type="character" w:customStyle="1" w:styleId="110">
    <w:name w:val="批注文字 Char1"/>
    <w:semiHidden/>
    <w:qFormat/>
    <w:uiPriority w:val="0"/>
    <w:rPr>
      <w:rFonts w:ascii="Calibri" w:hAnsi="Calibri" w:eastAsia="宋体" w:cs="Times New Roman"/>
      <w:sz w:val="24"/>
      <w:szCs w:val="24"/>
    </w:rPr>
  </w:style>
  <w:style w:type="character" w:customStyle="1" w:styleId="111">
    <w:name w:val="规范正文 Char"/>
    <w:link w:val="112"/>
    <w:qFormat/>
    <w:uiPriority w:val="0"/>
    <w:rPr>
      <w:rFonts w:eastAsia="宋体"/>
      <w:sz w:val="24"/>
      <w:lang w:val="en-US" w:eastAsia="zh-CN" w:bidi="ar-SA"/>
    </w:rPr>
  </w:style>
  <w:style w:type="paragraph" w:customStyle="1" w:styleId="112">
    <w:name w:val="规范正文"/>
    <w:basedOn w:val="1"/>
    <w:link w:val="111"/>
    <w:qFormat/>
    <w:uiPriority w:val="0"/>
    <w:pPr>
      <w:adjustRightInd w:val="0"/>
      <w:spacing w:beforeLines="50" w:line="360" w:lineRule="auto"/>
      <w:ind w:firstLine="480" w:firstLineChars="200"/>
      <w:textAlignment w:val="baseline"/>
    </w:pPr>
    <w:rPr>
      <w:szCs w:val="20"/>
    </w:rPr>
  </w:style>
  <w:style w:type="character" w:customStyle="1" w:styleId="113">
    <w:name w:val="标题 3 字符1"/>
    <w:link w:val="6"/>
    <w:qFormat/>
    <w:uiPriority w:val="0"/>
    <w:rPr>
      <w:b/>
      <w:bCs/>
      <w:sz w:val="32"/>
      <w:szCs w:val="32"/>
    </w:rPr>
  </w:style>
  <w:style w:type="character" w:customStyle="1" w:styleId="114">
    <w:name w:val="标题 8 Char"/>
    <w:qFormat/>
    <w:uiPriority w:val="0"/>
    <w:rPr>
      <w:rFonts w:ascii="Arial" w:hAnsi="Arial" w:eastAsia="黑体" w:cs="Times New Roman"/>
      <w:sz w:val="24"/>
      <w:szCs w:val="24"/>
    </w:rPr>
  </w:style>
  <w:style w:type="character" w:customStyle="1" w:styleId="115">
    <w:name w:val="彩色列表 - 强调文字颜色 1 Char"/>
    <w:link w:val="116"/>
    <w:qFormat/>
    <w:uiPriority w:val="0"/>
    <w:rPr>
      <w:rFonts w:ascii="Calibri" w:hAnsi="Calibri"/>
      <w:kern w:val="2"/>
      <w:sz w:val="21"/>
      <w:szCs w:val="22"/>
      <w:lang w:bidi="ar-SA"/>
    </w:rPr>
  </w:style>
  <w:style w:type="paragraph" w:customStyle="1" w:styleId="116">
    <w:name w:val="彩色列表 - 强调文字颜色 11"/>
    <w:basedOn w:val="1"/>
    <w:link w:val="115"/>
    <w:qFormat/>
    <w:uiPriority w:val="0"/>
    <w:pPr>
      <w:ind w:firstLine="420" w:firstLineChars="200"/>
    </w:pPr>
    <w:rPr>
      <w:rFonts w:ascii="Calibri" w:hAnsi="Calibri"/>
      <w:kern w:val="2"/>
      <w:sz w:val="21"/>
      <w:szCs w:val="22"/>
    </w:rPr>
  </w:style>
  <w:style w:type="character" w:customStyle="1" w:styleId="117">
    <w:name w:val="Table Text Char1"/>
    <w:link w:val="118"/>
    <w:qFormat/>
    <w:locked/>
    <w:uiPriority w:val="0"/>
    <w:rPr>
      <w:rFonts w:ascii="Arial" w:hAnsi="Arial" w:eastAsia="宋体"/>
      <w:sz w:val="18"/>
      <w:lang w:val="en-US" w:eastAsia="zh-CN" w:bidi="ar-SA"/>
    </w:rPr>
  </w:style>
  <w:style w:type="paragraph" w:customStyle="1" w:styleId="118">
    <w:name w:val="Table Text"/>
    <w:basedOn w:val="1"/>
    <w:link w:val="117"/>
    <w:qFormat/>
    <w:uiPriority w:val="0"/>
    <w:pPr>
      <w:tabs>
        <w:tab w:val="decimal" w:pos="0"/>
      </w:tabs>
      <w:autoSpaceDE w:val="0"/>
      <w:autoSpaceDN w:val="0"/>
      <w:adjustRightInd w:val="0"/>
      <w:spacing w:before="80" w:after="80"/>
    </w:pPr>
    <w:rPr>
      <w:rFonts w:ascii="Arial" w:hAnsi="Arial"/>
      <w:sz w:val="18"/>
      <w:szCs w:val="20"/>
    </w:rPr>
  </w:style>
  <w:style w:type="character" w:customStyle="1" w:styleId="119">
    <w:name w:val="标题 7 字符"/>
    <w:link w:val="10"/>
    <w:qFormat/>
    <w:uiPriority w:val="0"/>
    <w:rPr>
      <w:b/>
      <w:bCs/>
      <w:kern w:val="2"/>
      <w:sz w:val="24"/>
      <w:szCs w:val="24"/>
    </w:rPr>
  </w:style>
  <w:style w:type="character" w:customStyle="1" w:styleId="120">
    <w:name w:val="font01"/>
    <w:qFormat/>
    <w:uiPriority w:val="0"/>
    <w:rPr>
      <w:rFonts w:ascii="Arial" w:hAnsi="Arial" w:cs="Arial"/>
      <w:color w:val="000000"/>
      <w:sz w:val="20"/>
      <w:szCs w:val="20"/>
      <w:u w:val="none"/>
    </w:rPr>
  </w:style>
  <w:style w:type="character" w:customStyle="1" w:styleId="121">
    <w:name w:val="正文段 Char Char"/>
    <w:link w:val="122"/>
    <w:qFormat/>
    <w:uiPriority w:val="0"/>
    <w:rPr>
      <w:rFonts w:ascii="宋体" w:hAnsi="Calibri"/>
      <w:kern w:val="2"/>
      <w:sz w:val="24"/>
      <w:szCs w:val="22"/>
      <w:lang w:bidi="ar-SA"/>
    </w:rPr>
  </w:style>
  <w:style w:type="paragraph" w:customStyle="1" w:styleId="122">
    <w:name w:val="正文段"/>
    <w:basedOn w:val="1"/>
    <w:link w:val="121"/>
    <w:qFormat/>
    <w:uiPriority w:val="0"/>
    <w:pPr>
      <w:adjustRightInd w:val="0"/>
      <w:snapToGrid w:val="0"/>
      <w:spacing w:line="360" w:lineRule="atLeast"/>
      <w:ind w:firstLine="454"/>
      <w:textAlignment w:val="bottom"/>
    </w:pPr>
    <w:rPr>
      <w:rFonts w:ascii="宋体" w:hAnsi="Calibri"/>
      <w:kern w:val="2"/>
      <w:szCs w:val="22"/>
    </w:rPr>
  </w:style>
  <w:style w:type="character" w:customStyle="1" w:styleId="123">
    <w:name w:val="正文文本缩进 3 Char"/>
    <w:link w:val="124"/>
    <w:qFormat/>
    <w:uiPriority w:val="0"/>
    <w:rPr>
      <w:rFonts w:ascii="Calibri" w:hAnsi="Calibri" w:eastAsia="仿宋_GB2312"/>
      <w:kern w:val="2"/>
      <w:sz w:val="16"/>
      <w:szCs w:val="16"/>
      <w:lang w:bidi="ar-SA"/>
    </w:rPr>
  </w:style>
  <w:style w:type="paragraph" w:customStyle="1" w:styleId="124">
    <w:name w:val="正文文本缩进 31"/>
    <w:basedOn w:val="1"/>
    <w:link w:val="123"/>
    <w:qFormat/>
    <w:uiPriority w:val="0"/>
    <w:pPr>
      <w:spacing w:after="120" w:line="360" w:lineRule="auto"/>
      <w:ind w:left="420" w:leftChars="200" w:firstLine="200" w:firstLineChars="200"/>
    </w:pPr>
    <w:rPr>
      <w:rFonts w:ascii="Calibri" w:hAnsi="Calibri" w:eastAsia="仿宋_GB2312"/>
      <w:kern w:val="2"/>
      <w:sz w:val="16"/>
      <w:szCs w:val="16"/>
    </w:rPr>
  </w:style>
  <w:style w:type="character" w:customStyle="1" w:styleId="125">
    <w:name w:val="Code Line Char"/>
    <w:link w:val="126"/>
    <w:qFormat/>
    <w:locked/>
    <w:uiPriority w:val="0"/>
    <w:rPr>
      <w:rFonts w:ascii="Calibri" w:hAnsi="Calibri" w:eastAsia="宋体"/>
      <w:i/>
      <w:szCs w:val="24"/>
      <w:shd w:val="clear" w:color="auto" w:fill="C6D9F1"/>
      <w:lang w:bidi="ar-SA"/>
    </w:rPr>
  </w:style>
  <w:style w:type="paragraph" w:customStyle="1" w:styleId="126">
    <w:name w:val="Code Line"/>
    <w:basedOn w:val="1"/>
    <w:link w:val="125"/>
    <w:qFormat/>
    <w:uiPriority w:val="0"/>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sz w:val="20"/>
      <w:shd w:val="clear" w:color="auto" w:fill="C6D9F1"/>
    </w:rPr>
  </w:style>
  <w:style w:type="character" w:customStyle="1" w:styleId="127">
    <w:name w:val="正文2 Char"/>
    <w:link w:val="128"/>
    <w:qFormat/>
    <w:uiPriority w:val="0"/>
    <w:rPr>
      <w:kern w:val="2"/>
      <w:sz w:val="24"/>
      <w:lang w:bidi="ar-SA"/>
    </w:rPr>
  </w:style>
  <w:style w:type="paragraph" w:customStyle="1" w:styleId="128">
    <w:name w:val="正文2"/>
    <w:basedOn w:val="1"/>
    <w:link w:val="127"/>
    <w:qFormat/>
    <w:uiPriority w:val="0"/>
    <w:pPr>
      <w:spacing w:before="156" w:line="360" w:lineRule="auto"/>
      <w:ind w:firstLine="510" w:firstLineChars="200"/>
    </w:pPr>
    <w:rPr>
      <w:kern w:val="2"/>
      <w:szCs w:val="20"/>
    </w:rPr>
  </w:style>
  <w:style w:type="character" w:customStyle="1" w:styleId="129">
    <w:name w:val="标题 1 Char"/>
    <w:qFormat/>
    <w:uiPriority w:val="9"/>
    <w:rPr>
      <w:rFonts w:ascii="宋体" w:hAnsi="宋体" w:eastAsia="宋体" w:cs="Times New Roman"/>
      <w:b/>
      <w:bCs/>
      <w:kern w:val="44"/>
      <w:sz w:val="32"/>
      <w:szCs w:val="28"/>
    </w:rPr>
  </w:style>
  <w:style w:type="character" w:customStyle="1" w:styleId="130">
    <w:name w:val="GP正文(无首行缩进) Char"/>
    <w:link w:val="131"/>
    <w:qFormat/>
    <w:uiPriority w:val="0"/>
    <w:rPr>
      <w:rFonts w:hAnsi="宋体"/>
      <w:kern w:val="2"/>
      <w:sz w:val="24"/>
      <w:szCs w:val="24"/>
      <w:lang w:bidi="ar-SA"/>
    </w:rPr>
  </w:style>
  <w:style w:type="paragraph" w:customStyle="1" w:styleId="131">
    <w:name w:val="GP正文(无首行缩进)"/>
    <w:basedOn w:val="132"/>
    <w:link w:val="130"/>
    <w:qFormat/>
    <w:uiPriority w:val="0"/>
    <w:pPr>
      <w:ind w:firstLine="480"/>
    </w:pPr>
    <w:rPr>
      <w:rFonts w:hAnsi="宋体"/>
      <w:kern w:val="2"/>
      <w:szCs w:val="24"/>
    </w:rPr>
  </w:style>
  <w:style w:type="paragraph" w:customStyle="1" w:styleId="132">
    <w:name w:val="GP正文(首行缩进)"/>
    <w:basedOn w:val="1"/>
    <w:qFormat/>
    <w:uiPriority w:val="0"/>
    <w:pPr>
      <w:spacing w:line="360" w:lineRule="auto"/>
      <w:ind w:firstLine="200" w:firstLineChars="200"/>
    </w:pPr>
    <w:rPr>
      <w:szCs w:val="21"/>
    </w:rPr>
  </w:style>
  <w:style w:type="character" w:customStyle="1" w:styleId="133">
    <w:name w:val="Notes Text in Table Char"/>
    <w:link w:val="134"/>
    <w:qFormat/>
    <w:locked/>
    <w:uiPriority w:val="0"/>
    <w:rPr>
      <w:rFonts w:ascii="Arial" w:hAnsi="Arial" w:eastAsia="楷体_GB2312" w:cs="Arial"/>
      <w:sz w:val="18"/>
      <w:szCs w:val="18"/>
      <w:lang w:val="en-US" w:eastAsia="zh-CN" w:bidi="ar-SA"/>
    </w:rPr>
  </w:style>
  <w:style w:type="paragraph" w:customStyle="1" w:styleId="134">
    <w:name w:val="Notes Text in Table"/>
    <w:link w:val="133"/>
    <w:qFormat/>
    <w:uiPriority w:val="0"/>
    <w:pPr>
      <w:keepLines/>
      <w:spacing w:before="80" w:after="80"/>
    </w:pPr>
    <w:rPr>
      <w:rFonts w:ascii="Arial" w:hAnsi="Arial" w:eastAsia="楷体_GB2312" w:cs="Arial"/>
      <w:sz w:val="18"/>
      <w:szCs w:val="18"/>
      <w:lang w:val="en-US" w:eastAsia="zh-CN" w:bidi="ar-SA"/>
    </w:rPr>
  </w:style>
  <w:style w:type="character" w:customStyle="1" w:styleId="135">
    <w:name w:val="纯文本 字符"/>
    <w:basedOn w:val="59"/>
    <w:link w:val="29"/>
    <w:qFormat/>
    <w:uiPriority w:val="0"/>
    <w:rPr>
      <w:rFonts w:ascii="宋体" w:hAnsi="Courier New" w:eastAsia="宋体" w:cs="Courier New"/>
      <w:kern w:val="2"/>
      <w:sz w:val="21"/>
      <w:szCs w:val="21"/>
      <w:lang w:val="en-US" w:eastAsia="zh-CN" w:bidi="ar-SA"/>
    </w:rPr>
  </w:style>
  <w:style w:type="character" w:customStyle="1" w:styleId="136">
    <w:name w:val="font51"/>
    <w:qFormat/>
    <w:uiPriority w:val="0"/>
    <w:rPr>
      <w:rFonts w:hint="eastAsia" w:ascii="微软雅黑" w:hAnsi="微软雅黑" w:eastAsia="微软雅黑" w:cs="微软雅黑"/>
      <w:b/>
      <w:color w:val="FF0000"/>
      <w:sz w:val="24"/>
      <w:szCs w:val="24"/>
      <w:u w:val="none"/>
    </w:rPr>
  </w:style>
  <w:style w:type="character" w:customStyle="1" w:styleId="137">
    <w:name w:val="页脚 字符1"/>
    <w:link w:val="35"/>
    <w:qFormat/>
    <w:uiPriority w:val="0"/>
    <w:rPr>
      <w:rFonts w:eastAsia="宋体"/>
      <w:kern w:val="2"/>
      <w:sz w:val="18"/>
      <w:szCs w:val="18"/>
      <w:lang w:val="en-US" w:eastAsia="zh-CN" w:bidi="ar-SA"/>
    </w:rPr>
  </w:style>
  <w:style w:type="character" w:customStyle="1" w:styleId="138">
    <w:name w:val="标准正文 Char"/>
    <w:link w:val="139"/>
    <w:qFormat/>
    <w:locked/>
    <w:uiPriority w:val="0"/>
    <w:rPr>
      <w:kern w:val="2"/>
      <w:sz w:val="24"/>
      <w:lang w:bidi="ar-SA"/>
    </w:rPr>
  </w:style>
  <w:style w:type="paragraph" w:customStyle="1" w:styleId="139">
    <w:name w:val="标准正文"/>
    <w:basedOn w:val="1"/>
    <w:link w:val="138"/>
    <w:qFormat/>
    <w:uiPriority w:val="0"/>
    <w:pPr>
      <w:spacing w:before="156" w:after="156" w:line="360" w:lineRule="auto"/>
      <w:ind w:firstLine="480" w:firstLineChars="200"/>
    </w:pPr>
    <w:rPr>
      <w:kern w:val="2"/>
      <w:szCs w:val="20"/>
    </w:rPr>
  </w:style>
  <w:style w:type="character" w:customStyle="1" w:styleId="140">
    <w:name w:val="标题 3 Char1"/>
    <w:qFormat/>
    <w:uiPriority w:val="0"/>
    <w:rPr>
      <w:b/>
      <w:sz w:val="32"/>
      <w:szCs w:val="32"/>
    </w:rPr>
  </w:style>
  <w:style w:type="character" w:customStyle="1" w:styleId="141">
    <w:name w:val="3级标题 Char"/>
    <w:link w:val="142"/>
    <w:qFormat/>
    <w:uiPriority w:val="99"/>
    <w:rPr>
      <w:rFonts w:ascii="黑体" w:hAnsi="黑体"/>
      <w:b/>
      <w:szCs w:val="36"/>
      <w:lang w:eastAsia="en-US" w:bidi="en-US"/>
    </w:rPr>
  </w:style>
  <w:style w:type="paragraph" w:customStyle="1" w:styleId="142">
    <w:name w:val="3级标题"/>
    <w:basedOn w:val="143"/>
    <w:link w:val="141"/>
    <w:qFormat/>
    <w:uiPriority w:val="99"/>
    <w:pPr>
      <w:keepLines/>
      <w:tabs>
        <w:tab w:val="left" w:pos="360"/>
      </w:tabs>
      <w:spacing w:before="120" w:after="120"/>
      <w:ind w:left="360" w:firstLine="0" w:firstLineChars="0"/>
      <w:contextualSpacing/>
      <w:outlineLvl w:val="2"/>
    </w:pPr>
    <w:rPr>
      <w:rFonts w:ascii="黑体" w:hAnsi="黑体" w:cs="Times New Roman"/>
      <w:b/>
      <w:sz w:val="20"/>
      <w:szCs w:val="36"/>
      <w:lang w:eastAsia="en-US" w:bidi="en-US"/>
    </w:rPr>
  </w:style>
  <w:style w:type="paragraph" w:customStyle="1" w:styleId="143">
    <w:name w:val="列出段落111"/>
    <w:basedOn w:val="1"/>
    <w:qFormat/>
    <w:uiPriority w:val="0"/>
    <w:pPr>
      <w:ind w:firstLine="420" w:firstLineChars="200"/>
    </w:pPr>
    <w:rPr>
      <w:rFonts w:ascii="Calibri" w:hAnsi="Calibri" w:cs="黑体"/>
      <w:szCs w:val="22"/>
    </w:rPr>
  </w:style>
  <w:style w:type="character" w:customStyle="1" w:styleId="144">
    <w:name w:val="样式3 Char Char"/>
    <w:link w:val="145"/>
    <w:qFormat/>
    <w:uiPriority w:val="0"/>
    <w:rPr>
      <w:rFonts w:eastAsia="宋体" w:cs="宋体"/>
      <w:b/>
      <w:bCs/>
      <w:kern w:val="2"/>
      <w:sz w:val="32"/>
      <w:szCs w:val="32"/>
      <w:lang w:val="en-US" w:eastAsia="zh-CN" w:bidi="ar-SA"/>
    </w:rPr>
  </w:style>
  <w:style w:type="paragraph" w:customStyle="1" w:styleId="145">
    <w:name w:val="样式3"/>
    <w:basedOn w:val="6"/>
    <w:link w:val="144"/>
    <w:qFormat/>
    <w:uiPriority w:val="0"/>
    <w:pPr>
      <w:keepNext w:val="0"/>
      <w:keepLines w:val="0"/>
      <w:numPr>
        <w:ilvl w:val="0"/>
        <w:numId w:val="0"/>
      </w:numPr>
      <w:spacing w:before="60" w:after="60" w:line="360" w:lineRule="auto"/>
      <w:ind w:left="397"/>
    </w:pPr>
    <w:rPr>
      <w:rFonts w:cs="宋体"/>
      <w:kern w:val="2"/>
    </w:rPr>
  </w:style>
  <w:style w:type="character" w:customStyle="1" w:styleId="146">
    <w:name w:val="样式001 Char Char"/>
    <w:link w:val="147"/>
    <w:qFormat/>
    <w:uiPriority w:val="0"/>
    <w:rPr>
      <w:rFonts w:ascii="宋体" w:eastAsia="仿宋_GB2312"/>
      <w:color w:val="000000"/>
      <w:sz w:val="24"/>
      <w:szCs w:val="28"/>
      <w:lang w:bidi="ar-SA"/>
    </w:rPr>
  </w:style>
  <w:style w:type="paragraph" w:customStyle="1" w:styleId="147">
    <w:name w:val="样式001"/>
    <w:basedOn w:val="1"/>
    <w:link w:val="146"/>
    <w:qFormat/>
    <w:uiPriority w:val="0"/>
    <w:pPr>
      <w:adjustRightInd w:val="0"/>
      <w:snapToGrid w:val="0"/>
      <w:spacing w:beforeLines="50" w:afterLines="50" w:line="360" w:lineRule="auto"/>
      <w:ind w:firstLine="480" w:firstLineChars="200"/>
    </w:pPr>
    <w:rPr>
      <w:rFonts w:ascii="宋体" w:eastAsia="仿宋_GB2312"/>
      <w:color w:val="000000"/>
      <w:szCs w:val="28"/>
    </w:rPr>
  </w:style>
  <w:style w:type="character" w:customStyle="1" w:styleId="148">
    <w:name w:val="样式4 Char Char"/>
    <w:link w:val="149"/>
    <w:qFormat/>
    <w:uiPriority w:val="0"/>
    <w:rPr>
      <w:rFonts w:eastAsia="宋体"/>
      <w:b/>
      <w:bCs/>
      <w:kern w:val="2"/>
      <w:sz w:val="30"/>
      <w:szCs w:val="30"/>
      <w:lang w:val="en-US" w:eastAsia="zh-CN" w:bidi="ar-SA"/>
    </w:rPr>
  </w:style>
  <w:style w:type="paragraph" w:customStyle="1" w:styleId="149">
    <w:name w:val="样式4"/>
    <w:basedOn w:val="7"/>
    <w:link w:val="148"/>
    <w:qFormat/>
    <w:uiPriority w:val="0"/>
    <w:pPr>
      <w:keepNext w:val="0"/>
      <w:keepLines w:val="0"/>
      <w:spacing w:before="60" w:after="60" w:line="360" w:lineRule="auto"/>
      <w:ind w:left="315" w:leftChars="150"/>
    </w:pPr>
    <w:rPr>
      <w:rFonts w:ascii="Times New Roman" w:hAnsi="Times New Roman" w:eastAsia="宋体"/>
      <w:sz w:val="30"/>
      <w:szCs w:val="30"/>
    </w:rPr>
  </w:style>
  <w:style w:type="character" w:customStyle="1" w:styleId="150">
    <w:name w:val="普通文字 Char Char1"/>
    <w:qFormat/>
    <w:uiPriority w:val="0"/>
    <w:rPr>
      <w:rFonts w:ascii="宋体" w:hAnsi="Courier New" w:eastAsia="宋体" w:cs="Courier New"/>
      <w:kern w:val="2"/>
      <w:sz w:val="21"/>
      <w:szCs w:val="21"/>
      <w:lang w:val="en-US" w:eastAsia="zh-CN" w:bidi="ar-SA"/>
    </w:rPr>
  </w:style>
  <w:style w:type="character" w:customStyle="1" w:styleId="151">
    <w:name w:val="列表符号 Char1"/>
    <w:link w:val="152"/>
    <w:qFormat/>
    <w:uiPriority w:val="0"/>
    <w:rPr>
      <w:rFonts w:ascii="宋体" w:hAnsi="宋体"/>
      <w:bCs/>
      <w:kern w:val="21"/>
      <w:sz w:val="24"/>
      <w:szCs w:val="24"/>
      <w:lang w:val="zh-CN" w:bidi="ar-SA"/>
    </w:rPr>
  </w:style>
  <w:style w:type="paragraph" w:customStyle="1" w:styleId="152">
    <w:name w:val="列表符号"/>
    <w:basedOn w:val="1"/>
    <w:next w:val="1"/>
    <w:link w:val="151"/>
    <w:qFormat/>
    <w:uiPriority w:val="0"/>
    <w:pPr>
      <w:tabs>
        <w:tab w:val="left" w:pos="1095"/>
      </w:tabs>
      <w:spacing w:line="360" w:lineRule="auto"/>
      <w:ind w:left="1095" w:hanging="1095"/>
    </w:pPr>
    <w:rPr>
      <w:rFonts w:ascii="宋体" w:hAnsi="宋体"/>
      <w:bCs/>
      <w:kern w:val="21"/>
      <w:lang w:val="zh-CN"/>
    </w:rPr>
  </w:style>
  <w:style w:type="character" w:customStyle="1" w:styleId="153">
    <w:name w:val="标题 4 字符"/>
    <w:link w:val="7"/>
    <w:qFormat/>
    <w:uiPriority w:val="0"/>
    <w:rPr>
      <w:rFonts w:ascii="Arial" w:hAnsi="Arial" w:eastAsia="黑体"/>
      <w:b/>
      <w:bCs/>
      <w:kern w:val="2"/>
      <w:sz w:val="28"/>
      <w:szCs w:val="28"/>
    </w:rPr>
  </w:style>
  <w:style w:type="character" w:customStyle="1" w:styleId="154">
    <w:name w:val="标题 5 Char1"/>
    <w:qFormat/>
    <w:uiPriority w:val="0"/>
    <w:rPr>
      <w:rFonts w:eastAsia="宋体"/>
      <w:b/>
      <w:bCs/>
      <w:kern w:val="2"/>
      <w:sz w:val="28"/>
      <w:szCs w:val="28"/>
      <w:lang w:val="en-US" w:eastAsia="zh-CN" w:bidi="ar-SA"/>
    </w:rPr>
  </w:style>
  <w:style w:type="character" w:customStyle="1" w:styleId="155">
    <w:name w:val="font21"/>
    <w:qFormat/>
    <w:uiPriority w:val="0"/>
    <w:rPr>
      <w:rFonts w:hint="eastAsia" w:ascii="微软雅黑" w:hAnsi="微软雅黑" w:eastAsia="微软雅黑" w:cs="微软雅黑"/>
      <w:color w:val="000000"/>
      <w:sz w:val="24"/>
      <w:szCs w:val="24"/>
      <w:u w:val="none"/>
    </w:rPr>
  </w:style>
  <w:style w:type="character" w:customStyle="1" w:styleId="156">
    <w:name w:val="批注框文本 字符1"/>
    <w:link w:val="34"/>
    <w:qFormat/>
    <w:uiPriority w:val="0"/>
    <w:rPr>
      <w:rFonts w:eastAsia="宋体"/>
      <w:kern w:val="2"/>
      <w:sz w:val="18"/>
      <w:szCs w:val="18"/>
      <w:lang w:val="en-US" w:eastAsia="zh-CN" w:bidi="ar-SA"/>
    </w:rPr>
  </w:style>
  <w:style w:type="character" w:customStyle="1" w:styleId="157">
    <w:name w:val="标题 9 Char"/>
    <w:qFormat/>
    <w:uiPriority w:val="0"/>
    <w:rPr>
      <w:rFonts w:ascii="Arial" w:hAnsi="Arial" w:eastAsia="黑体" w:cs="Times New Roman"/>
      <w:sz w:val="24"/>
      <w:szCs w:val="21"/>
    </w:rPr>
  </w:style>
  <w:style w:type="character" w:customStyle="1" w:styleId="158">
    <w:name w:val="普通文字 Char Char2"/>
    <w:qFormat/>
    <w:uiPriority w:val="0"/>
    <w:rPr>
      <w:rFonts w:ascii="宋体" w:hAnsi="Courier New" w:eastAsia="宋体"/>
      <w:sz w:val="21"/>
      <w:szCs w:val="21"/>
      <w:lang w:val="en-US" w:eastAsia="zh-CN" w:bidi="ar-SA"/>
    </w:rPr>
  </w:style>
  <w:style w:type="character" w:customStyle="1" w:styleId="159">
    <w:name w:val="10"/>
    <w:qFormat/>
    <w:uiPriority w:val="0"/>
    <w:rPr>
      <w:rFonts w:hint="default" w:ascii="Times New Roman" w:hAnsi="Times New Roman" w:cs="Times New Roman"/>
    </w:rPr>
  </w:style>
  <w:style w:type="character" w:customStyle="1" w:styleId="160">
    <w:name w:val="正文文本 2 Char"/>
    <w:link w:val="161"/>
    <w:qFormat/>
    <w:uiPriority w:val="0"/>
    <w:rPr>
      <w:rFonts w:ascii="Calibri" w:hAnsi="Calibri" w:eastAsia="仿宋_GB2312"/>
      <w:kern w:val="2"/>
      <w:sz w:val="24"/>
      <w:szCs w:val="22"/>
      <w:lang w:bidi="ar-SA"/>
    </w:rPr>
  </w:style>
  <w:style w:type="paragraph" w:customStyle="1" w:styleId="161">
    <w:name w:val="正文文本 21"/>
    <w:basedOn w:val="1"/>
    <w:link w:val="160"/>
    <w:qFormat/>
    <w:uiPriority w:val="0"/>
    <w:pPr>
      <w:spacing w:after="120" w:line="480" w:lineRule="auto"/>
      <w:ind w:firstLine="200" w:firstLineChars="200"/>
    </w:pPr>
    <w:rPr>
      <w:rFonts w:ascii="Calibri" w:hAnsi="Calibri" w:eastAsia="仿宋_GB2312"/>
      <w:kern w:val="2"/>
      <w:szCs w:val="22"/>
    </w:rPr>
  </w:style>
  <w:style w:type="character" w:customStyle="1" w:styleId="162">
    <w:name w:val="Item List Char Char"/>
    <w:link w:val="163"/>
    <w:qFormat/>
    <w:locked/>
    <w:uiPriority w:val="0"/>
    <w:rPr>
      <w:rFonts w:ascii="Arial" w:hAnsi="Arial" w:eastAsia="Times New Roman"/>
      <w:b/>
      <w:bCs/>
      <w:lang w:val="en-US" w:eastAsia="zh-CN" w:bidi="ar-SA"/>
    </w:rPr>
  </w:style>
  <w:style w:type="paragraph" w:customStyle="1" w:styleId="163">
    <w:name w:val="Item List"/>
    <w:link w:val="162"/>
    <w:qFormat/>
    <w:uiPriority w:val="0"/>
    <w:pPr>
      <w:tabs>
        <w:tab w:val="left" w:pos="482"/>
      </w:tabs>
      <w:spacing w:line="360" w:lineRule="auto"/>
      <w:jc w:val="both"/>
    </w:pPr>
    <w:rPr>
      <w:rFonts w:ascii="Arial" w:hAnsi="Arial" w:eastAsia="Times New Roman" w:cs="Times New Roman"/>
      <w:b/>
      <w:bCs/>
      <w:lang w:val="en-US" w:eastAsia="zh-CN" w:bidi="ar-SA"/>
    </w:rPr>
  </w:style>
  <w:style w:type="character" w:customStyle="1" w:styleId="164">
    <w:name w:val="正文（缩进） Char"/>
    <w:link w:val="165"/>
    <w:qFormat/>
    <w:uiPriority w:val="0"/>
    <w:rPr>
      <w:rFonts w:ascii="宋体" w:hAnsi="宋体"/>
      <w:kern w:val="2"/>
      <w:sz w:val="21"/>
      <w:szCs w:val="21"/>
    </w:rPr>
  </w:style>
  <w:style w:type="paragraph" w:customStyle="1" w:styleId="165">
    <w:name w:val="正文（缩进）"/>
    <w:basedOn w:val="1"/>
    <w:link w:val="164"/>
    <w:qFormat/>
    <w:uiPriority w:val="0"/>
    <w:pPr>
      <w:spacing w:line="360" w:lineRule="auto"/>
      <w:ind w:firstLine="420" w:firstLineChars="200"/>
    </w:pPr>
    <w:rPr>
      <w:rFonts w:ascii="宋体" w:hAnsi="宋体"/>
      <w:kern w:val="2"/>
      <w:sz w:val="21"/>
      <w:szCs w:val="21"/>
    </w:rPr>
  </w:style>
  <w:style w:type="character" w:customStyle="1" w:styleId="166">
    <w:name w:val="列出段落 字符1"/>
    <w:qFormat/>
    <w:uiPriority w:val="0"/>
    <w:rPr>
      <w:kern w:val="2"/>
      <w:sz w:val="21"/>
      <w:szCs w:val="22"/>
    </w:rPr>
  </w:style>
  <w:style w:type="character" w:customStyle="1" w:styleId="167">
    <w:name w:val="正文首行缩进 字符"/>
    <w:link w:val="3"/>
    <w:qFormat/>
    <w:locked/>
    <w:uiPriority w:val="0"/>
    <w:rPr>
      <w:rFonts w:eastAsia="宋体"/>
      <w:kern w:val="2"/>
      <w:sz w:val="21"/>
      <w:szCs w:val="24"/>
      <w:lang w:val="en-US" w:eastAsia="zh-CN" w:bidi="ar-SA"/>
    </w:rPr>
  </w:style>
  <w:style w:type="character" w:customStyle="1" w:styleId="168">
    <w:name w:val="新编正文 Char Char"/>
    <w:link w:val="169"/>
    <w:qFormat/>
    <w:uiPriority w:val="0"/>
    <w:rPr>
      <w:kern w:val="2"/>
      <w:sz w:val="24"/>
      <w:lang w:bidi="ar-SA"/>
    </w:rPr>
  </w:style>
  <w:style w:type="paragraph" w:customStyle="1" w:styleId="169">
    <w:name w:val="新编正文"/>
    <w:basedOn w:val="1"/>
    <w:link w:val="168"/>
    <w:qFormat/>
    <w:uiPriority w:val="0"/>
    <w:pPr>
      <w:spacing w:before="60" w:after="60" w:line="360" w:lineRule="auto"/>
      <w:ind w:firstLine="420"/>
    </w:pPr>
    <w:rPr>
      <w:kern w:val="2"/>
      <w:szCs w:val="20"/>
    </w:rPr>
  </w:style>
  <w:style w:type="character" w:customStyle="1" w:styleId="170">
    <w:name w:val="正文缩进 字符"/>
    <w:link w:val="16"/>
    <w:qFormat/>
    <w:uiPriority w:val="0"/>
    <w:rPr>
      <w:rFonts w:eastAsia="宋体"/>
      <w:kern w:val="2"/>
      <w:sz w:val="28"/>
      <w:lang w:val="en-US" w:eastAsia="zh-CN" w:bidi="ar-SA"/>
    </w:rPr>
  </w:style>
  <w:style w:type="character" w:customStyle="1" w:styleId="171">
    <w:name w:val="样式3 Char"/>
    <w:qFormat/>
    <w:uiPriority w:val="0"/>
    <w:rPr>
      <w:rFonts w:ascii="Times New Roman" w:hAnsi="Times New Roman" w:eastAsia="宋体" w:cs="Times New Roman"/>
      <w:b/>
      <w:bCs/>
      <w:sz w:val="32"/>
      <w:szCs w:val="32"/>
    </w:rPr>
  </w:style>
  <w:style w:type="character" w:customStyle="1" w:styleId="172">
    <w:name w:val="*正文 Char"/>
    <w:link w:val="173"/>
    <w:qFormat/>
    <w:uiPriority w:val="0"/>
    <w:rPr>
      <w:rFonts w:ascii="宋体" w:hAnsi="宋体" w:eastAsia="宋体"/>
      <w:kern w:val="2"/>
      <w:sz w:val="24"/>
      <w:szCs w:val="24"/>
      <w:lang w:val="en-US" w:eastAsia="zh-CN" w:bidi="ar-SA"/>
    </w:rPr>
  </w:style>
  <w:style w:type="paragraph" w:customStyle="1" w:styleId="173">
    <w:name w:val="*正文"/>
    <w:basedOn w:val="1"/>
    <w:link w:val="172"/>
    <w:qFormat/>
    <w:uiPriority w:val="0"/>
    <w:pPr>
      <w:spacing w:line="360" w:lineRule="auto"/>
      <w:ind w:firstLine="200" w:firstLineChars="200"/>
    </w:pPr>
    <w:rPr>
      <w:rFonts w:ascii="宋体" w:hAnsi="宋体"/>
      <w:kern w:val="2"/>
    </w:rPr>
  </w:style>
  <w:style w:type="character" w:customStyle="1" w:styleId="174">
    <w:name w:val="正文标准格式 Char"/>
    <w:link w:val="175"/>
    <w:qFormat/>
    <w:uiPriority w:val="0"/>
    <w:rPr>
      <w:rFonts w:ascii="宋体" w:hAnsi="宋体"/>
      <w:kern w:val="2"/>
      <w:sz w:val="24"/>
      <w:szCs w:val="24"/>
      <w:lang w:val="en-US" w:eastAsia="zh-CN" w:bidi="ar-SA"/>
    </w:rPr>
  </w:style>
  <w:style w:type="paragraph" w:customStyle="1" w:styleId="175">
    <w:name w:val="正文标准格式"/>
    <w:link w:val="174"/>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176">
    <w:name w:val="font11"/>
    <w:qFormat/>
    <w:uiPriority w:val="0"/>
    <w:rPr>
      <w:rFonts w:hint="eastAsia" w:ascii="宋体" w:hAnsi="宋体" w:eastAsia="宋体" w:cs="宋体"/>
      <w:color w:val="000000"/>
      <w:sz w:val="21"/>
      <w:szCs w:val="21"/>
      <w:u w:val="none"/>
    </w:rPr>
  </w:style>
  <w:style w:type="character" w:customStyle="1" w:styleId="177">
    <w:name w:val="标题 字符"/>
    <w:link w:val="53"/>
    <w:qFormat/>
    <w:uiPriority w:val="0"/>
    <w:rPr>
      <w:rFonts w:ascii="Cambria" w:hAnsi="Cambria"/>
      <w:b/>
      <w:bCs/>
      <w:kern w:val="2"/>
      <w:sz w:val="32"/>
      <w:szCs w:val="32"/>
      <w:lang w:bidi="ar-SA"/>
    </w:rPr>
  </w:style>
  <w:style w:type="character" w:customStyle="1" w:styleId="178">
    <w:name w:val="批注文字 字符1"/>
    <w:link w:val="20"/>
    <w:qFormat/>
    <w:uiPriority w:val="0"/>
    <w:rPr>
      <w:rFonts w:eastAsia="宋体"/>
      <w:kern w:val="2"/>
      <w:sz w:val="21"/>
      <w:szCs w:val="24"/>
      <w:lang w:val="en-US" w:eastAsia="zh-CN" w:bidi="ar-SA"/>
    </w:rPr>
  </w:style>
  <w:style w:type="character" w:customStyle="1" w:styleId="179">
    <w:name w:val="纯文本 Char"/>
    <w:link w:val="180"/>
    <w:qFormat/>
    <w:uiPriority w:val="0"/>
    <w:rPr>
      <w:rFonts w:ascii="宋体" w:hAnsi="Courier New" w:eastAsia="宋体" w:cs="Courier New"/>
      <w:kern w:val="2"/>
      <w:sz w:val="21"/>
      <w:szCs w:val="21"/>
      <w:lang w:val="en-US" w:eastAsia="zh-CN" w:bidi="ar-SA"/>
    </w:rPr>
  </w:style>
  <w:style w:type="paragraph" w:customStyle="1" w:styleId="180">
    <w:name w:val="纯文本1"/>
    <w:basedOn w:val="1"/>
    <w:link w:val="179"/>
    <w:qFormat/>
    <w:uiPriority w:val="0"/>
    <w:rPr>
      <w:rFonts w:ascii="宋体" w:hAnsi="Courier New" w:cs="Courier New"/>
      <w:kern w:val="2"/>
      <w:sz w:val="21"/>
      <w:szCs w:val="21"/>
    </w:rPr>
  </w:style>
  <w:style w:type="character" w:customStyle="1" w:styleId="181">
    <w:name w:val="段 Char"/>
    <w:link w:val="182"/>
    <w:qFormat/>
    <w:locked/>
    <w:uiPriority w:val="0"/>
    <w:rPr>
      <w:rFonts w:ascii="宋体" w:eastAsia="Times New Roman"/>
      <w:lang w:val="en-US" w:eastAsia="zh-CN" w:bidi="ar-SA"/>
    </w:rPr>
  </w:style>
  <w:style w:type="paragraph" w:customStyle="1" w:styleId="182">
    <w:name w:val="段"/>
    <w:link w:val="181"/>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183">
    <w:name w:val="标题 1 字符1"/>
    <w:link w:val="4"/>
    <w:qFormat/>
    <w:uiPriority w:val="0"/>
    <w:rPr>
      <w:b/>
      <w:bCs/>
      <w:kern w:val="44"/>
      <w:sz w:val="44"/>
      <w:szCs w:val="44"/>
    </w:rPr>
  </w:style>
  <w:style w:type="character" w:customStyle="1" w:styleId="184">
    <w:name w:val="批注框文本 Char"/>
    <w:qFormat/>
    <w:uiPriority w:val="99"/>
    <w:rPr>
      <w:rFonts w:ascii="Calibri" w:hAnsi="Calibri" w:eastAsia="宋体" w:cs="Times New Roman"/>
      <w:sz w:val="16"/>
      <w:szCs w:val="16"/>
    </w:rPr>
  </w:style>
  <w:style w:type="character" w:customStyle="1" w:styleId="185">
    <w:name w:val="标题 5 Char"/>
    <w:qFormat/>
    <w:uiPriority w:val="0"/>
    <w:rPr>
      <w:rFonts w:ascii="Calibri" w:hAnsi="Calibri" w:eastAsia="宋体" w:cs="Times New Roman"/>
      <w:bCs/>
      <w:kern w:val="0"/>
      <w:sz w:val="24"/>
      <w:szCs w:val="28"/>
    </w:rPr>
  </w:style>
  <w:style w:type="character" w:customStyle="1" w:styleId="186">
    <w:name w:val="样式4 Char"/>
    <w:qFormat/>
    <w:uiPriority w:val="0"/>
    <w:rPr>
      <w:rFonts w:ascii="Times New Roman" w:hAnsi="Times New Roman" w:eastAsia="宋体" w:cs="Times New Roman"/>
      <w:b/>
      <w:bCs/>
      <w:sz w:val="30"/>
      <w:szCs w:val="28"/>
    </w:rPr>
  </w:style>
  <w:style w:type="character" w:customStyle="1" w:styleId="187">
    <w:name w:val="正文首行缩进小四宋体 字符"/>
    <w:link w:val="188"/>
    <w:qFormat/>
    <w:uiPriority w:val="0"/>
    <w:rPr>
      <w:rFonts w:ascii="Calibri" w:hAnsi="Calibri" w:eastAsia="宋体"/>
      <w:sz w:val="24"/>
      <w:szCs w:val="24"/>
      <w:lang w:bidi="ar-SA"/>
    </w:rPr>
  </w:style>
  <w:style w:type="paragraph" w:customStyle="1" w:styleId="188">
    <w:name w:val="正文首行缩进小四宋体"/>
    <w:basedOn w:val="1"/>
    <w:link w:val="187"/>
    <w:qFormat/>
    <w:uiPriority w:val="0"/>
    <w:pPr>
      <w:spacing w:line="360" w:lineRule="auto"/>
      <w:ind w:firstLine="480" w:firstLineChars="200"/>
    </w:pPr>
    <w:rPr>
      <w:rFonts w:ascii="Calibri" w:hAnsi="Calibri"/>
    </w:rPr>
  </w:style>
  <w:style w:type="character" w:customStyle="1" w:styleId="189">
    <w:name w:val="仿宋4号 Char"/>
    <w:link w:val="190"/>
    <w:qFormat/>
    <w:uiPriority w:val="0"/>
    <w:rPr>
      <w:rFonts w:ascii="仿宋" w:hAnsi="仿宋" w:eastAsia="仿宋"/>
      <w:kern w:val="2"/>
      <w:sz w:val="28"/>
      <w:szCs w:val="28"/>
      <w:lang w:bidi="ar-SA"/>
    </w:rPr>
  </w:style>
  <w:style w:type="paragraph" w:customStyle="1" w:styleId="190">
    <w:name w:val="仿宋4号"/>
    <w:basedOn w:val="1"/>
    <w:link w:val="189"/>
    <w:qFormat/>
    <w:uiPriority w:val="0"/>
    <w:pPr>
      <w:spacing w:line="360" w:lineRule="auto"/>
      <w:ind w:firstLine="560" w:firstLineChars="200"/>
    </w:pPr>
    <w:rPr>
      <w:rFonts w:ascii="仿宋" w:hAnsi="仿宋" w:eastAsia="仿宋"/>
      <w:kern w:val="2"/>
      <w:sz w:val="28"/>
      <w:szCs w:val="28"/>
    </w:rPr>
  </w:style>
  <w:style w:type="character" w:customStyle="1" w:styleId="191">
    <w:name w:val="正文文本缩进 Char"/>
    <w:link w:val="192"/>
    <w:qFormat/>
    <w:uiPriority w:val="0"/>
    <w:rPr>
      <w:rFonts w:ascii="楷体_GB2312" w:eastAsia="楷体_GB2312"/>
      <w:kern w:val="2"/>
      <w:sz w:val="24"/>
      <w:szCs w:val="28"/>
      <w:lang w:bidi="ar-SA"/>
    </w:rPr>
  </w:style>
  <w:style w:type="paragraph" w:customStyle="1" w:styleId="192">
    <w:name w:val="正文文本缩进1"/>
    <w:basedOn w:val="1"/>
    <w:link w:val="191"/>
    <w:qFormat/>
    <w:uiPriority w:val="0"/>
    <w:pPr>
      <w:spacing w:after="120" w:line="360" w:lineRule="auto"/>
      <w:ind w:left="480" w:leftChars="200" w:firstLine="200" w:firstLineChars="200"/>
    </w:pPr>
    <w:rPr>
      <w:rFonts w:ascii="楷体_GB2312" w:eastAsia="楷体_GB2312"/>
      <w:kern w:val="2"/>
      <w:szCs w:val="28"/>
    </w:rPr>
  </w:style>
  <w:style w:type="character" w:customStyle="1" w:styleId="193">
    <w:name w:val="标题 8 字符"/>
    <w:link w:val="11"/>
    <w:qFormat/>
    <w:uiPriority w:val="0"/>
    <w:rPr>
      <w:rFonts w:ascii="Arial" w:hAnsi="Arial" w:eastAsia="黑体"/>
      <w:kern w:val="2"/>
      <w:sz w:val="24"/>
      <w:szCs w:val="24"/>
    </w:rPr>
  </w:style>
  <w:style w:type="character" w:customStyle="1" w:styleId="194">
    <w:name w:val="投标书正文无序编号 Char"/>
    <w:link w:val="195"/>
    <w:qFormat/>
    <w:locked/>
    <w:uiPriority w:val="0"/>
    <w:rPr>
      <w:sz w:val="24"/>
      <w:szCs w:val="24"/>
      <w:lang w:bidi="ar-SA"/>
    </w:rPr>
  </w:style>
  <w:style w:type="paragraph" w:customStyle="1" w:styleId="195">
    <w:name w:val="投标书正文无序编号"/>
    <w:basedOn w:val="196"/>
    <w:link w:val="194"/>
    <w:qFormat/>
    <w:uiPriority w:val="0"/>
    <w:rPr>
      <w:rFonts w:eastAsia="宋体"/>
    </w:rPr>
  </w:style>
  <w:style w:type="paragraph" w:customStyle="1" w:styleId="196">
    <w:name w:val="投标书正文"/>
    <w:link w:val="230"/>
    <w:qFormat/>
    <w:uiPriority w:val="0"/>
    <w:pPr>
      <w:autoSpaceDE w:val="0"/>
      <w:spacing w:line="360" w:lineRule="auto"/>
      <w:ind w:firstLine="200" w:firstLineChars="200"/>
    </w:pPr>
    <w:rPr>
      <w:rFonts w:ascii="Times New Roman" w:hAnsi="Times New Roman" w:eastAsia="Times New Roman" w:cs="Times New Roman"/>
      <w:sz w:val="24"/>
      <w:szCs w:val="24"/>
      <w:lang w:val="en-US" w:eastAsia="zh-CN" w:bidi="ar-SA"/>
    </w:rPr>
  </w:style>
  <w:style w:type="character" w:customStyle="1" w:styleId="197">
    <w:name w:val="内容文本 Char"/>
    <w:link w:val="198"/>
    <w:qFormat/>
    <w:uiPriority w:val="0"/>
    <w:rPr>
      <w:rFonts w:ascii="宋体" w:hAnsi="宋体" w:eastAsia="宋体"/>
      <w:sz w:val="24"/>
      <w:szCs w:val="24"/>
      <w:lang w:val="en-US" w:eastAsia="zh-CN" w:bidi="ar-SA"/>
    </w:rPr>
  </w:style>
  <w:style w:type="paragraph" w:customStyle="1" w:styleId="198">
    <w:name w:val="内容文本"/>
    <w:basedOn w:val="199"/>
    <w:link w:val="197"/>
    <w:qFormat/>
    <w:uiPriority w:val="0"/>
    <w:pPr>
      <w:spacing w:line="360" w:lineRule="auto"/>
      <w:ind w:firstLine="200"/>
      <w:contextualSpacing/>
    </w:pPr>
    <w:rPr>
      <w:rFonts w:ascii="宋体" w:hAnsi="宋体"/>
      <w:kern w:val="0"/>
      <w:sz w:val="24"/>
      <w:szCs w:val="24"/>
    </w:rPr>
  </w:style>
  <w:style w:type="paragraph" w:customStyle="1" w:styleId="199">
    <w:name w:val="列出段落1"/>
    <w:basedOn w:val="1"/>
    <w:link w:val="225"/>
    <w:qFormat/>
    <w:uiPriority w:val="0"/>
    <w:pPr>
      <w:ind w:firstLine="420" w:firstLineChars="200"/>
    </w:pPr>
    <w:rPr>
      <w:rFonts w:ascii="Calibri" w:hAnsi="Calibri"/>
      <w:kern w:val="2"/>
      <w:sz w:val="21"/>
      <w:szCs w:val="21"/>
    </w:rPr>
  </w:style>
  <w:style w:type="character" w:customStyle="1" w:styleId="200">
    <w:name w:val="正文首行缩进 2 字符"/>
    <w:link w:val="55"/>
    <w:qFormat/>
    <w:uiPriority w:val="0"/>
    <w:rPr>
      <w:rFonts w:ascii="Times New Roman" w:hAnsi="Times New Roman"/>
      <w:sz w:val="24"/>
      <w:szCs w:val="24"/>
    </w:rPr>
  </w:style>
  <w:style w:type="character" w:customStyle="1" w:styleId="201">
    <w:name w:val="正文缩进 Char1"/>
    <w:link w:val="202"/>
    <w:qFormat/>
    <w:uiPriority w:val="99"/>
    <w:rPr>
      <w:kern w:val="2"/>
      <w:sz w:val="24"/>
      <w:lang w:bidi="ar-SA"/>
    </w:rPr>
  </w:style>
  <w:style w:type="paragraph" w:customStyle="1" w:styleId="202">
    <w:name w:val="正文缩进1"/>
    <w:basedOn w:val="1"/>
    <w:link w:val="201"/>
    <w:qFormat/>
    <w:uiPriority w:val="99"/>
    <w:pPr>
      <w:ind w:firstLine="420"/>
    </w:pPr>
    <w:rPr>
      <w:kern w:val="2"/>
      <w:szCs w:val="20"/>
    </w:rPr>
  </w:style>
  <w:style w:type="character" w:customStyle="1" w:styleId="203">
    <w:name w:val="Item List in Table Char Char"/>
    <w:link w:val="204"/>
    <w:qFormat/>
    <w:locked/>
    <w:uiPriority w:val="0"/>
    <w:rPr>
      <w:rFonts w:ascii="Arial" w:hAnsi="Arial" w:cs="Arial"/>
      <w:sz w:val="18"/>
      <w:szCs w:val="18"/>
      <w:lang w:val="en-US" w:eastAsia="zh-CN" w:bidi="ar-SA"/>
    </w:rPr>
  </w:style>
  <w:style w:type="paragraph" w:customStyle="1" w:styleId="204">
    <w:name w:val="Item List in Table"/>
    <w:link w:val="203"/>
    <w:qFormat/>
    <w:uiPriority w:val="0"/>
    <w:pPr>
      <w:tabs>
        <w:tab w:val="left" w:pos="284"/>
      </w:tabs>
      <w:spacing w:before="40" w:after="40"/>
      <w:jc w:val="both"/>
    </w:pPr>
    <w:rPr>
      <w:rFonts w:ascii="Arial" w:hAnsi="Arial" w:eastAsia="宋体" w:cs="Arial"/>
      <w:sz w:val="18"/>
      <w:szCs w:val="18"/>
      <w:lang w:val="en-US" w:eastAsia="zh-CN" w:bidi="ar-SA"/>
    </w:rPr>
  </w:style>
  <w:style w:type="character" w:customStyle="1" w:styleId="205">
    <w:name w:val="页眉 字符1"/>
    <w:link w:val="36"/>
    <w:qFormat/>
    <w:uiPriority w:val="0"/>
    <w:rPr>
      <w:rFonts w:eastAsia="宋体"/>
      <w:kern w:val="2"/>
      <w:sz w:val="18"/>
      <w:szCs w:val="18"/>
      <w:lang w:val="en-US" w:eastAsia="zh-CN" w:bidi="ar-SA"/>
    </w:rPr>
  </w:style>
  <w:style w:type="character" w:customStyle="1" w:styleId="206">
    <w:name w:val="标题 4 Char1"/>
    <w:qFormat/>
    <w:uiPriority w:val="0"/>
    <w:rPr>
      <w:rFonts w:ascii="Arial" w:hAnsi="Arial" w:eastAsia="黑体"/>
      <w:b/>
      <w:bCs/>
      <w:kern w:val="2"/>
      <w:sz w:val="28"/>
      <w:szCs w:val="28"/>
    </w:rPr>
  </w:style>
  <w:style w:type="character" w:customStyle="1" w:styleId="207">
    <w:name w:val="077-正文格式 Char1"/>
    <w:link w:val="208"/>
    <w:qFormat/>
    <w:uiPriority w:val="0"/>
    <w:rPr>
      <w:rFonts w:ascii="宋体"/>
      <w:kern w:val="2"/>
      <w:sz w:val="24"/>
      <w:lang w:bidi="ar-SA"/>
    </w:rPr>
  </w:style>
  <w:style w:type="paragraph" w:customStyle="1" w:styleId="208">
    <w:name w:val="077-正文格式"/>
    <w:basedOn w:val="1"/>
    <w:link w:val="207"/>
    <w:qFormat/>
    <w:uiPriority w:val="0"/>
    <w:pPr>
      <w:adjustRightInd w:val="0"/>
      <w:snapToGrid w:val="0"/>
      <w:spacing w:line="360" w:lineRule="auto"/>
      <w:ind w:firstLine="480" w:firstLineChars="200"/>
    </w:pPr>
    <w:rPr>
      <w:rFonts w:ascii="宋体"/>
      <w:kern w:val="2"/>
      <w:szCs w:val="20"/>
    </w:rPr>
  </w:style>
  <w:style w:type="character" w:customStyle="1" w:styleId="209">
    <w:name w:val="正文文本 Char"/>
    <w:qFormat/>
    <w:uiPriority w:val="0"/>
    <w:rPr>
      <w:rFonts w:ascii="宋体" w:hAnsi="宋体"/>
      <w:b/>
      <w:bCs/>
      <w:color w:val="000000"/>
      <w:kern w:val="2"/>
      <w:sz w:val="72"/>
    </w:rPr>
  </w:style>
  <w:style w:type="character" w:customStyle="1" w:styleId="210">
    <w:name w:val="无间隔 字符"/>
    <w:link w:val="211"/>
    <w:qFormat/>
    <w:uiPriority w:val="0"/>
    <w:rPr>
      <w:rFonts w:ascii="Dutch801 Rm BT" w:hAnsi="Dutch801 Rm BT" w:eastAsia="Times New Roman" w:cs="Dutch801 Rm BT"/>
      <w:kern w:val="2"/>
      <w:sz w:val="21"/>
      <w:szCs w:val="24"/>
      <w:lang w:val="en-US" w:eastAsia="zh-CN" w:bidi="ar-SA"/>
    </w:rPr>
  </w:style>
  <w:style w:type="paragraph" w:styleId="211">
    <w:name w:val="No Spacing"/>
    <w:link w:val="210"/>
    <w:qFormat/>
    <w:uiPriority w:val="0"/>
    <w:pPr>
      <w:widowControl w:val="0"/>
      <w:jc w:val="both"/>
    </w:pPr>
    <w:rPr>
      <w:rFonts w:ascii="Dutch801 Rm BT" w:hAnsi="Dutch801 Rm BT" w:eastAsia="Times New Roman" w:cs="Dutch801 Rm BT"/>
      <w:kern w:val="2"/>
      <w:sz w:val="21"/>
      <w:szCs w:val="24"/>
      <w:lang w:val="en-US" w:eastAsia="zh-CN" w:bidi="ar-SA"/>
    </w:rPr>
  </w:style>
  <w:style w:type="character" w:customStyle="1" w:styleId="212">
    <w:name w:val="标题 2 Char1"/>
    <w:qFormat/>
    <w:uiPriority w:val="0"/>
    <w:rPr>
      <w:rFonts w:ascii="Arial" w:hAnsi="Arial" w:eastAsia="黑体"/>
      <w:b/>
      <w:bCs/>
      <w:kern w:val="2"/>
      <w:sz w:val="32"/>
      <w:szCs w:val="32"/>
    </w:rPr>
  </w:style>
  <w:style w:type="character" w:customStyle="1" w:styleId="213">
    <w:name w:val="样式2 Char Char"/>
    <w:link w:val="214"/>
    <w:qFormat/>
    <w:uiPriority w:val="0"/>
    <w:rPr>
      <w:rFonts w:eastAsia="宋体"/>
      <w:b/>
      <w:bCs/>
      <w:kern w:val="2"/>
      <w:sz w:val="36"/>
      <w:szCs w:val="36"/>
      <w:lang w:val="en-US" w:eastAsia="zh-CN" w:bidi="ar-SA"/>
    </w:rPr>
  </w:style>
  <w:style w:type="paragraph" w:customStyle="1" w:styleId="214">
    <w:name w:val="样式2"/>
    <w:basedOn w:val="5"/>
    <w:link w:val="213"/>
    <w:qFormat/>
    <w:uiPriority w:val="0"/>
    <w:pPr>
      <w:keepNext w:val="0"/>
      <w:keepLines w:val="0"/>
      <w:numPr>
        <w:ilvl w:val="0"/>
        <w:numId w:val="0"/>
      </w:numPr>
      <w:spacing w:before="60" w:after="60" w:line="360" w:lineRule="auto"/>
      <w:ind w:left="142"/>
    </w:pPr>
    <w:rPr>
      <w:rFonts w:ascii="Times New Roman" w:hAnsi="Times New Roman" w:eastAsia="宋体"/>
      <w:kern w:val="2"/>
      <w:sz w:val="36"/>
      <w:szCs w:val="36"/>
    </w:rPr>
  </w:style>
  <w:style w:type="character" w:customStyle="1" w:styleId="215">
    <w:name w:val="标题 5 字符"/>
    <w:link w:val="8"/>
    <w:qFormat/>
    <w:uiPriority w:val="0"/>
    <w:rPr>
      <w:b/>
      <w:bCs/>
      <w:kern w:val="2"/>
      <w:sz w:val="28"/>
      <w:szCs w:val="28"/>
    </w:rPr>
  </w:style>
  <w:style w:type="character" w:customStyle="1" w:styleId="216">
    <w:name w:val="批注主题 字符1"/>
    <w:link w:val="54"/>
    <w:qFormat/>
    <w:uiPriority w:val="0"/>
    <w:rPr>
      <w:rFonts w:ascii="Calibri" w:hAnsi="Calibri" w:eastAsia="宋体" w:cs="Calibri"/>
      <w:b/>
      <w:bCs/>
      <w:sz w:val="24"/>
      <w:szCs w:val="24"/>
      <w:lang w:val="en-US" w:eastAsia="zh-CN" w:bidi="ar-SA"/>
    </w:rPr>
  </w:style>
  <w:style w:type="character" w:customStyle="1" w:styleId="217">
    <w:name w:val="表格非标题文字 Char Char"/>
    <w:link w:val="218"/>
    <w:qFormat/>
    <w:uiPriority w:val="0"/>
    <w:rPr>
      <w:rFonts w:ascii="Arial" w:hAnsi="Arial" w:eastAsia="华文细黑"/>
      <w:color w:val="505050"/>
      <w:sz w:val="13"/>
      <w:szCs w:val="13"/>
      <w:lang w:bidi="ar-SA"/>
    </w:rPr>
  </w:style>
  <w:style w:type="paragraph" w:customStyle="1" w:styleId="218">
    <w:name w:val="表格非标题文字"/>
    <w:basedOn w:val="1"/>
    <w:link w:val="217"/>
    <w:qFormat/>
    <w:uiPriority w:val="0"/>
    <w:pPr>
      <w:spacing w:before="40" w:after="40" w:line="220" w:lineRule="exact"/>
    </w:pPr>
    <w:rPr>
      <w:rFonts w:ascii="Arial" w:hAnsi="Arial" w:eastAsia="华文细黑"/>
      <w:color w:val="505050"/>
      <w:sz w:val="13"/>
      <w:szCs w:val="13"/>
    </w:rPr>
  </w:style>
  <w:style w:type="character" w:customStyle="1" w:styleId="219">
    <w:name w:val="ces正文 Char"/>
    <w:link w:val="220"/>
    <w:qFormat/>
    <w:uiPriority w:val="0"/>
    <w:rPr>
      <w:rFonts w:ascii="Calibri" w:hAnsi="Calibri"/>
      <w:sz w:val="24"/>
      <w:szCs w:val="24"/>
      <w:lang w:bidi="ar-SA"/>
    </w:rPr>
  </w:style>
  <w:style w:type="paragraph" w:customStyle="1" w:styleId="220">
    <w:name w:val="ces正文"/>
    <w:basedOn w:val="1"/>
    <w:link w:val="219"/>
    <w:qFormat/>
    <w:uiPriority w:val="0"/>
    <w:pPr>
      <w:spacing w:line="360" w:lineRule="auto"/>
      <w:ind w:firstLine="480" w:firstLineChars="200"/>
    </w:pPr>
    <w:rPr>
      <w:rFonts w:ascii="Calibri" w:hAnsi="Calibri"/>
    </w:rPr>
  </w:style>
  <w:style w:type="character" w:customStyle="1" w:styleId="221">
    <w:name w:val="样式6 Char Char"/>
    <w:link w:val="222"/>
    <w:qFormat/>
    <w:uiPriority w:val="0"/>
    <w:rPr>
      <w:rFonts w:ascii="宋体" w:hAnsi="宋体"/>
      <w:b/>
      <w:color w:val="CC3399"/>
      <w:kern w:val="24"/>
      <w:sz w:val="24"/>
      <w:szCs w:val="24"/>
      <w:u w:val="wavyHeavy" w:color="00B0F0"/>
      <w:lang w:bidi="ar-SA"/>
    </w:rPr>
  </w:style>
  <w:style w:type="paragraph" w:customStyle="1" w:styleId="222">
    <w:name w:val="样式6"/>
    <w:basedOn w:val="1"/>
    <w:link w:val="221"/>
    <w:qFormat/>
    <w:uiPriority w:val="0"/>
    <w:pPr>
      <w:adjustRightInd w:val="0"/>
      <w:snapToGrid w:val="0"/>
      <w:spacing w:before="120" w:after="120" w:line="312" w:lineRule="auto"/>
      <w:ind w:firstLine="200" w:firstLineChars="200"/>
    </w:pPr>
    <w:rPr>
      <w:rFonts w:ascii="宋体" w:hAnsi="宋体"/>
      <w:b/>
      <w:color w:val="CC3399"/>
      <w:kern w:val="24"/>
      <w:u w:val="wavyHeavy" w:color="00B0F0"/>
    </w:rPr>
  </w:style>
  <w:style w:type="character" w:customStyle="1" w:styleId="223">
    <w:name w:val="Table Heading Char"/>
    <w:link w:val="224"/>
    <w:qFormat/>
    <w:locked/>
    <w:uiPriority w:val="0"/>
    <w:rPr>
      <w:rFonts w:ascii="Arial" w:hAnsi="Arial" w:eastAsia="微软雅黑" w:cs="Arial Narrow"/>
      <w:bCs/>
      <w:sz w:val="18"/>
      <w:lang w:val="en-US" w:eastAsia="zh-CN" w:bidi="ar-SA"/>
    </w:rPr>
  </w:style>
  <w:style w:type="paragraph" w:customStyle="1" w:styleId="224">
    <w:name w:val="Table Heading"/>
    <w:link w:val="223"/>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225">
    <w:name w:val="List Paragraph Char"/>
    <w:link w:val="199"/>
    <w:qFormat/>
    <w:locked/>
    <w:uiPriority w:val="0"/>
    <w:rPr>
      <w:rFonts w:ascii="Calibri" w:hAnsi="Calibri" w:eastAsia="宋体"/>
      <w:kern w:val="2"/>
      <w:sz w:val="21"/>
      <w:szCs w:val="21"/>
      <w:lang w:val="en-US" w:eastAsia="zh-CN" w:bidi="ar-SA"/>
    </w:rPr>
  </w:style>
  <w:style w:type="character" w:customStyle="1" w:styleId="226">
    <w:name w:val="文档结构图 字符1"/>
    <w:link w:val="19"/>
    <w:qFormat/>
    <w:uiPriority w:val="0"/>
    <w:rPr>
      <w:rFonts w:eastAsia="宋体"/>
      <w:kern w:val="2"/>
      <w:sz w:val="21"/>
      <w:szCs w:val="24"/>
      <w:lang w:val="en-US" w:eastAsia="zh-CN" w:bidi="ar-SA"/>
    </w:rPr>
  </w:style>
  <w:style w:type="character" w:customStyle="1" w:styleId="227">
    <w:name w:val="投标正文 Char"/>
    <w:link w:val="228"/>
    <w:qFormat/>
    <w:uiPriority w:val="0"/>
    <w:rPr>
      <w:rFonts w:ascii="Calibri" w:hAnsi="Calibri" w:eastAsia="宋体"/>
      <w:sz w:val="24"/>
      <w:szCs w:val="24"/>
      <w:lang w:val="zh-CN" w:bidi="ar-SA"/>
    </w:rPr>
  </w:style>
  <w:style w:type="paragraph" w:customStyle="1" w:styleId="228">
    <w:name w:val="投标正文"/>
    <w:basedOn w:val="1"/>
    <w:link w:val="227"/>
    <w:qFormat/>
    <w:uiPriority w:val="0"/>
    <w:pPr>
      <w:spacing w:line="360" w:lineRule="auto"/>
      <w:ind w:left="100" w:firstLine="480" w:firstLineChars="200"/>
    </w:pPr>
    <w:rPr>
      <w:rFonts w:ascii="Calibri" w:hAnsi="Calibri"/>
      <w:lang w:val="zh-CN"/>
    </w:rPr>
  </w:style>
  <w:style w:type="character" w:customStyle="1" w:styleId="229">
    <w:name w:val="纯文本 Char3"/>
    <w:qFormat/>
    <w:uiPriority w:val="0"/>
    <w:rPr>
      <w:rFonts w:hint="eastAsia" w:ascii="宋体" w:hAnsi="Courier New" w:eastAsia="宋体" w:cs="Courier New"/>
      <w:kern w:val="2"/>
      <w:sz w:val="21"/>
      <w:szCs w:val="21"/>
    </w:rPr>
  </w:style>
  <w:style w:type="character" w:customStyle="1" w:styleId="230">
    <w:name w:val="投标书正文 Char"/>
    <w:link w:val="196"/>
    <w:qFormat/>
    <w:locked/>
    <w:uiPriority w:val="0"/>
    <w:rPr>
      <w:rFonts w:eastAsia="Times New Roman"/>
      <w:sz w:val="24"/>
      <w:szCs w:val="24"/>
      <w:lang w:val="en-US" w:eastAsia="zh-CN" w:bidi="ar-SA"/>
    </w:rPr>
  </w:style>
  <w:style w:type="character" w:customStyle="1" w:styleId="231">
    <w:name w:val="级别1 Char"/>
    <w:link w:val="232"/>
    <w:qFormat/>
    <w:uiPriority w:val="0"/>
    <w:rPr>
      <w:rFonts w:ascii="宋体" w:hAnsi="宋体" w:eastAsia="宋体" w:cs="Times New Roman"/>
      <w:b/>
      <w:bCs/>
      <w:kern w:val="44"/>
      <w:sz w:val="32"/>
      <w:szCs w:val="28"/>
      <w:lang w:bidi="ar-SA"/>
    </w:rPr>
  </w:style>
  <w:style w:type="paragraph" w:customStyle="1" w:styleId="232">
    <w:name w:val="级别1"/>
    <w:basedOn w:val="4"/>
    <w:link w:val="231"/>
    <w:qFormat/>
    <w:uiPriority w:val="0"/>
    <w:pPr>
      <w:tabs>
        <w:tab w:val="left" w:pos="432"/>
      </w:tabs>
      <w:spacing w:beforeLines="100" w:afterLines="100" w:line="360" w:lineRule="auto"/>
      <w:ind w:left="432" w:hanging="432"/>
    </w:pPr>
    <w:rPr>
      <w:rFonts w:ascii="宋体" w:hAnsi="宋体"/>
      <w:sz w:val="32"/>
      <w:szCs w:val="28"/>
    </w:rPr>
  </w:style>
  <w:style w:type="character" w:customStyle="1" w:styleId="233">
    <w:name w:val="正文文本 字符1"/>
    <w:link w:val="2"/>
    <w:qFormat/>
    <w:uiPriority w:val="0"/>
    <w:rPr>
      <w:rFonts w:ascii="宋体" w:hAnsi="宋体" w:eastAsia="宋体"/>
      <w:b/>
      <w:bCs/>
      <w:color w:val="000000"/>
      <w:kern w:val="2"/>
      <w:sz w:val="72"/>
      <w:lang w:val="en-US" w:eastAsia="zh-CN" w:bidi="ar-SA"/>
    </w:rPr>
  </w:style>
  <w:style w:type="character" w:customStyle="1" w:styleId="234">
    <w:name w:val="正文文本 3 字符"/>
    <w:link w:val="22"/>
    <w:qFormat/>
    <w:uiPriority w:val="0"/>
    <w:rPr>
      <w:kern w:val="2"/>
      <w:sz w:val="16"/>
      <w:szCs w:val="16"/>
    </w:rPr>
  </w:style>
  <w:style w:type="character" w:customStyle="1" w:styleId="235">
    <w:name w:val="标题 6 字符"/>
    <w:link w:val="9"/>
    <w:qFormat/>
    <w:uiPriority w:val="0"/>
    <w:rPr>
      <w:rFonts w:ascii="Arial" w:hAnsi="Arial" w:eastAsia="黑体"/>
      <w:b/>
      <w:bCs/>
      <w:kern w:val="2"/>
      <w:sz w:val="24"/>
      <w:szCs w:val="24"/>
    </w:rPr>
  </w:style>
  <w:style w:type="character" w:customStyle="1" w:styleId="236">
    <w:name w:val="表格 Char Char"/>
    <w:link w:val="237"/>
    <w:qFormat/>
    <w:uiPriority w:val="0"/>
    <w:rPr>
      <w:rFonts w:ascii="仿宋_GB2312" w:hAnsi="宋体" w:eastAsia="仿宋_GB2312"/>
      <w:spacing w:val="28"/>
      <w:kern w:val="24"/>
      <w:sz w:val="24"/>
      <w:szCs w:val="28"/>
      <w:lang w:bidi="ar-SA"/>
    </w:rPr>
  </w:style>
  <w:style w:type="paragraph" w:customStyle="1" w:styleId="237">
    <w:name w:val="表格"/>
    <w:basedOn w:val="1"/>
    <w:link w:val="236"/>
    <w:qFormat/>
    <w:uiPriority w:val="0"/>
    <w:pPr>
      <w:adjustRightInd w:val="0"/>
      <w:snapToGrid w:val="0"/>
      <w:jc w:val="center"/>
    </w:pPr>
    <w:rPr>
      <w:rFonts w:ascii="仿宋_GB2312" w:hAnsi="宋体" w:eastAsia="仿宋_GB2312"/>
      <w:spacing w:val="28"/>
      <w:kern w:val="24"/>
      <w:szCs w:val="28"/>
    </w:rPr>
  </w:style>
  <w:style w:type="character" w:customStyle="1" w:styleId="238">
    <w:name w:val="正文缩进 Char"/>
    <w:qFormat/>
    <w:uiPriority w:val="0"/>
    <w:rPr>
      <w:rFonts w:eastAsia="宋体"/>
      <w:kern w:val="2"/>
      <w:sz w:val="28"/>
      <w:lang w:val="en-US" w:eastAsia="zh-CN" w:bidi="ar-SA"/>
    </w:rPr>
  </w:style>
  <w:style w:type="character" w:customStyle="1" w:styleId="239">
    <w:name w:val="标题 4 Char"/>
    <w:qFormat/>
    <w:uiPriority w:val="0"/>
    <w:rPr>
      <w:rFonts w:ascii="Arial" w:hAnsi="Arial" w:eastAsia="黑体" w:cs="Times New Roman"/>
      <w:bCs/>
      <w:sz w:val="24"/>
      <w:szCs w:val="28"/>
    </w:rPr>
  </w:style>
  <w:style w:type="character" w:customStyle="1" w:styleId="240">
    <w:name w:val="正文文本 3 Char Char"/>
    <w:link w:val="241"/>
    <w:qFormat/>
    <w:uiPriority w:val="0"/>
    <w:rPr>
      <w:rFonts w:ascii="Calibri" w:hAnsi="Calibri" w:eastAsia="仿宋_GB2312"/>
      <w:kern w:val="2"/>
      <w:sz w:val="16"/>
      <w:szCs w:val="16"/>
      <w:lang w:bidi="ar-SA"/>
    </w:rPr>
  </w:style>
  <w:style w:type="paragraph" w:customStyle="1" w:styleId="241">
    <w:name w:val="正文文本 31"/>
    <w:basedOn w:val="1"/>
    <w:link w:val="240"/>
    <w:qFormat/>
    <w:uiPriority w:val="0"/>
    <w:pPr>
      <w:spacing w:after="120" w:line="360" w:lineRule="auto"/>
      <w:ind w:firstLine="200" w:firstLineChars="200"/>
    </w:pPr>
    <w:rPr>
      <w:rFonts w:ascii="Calibri" w:hAnsi="Calibri" w:eastAsia="仿宋_GB2312"/>
      <w:kern w:val="2"/>
      <w:sz w:val="16"/>
      <w:szCs w:val="16"/>
    </w:rPr>
  </w:style>
  <w:style w:type="character" w:customStyle="1" w:styleId="242">
    <w:name w:val="标题 2 字符"/>
    <w:link w:val="5"/>
    <w:qFormat/>
    <w:uiPriority w:val="0"/>
    <w:rPr>
      <w:rFonts w:ascii="Arial" w:hAnsi="Arial" w:eastAsia="黑体"/>
      <w:b/>
      <w:bCs/>
      <w:sz w:val="32"/>
      <w:szCs w:val="32"/>
    </w:rPr>
  </w:style>
  <w:style w:type="character" w:customStyle="1" w:styleId="243">
    <w:name w:val="font61"/>
    <w:qFormat/>
    <w:uiPriority w:val="0"/>
    <w:rPr>
      <w:rFonts w:hint="eastAsia" w:ascii="宋体" w:hAnsi="宋体" w:eastAsia="宋体" w:cs="宋体"/>
      <w:color w:val="000000"/>
      <w:sz w:val="20"/>
      <w:szCs w:val="20"/>
      <w:u w:val="none"/>
    </w:rPr>
  </w:style>
  <w:style w:type="character" w:customStyle="1" w:styleId="244">
    <w:name w:val="Char Char6"/>
    <w:qFormat/>
    <w:uiPriority w:val="0"/>
    <w:rPr>
      <w:rFonts w:ascii="宋体" w:hAnsi="Courier New" w:eastAsia="宋体" w:cs="Courier New"/>
      <w:kern w:val="2"/>
      <w:sz w:val="21"/>
      <w:szCs w:val="21"/>
      <w:lang w:val="en-US" w:eastAsia="zh-CN" w:bidi="ar-SA"/>
    </w:rPr>
  </w:style>
  <w:style w:type="character" w:customStyle="1" w:styleId="245">
    <w:name w:val="标书正文格式 Char Char"/>
    <w:link w:val="246"/>
    <w:qFormat/>
    <w:uiPriority w:val="0"/>
    <w:rPr>
      <w:rFonts w:eastAsia="楷体_GB2312"/>
      <w:sz w:val="24"/>
      <w:szCs w:val="28"/>
      <w:lang w:val="en-US" w:eastAsia="zh-CN" w:bidi="ar-SA"/>
    </w:rPr>
  </w:style>
  <w:style w:type="paragraph" w:customStyle="1" w:styleId="246">
    <w:name w:val="标书正文格式"/>
    <w:link w:val="245"/>
    <w:qFormat/>
    <w:uiPriority w:val="0"/>
    <w:pPr>
      <w:spacing w:line="360" w:lineRule="auto"/>
      <w:ind w:firstLine="200" w:firstLineChars="200"/>
    </w:pPr>
    <w:rPr>
      <w:rFonts w:ascii="Times New Roman" w:hAnsi="Times New Roman" w:eastAsia="楷体_GB2312" w:cs="Times New Roman"/>
      <w:sz w:val="24"/>
      <w:szCs w:val="28"/>
      <w:lang w:val="en-US" w:eastAsia="zh-CN" w:bidi="ar-SA"/>
    </w:rPr>
  </w:style>
  <w:style w:type="character" w:customStyle="1" w:styleId="247">
    <w:name w:val="15"/>
    <w:qFormat/>
    <w:uiPriority w:val="0"/>
    <w:rPr>
      <w:rFonts w:hint="default" w:ascii="Times New Roman" w:hAnsi="Times New Roman" w:cs="Times New Roman"/>
      <w:color w:val="0000FF"/>
      <w:u w:val="single"/>
    </w:rPr>
  </w:style>
  <w:style w:type="character" w:customStyle="1" w:styleId="248">
    <w:name w:val="标题 7 Char"/>
    <w:qFormat/>
    <w:uiPriority w:val="0"/>
    <w:rPr>
      <w:rFonts w:ascii="Calibri" w:hAnsi="Calibri" w:eastAsia="宋体" w:cs="Times New Roman"/>
      <w:b/>
      <w:bCs/>
      <w:sz w:val="24"/>
      <w:szCs w:val="24"/>
    </w:rPr>
  </w:style>
  <w:style w:type="paragraph" w:customStyle="1" w:styleId="249">
    <w:name w:val="技术方案正文样式"/>
    <w:basedOn w:val="1"/>
    <w:qFormat/>
    <w:uiPriority w:val="0"/>
    <w:pPr>
      <w:autoSpaceDE w:val="0"/>
      <w:autoSpaceDN w:val="0"/>
      <w:spacing w:line="400" w:lineRule="exact"/>
      <w:ind w:firstLine="480"/>
    </w:pPr>
    <w:rPr>
      <w:rFonts w:ascii="宋体" w:hAnsi="宋体" w:cs="宋体"/>
    </w:rPr>
  </w:style>
  <w:style w:type="paragraph" w:customStyle="1" w:styleId="250">
    <w:name w:val="a0"/>
    <w:basedOn w:val="1"/>
    <w:qFormat/>
    <w:uiPriority w:val="0"/>
    <w:pPr>
      <w:spacing w:before="100" w:beforeAutospacing="1" w:after="100" w:afterAutospacing="1"/>
    </w:pPr>
    <w:rPr>
      <w:rFonts w:ascii="宋体" w:hAnsi="宋体" w:cs="宋体"/>
    </w:rPr>
  </w:style>
  <w:style w:type="paragraph" w:customStyle="1" w:styleId="251">
    <w:name w:val="标题 7 New"/>
    <w:basedOn w:val="1"/>
    <w:next w:val="1"/>
    <w:qFormat/>
    <w:uiPriority w:val="0"/>
    <w:pPr>
      <w:keepNext/>
      <w:keepLines/>
      <w:tabs>
        <w:tab w:val="left" w:pos="2520"/>
      </w:tabs>
      <w:spacing w:before="240" w:after="64" w:line="317" w:lineRule="auto"/>
      <w:ind w:left="1296" w:hanging="1296"/>
      <w:outlineLvl w:val="6"/>
    </w:pPr>
    <w:rPr>
      <w:b/>
      <w:szCs w:val="20"/>
    </w:rPr>
  </w:style>
  <w:style w:type="paragraph" w:customStyle="1" w:styleId="252">
    <w:name w:val="Char1"/>
    <w:basedOn w:val="1"/>
    <w:qFormat/>
    <w:uiPriority w:val="0"/>
  </w:style>
  <w:style w:type="paragraph" w:customStyle="1" w:styleId="253">
    <w:name w:val="样式"/>
    <w:basedOn w:val="1"/>
    <w:qFormat/>
    <w:uiPriority w:val="0"/>
    <w:pPr>
      <w:autoSpaceDE w:val="0"/>
      <w:autoSpaceDN w:val="0"/>
      <w:snapToGrid w:val="0"/>
      <w:spacing w:before="120" w:after="120" w:line="360" w:lineRule="auto"/>
    </w:pPr>
    <w:rPr>
      <w:rFonts w:ascii="宋体"/>
      <w:szCs w:val="20"/>
    </w:rPr>
  </w:style>
  <w:style w:type="paragraph" w:customStyle="1" w:styleId="25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55">
    <w:name w:val="图表批注"/>
    <w:basedOn w:val="1"/>
    <w:qFormat/>
    <w:uiPriority w:val="0"/>
    <w:pPr>
      <w:spacing w:line="360" w:lineRule="auto"/>
      <w:contextualSpacing/>
      <w:jc w:val="center"/>
    </w:pPr>
    <w:rPr>
      <w:rFonts w:ascii="宋体" w:hAnsi="宋体"/>
      <w:sz w:val="20"/>
      <w:szCs w:val="20"/>
    </w:rPr>
  </w:style>
  <w:style w:type="paragraph" w:customStyle="1" w:styleId="256">
    <w:name w:val="GW-正文"/>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57">
    <w:name w:val="标题1"/>
    <w:basedOn w:val="37"/>
    <w:qFormat/>
    <w:uiPriority w:val="0"/>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258">
    <w:name w:val="前加菱形"/>
    <w:basedOn w:val="1"/>
    <w:qFormat/>
    <w:uiPriority w:val="0"/>
    <w:pPr>
      <w:spacing w:before="156" w:after="100" w:afterAutospacing="1"/>
      <w:ind w:left="1985" w:hanging="284"/>
    </w:pPr>
    <w:rPr>
      <w:rFonts w:ascii="Verdana" w:hAnsi="Verdana" w:cs="宋体"/>
      <w:spacing w:val="2"/>
      <w:kern w:val="21"/>
      <w:sz w:val="28"/>
      <w:szCs w:val="28"/>
    </w:rPr>
  </w:style>
  <w:style w:type="paragraph" w:customStyle="1" w:styleId="259">
    <w:name w:val="纯文本_0"/>
    <w:basedOn w:val="1"/>
    <w:unhideWhenUsed/>
    <w:qFormat/>
    <w:uiPriority w:val="0"/>
    <w:pPr>
      <w:widowControl w:val="0"/>
      <w:jc w:val="both"/>
    </w:pPr>
    <w:rPr>
      <w:rFonts w:ascii="宋体" w:hAnsi="Courier New"/>
      <w:sz w:val="20"/>
      <w:szCs w:val="20"/>
    </w:rPr>
  </w:style>
  <w:style w:type="paragraph" w:customStyle="1" w:styleId="260">
    <w:name w:val="_Style 50"/>
    <w:basedOn w:val="19"/>
    <w:qFormat/>
    <w:uiPriority w:val="0"/>
    <w:rPr>
      <w:rFonts w:ascii="Tahoma" w:hAnsi="Tahoma"/>
      <w:sz w:val="24"/>
    </w:rPr>
  </w:style>
  <w:style w:type="paragraph" w:customStyle="1" w:styleId="261">
    <w:name w:val="CM8"/>
    <w:basedOn w:val="1"/>
    <w:next w:val="1"/>
    <w:qFormat/>
    <w:uiPriority w:val="0"/>
    <w:pPr>
      <w:autoSpaceDE w:val="0"/>
      <w:autoSpaceDN w:val="0"/>
      <w:adjustRightInd w:val="0"/>
      <w:spacing w:line="313" w:lineRule="atLeast"/>
    </w:pPr>
  </w:style>
  <w:style w:type="paragraph" w:customStyle="1" w:styleId="262">
    <w:name w:val="_Style 2"/>
    <w:basedOn w:val="1"/>
    <w:qFormat/>
    <w:uiPriority w:val="34"/>
    <w:pPr>
      <w:ind w:firstLine="420" w:firstLineChars="200"/>
    </w:pPr>
    <w:rPr>
      <w:rFonts w:ascii="Calibri" w:hAnsi="Calibri"/>
      <w:szCs w:val="22"/>
    </w:rPr>
  </w:style>
  <w:style w:type="paragraph" w:customStyle="1" w:styleId="263">
    <w:name w:val="Char Char Char"/>
    <w:basedOn w:val="1"/>
    <w:qFormat/>
    <w:uiPriority w:val="0"/>
    <w:rPr>
      <w:rFonts w:ascii="Tahoma" w:hAnsi="Tahoma"/>
      <w:szCs w:val="20"/>
    </w:rPr>
  </w:style>
  <w:style w:type="paragraph" w:customStyle="1" w:styleId="264">
    <w:name w:val="舟式样--正文"/>
    <w:basedOn w:val="1"/>
    <w:qFormat/>
    <w:uiPriority w:val="0"/>
    <w:pPr>
      <w:ind w:firstLine="200" w:firstLineChars="200"/>
    </w:pPr>
    <w:rPr>
      <w:rFonts w:hint="eastAsia" w:ascii="仿宋_GB2312" w:eastAsia="仿宋_GB2312"/>
      <w:sz w:val="28"/>
      <w:szCs w:val="22"/>
    </w:rPr>
  </w:style>
  <w:style w:type="paragraph" w:customStyle="1" w:styleId="265">
    <w:name w:val="-标题4-"/>
    <w:basedOn w:val="6"/>
    <w:qFormat/>
    <w:uiPriority w:val="0"/>
    <w:pPr>
      <w:numPr>
        <w:ilvl w:val="0"/>
        <w:numId w:val="0"/>
      </w:numPr>
      <w:tabs>
        <w:tab w:val="left" w:pos="0"/>
      </w:tabs>
      <w:ind w:left="851" w:hanging="851"/>
      <w:outlineLvl w:val="3"/>
    </w:pPr>
    <w:rPr>
      <w:color w:val="800080"/>
      <w:sz w:val="24"/>
    </w:rPr>
  </w:style>
  <w:style w:type="paragraph" w:customStyle="1" w:styleId="266">
    <w:name w:val="a 正文"/>
    <w:basedOn w:val="1"/>
    <w:qFormat/>
    <w:uiPriority w:val="0"/>
    <w:pPr>
      <w:spacing w:line="360" w:lineRule="auto"/>
      <w:ind w:firstLine="480"/>
    </w:pPr>
    <w:rPr>
      <w:rFonts w:ascii="宋体" w:hAnsi="宋体"/>
    </w:rPr>
  </w:style>
  <w:style w:type="paragraph" w:customStyle="1" w:styleId="267">
    <w:name w:val="**正文"/>
    <w:basedOn w:val="1"/>
    <w:qFormat/>
    <w:uiPriority w:val="0"/>
    <w:pPr>
      <w:spacing w:line="360" w:lineRule="auto"/>
      <w:ind w:firstLine="480" w:firstLineChars="200"/>
    </w:pPr>
    <w:rPr>
      <w:rFonts w:eastAsia="仿宋_GB2312"/>
    </w:rPr>
  </w:style>
  <w:style w:type="paragraph" w:customStyle="1" w:styleId="268">
    <w:name w:val="图片居中"/>
    <w:basedOn w:val="269"/>
    <w:qFormat/>
    <w:uiPriority w:val="0"/>
    <w:pPr>
      <w:ind w:firstLine="0" w:firstLineChars="0"/>
      <w:jc w:val="center"/>
    </w:pPr>
  </w:style>
  <w:style w:type="paragraph" w:customStyle="1" w:styleId="269">
    <w:name w:val="哈哈正文"/>
    <w:basedOn w:val="1"/>
    <w:qFormat/>
    <w:uiPriority w:val="0"/>
    <w:pPr>
      <w:spacing w:line="360" w:lineRule="auto"/>
      <w:ind w:firstLine="200" w:firstLineChars="200"/>
    </w:pPr>
    <w:rPr>
      <w:rFonts w:ascii="宋体" w:hAnsi="宋体"/>
    </w:rPr>
  </w:style>
  <w:style w:type="paragraph" w:customStyle="1" w:styleId="270">
    <w:name w:val="_Style 10"/>
    <w:basedOn w:val="1"/>
    <w:qFormat/>
    <w:uiPriority w:val="0"/>
  </w:style>
  <w:style w:type="paragraph" w:customStyle="1" w:styleId="271">
    <w:name w:val="xl24"/>
    <w:basedOn w:val="1"/>
    <w:qFormat/>
    <w:uiPriority w:val="0"/>
    <w:pPr>
      <w:spacing w:before="100" w:beforeAutospacing="1" w:after="100" w:afterAutospacing="1"/>
      <w:jc w:val="right"/>
    </w:pPr>
    <w:rPr>
      <w:rFonts w:ascii="宋体" w:hAnsi="宋体"/>
    </w:rPr>
  </w:style>
  <w:style w:type="paragraph" w:customStyle="1" w:styleId="272">
    <w:name w:val="Byline"/>
    <w:basedOn w:val="1"/>
    <w:next w:val="1"/>
    <w:qFormat/>
    <w:uiPriority w:val="0"/>
    <w:pPr>
      <w:spacing w:line="360" w:lineRule="auto"/>
    </w:pPr>
    <w:rPr>
      <w:i/>
    </w:rPr>
  </w:style>
  <w:style w:type="paragraph" w:customStyle="1" w:styleId="273">
    <w:name w:val="批注主题 Char Char"/>
    <w:basedOn w:val="1"/>
    <w:qFormat/>
    <w:uiPriority w:val="99"/>
    <w:rPr>
      <w:szCs w:val="21"/>
    </w:rPr>
  </w:style>
  <w:style w:type="paragraph" w:customStyle="1" w:styleId="274">
    <w:name w:val="Char"/>
    <w:basedOn w:val="1"/>
    <w:qFormat/>
    <w:uiPriority w:val="0"/>
    <w:rPr>
      <w:szCs w:val="20"/>
    </w:rPr>
  </w:style>
  <w:style w:type="paragraph" w:customStyle="1" w:styleId="275">
    <w:name w:val="正文-王"/>
    <w:basedOn w:val="1"/>
    <w:qFormat/>
    <w:uiPriority w:val="0"/>
    <w:pPr>
      <w:spacing w:line="360" w:lineRule="auto"/>
      <w:ind w:firstLine="480" w:firstLineChars="200"/>
    </w:pPr>
    <w:rPr>
      <w:rFonts w:ascii="宋体" w:hAnsi="宋体"/>
    </w:rPr>
  </w:style>
  <w:style w:type="paragraph" w:customStyle="1" w:styleId="276">
    <w:name w:val="标准小四"/>
    <w:basedOn w:val="1"/>
    <w:qFormat/>
    <w:uiPriority w:val="0"/>
    <w:pPr>
      <w:spacing w:line="360" w:lineRule="auto"/>
      <w:ind w:firstLine="480" w:firstLineChars="200"/>
    </w:pPr>
    <w:rPr>
      <w:rFonts w:ascii="Arial" w:hAnsi="Arial"/>
    </w:rPr>
  </w:style>
  <w:style w:type="paragraph" w:customStyle="1" w:styleId="277">
    <w:name w:val="Char Char17 Char Char Char Char Char Char"/>
    <w:basedOn w:val="1"/>
    <w:qFormat/>
    <w:uiPriority w:val="0"/>
    <w:rPr>
      <w:szCs w:val="21"/>
    </w:rPr>
  </w:style>
  <w:style w:type="paragraph" w:customStyle="1" w:styleId="278">
    <w:name w:val="TOC 标题1"/>
    <w:basedOn w:val="4"/>
    <w:next w:val="1"/>
    <w:qFormat/>
    <w:uiPriority w:val="0"/>
    <w:pPr>
      <w:tabs>
        <w:tab w:val="left" w:pos="432"/>
      </w:tabs>
      <w:spacing w:beforeLines="100" w:afterLines="100" w:line="276" w:lineRule="auto"/>
      <w:outlineLvl w:val="9"/>
    </w:pPr>
    <w:rPr>
      <w:rFonts w:ascii="Cambria" w:hAnsi="Cambria"/>
      <w:color w:val="365F91"/>
      <w:kern w:val="0"/>
      <w:sz w:val="32"/>
      <w:szCs w:val="28"/>
    </w:rPr>
  </w:style>
  <w:style w:type="paragraph" w:customStyle="1" w:styleId="279">
    <w:name w:val="Notes Text List"/>
    <w:qFormat/>
    <w:uiPriority w:val="0"/>
    <w:pPr>
      <w:keepNext/>
      <w:keepLines/>
      <w:pBdr>
        <w:bottom w:val="single" w:color="auto" w:sz="8" w:space="5"/>
      </w:pBdr>
      <w:tabs>
        <w:tab w:val="left" w:pos="1418"/>
      </w:tabs>
      <w:ind w:left="360" w:hanging="360"/>
      <w:jc w:val="both"/>
    </w:pPr>
    <w:rPr>
      <w:rFonts w:ascii="Arial" w:hAnsi="Arial" w:eastAsia="楷体_GB2312" w:cs="Arial"/>
      <w:sz w:val="21"/>
      <w:szCs w:val="21"/>
      <w:lang w:val="en-US" w:eastAsia="zh-CN" w:bidi="ar-SA"/>
    </w:rPr>
  </w:style>
  <w:style w:type="paragraph" w:customStyle="1" w:styleId="280">
    <w:name w:val="正文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81">
    <w:name w:val="列出段落2"/>
    <w:basedOn w:val="1"/>
    <w:qFormat/>
    <w:uiPriority w:val="99"/>
    <w:pPr>
      <w:ind w:firstLine="420" w:firstLineChars="200"/>
    </w:pPr>
    <w:rPr>
      <w:rFonts w:ascii="Calibri" w:hAnsi="Calibri"/>
      <w:szCs w:val="22"/>
    </w:rPr>
  </w:style>
  <w:style w:type="paragraph" w:customStyle="1" w:styleId="282">
    <w:name w:val="正文4"/>
    <w:basedOn w:val="1"/>
    <w:qFormat/>
    <w:uiPriority w:val="0"/>
    <w:pPr>
      <w:spacing w:before="60" w:after="60" w:line="360" w:lineRule="auto"/>
      <w:ind w:left="820" w:leftChars="400" w:hanging="420"/>
    </w:pPr>
  </w:style>
  <w:style w:type="paragraph" w:customStyle="1" w:styleId="283">
    <w:name w:val="Abstract Text"/>
    <w:qFormat/>
    <w:uiPriority w:val="0"/>
    <w:pPr>
      <w:tabs>
        <w:tab w:val="left" w:pos="1680"/>
      </w:tabs>
      <w:spacing w:line="280" w:lineRule="exact"/>
    </w:pPr>
    <w:rPr>
      <w:rFonts w:ascii="Arial" w:hAnsi="Arial" w:eastAsia="宋体" w:cs="Times New Roman"/>
      <w:sz w:val="19"/>
      <w:lang w:val="en-US" w:eastAsia="en-US" w:bidi="ar-SA"/>
    </w:rPr>
  </w:style>
  <w:style w:type="paragraph" w:customStyle="1" w:styleId="284">
    <w:name w:val="正文对齐"/>
    <w:basedOn w:val="1"/>
    <w:qFormat/>
    <w:uiPriority w:val="0"/>
    <w:pPr>
      <w:spacing w:after="120" w:line="360" w:lineRule="auto"/>
      <w:ind w:left="400" w:leftChars="400"/>
    </w:pPr>
    <w:rPr>
      <w:szCs w:val="21"/>
    </w:rPr>
  </w:style>
  <w:style w:type="paragraph" w:customStyle="1" w:styleId="285">
    <w:name w:val="Char Char Char Char Char Char Char"/>
    <w:basedOn w:val="1"/>
    <w:qFormat/>
    <w:uiPriority w:val="0"/>
    <w:rPr>
      <w:szCs w:val="21"/>
    </w:rPr>
  </w:style>
  <w:style w:type="paragraph" w:customStyle="1" w:styleId="286">
    <w:name w:val="样式5"/>
    <w:basedOn w:val="8"/>
    <w:qFormat/>
    <w:uiPriority w:val="0"/>
    <w:pPr>
      <w:keepNext w:val="0"/>
      <w:keepLines w:val="0"/>
      <w:spacing w:before="60" w:after="60" w:line="360" w:lineRule="auto"/>
    </w:pPr>
    <w:rPr>
      <w:sz w:val="30"/>
      <w:szCs w:val="30"/>
    </w:rPr>
  </w:style>
  <w:style w:type="paragraph" w:customStyle="1" w:styleId="287">
    <w:name w:val="Char Char Char Char Char Char"/>
    <w:basedOn w:val="19"/>
    <w:qFormat/>
    <w:uiPriority w:val="0"/>
    <w:rPr>
      <w:rFonts w:ascii="Tahoma" w:hAnsi="Tahoma"/>
      <w:sz w:val="24"/>
    </w:rPr>
  </w:style>
  <w:style w:type="paragraph" w:customStyle="1" w:styleId="288">
    <w:name w:val="+正文"/>
    <w:basedOn w:val="1"/>
    <w:qFormat/>
    <w:uiPriority w:val="0"/>
    <w:pPr>
      <w:spacing w:line="360" w:lineRule="auto"/>
      <w:ind w:firstLine="200" w:firstLineChars="200"/>
    </w:pPr>
    <w:rPr>
      <w:szCs w:val="28"/>
    </w:rPr>
  </w:style>
  <w:style w:type="paragraph" w:customStyle="1" w:styleId="289">
    <w:name w:val="正文四号"/>
    <w:basedOn w:val="1"/>
    <w:qFormat/>
    <w:uiPriority w:val="0"/>
    <w:pPr>
      <w:spacing w:line="360" w:lineRule="auto"/>
    </w:pPr>
    <w:rPr>
      <w:rFonts w:eastAsia="仿宋"/>
      <w:sz w:val="28"/>
      <w:szCs w:val="20"/>
    </w:rPr>
  </w:style>
  <w:style w:type="paragraph" w:customStyle="1" w:styleId="290">
    <w:name w:val="样式 正文字缩1字 + 左侧:  1 字符 首行缩进:  2 字符"/>
    <w:basedOn w:val="291"/>
    <w:qFormat/>
    <w:uiPriority w:val="0"/>
    <w:pPr>
      <w:ind w:left="210" w:firstLine="480"/>
    </w:pPr>
    <w:rPr>
      <w:rFonts w:cs="宋体"/>
    </w:rPr>
  </w:style>
  <w:style w:type="paragraph" w:customStyle="1" w:styleId="291">
    <w:name w:val="正文字缩1字"/>
    <w:basedOn w:val="1"/>
    <w:qFormat/>
    <w:uiPriority w:val="0"/>
    <w:pPr>
      <w:spacing w:before="60" w:after="60" w:line="360" w:lineRule="auto"/>
      <w:ind w:left="100" w:leftChars="100" w:firstLine="200" w:firstLineChars="200"/>
    </w:pPr>
  </w:style>
  <w:style w:type="paragraph" w:customStyle="1" w:styleId="292">
    <w:name w:val="样式1"/>
    <w:basedOn w:val="4"/>
    <w:qFormat/>
    <w:uiPriority w:val="0"/>
    <w:pPr>
      <w:keepNext w:val="0"/>
      <w:keepLines w:val="0"/>
      <w:spacing w:before="240" w:after="120" w:line="360" w:lineRule="auto"/>
      <w:ind w:left="883" w:hanging="883" w:hangingChars="200"/>
    </w:pPr>
  </w:style>
  <w:style w:type="paragraph" w:customStyle="1" w:styleId="293">
    <w:name w:val="正文1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4">
    <w:name w:val="Char Char Char Char Char Char1"/>
    <w:basedOn w:val="19"/>
    <w:qFormat/>
    <w:uiPriority w:val="0"/>
    <w:rPr>
      <w:rFonts w:ascii="Tahoma" w:hAnsi="Tahoma"/>
      <w:sz w:val="24"/>
    </w:rPr>
  </w:style>
  <w:style w:type="paragraph" w:customStyle="1" w:styleId="295">
    <w:name w:val="Abstract Title"/>
    <w:basedOn w:val="1"/>
    <w:next w:val="1"/>
    <w:qFormat/>
    <w:uiPriority w:val="0"/>
    <w:pPr>
      <w:pBdr>
        <w:top w:val="single" w:color="auto" w:sz="4" w:space="1"/>
      </w:pBdr>
      <w:spacing w:line="360" w:lineRule="auto"/>
    </w:pPr>
    <w:rPr>
      <w:b/>
    </w:rPr>
  </w:style>
  <w:style w:type="paragraph" w:customStyle="1" w:styleId="296">
    <w:name w:val="规划编号2"/>
    <w:basedOn w:val="1"/>
    <w:qFormat/>
    <w:uiPriority w:val="0"/>
    <w:pPr>
      <w:tabs>
        <w:tab w:val="left" w:pos="496"/>
        <w:tab w:val="left" w:pos="840"/>
      </w:tabs>
      <w:ind w:left="840" w:hanging="360"/>
    </w:pPr>
    <w:rPr>
      <w:rFonts w:ascii="宋体" w:hAnsi="宋体" w:cs="宋体"/>
    </w:rPr>
  </w:style>
  <w:style w:type="paragraph" w:customStyle="1" w:styleId="297">
    <w:name w:val="前加方框"/>
    <w:basedOn w:val="1"/>
    <w:qFormat/>
    <w:uiPriority w:val="0"/>
    <w:pPr>
      <w:spacing w:before="100" w:beforeAutospacing="1" w:after="100" w:afterAutospacing="1"/>
      <w:ind w:left="1134" w:hanging="567"/>
    </w:pPr>
    <w:rPr>
      <w:rFonts w:ascii="Verdana" w:hAnsi="Verdana" w:cs="宋体"/>
      <w:spacing w:val="2"/>
      <w:kern w:val="21"/>
      <w:sz w:val="28"/>
      <w:szCs w:val="28"/>
    </w:rPr>
  </w:style>
  <w:style w:type="paragraph" w:customStyle="1" w:styleId="298">
    <w:name w:val="此正文"/>
    <w:basedOn w:val="1"/>
    <w:qFormat/>
    <w:uiPriority w:val="0"/>
    <w:pPr>
      <w:spacing w:line="360" w:lineRule="auto"/>
      <w:ind w:firstLine="200" w:firstLineChars="200"/>
    </w:pPr>
  </w:style>
  <w:style w:type="paragraph" w:customStyle="1" w:styleId="299">
    <w:name w:val="_Style 52"/>
    <w:basedOn w:val="1"/>
    <w:qFormat/>
    <w:uiPriority w:val="0"/>
    <w:pPr>
      <w:widowControl w:val="0"/>
      <w:jc w:val="both"/>
    </w:pPr>
    <w:rPr>
      <w:kern w:val="2"/>
      <w:sz w:val="21"/>
    </w:rPr>
  </w:style>
  <w:style w:type="paragraph" w:customStyle="1" w:styleId="300">
    <w:name w:val="附录标题二"/>
    <w:basedOn w:val="5"/>
    <w:qFormat/>
    <w:uiPriority w:val="0"/>
    <w:pPr>
      <w:numPr>
        <w:ilvl w:val="0"/>
        <w:numId w:val="0"/>
      </w:numPr>
      <w:tabs>
        <w:tab w:val="left" w:pos="420"/>
        <w:tab w:val="left" w:pos="840"/>
      </w:tabs>
      <w:ind w:left="840" w:hanging="420"/>
    </w:pPr>
    <w:rPr>
      <w:rFonts w:ascii="宋体" w:hAnsi="宋体"/>
      <w:kern w:val="28"/>
      <w:lang w:eastAsia="en-US"/>
    </w:rPr>
  </w:style>
  <w:style w:type="paragraph" w:customStyle="1" w:styleId="301">
    <w:name w:val="Char3"/>
    <w:basedOn w:val="1"/>
    <w:qFormat/>
    <w:uiPriority w:val="0"/>
    <w:pPr>
      <w:tabs>
        <w:tab w:val="left" w:pos="360"/>
      </w:tabs>
    </w:pPr>
  </w:style>
  <w:style w:type="paragraph" w:customStyle="1" w:styleId="302">
    <w:name w:val="CM167"/>
    <w:basedOn w:val="66"/>
    <w:next w:val="66"/>
    <w:qFormat/>
    <w:uiPriority w:val="0"/>
    <w:pPr>
      <w:spacing w:before="0" w:after="120"/>
      <w:jc w:val="left"/>
    </w:pPr>
    <w:rPr>
      <w:rFonts w:ascii="黑体" w:eastAsia="黑体" w:cs="Times New Roman"/>
      <w:color w:val="auto"/>
    </w:rPr>
  </w:style>
  <w:style w:type="table" w:customStyle="1" w:styleId="303">
    <w:name w:val="表样式"/>
    <w:basedOn w:val="57"/>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customStyle="1" w:styleId="304">
    <w:name w:val="纯文本字符1"/>
    <w:semiHidden/>
    <w:qFormat/>
    <w:uiPriority w:val="99"/>
    <w:rPr>
      <w:rFonts w:ascii="宋体" w:hAnsi="Courier" w:eastAsia="宋体"/>
    </w:rPr>
  </w:style>
  <w:style w:type="character" w:customStyle="1" w:styleId="305">
    <w:name w:val="标题 1 字符"/>
    <w:qFormat/>
    <w:uiPriority w:val="0"/>
    <w:rPr>
      <w:b/>
      <w:bCs/>
      <w:kern w:val="44"/>
      <w:sz w:val="44"/>
      <w:szCs w:val="44"/>
    </w:rPr>
  </w:style>
  <w:style w:type="character" w:customStyle="1" w:styleId="306">
    <w:name w:val="标题 3 字符"/>
    <w:qFormat/>
    <w:uiPriority w:val="0"/>
    <w:rPr>
      <w:b/>
      <w:bCs/>
      <w:kern w:val="2"/>
      <w:sz w:val="32"/>
      <w:szCs w:val="32"/>
    </w:rPr>
  </w:style>
  <w:style w:type="character" w:customStyle="1" w:styleId="307">
    <w:name w:val="标题 9 字符"/>
    <w:semiHidden/>
    <w:qFormat/>
    <w:uiPriority w:val="0"/>
    <w:rPr>
      <w:rFonts w:ascii="Calibri Light" w:hAnsi="Calibri Light" w:eastAsia="宋体" w:cs="Times New Roman"/>
      <w:kern w:val="2"/>
      <w:sz w:val="21"/>
      <w:szCs w:val="21"/>
    </w:rPr>
  </w:style>
  <w:style w:type="character" w:customStyle="1" w:styleId="308">
    <w:name w:val="批注框文本 字符"/>
    <w:qFormat/>
    <w:uiPriority w:val="0"/>
    <w:rPr>
      <w:kern w:val="2"/>
      <w:sz w:val="18"/>
      <w:szCs w:val="18"/>
    </w:rPr>
  </w:style>
  <w:style w:type="character" w:customStyle="1" w:styleId="309">
    <w:name w:val="文档结构图 字符"/>
    <w:qFormat/>
    <w:uiPriority w:val="0"/>
    <w:rPr>
      <w:rFonts w:ascii="宋体"/>
      <w:kern w:val="2"/>
      <w:sz w:val="18"/>
      <w:szCs w:val="18"/>
    </w:rPr>
  </w:style>
  <w:style w:type="character" w:customStyle="1" w:styleId="310">
    <w:name w:val="HTML 预设格式 字符"/>
    <w:link w:val="50"/>
    <w:qFormat/>
    <w:uiPriority w:val="99"/>
    <w:rPr>
      <w:rFonts w:ascii="宋体" w:hAnsi="宋体" w:cs="宋体"/>
      <w:sz w:val="24"/>
      <w:szCs w:val="24"/>
    </w:rPr>
  </w:style>
  <w:style w:type="character" w:customStyle="1" w:styleId="311">
    <w:name w:val="HTML 预设格式 Char"/>
    <w:basedOn w:val="59"/>
    <w:qFormat/>
    <w:uiPriority w:val="0"/>
    <w:rPr>
      <w:rFonts w:ascii="Courier New" w:hAnsi="Courier New" w:cs="Courier New"/>
    </w:rPr>
  </w:style>
  <w:style w:type="paragraph" w:customStyle="1" w:styleId="312">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313">
    <w:name w:val="表内文字"/>
    <w:basedOn w:val="1"/>
    <w:qFormat/>
    <w:uiPriority w:val="0"/>
    <w:pPr>
      <w:widowControl w:val="0"/>
      <w:tabs>
        <w:tab w:val="left" w:pos="1418"/>
      </w:tabs>
      <w:spacing w:line="360" w:lineRule="auto"/>
      <w:jc w:val="center"/>
    </w:pPr>
    <w:rPr>
      <w:rFonts w:ascii="仿宋_GB2312" w:eastAsia="仿宋_GB2312"/>
      <w:spacing w:val="-20"/>
    </w:rPr>
  </w:style>
  <w:style w:type="paragraph" w:customStyle="1" w:styleId="314">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315">
    <w:name w:val="_Style 311"/>
    <w:basedOn w:val="1"/>
    <w:next w:val="77"/>
    <w:link w:val="333"/>
    <w:qFormat/>
    <w:uiPriority w:val="0"/>
    <w:pPr>
      <w:widowControl w:val="0"/>
      <w:autoSpaceDE w:val="0"/>
      <w:autoSpaceDN w:val="0"/>
      <w:adjustRightInd w:val="0"/>
      <w:ind w:firstLine="420" w:firstLineChars="200"/>
      <w:jc w:val="both"/>
    </w:pPr>
    <w:rPr>
      <w:color w:val="000000"/>
      <w:sz w:val="21"/>
      <w:szCs w:val="21"/>
    </w:rPr>
  </w:style>
  <w:style w:type="paragraph" w:customStyle="1" w:styleId="316">
    <w:name w:val="封面标题"/>
    <w:basedOn w:val="1"/>
    <w:qFormat/>
    <w:uiPriority w:val="0"/>
    <w:pPr>
      <w:widowControl w:val="0"/>
      <w:spacing w:line="360" w:lineRule="auto"/>
      <w:jc w:val="center"/>
    </w:pPr>
    <w:rPr>
      <w:rFonts w:ascii="仿宋" w:hAnsi="仿宋" w:eastAsia="仿宋" w:cs="宋体"/>
      <w:b/>
      <w:bCs/>
      <w:kern w:val="2"/>
      <w:sz w:val="30"/>
      <w:szCs w:val="30"/>
    </w:rPr>
  </w:style>
  <w:style w:type="paragraph" w:customStyle="1" w:styleId="317">
    <w:name w:val="需求标题1"/>
    <w:basedOn w:val="1"/>
    <w:next w:val="318"/>
    <w:qFormat/>
    <w:uiPriority w:val="0"/>
    <w:pPr>
      <w:widowControl w:val="0"/>
      <w:spacing w:before="60" w:after="20"/>
      <w:jc w:val="both"/>
      <w:outlineLvl w:val="1"/>
    </w:pPr>
    <w:rPr>
      <w:rFonts w:ascii="黑体" w:hAnsi="黑体" w:eastAsia="黑体"/>
      <w:kern w:val="2"/>
      <w:sz w:val="28"/>
      <w:szCs w:val="28"/>
    </w:rPr>
  </w:style>
  <w:style w:type="paragraph" w:customStyle="1" w:styleId="318">
    <w:name w:val="正文内容"/>
    <w:basedOn w:val="1"/>
    <w:qFormat/>
    <w:uiPriority w:val="0"/>
    <w:pPr>
      <w:widowControl w:val="0"/>
      <w:ind w:firstLine="420" w:firstLineChars="200"/>
    </w:pPr>
    <w:rPr>
      <w:rFonts w:ascii="宋体" w:hAnsi="Calibri"/>
      <w:kern w:val="2"/>
      <w:sz w:val="21"/>
      <w:szCs w:val="21"/>
    </w:rPr>
  </w:style>
  <w:style w:type="paragraph" w:customStyle="1" w:styleId="319">
    <w:name w:val="需求标题2"/>
    <w:basedOn w:val="1"/>
    <w:next w:val="318"/>
    <w:qFormat/>
    <w:uiPriority w:val="0"/>
    <w:pPr>
      <w:widowControl w:val="0"/>
      <w:spacing w:before="40"/>
      <w:ind w:firstLine="560" w:firstLineChars="200"/>
      <w:jc w:val="both"/>
      <w:outlineLvl w:val="2"/>
    </w:pPr>
    <w:rPr>
      <w:rFonts w:ascii="Calibri" w:hAnsi="Calibri" w:eastAsia="黑体"/>
      <w:kern w:val="2"/>
      <w:sz w:val="28"/>
    </w:rPr>
  </w:style>
  <w:style w:type="paragraph" w:customStyle="1" w:styleId="320">
    <w:name w:val="需求标题3"/>
    <w:basedOn w:val="1"/>
    <w:next w:val="1"/>
    <w:qFormat/>
    <w:uiPriority w:val="0"/>
    <w:pPr>
      <w:widowControl w:val="0"/>
      <w:ind w:firstLine="482"/>
      <w:jc w:val="both"/>
      <w:outlineLvl w:val="3"/>
    </w:pPr>
    <w:rPr>
      <w:rFonts w:ascii="宋体" w:hAnsi="宋体" w:cs="宋体"/>
      <w:b/>
      <w:kern w:val="2"/>
      <w:szCs w:val="20"/>
    </w:rPr>
  </w:style>
  <w:style w:type="paragraph" w:customStyle="1" w:styleId="321">
    <w:name w:val="样式 首行缩进:  0 字符"/>
    <w:basedOn w:val="1"/>
    <w:qFormat/>
    <w:uiPriority w:val="0"/>
    <w:pPr>
      <w:widowControl w:val="0"/>
      <w:spacing w:line="360" w:lineRule="auto"/>
      <w:ind w:firstLine="200" w:firstLineChars="200"/>
      <w:jc w:val="both"/>
    </w:pPr>
    <w:rPr>
      <w:kern w:val="2"/>
      <w:szCs w:val="20"/>
    </w:rPr>
  </w:style>
  <w:style w:type="paragraph" w:customStyle="1" w:styleId="322">
    <w:name w:val="Char Char Char Char Char Char Char Char Char"/>
    <w:basedOn w:val="1"/>
    <w:qFormat/>
    <w:uiPriority w:val="0"/>
    <w:pPr>
      <w:widowControl w:val="0"/>
      <w:jc w:val="both"/>
    </w:pPr>
    <w:rPr>
      <w:rFonts w:ascii="Calibri" w:hAnsi="Calibri"/>
      <w:kern w:val="2"/>
      <w:sz w:val="21"/>
      <w:szCs w:val="22"/>
    </w:rPr>
  </w:style>
  <w:style w:type="character" w:customStyle="1" w:styleId="323">
    <w:name w:val="Char Char2"/>
    <w:qFormat/>
    <w:uiPriority w:val="0"/>
    <w:rPr>
      <w:rFonts w:ascii="宋体" w:hAnsi="宋体" w:cs="宋体"/>
      <w:sz w:val="24"/>
      <w:szCs w:val="24"/>
    </w:rPr>
  </w:style>
  <w:style w:type="character" w:customStyle="1" w:styleId="324">
    <w:name w:val="正文表格内容 Char Char"/>
    <w:link w:val="325"/>
    <w:qFormat/>
    <w:locked/>
    <w:uiPriority w:val="0"/>
    <w:rPr>
      <w:rFonts w:ascii="Arial" w:hAnsi="Arial"/>
      <w:sz w:val="18"/>
    </w:rPr>
  </w:style>
  <w:style w:type="paragraph" w:customStyle="1" w:styleId="325">
    <w:name w:val="正文表格内容"/>
    <w:basedOn w:val="1"/>
    <w:link w:val="324"/>
    <w:qFormat/>
    <w:uiPriority w:val="0"/>
    <w:rPr>
      <w:rFonts w:ascii="Arial" w:hAnsi="Arial"/>
      <w:sz w:val="18"/>
      <w:szCs w:val="20"/>
    </w:rPr>
  </w:style>
  <w:style w:type="character" w:customStyle="1" w:styleId="326">
    <w:name w:val="HTML Preformatted Char"/>
    <w:semiHidden/>
    <w:qFormat/>
    <w:locked/>
    <w:uiPriority w:val="0"/>
    <w:rPr>
      <w:rFonts w:ascii="宋体" w:hAnsi="宋体" w:eastAsia="宋体" w:cs="宋体"/>
      <w:sz w:val="24"/>
      <w:szCs w:val="24"/>
      <w:lang w:val="en-US" w:eastAsia="zh-CN" w:bidi="ar-SA"/>
    </w:rPr>
  </w:style>
  <w:style w:type="paragraph" w:customStyle="1" w:styleId="327">
    <w:name w:val="列出段落11"/>
    <w:basedOn w:val="1"/>
    <w:qFormat/>
    <w:uiPriority w:val="34"/>
    <w:pPr>
      <w:widowControl w:val="0"/>
      <w:ind w:firstLine="420" w:firstLineChars="200"/>
      <w:jc w:val="both"/>
    </w:pPr>
    <w:rPr>
      <w:rFonts w:ascii="Calibri" w:hAnsi="Calibri" w:cs="黑体"/>
      <w:kern w:val="2"/>
      <w:sz w:val="21"/>
      <w:szCs w:val="22"/>
    </w:rPr>
  </w:style>
  <w:style w:type="paragraph" w:customStyle="1" w:styleId="328">
    <w:name w:val="列出段落5"/>
    <w:basedOn w:val="1"/>
    <w:qFormat/>
    <w:uiPriority w:val="0"/>
    <w:pPr>
      <w:widowControl w:val="0"/>
      <w:ind w:firstLine="420" w:firstLineChars="200"/>
      <w:jc w:val="both"/>
    </w:pPr>
    <w:rPr>
      <w:rFonts w:ascii="Calibri" w:hAnsi="Calibri" w:cs="Calibri"/>
      <w:kern w:val="2"/>
      <w:sz w:val="21"/>
      <w:szCs w:val="21"/>
    </w:rPr>
  </w:style>
  <w:style w:type="character" w:customStyle="1" w:styleId="329">
    <w:name w:val="正文文本 字符"/>
    <w:qFormat/>
    <w:uiPriority w:val="0"/>
    <w:rPr>
      <w:kern w:val="2"/>
      <w:sz w:val="28"/>
      <w:szCs w:val="24"/>
    </w:rPr>
  </w:style>
  <w:style w:type="character" w:customStyle="1" w:styleId="330">
    <w:name w:val="正文文本首行缩进 字符"/>
    <w:qFormat/>
    <w:uiPriority w:val="0"/>
    <w:rPr>
      <w:kern w:val="2"/>
      <w:sz w:val="21"/>
      <w:szCs w:val="24"/>
    </w:rPr>
  </w:style>
  <w:style w:type="character" w:customStyle="1" w:styleId="331">
    <w:name w:val="批注文字 字符"/>
    <w:qFormat/>
    <w:uiPriority w:val="0"/>
    <w:rPr>
      <w:kern w:val="2"/>
      <w:sz w:val="21"/>
      <w:szCs w:val="24"/>
    </w:rPr>
  </w:style>
  <w:style w:type="table" w:customStyle="1" w:styleId="332">
    <w:name w:val="TableGrid"/>
    <w:qFormat/>
    <w:uiPriority w:val="0"/>
    <w:rPr>
      <w:rFonts w:ascii="Calibri" w:hAnsi="Calibri"/>
      <w:kern w:val="2"/>
      <w:sz w:val="21"/>
      <w:szCs w:val="22"/>
    </w:rPr>
    <w:tblPr>
      <w:tblCellMar>
        <w:top w:w="0" w:type="dxa"/>
        <w:left w:w="0" w:type="dxa"/>
        <w:bottom w:w="0" w:type="dxa"/>
        <w:right w:w="0" w:type="dxa"/>
      </w:tblCellMar>
    </w:tblPr>
  </w:style>
  <w:style w:type="character" w:customStyle="1" w:styleId="333">
    <w:name w:val="列表段落 字符"/>
    <w:link w:val="315"/>
    <w:qFormat/>
    <w:uiPriority w:val="0"/>
    <w:rPr>
      <w:color w:val="000000"/>
      <w:sz w:val="21"/>
      <w:szCs w:val="21"/>
    </w:rPr>
  </w:style>
  <w:style w:type="paragraph" w:customStyle="1" w:styleId="334">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5">
    <w:name w:val="TOC 标题2"/>
    <w:basedOn w:val="4"/>
    <w:next w:val="1"/>
    <w:semiHidden/>
    <w:unhideWhenUsed/>
    <w:qFormat/>
    <w:uiPriority w:val="39"/>
    <w:pPr>
      <w:spacing w:before="480" w:after="0" w:line="276" w:lineRule="auto"/>
      <w:outlineLvl w:val="9"/>
    </w:pPr>
    <w:rPr>
      <w:rFonts w:ascii="Cambria" w:hAnsi="Cambria"/>
      <w:color w:val="365F91"/>
      <w:kern w:val="0"/>
      <w:sz w:val="28"/>
      <w:szCs w:val="28"/>
    </w:rPr>
  </w:style>
  <w:style w:type="character" w:customStyle="1" w:styleId="336">
    <w:name w:val="页脚 字符"/>
    <w:qFormat/>
    <w:locked/>
    <w:uiPriority w:val="99"/>
    <w:rPr>
      <w:rFonts w:eastAsia="黑体"/>
      <w:sz w:val="18"/>
      <w:szCs w:val="18"/>
    </w:rPr>
  </w:style>
  <w:style w:type="character" w:customStyle="1" w:styleId="337">
    <w:name w:val="页眉 字符"/>
    <w:qFormat/>
    <w:locked/>
    <w:uiPriority w:val="99"/>
    <w:rPr>
      <w:rFonts w:eastAsia="仿宋_GB2312"/>
      <w:kern w:val="2"/>
      <w:sz w:val="18"/>
    </w:rPr>
  </w:style>
  <w:style w:type="character" w:customStyle="1" w:styleId="338">
    <w:name w:val="批注主题 字符"/>
    <w:qFormat/>
    <w:uiPriority w:val="0"/>
    <w:rPr>
      <w:b/>
      <w:bCs/>
      <w:kern w:val="2"/>
      <w:sz w:val="21"/>
      <w:szCs w:val="24"/>
    </w:rPr>
  </w:style>
  <w:style w:type="paragraph" w:customStyle="1" w:styleId="339">
    <w:name w:val="修订1"/>
    <w:hidden/>
    <w:unhideWhenUsed/>
    <w:qFormat/>
    <w:uiPriority w:val="99"/>
    <w:rPr>
      <w:rFonts w:ascii="Times New Roman" w:hAnsi="Times New Roman" w:eastAsia="宋体" w:cs="Times New Roman"/>
      <w:sz w:val="24"/>
      <w:szCs w:val="24"/>
      <w:lang w:val="en-US" w:eastAsia="zh-CN" w:bidi="ar-SA"/>
    </w:rPr>
  </w:style>
  <w:style w:type="character" w:customStyle="1" w:styleId="340">
    <w:name w:val="批注文字 Char3"/>
    <w:basedOn w:val="59"/>
    <w:semiHidden/>
    <w:qFormat/>
    <w:uiPriority w:val="99"/>
    <w:rPr>
      <w:rFonts w:ascii="Times New Roman" w:hAnsi="Times New Roman" w:eastAsia="宋体" w:cs="Times New Roman"/>
      <w:kern w:val="0"/>
      <w:sz w:val="24"/>
      <w:szCs w:val="24"/>
    </w:rPr>
  </w:style>
  <w:style w:type="character" w:customStyle="1" w:styleId="341">
    <w:name w:val="页脚 Char2"/>
    <w:basedOn w:val="59"/>
    <w:semiHidden/>
    <w:qFormat/>
    <w:uiPriority w:val="99"/>
    <w:rPr>
      <w:rFonts w:ascii="Times New Roman" w:hAnsi="Times New Roman" w:eastAsia="宋体" w:cs="Times New Roman"/>
      <w:kern w:val="0"/>
      <w:sz w:val="18"/>
      <w:szCs w:val="18"/>
    </w:rPr>
  </w:style>
  <w:style w:type="character" w:customStyle="1" w:styleId="342">
    <w:name w:val="正文文本 3 Char1"/>
    <w:basedOn w:val="59"/>
    <w:semiHidden/>
    <w:qFormat/>
    <w:uiPriority w:val="99"/>
    <w:rPr>
      <w:rFonts w:ascii="Times New Roman" w:hAnsi="Times New Roman" w:eastAsia="宋体" w:cs="Times New Roman"/>
      <w:kern w:val="0"/>
      <w:sz w:val="16"/>
      <w:szCs w:val="16"/>
    </w:rPr>
  </w:style>
  <w:style w:type="character" w:customStyle="1" w:styleId="343">
    <w:name w:val="正文文本缩进 Char2"/>
    <w:basedOn w:val="59"/>
    <w:semiHidden/>
    <w:qFormat/>
    <w:uiPriority w:val="99"/>
    <w:rPr>
      <w:rFonts w:ascii="Times New Roman" w:hAnsi="Times New Roman" w:eastAsia="宋体" w:cs="Times New Roman"/>
      <w:kern w:val="0"/>
      <w:sz w:val="24"/>
      <w:szCs w:val="24"/>
    </w:rPr>
  </w:style>
  <w:style w:type="character" w:customStyle="1" w:styleId="344">
    <w:name w:val="正文首行缩进 2 Char1"/>
    <w:basedOn w:val="343"/>
    <w:semiHidden/>
    <w:qFormat/>
    <w:uiPriority w:val="99"/>
    <w:rPr>
      <w:rFonts w:ascii="Times New Roman" w:hAnsi="Times New Roman" w:eastAsia="宋体" w:cs="Times New Roman"/>
      <w:kern w:val="0"/>
      <w:sz w:val="24"/>
      <w:szCs w:val="24"/>
    </w:rPr>
  </w:style>
  <w:style w:type="character" w:customStyle="1" w:styleId="345">
    <w:name w:val="正文文本 Char3"/>
    <w:basedOn w:val="59"/>
    <w:semiHidden/>
    <w:qFormat/>
    <w:uiPriority w:val="99"/>
    <w:rPr>
      <w:rFonts w:ascii="Times New Roman" w:hAnsi="Times New Roman" w:eastAsia="宋体" w:cs="Times New Roman"/>
      <w:kern w:val="0"/>
      <w:sz w:val="24"/>
      <w:szCs w:val="24"/>
    </w:rPr>
  </w:style>
  <w:style w:type="character" w:customStyle="1" w:styleId="346">
    <w:name w:val="正文首行缩进 Char2"/>
    <w:basedOn w:val="345"/>
    <w:semiHidden/>
    <w:qFormat/>
    <w:uiPriority w:val="99"/>
    <w:rPr>
      <w:rFonts w:ascii="Times New Roman" w:hAnsi="Times New Roman" w:eastAsia="宋体" w:cs="Times New Roman"/>
      <w:kern w:val="0"/>
      <w:sz w:val="24"/>
      <w:szCs w:val="24"/>
    </w:rPr>
  </w:style>
  <w:style w:type="character" w:customStyle="1" w:styleId="347">
    <w:name w:val="批注框文本 Char2"/>
    <w:basedOn w:val="59"/>
    <w:semiHidden/>
    <w:qFormat/>
    <w:uiPriority w:val="99"/>
    <w:rPr>
      <w:rFonts w:ascii="Times New Roman" w:hAnsi="Times New Roman" w:eastAsia="宋体" w:cs="Times New Roman"/>
      <w:kern w:val="0"/>
      <w:sz w:val="18"/>
      <w:szCs w:val="18"/>
    </w:rPr>
  </w:style>
  <w:style w:type="character" w:customStyle="1" w:styleId="348">
    <w:name w:val="批注主题 Char1"/>
    <w:basedOn w:val="340"/>
    <w:semiHidden/>
    <w:qFormat/>
    <w:uiPriority w:val="99"/>
    <w:rPr>
      <w:rFonts w:ascii="Times New Roman" w:hAnsi="Times New Roman" w:eastAsia="宋体" w:cs="Times New Roman"/>
      <w:b/>
      <w:bCs/>
      <w:kern w:val="0"/>
      <w:sz w:val="24"/>
      <w:szCs w:val="24"/>
    </w:rPr>
  </w:style>
  <w:style w:type="character" w:customStyle="1" w:styleId="349">
    <w:name w:val="正文文本缩进 3 字符"/>
    <w:basedOn w:val="59"/>
    <w:link w:val="43"/>
    <w:qFormat/>
    <w:uiPriority w:val="0"/>
    <w:rPr>
      <w:sz w:val="16"/>
      <w:szCs w:val="16"/>
    </w:rPr>
  </w:style>
  <w:style w:type="character" w:customStyle="1" w:styleId="350">
    <w:name w:val="纯文本 Char4"/>
    <w:basedOn w:val="59"/>
    <w:semiHidden/>
    <w:qFormat/>
    <w:uiPriority w:val="99"/>
    <w:rPr>
      <w:rFonts w:ascii="宋体" w:hAnsi="Courier New" w:eastAsia="宋体" w:cs="Courier New"/>
      <w:kern w:val="0"/>
      <w:szCs w:val="21"/>
    </w:rPr>
  </w:style>
  <w:style w:type="character" w:customStyle="1" w:styleId="351">
    <w:name w:val="标题 Char1"/>
    <w:basedOn w:val="59"/>
    <w:qFormat/>
    <w:uiPriority w:val="10"/>
    <w:rPr>
      <w:rFonts w:eastAsia="宋体" w:asciiTheme="majorHAnsi" w:hAnsiTheme="majorHAnsi" w:cstheme="majorBidi"/>
      <w:b/>
      <w:bCs/>
      <w:kern w:val="0"/>
      <w:sz w:val="32"/>
      <w:szCs w:val="32"/>
    </w:rPr>
  </w:style>
  <w:style w:type="character" w:customStyle="1" w:styleId="352">
    <w:name w:val="正文文本缩进 2 字符"/>
    <w:basedOn w:val="59"/>
    <w:link w:val="33"/>
    <w:qFormat/>
    <w:uiPriority w:val="0"/>
    <w:rPr>
      <w:rFonts w:ascii="宋体" w:eastAsia="新宋体"/>
      <w:sz w:val="24"/>
    </w:rPr>
  </w:style>
  <w:style w:type="character" w:customStyle="1" w:styleId="353">
    <w:name w:val="正文文本 2 字符"/>
    <w:basedOn w:val="59"/>
    <w:link w:val="49"/>
    <w:qFormat/>
    <w:uiPriority w:val="0"/>
    <w:rPr>
      <w:sz w:val="24"/>
      <w:szCs w:val="24"/>
    </w:rPr>
  </w:style>
  <w:style w:type="character" w:customStyle="1" w:styleId="354">
    <w:name w:val="页眉 Char2"/>
    <w:basedOn w:val="59"/>
    <w:semiHidden/>
    <w:qFormat/>
    <w:uiPriority w:val="99"/>
    <w:rPr>
      <w:rFonts w:ascii="Times New Roman" w:hAnsi="Times New Roman" w:eastAsia="宋体" w:cs="Times New Roman"/>
      <w:kern w:val="0"/>
      <w:sz w:val="18"/>
      <w:szCs w:val="18"/>
    </w:rPr>
  </w:style>
  <w:style w:type="character" w:customStyle="1" w:styleId="355">
    <w:name w:val="日期 字符"/>
    <w:basedOn w:val="59"/>
    <w:link w:val="32"/>
    <w:qFormat/>
    <w:uiPriority w:val="0"/>
    <w:rPr>
      <w:sz w:val="24"/>
      <w:szCs w:val="24"/>
    </w:rPr>
  </w:style>
  <w:style w:type="character" w:customStyle="1" w:styleId="356">
    <w:name w:val="文档结构图 Char1"/>
    <w:basedOn w:val="59"/>
    <w:semiHidden/>
    <w:qFormat/>
    <w:uiPriority w:val="99"/>
    <w:rPr>
      <w:rFonts w:ascii="宋体" w:hAnsi="Times New Roman" w:eastAsia="宋体" w:cs="Times New Roman"/>
      <w:kern w:val="0"/>
      <w:sz w:val="18"/>
      <w:szCs w:val="18"/>
    </w:rPr>
  </w:style>
  <w:style w:type="character" w:customStyle="1" w:styleId="357">
    <w:name w:val="bookmark-item"/>
    <w:basedOn w:val="59"/>
    <w:qFormat/>
    <w:uiPriority w:val="0"/>
  </w:style>
  <w:style w:type="paragraph" w:customStyle="1" w:styleId="358">
    <w:name w:val="首行缩进"/>
    <w:basedOn w:val="1"/>
    <w:qFormat/>
    <w:uiPriority w:val="0"/>
    <w:pPr>
      <w:spacing w:line="360" w:lineRule="auto"/>
      <w:ind w:firstLine="480" w:firstLineChars="200"/>
    </w:pPr>
    <w:rPr>
      <w:lang w:val="zh-CN"/>
    </w:rPr>
  </w:style>
  <w:style w:type="paragraph" w:customStyle="1" w:styleId="359">
    <w:name w:val="修订2"/>
    <w:hidden/>
    <w:semiHidden/>
    <w:qFormat/>
    <w:uiPriority w:val="99"/>
    <w:rPr>
      <w:rFonts w:ascii="Times New Roman" w:hAnsi="Times New Roman" w:eastAsia="宋体" w:cs="Times New Roman"/>
      <w:sz w:val="24"/>
      <w:szCs w:val="24"/>
      <w:lang w:val="en-US" w:eastAsia="zh-CN" w:bidi="ar-SA"/>
    </w:rPr>
  </w:style>
  <w:style w:type="paragraph" w:customStyle="1" w:styleId="360">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361">
    <w:name w:val="font71"/>
    <w:basedOn w:val="59"/>
    <w:qFormat/>
    <w:uiPriority w:val="0"/>
    <w:rPr>
      <w:rFonts w:hint="eastAsia" w:ascii="宋体" w:hAnsi="宋体" w:eastAsia="宋体" w:cs="宋体"/>
      <w:color w:val="000000"/>
      <w:sz w:val="24"/>
      <w:szCs w:val="24"/>
      <w:u w:val="none"/>
    </w:rPr>
  </w:style>
  <w:style w:type="character" w:customStyle="1" w:styleId="362">
    <w:name w:val="font81"/>
    <w:basedOn w:val="59"/>
    <w:qFormat/>
    <w:uiPriority w:val="0"/>
    <w:rPr>
      <w:rFonts w:hint="eastAsia" w:ascii="宋体" w:hAnsi="宋体" w:eastAsia="宋体" w:cs="宋体"/>
      <w:color w:val="000000"/>
      <w:sz w:val="24"/>
      <w:szCs w:val="24"/>
      <w:u w:val="none"/>
    </w:rPr>
  </w:style>
  <w:style w:type="character" w:customStyle="1" w:styleId="363">
    <w:name w:val="font91"/>
    <w:basedOn w:val="59"/>
    <w:qFormat/>
    <w:uiPriority w:val="0"/>
    <w:rPr>
      <w:rFonts w:hint="default" w:ascii="Times New Roman" w:hAnsi="Times New Roman" w:cs="Times New Roman"/>
      <w:color w:val="000000"/>
      <w:sz w:val="24"/>
      <w:szCs w:val="24"/>
      <w:u w:val="none"/>
    </w:rPr>
  </w:style>
  <w:style w:type="character" w:customStyle="1" w:styleId="364">
    <w:name w:val="NormalCharacter"/>
    <w:qFormat/>
    <w:uiPriority w:val="0"/>
    <w:rPr>
      <w:rFonts w:ascii="Times New Roman" w:hAnsi="Times New Roman" w:eastAsia="宋体" w:cs="Times New Roman"/>
      <w:kern w:val="2"/>
      <w:sz w:val="21"/>
      <w:lang w:val="en-US" w:eastAsia="zh-CN" w:bidi="ar-SA"/>
    </w:rPr>
  </w:style>
  <w:style w:type="paragraph" w:customStyle="1" w:styleId="365">
    <w:name w:val="表格正文"/>
    <w:qFormat/>
    <w:uiPriority w:val="0"/>
    <w:pPr>
      <w:spacing w:before="80" w:after="80" w:line="360" w:lineRule="auto"/>
      <w:contextualSpacing/>
      <w:textAlignment w:val="center"/>
    </w:pPr>
    <w:rPr>
      <w:rFonts w:eastAsia="宋体" w:cs="方正兰亭黑简体" w:asciiTheme="minorEastAsia" w:hAnsiTheme="minorEastAsia"/>
      <w:kern w:val="2"/>
      <w:sz w:val="21"/>
      <w:szCs w:val="21"/>
      <w:lang w:val="en-US" w:eastAsia="zh-CN" w:bidi="ar-SA"/>
    </w:rPr>
  </w:style>
  <w:style w:type="table" w:customStyle="1" w:styleId="366">
    <w:name w:val="Table1"/>
    <w:basedOn w:val="57"/>
    <w:qFormat/>
    <w:uiPriority w:val="99"/>
    <w:pPr>
      <w:spacing w:line="360" w:lineRule="auto"/>
    </w:pPr>
    <w:rPr>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宋体"/>
        <w:b/>
        <w:i w:val="0"/>
        <w:sz w:val="24"/>
      </w:rPr>
      <w:tcPr>
        <w:shd w:val="clear" w:color="auto" w:fill="D9D9D9"/>
        <w:vAlign w:val="center"/>
      </w:tcPr>
    </w:tblStylePr>
  </w:style>
  <w:style w:type="character" w:customStyle="1" w:styleId="367">
    <w:name w:val="交叉引用"/>
    <w:basedOn w:val="59"/>
    <w:qFormat/>
    <w:uiPriority w:val="1"/>
    <w:rPr>
      <w:color w:val="0000FF"/>
      <w:u w:val="singl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FD1F6-9320-4A58-A1A8-9AC436211EC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31865</Words>
  <Characters>34072</Characters>
  <Lines>262</Lines>
  <Paragraphs>73</Paragraphs>
  <TotalTime>9</TotalTime>
  <ScaleCrop>false</ScaleCrop>
  <LinksUpToDate>false</LinksUpToDate>
  <CharactersWithSpaces>34826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2023-01-11T01:28:00Z</dcterms:created>
  <dc:creator>Administrator</dc:creator>
  <cp:lastModifiedBy>Administrator</cp:lastModifiedBy>
  <cp:lastPrinted>2022-10-25T02:17:00Z</cp:lastPrinted>
  <dcterms:modified xsi:type="dcterms:W3CDTF">2023-03-08T06:21:43Z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52C8CEA974B749C98D9CE8510DA8640F</vt:lpwstr>
  </property>
</Properties>
</file>