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val="0"/>
        <w:overflowPunct/>
        <w:topLinePunct w:val="0"/>
        <w:bidi w:val="0"/>
        <w:spacing w:line="360" w:lineRule="auto"/>
        <w:jc w:val="center"/>
        <w:rPr>
          <w:rFonts w:ascii="宋体" w:hAnsi="宋体" w:cs="宋体"/>
          <w:b/>
          <w:color w:val="auto"/>
          <w:sz w:val="24"/>
          <w:highlight w:val="none"/>
        </w:rPr>
      </w:pPr>
    </w:p>
    <w:p>
      <w:pPr>
        <w:kinsoku/>
        <w:wordWrap w:val="0"/>
        <w:overflowPunct/>
        <w:topLinePunct w:val="0"/>
        <w:bidi w:val="0"/>
        <w:adjustRightInd/>
        <w:spacing w:line="360" w:lineRule="auto"/>
        <w:jc w:val="center"/>
        <w:rPr>
          <w:rFonts w:hint="eastAsia" w:ascii="隶书" w:hAnsi="Arial" w:eastAsia="隶书" w:cs="Arial"/>
          <w:b/>
          <w:color w:val="auto"/>
          <w:spacing w:val="-12"/>
          <w:sz w:val="48"/>
          <w:szCs w:val="48"/>
          <w:highlight w:val="none"/>
          <w:lang w:eastAsia="zh-CN"/>
        </w:rPr>
      </w:pPr>
      <w:bookmarkStart w:id="0" w:name="_Hlt67893495"/>
      <w:bookmarkEnd w:id="0"/>
      <w:r>
        <w:rPr>
          <w:rFonts w:hint="eastAsia" w:ascii="隶书" w:hAnsi="Arial" w:eastAsia="隶书" w:cs="Arial"/>
          <w:b/>
          <w:color w:val="auto"/>
          <w:spacing w:val="-12"/>
          <w:sz w:val="48"/>
          <w:szCs w:val="48"/>
          <w:highlight w:val="none"/>
          <w:lang w:eastAsia="zh-CN"/>
        </w:rPr>
        <w:t>绍兴市第七人民医院</w:t>
      </w:r>
    </w:p>
    <w:p>
      <w:pPr>
        <w:kinsoku/>
        <w:wordWrap w:val="0"/>
        <w:overflowPunct/>
        <w:topLinePunct w:val="0"/>
        <w:bidi w:val="0"/>
        <w:adjustRightInd/>
        <w:spacing w:line="360" w:lineRule="auto"/>
        <w:jc w:val="center"/>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超融合等采购项目</w:t>
      </w:r>
    </w:p>
    <w:p>
      <w:pPr>
        <w:kinsoku/>
        <w:wordWrap w:val="0"/>
        <w:overflowPunct/>
        <w:topLinePunct w:val="0"/>
        <w:bidi w:val="0"/>
        <w:jc w:val="center"/>
        <w:outlineLvl w:val="0"/>
        <w:rPr>
          <w:rFonts w:hint="eastAsia" w:ascii="隶书" w:hAnsi="隶书" w:eastAsia="隶书" w:cs="隶书"/>
          <w:b/>
          <w:color w:val="auto"/>
          <w:sz w:val="72"/>
          <w:szCs w:val="72"/>
          <w:highlight w:val="none"/>
        </w:rPr>
      </w:pP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公</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开</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招</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标</w:t>
      </w:r>
    </w:p>
    <w:p>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文</w:t>
      </w:r>
    </w:p>
    <w:p>
      <w:pPr>
        <w:kinsoku/>
        <w:wordWrap w:val="0"/>
        <w:overflowPunct/>
        <w:topLinePunct w:val="0"/>
        <w:bidi w:val="0"/>
        <w:jc w:val="center"/>
        <w:outlineLvl w:val="0"/>
        <w:rPr>
          <w:rFonts w:hint="eastAsia" w:ascii="隶书" w:hAnsi="隶书" w:eastAsia="隶书" w:cs="隶书"/>
          <w:color w:val="auto"/>
          <w:sz w:val="44"/>
          <w:highlight w:val="none"/>
        </w:rPr>
      </w:pPr>
      <w:r>
        <w:rPr>
          <w:rFonts w:hint="eastAsia" w:ascii="隶书" w:hAnsi="隶书" w:eastAsia="隶书" w:cs="隶书"/>
          <w:b/>
          <w:color w:val="auto"/>
          <w:sz w:val="72"/>
          <w:szCs w:val="72"/>
          <w:highlight w:val="none"/>
        </w:rPr>
        <w:t>件</w:t>
      </w:r>
    </w:p>
    <w:p>
      <w:pPr>
        <w:kinsoku/>
        <w:wordWrap w:val="0"/>
        <w:overflowPunct/>
        <w:topLinePunct w:val="0"/>
        <w:bidi w:val="0"/>
        <w:adjustRightInd/>
        <w:spacing w:line="360" w:lineRule="auto"/>
        <w:jc w:val="center"/>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（电子招投标）</w:t>
      </w:r>
    </w:p>
    <w:p>
      <w:pPr>
        <w:kinsoku/>
        <w:wordWrap w:val="0"/>
        <w:overflowPunct/>
        <w:topLinePunct w:val="0"/>
        <w:bidi w:val="0"/>
        <w:spacing w:line="360" w:lineRule="auto"/>
        <w:jc w:val="both"/>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 xml:space="preserve"> </w:t>
      </w:r>
    </w:p>
    <w:p>
      <w:pPr>
        <w:kinsoku/>
        <w:wordWrap w:val="0"/>
        <w:overflowPunct/>
        <w:topLinePunct w:val="0"/>
        <w:bidi w:val="0"/>
        <w:jc w:val="center"/>
        <w:rPr>
          <w:rFonts w:hint="eastAsia" w:ascii="隶书" w:hAnsi="隶书" w:eastAsia="隶书" w:cs="隶书"/>
          <w:b w:val="0"/>
          <w:bCs/>
          <w:color w:val="auto"/>
          <w:sz w:val="28"/>
          <w:szCs w:val="28"/>
          <w:highlight w:val="none"/>
          <w:lang w:eastAsia="zh-CN"/>
        </w:rPr>
      </w:pPr>
      <w:r>
        <w:rPr>
          <w:rFonts w:hint="eastAsia" w:ascii="隶书" w:hAnsi="隶书" w:eastAsia="隶书" w:cs="隶书"/>
          <w:b w:val="0"/>
          <w:bCs/>
          <w:color w:val="auto"/>
          <w:sz w:val="28"/>
          <w:szCs w:val="28"/>
          <w:highlight w:val="none"/>
          <w:lang w:eastAsia="zh-CN"/>
        </w:rPr>
        <w:t>招标编号:</w:t>
      </w:r>
      <w:r>
        <w:rPr>
          <w:rFonts w:hint="eastAsia" w:ascii="隶书" w:hAnsi="隶书" w:eastAsia="隶书" w:cs="隶书"/>
          <w:b/>
          <w:bCs w:val="0"/>
          <w:color w:val="auto"/>
          <w:sz w:val="28"/>
          <w:szCs w:val="28"/>
          <w:highlight w:val="none"/>
          <w:lang w:eastAsia="zh-CN"/>
        </w:rPr>
        <w:t>2025-07-0060</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rPr>
              <w:t>采购单</w:t>
            </w:r>
            <w:r>
              <w:rPr>
                <w:rFonts w:hint="eastAsia" w:ascii="隶书" w:hAnsi="隶书" w:eastAsia="隶书" w:cs="隶书"/>
                <w:color w:val="auto"/>
                <w:spacing w:val="1"/>
                <w:kern w:val="0"/>
                <w:sz w:val="28"/>
                <w:szCs w:val="28"/>
                <w:highlight w:val="none"/>
              </w:rPr>
              <w:t>位</w:t>
            </w:r>
            <w:r>
              <w:rPr>
                <w:rFonts w:hint="eastAsia" w:ascii="隶书" w:hAnsi="隶书" w:eastAsia="隶书" w:cs="隶书"/>
                <w:color w:val="auto"/>
                <w:sz w:val="28"/>
                <w:szCs w:val="28"/>
                <w:highlight w:val="none"/>
              </w:rPr>
              <w:t>：</w:t>
            </w:r>
          </w:p>
        </w:tc>
        <w:tc>
          <w:tcPr>
            <w:tcW w:w="5445" w:type="dxa"/>
            <w:vAlign w:val="center"/>
          </w:tcPr>
          <w:p>
            <w:pPr>
              <w:kinsoku/>
              <w:wordWrap w:val="0"/>
              <w:overflowPunct/>
              <w:topLinePunct w:val="0"/>
              <w:bidi w:val="0"/>
              <w:spacing w:line="320" w:lineRule="exact"/>
              <w:outlineLvl w:val="0"/>
              <w:rPr>
                <w:rFonts w:hint="eastAsia" w:ascii="隶书" w:hAnsi="隶书" w:eastAsia="隶书" w:cs="隶书"/>
                <w:color w:val="auto"/>
                <w:sz w:val="28"/>
                <w:szCs w:val="28"/>
                <w:highlight w:val="none"/>
                <w:lang w:eastAsia="zh-CN"/>
              </w:rPr>
            </w:pPr>
            <w:r>
              <w:rPr>
                <w:rFonts w:hint="eastAsia" w:ascii="隶书" w:hAnsi="隶书" w:eastAsia="隶书" w:cs="隶书"/>
                <w:color w:val="auto"/>
                <w:sz w:val="28"/>
                <w:szCs w:val="28"/>
                <w:highlight w:val="none"/>
                <w:lang w:eastAsia="zh-CN"/>
              </w:rPr>
              <w:t>绍兴市第七人民医院</w:t>
            </w:r>
          </w:p>
        </w:tc>
      </w:tr>
      <w:tr>
        <w:tblPrEx>
          <w:tblCellMar>
            <w:top w:w="0" w:type="dxa"/>
            <w:left w:w="108" w:type="dxa"/>
            <w:bottom w:w="0" w:type="dxa"/>
            <w:right w:w="108" w:type="dxa"/>
          </w:tblCellMar>
        </w:tblPrEx>
        <w:trPr>
          <w:trHeight w:val="494" w:hRule="atLeast"/>
          <w:jc w:val="center"/>
        </w:trPr>
        <w:tc>
          <w:tcPr>
            <w:tcW w:w="2356" w:type="dxa"/>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0"/>
                <w:w w:val="100"/>
                <w:kern w:val="0"/>
                <w:sz w:val="28"/>
                <w:szCs w:val="28"/>
                <w:highlight w:val="none"/>
                <w:fitText w:val="1680" w:id="-1368503609"/>
              </w:rPr>
              <w:t>采购代理机构</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fitText w:val="1680" w:id="1"/>
              </w:rPr>
              <w:t>监督单</w:t>
            </w:r>
            <w:r>
              <w:rPr>
                <w:rFonts w:hint="eastAsia" w:ascii="隶书" w:hAnsi="隶书" w:eastAsia="隶书" w:cs="隶书"/>
                <w:color w:val="auto"/>
                <w:spacing w:val="1"/>
                <w:kern w:val="0"/>
                <w:sz w:val="28"/>
                <w:szCs w:val="28"/>
                <w:highlight w:val="none"/>
                <w:fitText w:val="1680" w:id="1"/>
              </w:rPr>
              <w:t>位</w:t>
            </w:r>
            <w:r>
              <w:rPr>
                <w:rFonts w:hint="eastAsia" w:ascii="隶书" w:hAnsi="隶书" w:eastAsia="隶书" w:cs="隶书"/>
                <w:color w:val="auto"/>
                <w:sz w:val="28"/>
                <w:szCs w:val="28"/>
                <w:highlight w:val="none"/>
              </w:rPr>
              <w:t>：</w:t>
            </w: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kinsoku/>
              <w:wordWrap w:val="0"/>
              <w:overflowPunct/>
              <w:topLinePunct w:val="0"/>
              <w:bidi w:val="0"/>
              <w:spacing w:after="100" w:afterAutospacing="1" w:line="440" w:lineRule="exact"/>
              <w:rPr>
                <w:rFonts w:hint="eastAsia" w:ascii="隶书" w:hAnsi="隶书" w:eastAsia="隶书" w:cs="隶书"/>
                <w:color w:val="auto"/>
                <w:spacing w:val="1400"/>
                <w:kern w:val="0"/>
                <w:sz w:val="28"/>
                <w:szCs w:val="28"/>
                <w:highlight w:val="none"/>
                <w:fitText w:val="1680" w:id="1"/>
              </w:rPr>
            </w:pPr>
          </w:p>
        </w:tc>
        <w:tc>
          <w:tcPr>
            <w:tcW w:w="5445" w:type="dxa"/>
            <w:vAlign w:val="top"/>
          </w:tcPr>
          <w:p>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kinsoku/>
              <w:wordWrap w:val="0"/>
              <w:overflowPunct/>
              <w:topLinePunct w:val="0"/>
              <w:bidi w:val="0"/>
              <w:spacing w:after="100" w:afterAutospacing="1" w:line="440" w:lineRule="exact"/>
              <w:jc w:val="center"/>
              <w:rPr>
                <w:rFonts w:hint="eastAsia" w:ascii="隶书" w:hAnsi="隶书" w:eastAsia="隶书" w:cs="隶书"/>
                <w:color w:val="auto"/>
                <w:sz w:val="28"/>
                <w:szCs w:val="28"/>
                <w:highlight w:val="none"/>
              </w:rPr>
            </w:pPr>
            <w:r>
              <w:rPr>
                <w:rFonts w:hint="eastAsia" w:ascii="隶书" w:hAnsi="隶书" w:eastAsia="隶书" w:cs="隶书"/>
                <w:color w:val="auto"/>
                <w:sz w:val="28"/>
                <w:szCs w:val="28"/>
                <w:highlight w:val="none"/>
              </w:rPr>
              <w:t>二○二</w:t>
            </w:r>
            <w:r>
              <w:rPr>
                <w:rFonts w:hint="eastAsia" w:ascii="隶书" w:hAnsi="隶书" w:eastAsia="隶书" w:cs="隶书"/>
                <w:color w:val="auto"/>
                <w:sz w:val="28"/>
                <w:szCs w:val="28"/>
                <w:highlight w:val="none"/>
                <w:lang w:val="en-US" w:eastAsia="zh-CN"/>
              </w:rPr>
              <w:t>五</w:t>
            </w:r>
            <w:r>
              <w:rPr>
                <w:rFonts w:hint="eastAsia" w:ascii="隶书" w:hAnsi="隶书" w:eastAsia="隶书" w:cs="隶书"/>
                <w:color w:val="auto"/>
                <w:sz w:val="28"/>
                <w:szCs w:val="28"/>
                <w:highlight w:val="none"/>
              </w:rPr>
              <w:t>年</w:t>
            </w:r>
            <w:r>
              <w:rPr>
                <w:rFonts w:hint="eastAsia" w:ascii="隶书" w:hAnsi="隶书" w:eastAsia="隶书" w:cs="隶书"/>
                <w:color w:val="auto"/>
                <w:sz w:val="28"/>
                <w:szCs w:val="28"/>
                <w:highlight w:val="none"/>
                <w:lang w:val="en-US" w:eastAsia="zh-CN"/>
              </w:rPr>
              <w:t>七</w:t>
            </w:r>
            <w:r>
              <w:rPr>
                <w:rFonts w:hint="eastAsia" w:ascii="隶书" w:hAnsi="隶书" w:eastAsia="隶书" w:cs="隶书"/>
                <w:color w:val="auto"/>
                <w:sz w:val="28"/>
                <w:szCs w:val="28"/>
                <w:highlight w:val="none"/>
              </w:rPr>
              <w:t>月</w:t>
            </w:r>
          </w:p>
        </w:tc>
      </w:tr>
    </w:tbl>
    <w:p>
      <w:pPr>
        <w:pStyle w:val="636"/>
        <w:kinsoku/>
        <w:wordWrap w:val="0"/>
        <w:overflowPunct/>
        <w:topLinePunct w:val="0"/>
        <w:bidi w:val="0"/>
        <w:rPr>
          <w:rFonts w:hint="eastAsia" w:ascii="隶书" w:hAnsi="隶书" w:eastAsia="隶书" w:cs="隶书"/>
          <w:color w:val="auto"/>
          <w:highlight w:val="none"/>
        </w:rPr>
        <w:sectPr>
          <w:headerReference r:id="rId3" w:type="default"/>
          <w:footerReference r:id="rId4" w:type="default"/>
          <w:footerReference r:id="rId5" w:type="even"/>
          <w:pgSz w:w="11906" w:h="16838"/>
          <w:pgMar w:top="1814" w:right="1474" w:bottom="1814" w:left="1474" w:header="851" w:footer="992" w:gutter="0"/>
          <w:pgNumType w:fmt="decimal" w:start="1"/>
          <w:cols w:space="720" w:num="1"/>
          <w:titlePg/>
          <w:docGrid w:linePitch="312" w:charSpace="0"/>
        </w:sectPr>
      </w:pPr>
    </w:p>
    <w:p>
      <w:pPr>
        <w:kinsoku/>
        <w:wordWrap w:val="0"/>
        <w:overflowPunct/>
        <w:topLinePunct w:val="0"/>
        <w:bidi w:val="0"/>
        <w:spacing w:line="360" w:lineRule="auto"/>
        <w:jc w:val="center"/>
        <w:rPr>
          <w:rFonts w:hint="eastAsia" w:ascii="仿宋" w:hAnsi="仿宋" w:eastAsia="仿宋" w:cs="仿宋"/>
          <w:color w:val="auto"/>
          <w:sz w:val="2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pPr>
        <w:kinsoku/>
        <w:wordWrap w:val="0"/>
        <w:overflowPunct/>
        <w:topLinePunct w:val="0"/>
        <w:bidi w:val="0"/>
        <w:spacing w:line="360" w:lineRule="auto"/>
        <w:rPr>
          <w:rFonts w:hint="eastAsia" w:ascii="仿宋" w:hAnsi="仿宋" w:eastAsia="仿宋" w:cs="仿宋"/>
          <w:color w:val="auto"/>
          <w:sz w:val="24"/>
          <w:highlight w:val="none"/>
        </w:rPr>
      </w:pPr>
    </w:p>
    <w:bookmarkEnd w:id="2"/>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9" w:type="first"/>
          <w:headerReference r:id="rId6" w:type="default"/>
          <w:footerReference r:id="rId7" w:type="default"/>
          <w:footerReference r:id="rId8" w:type="even"/>
          <w:pgSz w:w="11906" w:h="16838"/>
          <w:pgMar w:top="1814" w:right="1474" w:bottom="1814" w:left="1474" w:header="851" w:footer="992" w:gutter="0"/>
          <w:pgNumType w:fmt="decimal"/>
          <w:cols w:space="720" w:num="1"/>
          <w:titlePg/>
          <w:docGrid w:linePitch="312" w:charSpace="0"/>
        </w:sectPr>
      </w:pPr>
      <w:bookmarkStart w:id="3" w:name="_Hlt74729822"/>
      <w:bookmarkEnd w:id="3"/>
      <w:bookmarkStart w:id="4" w:name="_Hlt74649545"/>
      <w:bookmarkEnd w:id="4"/>
      <w:bookmarkStart w:id="5" w:name="_Hlt74728647"/>
      <w:bookmarkEnd w:id="5"/>
      <w:bookmarkStart w:id="6" w:name="_Hlt74707423"/>
      <w:bookmarkEnd w:id="6"/>
      <w:bookmarkStart w:id="7" w:name="第二部分"/>
      <w:bookmarkStart w:id="8" w:name="_Toc91899870"/>
      <w:bookmarkStart w:id="9" w:name="_Toc91899871"/>
    </w:p>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绍兴市第七人民医院超融合等采购项目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https://www.zcygov.cn/）获取（下载）招标文件，并于202</w:t>
      </w:r>
      <w:r>
        <w:rPr>
          <w:rStyle w:val="76"/>
          <w:rFonts w:hint="eastAsia" w:ascii="仿宋_GB2312" w:hAnsi="仿宋_GB2312" w:eastAsia="仿宋_GB2312" w:cs="仿宋_GB2312"/>
          <w:snapToGrid/>
          <w:color w:val="auto"/>
          <w:kern w:val="2"/>
          <w:sz w:val="24"/>
          <w:szCs w:val="24"/>
          <w:highlight w:val="none"/>
          <w:lang w:val="en-US" w:eastAsia="zh-CN"/>
        </w:rPr>
        <w:t>5</w:t>
      </w:r>
      <w:r>
        <w:rPr>
          <w:rStyle w:val="76"/>
          <w:rFonts w:hint="eastAsia" w:ascii="仿宋_GB2312" w:hAnsi="仿宋_GB2312" w:eastAsia="仿宋_GB2312" w:cs="仿宋_GB2312"/>
          <w:snapToGrid/>
          <w:color w:val="auto"/>
          <w:kern w:val="2"/>
          <w:sz w:val="24"/>
          <w:szCs w:val="24"/>
          <w:highlight w:val="none"/>
        </w:rPr>
        <w:t>年 月 日 点 分</w:t>
      </w:r>
      <w:r>
        <w:rPr>
          <w:rStyle w:val="76"/>
          <w:rFonts w:hint="eastAsia" w:ascii="仿宋_GB2312" w:hAnsi="仿宋_GB2312" w:eastAsia="仿宋_GB2312" w:cs="仿宋_GB2312"/>
          <w:bCs/>
          <w:snapToGrid/>
          <w:color w:val="auto"/>
          <w:kern w:val="2"/>
          <w:sz w:val="24"/>
          <w:szCs w:val="24"/>
          <w:highlight w:val="none"/>
        </w:rPr>
        <w:t>00秒</w:t>
      </w:r>
      <w:r>
        <w:rPr>
          <w:rStyle w:val="76"/>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2025-07-0060</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 w:val="0"/>
          <w:bCs/>
          <w:color w:val="auto"/>
          <w:sz w:val="24"/>
          <w:highlight w:val="none"/>
          <w:lang w:eastAsia="zh-CN"/>
        </w:rPr>
        <w:t>绍兴市第七人民医院超融合等采购项目</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预算金额（元）： </w:t>
      </w:r>
      <w:r>
        <w:rPr>
          <w:rFonts w:hint="eastAsia" w:ascii="仿宋_GB2312" w:hAnsi="仿宋_GB2312" w:eastAsia="仿宋_GB2312" w:cs="仿宋_GB2312"/>
          <w:b/>
          <w:sz w:val="24"/>
        </w:rPr>
        <w:t>700000</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最高限价（元）： </w:t>
      </w:r>
      <w:r>
        <w:rPr>
          <w:rFonts w:hint="eastAsia" w:ascii="仿宋_GB2312" w:hAnsi="仿宋_GB2312" w:eastAsia="仿宋_GB2312" w:cs="仿宋_GB2312"/>
          <w:b/>
          <w:sz w:val="24"/>
        </w:rPr>
        <w:t>700000</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 w:val="0"/>
          <w:bCs/>
          <w:color w:val="auto"/>
          <w:sz w:val="24"/>
          <w:highlight w:val="none"/>
          <w:lang w:eastAsia="zh-CN"/>
        </w:rPr>
        <w:t>超融合等采购项目</w:t>
      </w:r>
    </w:p>
    <w:p>
      <w:pPr>
        <w:pageBreakBefore w:val="0"/>
        <w:widowControl w:val="0"/>
        <w:kinsoku/>
        <w:wordWrap w:val="0"/>
        <w:overflowPunct/>
        <w:topLinePunct w:val="0"/>
        <w:autoSpaceDE/>
        <w:autoSpaceDN/>
        <w:bidi w:val="0"/>
        <w:spacing w:line="440" w:lineRule="exact"/>
        <w:ind w:left="0" w:firstLine="480" w:firstLineChars="200"/>
        <w:textAlignment w:val="auto"/>
        <w:rPr>
          <w:rFonts w:hint="default"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lang w:val="en-US" w:eastAsia="zh-CN"/>
        </w:rPr>
        <w:t>预算金额（元）：700000</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主要内容：简要规格描述或项目基本概况介绍、用途，详见采购文件</w:t>
      </w:r>
      <w:r>
        <w:rPr>
          <w:rFonts w:hint="eastAsia" w:ascii="仿宋_GB2312" w:hAnsi="仿宋_GB2312" w:eastAsia="仿宋_GB2312" w:cs="仿宋_GB2312"/>
          <w:b w:val="0"/>
          <w:bCs/>
          <w:color w:val="auto"/>
          <w:sz w:val="24"/>
          <w:highlight w:val="none"/>
        </w:rPr>
        <w:t>。</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b/>
          <w:color w:val="auto"/>
          <w:sz w:val="24"/>
          <w:highlight w:val="none"/>
        </w:rPr>
        <w:t>是，</w:t>
      </w: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b/>
          <w:color w:val="auto"/>
          <w:sz w:val="24"/>
          <w:highlight w:val="none"/>
        </w:rPr>
        <w:t>否。</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2.以联合体形式投标的，提供联合协议(本项目不接受联合体投标或者投标人不以联合体形式投标的，则不需要提供)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color w:val="auto"/>
          <w:sz w:val="24"/>
          <w:highlight w:val="none"/>
        </w:rPr>
        <w:t>无；</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货物全部由符合政策要求的中小企业制造，提供中小企业声明函；</w:t>
      </w:r>
    </w:p>
    <w:p>
      <w:pPr>
        <w:pageBreakBefore w:val="0"/>
        <w:widowControl w:val="0"/>
        <w:kinsoku/>
        <w:wordWrap w:val="0"/>
        <w:overflowPunct/>
        <w:topLinePunct w:val="0"/>
        <w:autoSpaceDE/>
        <w:autoSpaceDN/>
        <w:bidi w:val="0"/>
        <w:spacing w:line="440" w:lineRule="exact"/>
        <w:ind w:firstLine="897" w:firstLineChars="374"/>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货物全部由符合政策要求的小微企业制造，提供中小企业声明函；</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bookmarkStart w:id="10" w:name="_Hlk101132524"/>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bookmarkEnd w:id="10"/>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val="en-US" w:eastAsia="zh-CN"/>
        </w:rPr>
        <w:t>无</w:t>
      </w:r>
      <w:r>
        <w:rPr>
          <w:rFonts w:hint="eastAsia" w:ascii="仿宋_GB2312" w:hAnsi="仿宋_GB2312" w:eastAsia="仿宋_GB2312" w:cs="仿宋_GB2312"/>
          <w:color w:val="auto"/>
          <w:sz w:val="24"/>
          <w:highlight w:val="none"/>
        </w:rPr>
        <w:t>；</w:t>
      </w:r>
    </w:p>
    <w:p>
      <w:pPr>
        <w:pageBreakBefore w:val="0"/>
        <w:widowControl w:val="0"/>
        <w:kinsoku/>
        <w:wordWrap w:val="0"/>
        <w:overflowPunct/>
        <w:topLinePunct w:val="0"/>
        <w:autoSpaceDE/>
        <w:autoSpaceDN/>
        <w:bidi w:val="0"/>
        <w:snapToGrid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年 月 日 点 分00秒</w:t>
      </w:r>
      <w:r>
        <w:rPr>
          <w:rFonts w:hint="eastAsia" w:ascii="仿宋_GB2312" w:hAnsi="仿宋_GB2312" w:eastAsia="仿宋_GB2312" w:cs="仿宋_GB2312"/>
          <w:bCs/>
          <w:color w:val="auto"/>
          <w:sz w:val="24"/>
          <w:highlight w:val="none"/>
          <w:u w:val="single"/>
        </w:rPr>
        <w:t xml:space="preserve">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（浙财采监〔2022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8号）已分别于2022年1月29日、2022年2月1日和2022年7月1日开始实施，此前有关规定与上述文件内容不一致的，按上述文件要求执行。</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2.根据《浙江省财政厅关于进一步促进政府采购公平竞争打造最优营商环境的通知》（浙财采监〔2021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pPr>
        <w:pStyle w:val="7"/>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szCs w:val="24"/>
          <w:highlight w:val="none"/>
        </w:rPr>
      </w:pPr>
      <w:bookmarkStart w:id="11" w:name="_Toc28359096"/>
      <w:bookmarkStart w:id="12" w:name="_Toc35393637"/>
      <w:bookmarkStart w:id="13" w:name="_Toc35393806"/>
      <w:bookmarkStart w:id="14" w:name="_Toc28359019"/>
      <w:r>
        <w:rPr>
          <w:rFonts w:hint="eastAsia" w:ascii="仿宋_GB2312" w:hAnsi="仿宋_GB2312" w:eastAsia="仿宋_GB2312" w:cs="仿宋_GB2312"/>
          <w:color w:val="auto"/>
          <w:sz w:val="24"/>
          <w:szCs w:val="24"/>
          <w:highlight w:val="none"/>
        </w:rPr>
        <w:t>1.采购人信息</w:t>
      </w:r>
      <w:bookmarkEnd w:id="11"/>
      <w:bookmarkEnd w:id="12"/>
      <w:bookmarkEnd w:id="13"/>
      <w:bookmarkEnd w:id="14"/>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名    称：</w:t>
      </w:r>
      <w:r>
        <w:rPr>
          <w:rFonts w:hint="eastAsia" w:ascii="仿宋_GB2312" w:hAnsi="仿宋_GB2312" w:eastAsia="仿宋_GB2312" w:cs="仿宋_GB2312"/>
          <w:color w:val="auto"/>
          <w:sz w:val="24"/>
          <w:highlight w:val="none"/>
          <w:lang w:eastAsia="zh-CN"/>
        </w:rPr>
        <w:t>绍兴市第七人民医院</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4"/>
          <w:highlight w:val="none"/>
          <w:lang w:val="en-US" w:eastAsia="zh-CN"/>
        </w:rPr>
        <w:t>浙江省绍兴市越城区胜利西路1234号</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传    真：</w:t>
      </w:r>
      <w:r>
        <w:rPr>
          <w:rFonts w:hint="eastAsia" w:ascii="仿宋_GB2312" w:hAnsi="仿宋_GB2312" w:eastAsia="仿宋_GB2312" w:cs="仿宋_GB2312"/>
          <w:color w:val="auto"/>
          <w:sz w:val="24"/>
          <w:highlight w:val="none"/>
          <w:lang w:val="en-US" w:eastAsia="zh-CN"/>
        </w:rPr>
        <w:t>0575-85397666</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w:t>
      </w:r>
      <w:r>
        <w:rPr>
          <w:rFonts w:hint="eastAsia" w:ascii="仿宋_GB2312" w:hAnsi="仿宋_GB2312" w:eastAsia="仿宋_GB2312" w:cs="仿宋_GB2312"/>
          <w:color w:val="auto"/>
          <w:sz w:val="24"/>
          <w:highlight w:val="none"/>
          <w:lang w:val="en-US" w:eastAsia="zh-CN"/>
        </w:rPr>
        <w:t>葛伟炬</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项目联系方式（询问）：</w:t>
      </w:r>
      <w:r>
        <w:rPr>
          <w:rFonts w:hint="eastAsia" w:ascii="仿宋_GB2312" w:hAnsi="仿宋_GB2312" w:eastAsia="仿宋_GB2312" w:cs="仿宋_GB2312"/>
          <w:color w:val="auto"/>
          <w:sz w:val="24"/>
          <w:highlight w:val="none"/>
          <w:lang w:val="en-US" w:eastAsia="zh-CN"/>
        </w:rPr>
        <w:t>0575-85397979</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质疑联系人：</w:t>
      </w:r>
      <w:r>
        <w:rPr>
          <w:rFonts w:hint="eastAsia" w:ascii="仿宋_GB2312" w:hAnsi="仿宋_GB2312" w:eastAsia="仿宋_GB2312" w:cs="仿宋_GB2312"/>
          <w:color w:val="auto"/>
          <w:sz w:val="24"/>
          <w:highlight w:val="none"/>
          <w:lang w:val="en-US" w:eastAsia="zh-CN"/>
        </w:rPr>
        <w:t>唐亮</w:t>
      </w:r>
    </w:p>
    <w:p>
      <w:pPr>
        <w:pageBreakBefore w:val="0"/>
        <w:widowControl w:val="0"/>
        <w:kinsoku/>
        <w:wordWrap w:val="0"/>
        <w:overflowPunct/>
        <w:topLinePunct w:val="0"/>
        <w:autoSpaceDE/>
        <w:autoSpaceDN/>
        <w:bidi w:val="0"/>
        <w:spacing w:line="440" w:lineRule="exact"/>
        <w:ind w:left="0" w:firstLine="480" w:firstLineChars="200"/>
        <w:textAlignment w:val="auto"/>
        <w:rPr>
          <w:rFonts w:hint="default" w:ascii="仿宋_GB2312" w:hAnsi="仿宋_GB2312" w:eastAsia="宋体" w:cs="仿宋_GB2312"/>
          <w:color w:val="auto"/>
          <w:sz w:val="24"/>
          <w:highlight w:val="none"/>
          <w:lang w:val="en-US" w:eastAsia="zh-CN"/>
        </w:rPr>
      </w:pPr>
      <w:r>
        <w:rPr>
          <w:rFonts w:hint="eastAsia" w:ascii="仿宋_GB2312" w:hAnsi="仿宋_GB2312" w:eastAsia="仿宋_GB2312" w:cs="仿宋_GB2312"/>
          <w:color w:val="auto"/>
          <w:sz w:val="24"/>
          <w:highlight w:val="none"/>
        </w:rPr>
        <w:t>质疑联</w:t>
      </w:r>
      <w:r>
        <w:rPr>
          <w:rFonts w:hint="eastAsia" w:ascii="仿宋_GB2312" w:hAnsi="仿宋_GB2312" w:eastAsia="仿宋_GB2312" w:cs="仿宋_GB2312"/>
          <w:color w:val="auto"/>
          <w:sz w:val="24"/>
          <w:highlight w:val="none"/>
          <w:lang w:val="en-US" w:eastAsia="zh-CN"/>
        </w:rPr>
        <w:t>系方式：0575-85397715</w:t>
      </w:r>
    </w:p>
    <w:p>
      <w:pPr>
        <w:pStyle w:val="7"/>
        <w:pageBreakBefore w:val="0"/>
        <w:widowControl w:val="0"/>
        <w:numPr>
          <w:ilvl w:val="0"/>
          <w:numId w:val="0"/>
        </w:numPr>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color w:val="auto"/>
          <w:sz w:val="24"/>
          <w:highlight w:val="none"/>
        </w:rPr>
      </w:pPr>
      <w:bookmarkStart w:id="15" w:name="_Toc35393807"/>
      <w:bookmarkStart w:id="16" w:name="_Toc28359020"/>
      <w:bookmarkStart w:id="17" w:name="_Toc28359097"/>
      <w:bookmarkStart w:id="18" w:name="_Toc35393638"/>
      <w:r>
        <w:rPr>
          <w:rFonts w:hint="eastAsia" w:ascii="仿宋_GB2312" w:hAnsi="仿宋_GB2312" w:eastAsia="仿宋_GB2312" w:cs="仿宋_GB2312"/>
          <w:color w:val="auto"/>
          <w:sz w:val="24"/>
          <w:szCs w:val="24"/>
          <w:highlight w:val="none"/>
        </w:rPr>
        <w:t>2.采购代理机构信息</w:t>
      </w:r>
      <w:bookmarkEnd w:id="15"/>
      <w:bookmarkEnd w:id="16"/>
      <w:bookmarkEnd w:id="17"/>
      <w:bookmarkEnd w:id="18"/>
      <w:r>
        <w:rPr>
          <w:rFonts w:hint="eastAsia" w:ascii="仿宋_GB2312" w:hAnsi="仿宋_GB2312" w:eastAsia="仿宋_GB2312" w:cs="仿宋_GB2312"/>
          <w:color w:val="auto"/>
          <w:sz w:val="24"/>
          <w:szCs w:val="24"/>
          <w:highlight w:val="none"/>
        </w:rPr>
        <w:t>：</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bookmarkStart w:id="19" w:name="_Toc35393639"/>
      <w:bookmarkStart w:id="20" w:name="_Toc28359021"/>
      <w:bookmarkStart w:id="21" w:name="_Toc35393808"/>
      <w:bookmarkStart w:id="22" w:name="_Toc28359098"/>
      <w:r>
        <w:rPr>
          <w:rFonts w:hint="eastAsia" w:ascii="仿宋_GB2312" w:hAnsi="仿宋_GB2312" w:eastAsia="仿宋_GB2312" w:cs="仿宋_GB2312"/>
          <w:b w:val="0"/>
          <w:bCs w:val="0"/>
          <w:color w:val="auto"/>
          <w:sz w:val="24"/>
          <w:highlight w:val="none"/>
        </w:rPr>
        <w:t>名称：绍兴市公共资源交易中心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地址：绍兴市越城区洋江西路699号</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传真：</w:t>
      </w:r>
      <w:r>
        <w:rPr>
          <w:rFonts w:hint="eastAsia" w:ascii="仿宋_GB2312" w:hAnsi="仿宋_GB2312" w:eastAsia="仿宋_GB2312" w:cs="仿宋_GB2312"/>
          <w:b w:val="0"/>
          <w:bCs w:val="0"/>
          <w:color w:val="auto"/>
          <w:sz w:val="24"/>
          <w:highlight w:val="none"/>
          <w:lang w:val="en-US" w:eastAsia="zh-CN"/>
        </w:rPr>
        <w:t>/</w:t>
      </w:r>
      <w:r>
        <w:rPr>
          <w:rFonts w:hint="eastAsia" w:ascii="仿宋_GB2312" w:hAnsi="仿宋_GB2312" w:eastAsia="仿宋_GB2312" w:cs="仿宋_GB2312"/>
          <w:b w:val="0"/>
          <w:bCs w:val="0"/>
          <w:color w:val="auto"/>
          <w:sz w:val="24"/>
          <w:highlight w:val="none"/>
        </w:rPr>
        <w:t>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项目联系人（询问）：黄世杰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项目联系方式（询问）：0575-88307028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质疑联系人：顾梁杰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质疑联系方式：0575-88307026 　　</w:t>
      </w:r>
    </w:p>
    <w:p>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color w:val="auto"/>
          <w:sz w:val="24"/>
          <w:highlight w:val="none"/>
        </w:rPr>
        <w:t xml:space="preserve">同级政府采购监督管理部门：            </w:t>
      </w:r>
    </w:p>
    <w:bookmarkEnd w:id="19"/>
    <w:bookmarkEnd w:id="20"/>
    <w:bookmarkEnd w:id="21"/>
    <w:bookmarkEnd w:id="22"/>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名称：绍兴市财政局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地址：绍兴市越城区凤林西路151号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传真：0575-85209697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联系人 ：张婷婷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val="0"/>
        <w:overflowPunct/>
        <w:topLinePunct w:val="0"/>
        <w:autoSpaceDE/>
        <w:autoSpaceDN/>
        <w:bidi w:val="0"/>
        <w:spacing w:line="440" w:lineRule="exact"/>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pPr>
        <w:widowControl/>
        <w:kinsoku/>
        <w:wordWrap w:val="0"/>
        <w:overflowPunct/>
        <w:topLinePunct w:val="0"/>
        <w:bidi w:val="0"/>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kinsoku/>
        <w:wordWrap w:val="0"/>
        <w:overflowPunct/>
        <w:topLinePunct w:val="0"/>
        <w:bidi w:val="0"/>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493" w:type="dxa"/>
            <w:gridSpan w:val="2"/>
            <w:vAlign w:val="center"/>
          </w:tcPr>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493" w:type="dxa"/>
            <w:gridSpan w:val="2"/>
            <w:vAlign w:val="center"/>
          </w:tcPr>
          <w:p>
            <w:pPr>
              <w:kinsoku/>
              <w:wordWrap w:val="0"/>
              <w:overflowPunct/>
              <w:topLinePunct w:val="0"/>
              <w:bidi w:val="0"/>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仿宋_GB2312" w:hAnsi="仿宋" w:eastAsia="仿宋_GB2312" w:cs="Arial"/>
                <w:kern w:val="0"/>
                <w:sz w:val="24"/>
              </w:rPr>
              <w:sym w:font="Wingdings" w:char="00A8"/>
            </w:r>
            <w:r>
              <w:rPr>
                <w:rFonts w:ascii="仿宋_GB2312" w:hAnsi="仿宋" w:eastAsia="仿宋_GB2312" w:cs="Arial"/>
                <w:kern w:val="0"/>
                <w:sz w:val="24"/>
              </w:rPr>
              <w:t xml:space="preserve"> 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pPr>
              <w:kinsoku/>
              <w:wordWrap w:val="0"/>
              <w:overflowPunct/>
              <w:topLinePunct w:val="0"/>
              <w:bidi w:val="0"/>
              <w:spacing w:line="440" w:lineRule="exact"/>
              <w:ind w:firstLine="720" w:firstLineChars="3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493" w:type="dxa"/>
            <w:gridSpan w:val="2"/>
            <w:vAlign w:val="center"/>
          </w:tcPr>
          <w:p>
            <w:pPr>
              <w:kinsoku/>
              <w:wordWrap w:val="0"/>
              <w:overflowPunct/>
              <w:topLinePunct w:val="0"/>
              <w:autoSpaceDE w:val="0"/>
              <w:autoSpaceDN w:val="0"/>
              <w:bidi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keepNext w:val="0"/>
              <w:keepLines w:val="0"/>
              <w:pageBreakBefore w:val="0"/>
              <w:widowControl w:val="0"/>
              <w:kinsoku/>
              <w:wordWrap w:val="0"/>
              <w:overflowPunct/>
              <w:topLinePunct w:val="0"/>
              <w:autoSpaceDE/>
              <w:autoSpaceDN/>
              <w:bidi w:val="0"/>
              <w:adjustRightInd w:val="0"/>
              <w:snapToGrid/>
              <w:spacing w:line="240" w:lineRule="auto"/>
              <w:textAlignment w:val="auto"/>
              <w:rPr>
                <w:rFonts w:ascii="仿宋_GB2312" w:hAnsi="仿宋" w:eastAsia="仿宋_GB2312"/>
                <w:sz w:val="24"/>
              </w:rPr>
            </w:pPr>
            <w:r>
              <w:rPr>
                <w:rFonts w:hint="eastAsia" w:ascii="仿宋_GB2312" w:hAnsi="仿宋_GB2312" w:eastAsia="仿宋_GB2312" w:cs="仿宋_GB2312"/>
                <w:kern w:val="0"/>
                <w:sz w:val="24"/>
              </w:rPr>
              <w:sym w:font="Wingdings" w:char="00FE"/>
            </w:r>
            <w:sdt>
              <w:sdtPr>
                <w:rPr>
                  <w:rFonts w:hint="eastAsia" w:ascii="仿宋_GB2312" w:hAnsi="仿宋" w:eastAsia="仿宋_GB2312" w:cs="Arial"/>
                  <w:kern w:val="0"/>
                  <w:sz w:val="24"/>
                </w:rPr>
                <w:id w:val="366665487"/>
              </w:sdtPr>
              <w:sdtEndPr>
                <w:rPr>
                  <w:rFonts w:hint="eastAsia" w:ascii="仿宋_GB2312" w:hAnsi="仿宋" w:eastAsia="仿宋_GB2312" w:cs="Arial"/>
                  <w:kern w:val="0"/>
                  <w:sz w:val="24"/>
                </w:rPr>
              </w:sdtEndPr>
              <w:sdtContent/>
            </w:sdt>
            <w:r>
              <w:rPr>
                <w:rFonts w:ascii="仿宋_GB2312" w:hAnsi="仿宋" w:eastAsia="仿宋_GB2312" w:cs="Arial"/>
                <w:kern w:val="0"/>
                <w:sz w:val="24"/>
              </w:rPr>
              <w:t>A</w:t>
            </w:r>
            <w:r>
              <w:rPr>
                <w:rFonts w:hint="eastAsia" w:ascii="仿宋_GB2312" w:hAnsi="仿宋" w:eastAsia="仿宋_GB2312"/>
                <w:sz w:val="24"/>
              </w:rPr>
              <w:t>不组织。</w:t>
            </w:r>
          </w:p>
          <w:p>
            <w:pPr>
              <w:kinsoku/>
              <w:wordWrap w:val="0"/>
              <w:overflowPunct/>
              <w:topLinePunct w:val="0"/>
              <w:autoSpaceDE w:val="0"/>
              <w:autoSpaceDN w:val="0"/>
              <w:bidi w:val="0"/>
              <w:spacing w:line="440" w:lineRule="exact"/>
              <w:textAlignment w:val="bottom"/>
              <w:rPr>
                <w:rFonts w:hint="eastAsia" w:ascii="仿宋_GB2312" w:hAnsi="仿宋_GB2312" w:eastAsia="仿宋_GB2312" w:cs="仿宋_GB2312"/>
                <w:b/>
                <w:color w:val="auto"/>
                <w:sz w:val="24"/>
                <w:highlight w:val="none"/>
              </w:rPr>
            </w:pPr>
            <w:r>
              <w:rPr>
                <w:rFonts w:hint="eastAsia" w:ascii="仿宋_GB2312" w:hAnsi="仿宋_GB2312" w:eastAsia="仿宋_GB2312" w:cs="仿宋_GB2312"/>
                <w:kern w:val="0"/>
                <w:sz w:val="24"/>
              </w:rPr>
              <w:sym w:font="Wingdings" w:char="00A8"/>
            </w:r>
            <w:sdt>
              <w:sdtPr>
                <w:rPr>
                  <w:rFonts w:hint="eastAsia" w:ascii="仿宋_GB2312" w:hAnsi="仿宋" w:eastAsia="仿宋_GB2312" w:cs="Arial"/>
                  <w:kern w:val="0"/>
                  <w:sz w:val="24"/>
                </w:rPr>
                <w:id w:val="366665488"/>
              </w:sdtPr>
              <w:sdtEndPr>
                <w:rPr>
                  <w:rFonts w:hint="eastAsia" w:ascii="仿宋_GB2312" w:hAnsi="仿宋" w:eastAsia="仿宋_GB2312" w:cs="Arial"/>
                  <w:kern w:val="0"/>
                  <w:sz w:val="24"/>
                </w:rPr>
              </w:sdtEndP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不要求提供。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B要求提供，</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r>
              <w:rPr>
                <w:rFonts w:hint="eastAsia" w:ascii="仿宋_GB2312" w:hAnsi="仿宋_GB2312" w:eastAsia="仿宋_GB2312" w:cs="仿宋_GB2312"/>
                <w:snapToGrid w:val="0"/>
                <w:color w:val="auto"/>
                <w:kern w:val="28"/>
                <w:sz w:val="24"/>
                <w:highlight w:val="none"/>
              </w:rPr>
              <w:t>样品：</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r>
              <w:rPr>
                <w:rFonts w:hint="eastAsia" w:ascii="仿宋_GB2312" w:hAnsi="仿宋_GB2312" w:eastAsia="仿宋_GB2312" w:cs="仿宋_GB2312"/>
                <w:snapToGrid w:val="0"/>
                <w:color w:val="auto"/>
                <w:kern w:val="28"/>
                <w:sz w:val="24"/>
                <w:highlight w:val="none"/>
              </w:rPr>
              <w:t>样品制作的标准和要求：</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（3）样品的评审方法以及评审标准</w:t>
            </w:r>
            <w:r>
              <w:rPr>
                <w:rFonts w:hint="eastAsia" w:ascii="仿宋_GB2312" w:hAnsi="仿宋_GB2312" w:eastAsia="仿宋_GB2312" w:cs="仿宋_GB2312"/>
                <w:snapToGrid w:val="0"/>
                <w:color w:val="auto"/>
                <w:kern w:val="28"/>
                <w:sz w:val="24"/>
                <w:highlight w:val="none"/>
              </w:rPr>
              <w:t>：详见</w:t>
            </w:r>
            <w:r>
              <w:rPr>
                <w:rFonts w:hint="eastAsia" w:ascii="仿宋_GB2312" w:hAnsi="仿宋_GB2312" w:eastAsia="仿宋_GB2312" w:cs="仿宋_GB2312"/>
                <w:color w:val="auto"/>
                <w:sz w:val="24"/>
                <w:highlight w:val="none"/>
                <w:u w:val="single"/>
              </w:rPr>
              <w:t>评标办法</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（4）是否需要随样品提交检测报告：□否；□是，检测机构的要求</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；检测内容</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（5）提供样品的时间：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；地点：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kern w:val="0"/>
                <w:sz w:val="24"/>
                <w:highlight w:val="none"/>
              </w:rPr>
              <w:t>；联系人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28"/>
                <w:sz w:val="24"/>
                <w:highlight w:val="none"/>
              </w:rPr>
              <w:t>联系电话：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（7）制作、运输、安装和保管样品所发生的一切费用由投标人自理。</w:t>
            </w:r>
          </w:p>
          <w:p>
            <w:pPr>
              <w:pStyle w:val="80"/>
              <w:kinsoku/>
              <w:wordWrap w:val="0"/>
              <w:overflowPunct/>
              <w:topLinePunct w:val="0"/>
              <w:bidi w:val="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sz w:val="24"/>
                <w:highlight w:val="none"/>
              </w:rPr>
              <w:t>（</w:t>
            </w:r>
            <w:r>
              <w:rPr>
                <w:rFonts w:hint="eastAsia" w:hAnsi="仿宋_GB2312" w:cs="仿宋_GB2312"/>
                <w:b/>
                <w:bCs/>
                <w:color w:val="auto"/>
                <w:sz w:val="24"/>
                <w:highlight w:val="none"/>
                <w:lang w:val="en-US" w:eastAsia="zh-CN"/>
              </w:rPr>
              <w:t>8</w:t>
            </w:r>
            <w:r>
              <w:rPr>
                <w:rFonts w:hint="eastAsia" w:ascii="仿宋_GB2312" w:hAnsi="仿宋_GB2312" w:eastAsia="仿宋_GB2312" w:cs="仿宋_GB2312"/>
                <w:b/>
                <w:bCs/>
                <w:color w:val="auto"/>
                <w:sz w:val="24"/>
                <w:highlight w:val="none"/>
              </w:rPr>
              <w:t>）</w:t>
            </w:r>
            <w:r>
              <w:rPr>
                <w:rFonts w:hint="eastAsia" w:ascii="仿宋_GB2312" w:hAnsi="仿宋_GB2312" w:eastAsia="仿宋_GB2312" w:cs="仿宋_GB2312"/>
                <w:b/>
                <w:bCs/>
                <w:color w:val="auto"/>
                <w:sz w:val="24"/>
                <w:highlight w:val="none"/>
                <w:lang w:eastAsia="zh-CN"/>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493" w:type="dxa"/>
            <w:gridSpan w:val="2"/>
            <w:vAlign w:val="center"/>
          </w:tcPr>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方案讲解演示：</w:t>
            </w:r>
          </w:p>
          <w:p>
            <w:pPr>
              <w:tabs>
                <w:tab w:val="center" w:pos="4077"/>
              </w:tabs>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color w:val="auto"/>
                <w:sz w:val="24"/>
                <w:szCs w:val="24"/>
                <w:highlight w:val="none"/>
              </w:rPr>
              <w:t>A无方案讲解演示。</w:t>
            </w:r>
            <w:r>
              <w:rPr>
                <w:rFonts w:hint="eastAsia" w:ascii="仿宋_GB2312" w:hAnsi="仿宋_GB2312" w:eastAsia="仿宋_GB2312" w:cs="仿宋_GB2312"/>
                <w:color w:val="auto"/>
                <w:sz w:val="24"/>
                <w:szCs w:val="24"/>
                <w:highlight w:val="none"/>
                <w:lang w:eastAsia="zh-CN"/>
              </w:rPr>
              <w:tab/>
            </w:r>
          </w:p>
          <w:p>
            <w:pPr>
              <w:kinsoku/>
              <w:wordWrap w:val="0"/>
              <w:overflowPunct/>
              <w:topLinePunct w:val="0"/>
              <w:bidi w:val="0"/>
              <w:spacing w:beforeLines="0" w:afterLines="0"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□B有方案讲解演示：</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szCs w:val="24"/>
                <w:highlight w:val="none"/>
                <w:u w:val="single"/>
                <w:lang w:val="en-US" w:eastAsia="zh-CN"/>
              </w:rPr>
              <w:t>20</w:t>
            </w:r>
            <w:r>
              <w:rPr>
                <w:rFonts w:hint="eastAsia" w:ascii="仿宋_GB2312" w:hAnsi="仿宋_GB2312" w:eastAsia="仿宋_GB2312" w:cs="仿宋_GB2312"/>
                <w:color w:val="auto"/>
                <w:sz w:val="24"/>
                <w:szCs w:val="24"/>
                <w:highlight w:val="none"/>
                <w:lang w:val="zh-CN"/>
              </w:rPr>
              <w:t>分钟，讲解次序以投标文件解密时间先后次序为准。讲解演示结束后按要求解答评标委员会提问。</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（2）方案讲解演示可选择以下其中一种方式：</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方式一：政采云平台在线讲解演示。政采云平台在线讲解需供应商根据政采云平台操作要求做好准备工作，提前完善软硬件配置环境。</w:t>
            </w:r>
          </w:p>
          <w:p>
            <w:pPr>
              <w:kinsoku/>
              <w:wordWrap w:val="0"/>
              <w:overflowPunct/>
              <w:topLinePunct w:val="0"/>
              <w:bidi w:val="0"/>
              <w:spacing w:beforeLines="0" w:afterLines="0" w:line="440" w:lineRule="exact"/>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方式二：现场讲解演示。现场讲解地点为</w:t>
            </w:r>
            <w:r>
              <w:rPr>
                <w:rFonts w:hint="eastAsia" w:ascii="仿宋_GB2312" w:hAnsi="仿宋_GB2312" w:eastAsia="仿宋_GB2312" w:cs="仿宋_GB2312"/>
                <w:color w:val="auto"/>
                <w:sz w:val="24"/>
                <w:szCs w:val="24"/>
                <w:highlight w:val="none"/>
                <w:u w:val="single"/>
                <w:lang w:val="zh-CN"/>
              </w:rPr>
              <w:t xml:space="preserve">     </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lang w:val="en-US" w:eastAsia="zh-CN"/>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lang w:eastAsia="zh-CN"/>
              </w:rPr>
              <w:t>进口</w:t>
            </w:r>
            <w:r>
              <w:rPr>
                <w:rFonts w:hint="eastAsia" w:ascii="仿宋_GB2312" w:hAnsi="仿宋_GB2312" w:eastAsia="仿宋_GB2312" w:cs="仿宋_GB2312"/>
                <w:b/>
                <w:color w:val="auto"/>
                <w:sz w:val="24"/>
                <w:highlight w:val="none"/>
              </w:rPr>
              <w:t>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color w:val="auto"/>
                <w:kern w:val="0"/>
                <w:sz w:val="24"/>
                <w:highlight w:val="none"/>
              </w:rPr>
              <w:t>本项目不允许采购进口产品。</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38"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货物类，单一产品或</w:t>
            </w:r>
            <w:r>
              <w:rPr>
                <w:rFonts w:hint="eastAsia" w:ascii="仿宋_GB2312" w:hAnsi="仿宋_GB2312" w:eastAsia="仿宋_GB2312" w:cs="仿宋_GB2312"/>
                <w:color w:val="auto"/>
                <w:kern w:val="0"/>
                <w:sz w:val="24"/>
                <w:highlight w:val="none"/>
              </w:rPr>
              <w:t>核心产品为：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kern w:val="0"/>
                <w:sz w:val="24"/>
                <w:u w:val="single"/>
              </w:rPr>
              <w:t>超融合服务器</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855"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（1）标的</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u w:val="single"/>
              </w:rPr>
              <w:t xml:space="preserve">超融合服务器（核心产品）  </w:t>
            </w:r>
            <w:r>
              <w:rPr>
                <w:rFonts w:hint="eastAsia" w:ascii="仿宋_GB2312" w:hAnsi="仿宋_GB2312" w:eastAsia="仿宋_GB2312" w:cs="仿宋_GB2312"/>
                <w:color w:val="auto"/>
                <w:kern w:val="0"/>
                <w:sz w:val="24"/>
                <w:highlight w:val="none"/>
              </w:rPr>
              <w:t xml:space="preserve"> ，属于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（2）标的</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u w:val="single"/>
              </w:rPr>
              <w:t xml:space="preserve">超融合软件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软件和信息技术服务业  </w:t>
            </w:r>
            <w:r>
              <w:rPr>
                <w:rFonts w:hint="eastAsia" w:ascii="仿宋_GB2312" w:hAnsi="仿宋_GB2312" w:eastAsia="仿宋_GB2312" w:cs="仿宋_GB2312"/>
                <w:color w:val="auto"/>
                <w:kern w:val="0"/>
                <w:sz w:val="24"/>
                <w:highlight w:val="none"/>
              </w:rPr>
              <w:t>行业；</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（3）标的</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u w:val="single"/>
              </w:rPr>
              <w:t xml:space="preserve">仲裁节点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（4）标的</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u w:val="single"/>
              </w:rPr>
              <w:t xml:space="preserve">堡垒机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u w:val="single"/>
                <w:lang w:val="en-US" w:eastAsia="zh-CN"/>
              </w:rPr>
              <w:t>工业</w:t>
            </w:r>
            <w:r>
              <w:rPr>
                <w:rFonts w:hint="eastAsia" w:ascii="仿宋_GB2312" w:hAnsi="仿宋_GB2312" w:eastAsia="仿宋_GB2312" w:cs="仿宋_GB2312"/>
                <w:color w:val="auto"/>
                <w:kern w:val="0"/>
                <w:sz w:val="24"/>
                <w:highlight w:val="none"/>
                <w:u w:val="single"/>
              </w:rPr>
              <w:t xml:space="preserve">  </w:t>
            </w:r>
            <w:r>
              <w:rPr>
                <w:rFonts w:hint="eastAsia" w:ascii="仿宋_GB2312" w:hAnsi="仿宋_GB2312" w:eastAsia="仿宋_GB2312" w:cs="仿宋_GB2312"/>
                <w:color w:val="auto"/>
                <w:kern w:val="0"/>
                <w:sz w:val="24"/>
                <w:highlight w:val="none"/>
              </w:rPr>
              <w:t>行业；</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（5）标的</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u w:val="single"/>
              </w:rPr>
              <w:t xml:space="preserve">国产化操作系统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软件和信息技术服务业 </w:t>
            </w:r>
            <w:r>
              <w:rPr>
                <w:rFonts w:hint="eastAsia" w:ascii="仿宋_GB2312" w:hAnsi="仿宋_GB2312" w:eastAsia="仿宋_GB2312" w:cs="仿宋_GB2312"/>
                <w:color w:val="auto"/>
                <w:kern w:val="0"/>
                <w:sz w:val="24"/>
                <w:highlight w:val="none"/>
              </w:rPr>
              <w:t>行业；</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（6）标的</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u w:val="single"/>
              </w:rPr>
              <w:t xml:space="preserve">国产化数据库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软件和信息技术服务业 </w:t>
            </w:r>
            <w:r>
              <w:rPr>
                <w:rFonts w:hint="eastAsia" w:ascii="仿宋_GB2312" w:hAnsi="仿宋_GB2312" w:eastAsia="仿宋_GB2312" w:cs="仿宋_GB2312"/>
                <w:color w:val="auto"/>
                <w:kern w:val="0"/>
                <w:sz w:val="24"/>
                <w:highlight w:val="none"/>
              </w:rPr>
              <w:t>行业；</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highlight w:val="none"/>
              </w:rPr>
              <w:t>（7）标的</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u w:val="single"/>
              </w:rPr>
              <w:t xml:space="preserve">国产化中间件  </w:t>
            </w:r>
            <w:r>
              <w:rPr>
                <w:rFonts w:hint="eastAsia" w:ascii="仿宋_GB2312" w:hAnsi="仿宋_GB2312" w:eastAsia="仿宋_GB2312" w:cs="仿宋_GB2312"/>
                <w:color w:val="auto"/>
                <w:kern w:val="0"/>
                <w:sz w:val="24"/>
                <w:highlight w:val="none"/>
              </w:rPr>
              <w:t>，属于</w:t>
            </w:r>
            <w:r>
              <w:rPr>
                <w:rFonts w:hint="eastAsia" w:ascii="仿宋_GB2312" w:hAnsi="仿宋_GB2312" w:eastAsia="仿宋_GB2312" w:cs="仿宋_GB2312"/>
                <w:color w:val="auto"/>
                <w:kern w:val="0"/>
                <w:sz w:val="24"/>
                <w:highlight w:val="none"/>
                <w:u w:val="single"/>
              </w:rPr>
              <w:t xml:space="preserve"> 软件和信息技术服务业 </w:t>
            </w:r>
            <w:r>
              <w:rPr>
                <w:rFonts w:hint="eastAsia" w:ascii="仿宋_GB2312" w:hAnsi="仿宋_GB2312" w:eastAsia="仿宋_GB2312" w:cs="仿宋_GB2312"/>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855" w:type="dxa"/>
            <w:vMerge w:val="restart"/>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rPr>
            </w:pPr>
          </w:p>
        </w:tc>
        <w:tc>
          <w:tcPr>
            <w:tcW w:w="855" w:type="dxa"/>
            <w:vMerge w:val="continue"/>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p>
        </w:tc>
        <w:tc>
          <w:tcPr>
            <w:tcW w:w="7638" w:type="dxa"/>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4</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w:t>
            </w:r>
          </w:p>
        </w:tc>
        <w:tc>
          <w:tcPr>
            <w:tcW w:w="8493" w:type="dxa"/>
            <w:gridSpan w:val="2"/>
            <w:vAlign w:val="center"/>
          </w:tcPr>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_GB2312" w:hAnsi="仿宋_GB2312" w:eastAsia="仿宋_GB2312" w:cs="仿宋_GB2312"/>
                <w:color w:val="auto"/>
                <w:sz w:val="24"/>
                <w:highlight w:val="none"/>
                <w:lang w:eastAsia="zh-CN"/>
              </w:rPr>
              <w:t>95763</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7</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snapToGrid w:val="0"/>
                <w:color w:val="auto"/>
                <w:kern w:val="28"/>
                <w:sz w:val="24"/>
                <w:highlight w:val="none"/>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18</w:t>
            </w:r>
          </w:p>
        </w:tc>
        <w:tc>
          <w:tcPr>
            <w:tcW w:w="8493" w:type="dxa"/>
            <w:gridSpan w:val="2"/>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kern w:val="0"/>
                <w:sz w:val="24"/>
                <w:szCs w:val="21"/>
                <w:highlight w:val="none"/>
                <w:lang w:eastAsia="zh-CN"/>
              </w:rPr>
            </w:pPr>
            <w:r>
              <w:rPr>
                <w:rFonts w:hint="eastAsia" w:ascii="仿宋_GB2312" w:hAnsi="仿宋_GB2312" w:eastAsia="仿宋_GB2312" w:cs="仿宋_GB2312"/>
                <w:b/>
                <w:color w:val="auto"/>
                <w:sz w:val="24"/>
                <w:highlight w:val="none"/>
              </w:rPr>
              <w:t>采购代理服务费：</w:t>
            </w:r>
            <w:r>
              <w:rPr>
                <w:rFonts w:hint="eastAsia" w:ascii="仿宋_GB2312" w:hAnsi="仿宋_GB2312" w:eastAsia="仿宋_GB2312" w:cs="仿宋_GB2312"/>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9"/>
    </w:tbl>
    <w:p>
      <w:pPr>
        <w:keepNext w:val="0"/>
        <w:keepLines w:val="0"/>
        <w:pageBreakBefore/>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2"/>
          <w:szCs w:val="32"/>
          <w:highlight w:val="none"/>
        </w:rPr>
      </w:pPr>
      <w:bookmarkStart w:id="23" w:name="_Hlt68403820"/>
      <w:bookmarkEnd w:id="23"/>
      <w:bookmarkStart w:id="24" w:name="_Hlt68072990"/>
      <w:bookmarkEnd w:id="24"/>
      <w:bookmarkStart w:id="25" w:name="_Hlt68057669"/>
      <w:bookmarkEnd w:id="25"/>
      <w:bookmarkStart w:id="26" w:name="_Hlt74707468"/>
      <w:bookmarkEnd w:id="26"/>
      <w:bookmarkStart w:id="27" w:name="_Hlt74730295"/>
      <w:bookmarkEnd w:id="27"/>
      <w:bookmarkStart w:id="28" w:name="_Hlt75236011"/>
      <w:bookmarkEnd w:id="28"/>
      <w:bookmarkStart w:id="29" w:name="_Hlt74729768"/>
      <w:bookmarkEnd w:id="29"/>
      <w:bookmarkStart w:id="30" w:name="_Hlt74714665"/>
      <w:bookmarkEnd w:id="30"/>
      <w:bookmarkStart w:id="31" w:name="_Hlt75236290"/>
      <w:bookmarkEnd w:id="31"/>
      <w:bookmarkStart w:id="32" w:name="_Hlt68073093"/>
      <w:bookmarkEnd w:id="32"/>
      <w:bookmarkStart w:id="33" w:name="_Hlt68072998"/>
      <w:bookmarkEnd w:id="33"/>
      <w:bookmarkStart w:id="34" w:name="_Hlt75236101"/>
      <w:bookmarkEnd w:id="34"/>
      <w:bookmarkStart w:id="35" w:name="第三部分"/>
      <w:bookmarkStart w:id="36" w:name="_Toc164416483"/>
      <w:r>
        <w:rPr>
          <w:rFonts w:hint="eastAsia" w:ascii="仿宋_GB2312" w:hAnsi="仿宋_GB2312" w:eastAsia="仿宋_GB2312" w:cs="仿宋_GB2312"/>
          <w:b/>
          <w:color w:val="auto"/>
          <w:sz w:val="32"/>
          <w:szCs w:val="32"/>
          <w:highlight w:val="none"/>
        </w:rPr>
        <w:t>一、总则</w:t>
      </w:r>
    </w:p>
    <w:p>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sz w:val="24"/>
          <w:highlight w:val="none"/>
          <w:lang w:val="en" w:eastAsia="zh-CN"/>
        </w:rPr>
        <w:t>☑</w:t>
      </w:r>
      <w:r>
        <w:rPr>
          <w:rFonts w:hint="eastAsia" w:ascii="仿宋_GB2312" w:hAnsi="仿宋_GB2312" w:eastAsia="仿宋_GB2312" w:cs="仿宋_GB2312"/>
          <w:color w:val="auto"/>
          <w:sz w:val="24"/>
          <w:highlight w:val="none"/>
        </w:rPr>
        <w:t>” 系指适用本项目的要求，“☐” 系指不适用本项目的要求。</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w:t>
      </w:r>
      <w:r>
        <w:rPr>
          <w:rFonts w:hint="eastAsia" w:ascii="仿宋_GB2312" w:hAnsi="仿宋_GB2312" w:eastAsia="仿宋_GB2312" w:cs="仿宋_GB2312"/>
          <w:color w:val="auto"/>
          <w:sz w:val="24"/>
          <w:highlight w:val="none"/>
        </w:rPr>
        <w:t>，用扣除后的价格参加评审。</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w:t>
      </w:r>
      <w:r>
        <w:rPr>
          <w:rFonts w:hint="eastAsia" w:ascii="仿宋_GB2312" w:hAnsi="仿宋_GB2312" w:eastAsia="仿宋_GB2312" w:cs="仿宋_GB2312"/>
          <w:color w:val="auto"/>
          <w:sz w:val="24"/>
          <w:highlight w:val="none"/>
        </w:rPr>
        <w:t>，用扣除后的价格参加评审。组成联合体或者接受分包的小微企业与联合体内其他企业、分包企业之间存在直接控股、管理关系的，不享受价格扣除优惠政策。</w:t>
      </w:r>
    </w:p>
    <w:p>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3.4支持科技创新发展</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pPr>
        <w:kinsoku/>
        <w:wordWrap w:val="0"/>
        <w:overflowPunct/>
        <w:topLinePunct w:val="0"/>
        <w:bidi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kinsoku/>
        <w:wordWrap w:val="0"/>
        <w:overflowPunct/>
        <w:topLinePunct w:val="0"/>
        <w:bidi w:val="0"/>
        <w:rPr>
          <w:rFonts w:hint="eastAsia" w:ascii="仿宋_GB2312" w:hAnsi="仿宋_GB2312" w:eastAsia="仿宋_GB2312" w:cs="仿宋_GB2312"/>
          <w:color w:val="auto"/>
          <w:highlight w:val="none"/>
        </w:rPr>
      </w:pPr>
    </w:p>
    <w:p>
      <w:pPr>
        <w:pStyle w:val="131"/>
        <w:pageBreakBefore w:val="0"/>
        <w:kinsoku/>
        <w:wordWrap w:val="0"/>
        <w:overflowPunct/>
        <w:topLinePunct w:val="0"/>
        <w:bidi w:val="0"/>
        <w:snapToGrid w:val="0"/>
        <w:spacing w:before="0" w:beforeAutospacing="0" w:line="440" w:lineRule="exact"/>
        <w:ind w:left="0" w:leftChars="0" w:firstLine="360"/>
        <w:textAlignment w:val="auto"/>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pPr>
        <w:pStyle w:val="3"/>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 投标费用</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 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4"/>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w:t>
      </w:r>
      <w:r>
        <w:rPr>
          <w:rFonts w:hint="eastAsia" w:ascii="仿宋_GB2312" w:hAnsi="仿宋_GB2312" w:eastAsia="仿宋_GB2312" w:cs="仿宋_GB2312"/>
          <w:color w:val="auto"/>
          <w:sz w:val="24"/>
          <w:highlight w:val="none"/>
        </w:rPr>
        <w:t>“商务技术文件资料”、“报价文件资料”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.2.1投标函；</w:t>
      </w:r>
      <w:r>
        <w:rPr>
          <w:rFonts w:hint="eastAsia" w:ascii="仿宋_GB2312" w:hAnsi="仿宋_GB2312" w:eastAsia="仿宋_GB2312" w:cs="仿宋_GB2312"/>
          <w:color w:val="auto"/>
          <w:sz w:val="24"/>
          <w:highlight w:val="none"/>
          <w:lang w:val="zh-CN"/>
        </w:rPr>
        <w:t xml:space="preserve"> </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2.2.2法定代表人授权委托书；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法定代表人及其授权代表身份证复印件；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授权代表社保证明；</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法定代表人身份证明书；</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.3.1开标一览表（报价表）；</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.3.2中小企业声明函</w:t>
      </w:r>
      <w:r>
        <w:rPr>
          <w:rFonts w:hint="eastAsia" w:ascii="仿宋_GB2312" w:hAnsi="仿宋_GB2312" w:eastAsia="仿宋_GB2312" w:cs="仿宋_GB2312"/>
          <w:color w:val="auto"/>
          <w:sz w:val="24"/>
          <w:highlight w:val="none"/>
          <w:lang w:eastAsia="zh-CN"/>
        </w:rPr>
        <w:t>（如有）</w:t>
      </w:r>
      <w:r>
        <w:rPr>
          <w:rFonts w:hint="eastAsia" w:ascii="仿宋_GB2312" w:hAnsi="仿宋_GB2312" w:eastAsia="仿宋_GB2312" w:cs="仿宋_GB2312"/>
          <w:color w:val="auto"/>
          <w:sz w:val="24"/>
          <w:highlight w:val="none"/>
        </w:rPr>
        <w:t>。</w:t>
      </w:r>
    </w:p>
    <w:p>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val="0"/>
          <w:bCs w:val="0"/>
          <w:i w:val="0"/>
          <w:iCs w:val="0"/>
          <w:snapToGrid w:val="0"/>
          <w:color w:val="auto"/>
          <w:kern w:val="2"/>
          <w:sz w:val="24"/>
          <w:szCs w:val="24"/>
          <w:highlight w:val="none"/>
          <w:vertAlign w:val="baseline"/>
          <w:lang w:val="en-US" w:eastAsia="zh-CN" w:bidi="ar-SA"/>
        </w:rPr>
        <w:t>2.3.3 残疾人福利性单位声明函（如有）</w:t>
      </w:r>
    </w:p>
    <w:p>
      <w:pPr>
        <w:kinsoku/>
        <w:wordWrap w:val="0"/>
        <w:overflowPunct/>
        <w:topLinePunct w:val="0"/>
        <w:bidi w:val="0"/>
        <w:adjustRightInd w:val="0"/>
        <w:snapToGrid w:val="0"/>
        <w:spacing w:line="440" w:lineRule="exact"/>
        <w:ind w:firstLine="482" w:firstLineChars="200"/>
        <w:jc w:val="both"/>
        <w:rPr>
          <w:rFonts w:hint="eastAsia" w:ascii="仿宋_GB2312" w:hAnsi="仿宋_GB2312" w:eastAsia="仿宋_GB2312" w:cs="仿宋_GB2312"/>
          <w:b/>
          <w:bCs/>
          <w:color w:val="auto"/>
          <w:sz w:val="32"/>
          <w:highlight w:val="none"/>
        </w:rPr>
      </w:pPr>
      <w:r>
        <w:rPr>
          <w:rFonts w:hint="eastAsia" w:ascii="仿宋_GB2312" w:hAnsi="仿宋_GB2312" w:eastAsia="仿宋_GB2312" w:cs="仿宋_GB2312"/>
          <w:b/>
          <w:bCs/>
          <w:i w:val="0"/>
          <w:iCs w:val="0"/>
          <w:snapToGrid/>
          <w:color w:val="auto"/>
          <w:kern w:val="2"/>
          <w:sz w:val="24"/>
          <w:szCs w:val="20"/>
          <w:highlight w:val="none"/>
          <w:vertAlign w:val="baseline"/>
          <w:lang w:val="en-US" w:eastAsia="zh-CN" w:bidi="ar-SA"/>
        </w:rPr>
        <w:t>3.投标报价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3.2招标文件未列明，而投标人认为必需的费用也需列入报价。</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kinsoku/>
        <w:wordWrap w:val="0"/>
        <w:overflowPunct/>
        <w:topLinePunct w:val="0"/>
        <w:bidi w:val="0"/>
        <w:adjustRightInd w:val="0"/>
        <w:snapToGrid w:val="0"/>
        <w:spacing w:line="440" w:lineRule="exact"/>
        <w:ind w:left="0" w:leftChars="0" w:firstLine="480"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3.4投标人提供虚假材料投标的，投标无效。</w:t>
      </w:r>
    </w:p>
    <w:p>
      <w:pPr>
        <w:pStyle w:val="131"/>
        <w:kinsoku/>
        <w:wordWrap w:val="0"/>
        <w:overflowPunct/>
        <w:topLinePunct w:val="0"/>
        <w:bidi w:val="0"/>
        <w:snapToGrid w:val="0"/>
        <w:spacing w:before="0" w:line="440" w:lineRule="exact"/>
        <w:ind w:firstLine="482" w:firstLineChars="200"/>
        <w:outlineLvl w:val="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pPr>
        <w:pStyle w:val="131"/>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37" w:name="_Toc91899903"/>
      <w:r>
        <w:rPr>
          <w:rFonts w:hint="eastAsia" w:ascii="仿宋_GB2312" w:hAnsi="仿宋_GB2312" w:eastAsia="仿宋_GB2312" w:cs="仿宋_GB2312"/>
          <w:b/>
          <w:color w:val="auto"/>
          <w:sz w:val="32"/>
          <w:szCs w:val="32"/>
          <w:highlight w:val="none"/>
        </w:rPr>
        <w:t>四、开标和评标</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9"/>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pPr>
        <w:pStyle w:val="19"/>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8.24投标文件出现不是唯一的、有选择性投标报价的；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sz w:val="24"/>
          <w:highlight w:val="none"/>
        </w:rPr>
      </w:pPr>
      <w:r>
        <w:rPr>
          <w:rFonts w:hint="eastAsia" w:ascii="仿宋_GB2312" w:hAnsi="仿宋_GB2312" w:eastAsia="仿宋_GB2312" w:cs="仿宋_GB2312"/>
          <w:b/>
          <w:bCs w:val="0"/>
          <w:color w:val="auto"/>
          <w:sz w:val="24"/>
          <w:highlight w:val="none"/>
        </w:rPr>
        <w:t>8.2</w:t>
      </w:r>
      <w:r>
        <w:rPr>
          <w:rFonts w:hint="eastAsia" w:ascii="仿宋_GB2312" w:hAnsi="仿宋_GB2312" w:eastAsia="仿宋_GB2312" w:cs="仿宋_GB2312"/>
          <w:b/>
          <w:bCs w:val="0"/>
          <w:color w:val="auto"/>
          <w:kern w:val="2"/>
          <w:sz w:val="24"/>
          <w:highlight w:val="none"/>
          <w:lang w:val="en-US" w:eastAsia="zh-CN"/>
        </w:rPr>
        <w:t>5</w:t>
      </w:r>
      <w:r>
        <w:rPr>
          <w:rFonts w:hint="eastAsia" w:ascii="仿宋_GB2312" w:hAnsi="仿宋_GB2312" w:eastAsia="仿宋_GB2312" w:cs="仿宋_GB2312"/>
          <w:b/>
          <w:bCs w:val="0"/>
          <w:color w:val="auto"/>
          <w:sz w:val="24"/>
          <w:highlight w:val="none"/>
        </w:rPr>
        <w:t>未按招标文件要求提供样品或提供样品不满足采购需求实质性条件的；</w:t>
      </w:r>
    </w:p>
    <w:p>
      <w:pPr>
        <w:kinsoku/>
        <w:wordWrap w:val="0"/>
        <w:overflowPunct/>
        <w:topLinePunct w:val="0"/>
        <w:autoSpaceDE/>
        <w:autoSpaceDN/>
        <w:bidi w:val="0"/>
        <w:snapToGrid w:val="0"/>
        <w:spacing w:line="440" w:lineRule="exact"/>
        <w:ind w:firstLine="482" w:firstLineChars="200"/>
        <w:rPr>
          <w:rFonts w:hint="eastAsia" w:ascii="仿宋_GB2312" w:hAnsi="仿宋_GB2312" w:eastAsia="仿宋_GB2312" w:cs="仿宋_GB2312"/>
          <w:b/>
          <w:bCs w:val="0"/>
          <w:color w:val="auto"/>
          <w:kern w:val="2"/>
          <w:sz w:val="24"/>
          <w:highlight w:val="none"/>
          <w:lang w:val="en-US" w:eastAsia="zh-CN"/>
        </w:rPr>
      </w:pPr>
      <w:r>
        <w:rPr>
          <w:rFonts w:hint="eastAsia" w:ascii="仿宋_GB2312" w:hAnsi="仿宋_GB2312" w:eastAsia="仿宋_GB2312" w:cs="仿宋_GB2312"/>
          <w:b/>
          <w:bCs w:val="0"/>
          <w:color w:val="auto"/>
          <w:sz w:val="24"/>
          <w:highlight w:val="none"/>
          <w:lang w:val="en-US" w:eastAsia="zh-CN"/>
        </w:rPr>
        <w:t>8.26参与同一个采购包(标段)的供应商存在下列情形之一的其投标(响应)文件无效:</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8.26.1</w:t>
      </w:r>
      <w:r>
        <w:rPr>
          <w:rFonts w:hint="eastAsia" w:ascii="仿宋_GB2312" w:hAnsi="仿宋_GB2312" w:eastAsia="仿宋_GB2312" w:cs="仿宋_GB2312"/>
          <w:b w:val="0"/>
          <w:bCs/>
          <w:color w:val="auto"/>
          <w:sz w:val="24"/>
          <w:highlight w:val="none"/>
          <w:lang w:val="en-US" w:eastAsia="zh-CN"/>
        </w:rPr>
        <w:t>不同供应商的电子投标(响应)文件上传计算机的网卡MAC地址、CPU序列号和硬盘序列号等硬件信息相同的;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8.26.2</w:t>
      </w:r>
      <w:r>
        <w:rPr>
          <w:rFonts w:hint="eastAsia" w:ascii="仿宋_GB2312" w:hAnsi="仿宋_GB2312" w:eastAsia="仿宋_GB2312" w:cs="仿宋_GB2312"/>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kern w:val="2"/>
          <w:sz w:val="24"/>
          <w:highlight w:val="none"/>
          <w:lang w:val="en-US" w:eastAsia="zh-CN"/>
        </w:rPr>
      </w:pPr>
      <w:r>
        <w:rPr>
          <w:rFonts w:hint="eastAsia" w:ascii="仿宋_GB2312" w:hAnsi="仿宋_GB2312" w:eastAsia="仿宋_GB2312" w:cs="仿宋_GB2312"/>
          <w:b w:val="0"/>
          <w:bCs/>
          <w:color w:val="auto"/>
          <w:kern w:val="2"/>
          <w:sz w:val="24"/>
          <w:highlight w:val="none"/>
          <w:lang w:val="en-US" w:eastAsia="zh-CN"/>
        </w:rPr>
        <w:t>8.26.3</w:t>
      </w:r>
      <w:r>
        <w:rPr>
          <w:rFonts w:hint="eastAsia" w:ascii="仿宋_GB2312" w:hAnsi="仿宋_GB2312" w:eastAsia="仿宋_GB2312" w:cs="仿宋_GB2312"/>
          <w:b w:val="0"/>
          <w:bCs/>
          <w:color w:val="auto"/>
          <w:sz w:val="24"/>
          <w:highlight w:val="none"/>
          <w:lang w:val="en-US" w:eastAsia="zh-CN"/>
        </w:rPr>
        <w:t>不同供应商的投标(响应)文件的内容存在三处(含)以上错误一致，且无法合理解释的;</w:t>
      </w:r>
    </w:p>
    <w:p>
      <w:pPr>
        <w:kinsoku/>
        <w:wordWrap w:val="0"/>
        <w:overflowPunct/>
        <w:topLinePunct w:val="0"/>
        <w:autoSpaceDE/>
        <w:autoSpaceDN/>
        <w:bidi w:val="0"/>
        <w:snapToGrid w:val="0"/>
        <w:spacing w:line="440" w:lineRule="exact"/>
        <w:ind w:firstLine="480" w:firstLineChars="200"/>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kern w:val="2"/>
          <w:sz w:val="24"/>
          <w:highlight w:val="none"/>
          <w:lang w:val="en-US" w:eastAsia="zh-CN"/>
        </w:rPr>
        <w:t>8.26.4</w:t>
      </w:r>
      <w:r>
        <w:rPr>
          <w:rFonts w:hint="eastAsia" w:ascii="仿宋_GB2312" w:hAnsi="仿宋_GB2312" w:eastAsia="仿宋_GB2312" w:cs="仿宋_GB2312"/>
          <w:b w:val="0"/>
          <w:bCs/>
          <w:color w:val="auto"/>
          <w:sz w:val="24"/>
          <w:highlight w:val="none"/>
          <w:lang w:val="en-US" w:eastAsia="zh-CN"/>
        </w:rPr>
        <w:t>不同供应商联系人为同一人或不同联系人的联系电话一致，且无法合理解释的。</w:t>
      </w:r>
    </w:p>
    <w:p>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其他违反法律、法规的情形。</w:t>
      </w:r>
    </w:p>
    <w:p>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 评标过程保密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37"/>
    <w:p>
      <w:pPr>
        <w:pStyle w:val="34"/>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38" w:name="_Toc81372776"/>
      <w:bookmarkStart w:id="39" w:name="_Toc84325929"/>
      <w:bookmarkStart w:id="40" w:name="_Toc81372953"/>
      <w:r>
        <w:rPr>
          <w:rFonts w:hint="eastAsia" w:ascii="仿宋_GB2312" w:hAnsi="仿宋_GB2312" w:eastAsia="仿宋_GB2312" w:cs="仿宋_GB2312"/>
          <w:b/>
          <w:color w:val="auto"/>
          <w:sz w:val="32"/>
          <w:szCs w:val="32"/>
          <w:highlight w:val="none"/>
        </w:rPr>
        <w:t>五、授予合同</w:t>
      </w:r>
    </w:p>
    <w:bookmarkEnd w:id="38"/>
    <w:bookmarkEnd w:id="39"/>
    <w:bookmarkEnd w:id="40"/>
    <w:p>
      <w:pPr>
        <w:pStyle w:val="19"/>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2.供应商询问</w:t>
      </w:r>
    </w:p>
    <w:p>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3.供应商质疑</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both"/>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pPr>
        <w:pStyle w:val="4"/>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kern w:val="0"/>
          <w:sz w:val="24"/>
          <w:highlight w:val="none"/>
        </w:rPr>
        <w:sectPr>
          <w:footerReference r:id="rId11" w:type="first"/>
          <w:footerReference r:id="rId10" w:type="default"/>
          <w:pgSz w:w="11906" w:h="16838"/>
          <w:pgMar w:top="1814" w:right="1474" w:bottom="1814" w:left="1474" w:header="851" w:footer="992" w:gutter="0"/>
          <w:pgNumType w:fmt="decimal"/>
          <w:cols w:space="720" w:num="1"/>
          <w:docGrid w:linePitch="312" w:charSpace="0"/>
        </w:sectPr>
      </w:pPr>
    </w:p>
    <w:bookmarkEnd w:id="35"/>
    <w:bookmarkEnd w:id="36"/>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val="0"/>
        <w:overflowPunct/>
        <w:topLinePunct w:val="0"/>
        <w:autoSpaceDE/>
        <w:autoSpaceDN/>
        <w:bidi w:val="0"/>
        <w:adjustRightInd w:val="0"/>
        <w:snapToGrid/>
        <w:spacing w:line="360" w:lineRule="auto"/>
        <w:ind w:left="0" w:leftChars="0" w:firstLine="0" w:firstLineChars="0"/>
        <w:jc w:val="left"/>
        <w:textAlignment w:val="auto"/>
        <w:outlineLvl w:val="0"/>
        <w:rPr>
          <w:rFonts w:hint="eastAsia" w:ascii="仿宋" w:hAnsi="仿宋" w:eastAsia="仿宋_GB2312" w:cs="仿宋"/>
          <w:b/>
          <w:color w:val="auto"/>
          <w:sz w:val="36"/>
          <w:szCs w:val="36"/>
          <w:highlight w:val="none"/>
          <w:lang w:eastAsia="zh-CN"/>
        </w:rPr>
      </w:pPr>
      <w:r>
        <w:rPr>
          <w:rFonts w:hint="eastAsia" w:ascii="仿宋_GB2312" w:hAnsi="新宋体" w:eastAsia="仿宋_GB2312" w:cs="Arial"/>
          <w:b/>
          <w:bCs/>
          <w:sz w:val="24"/>
          <w:bdr w:val="single" w:color="auto" w:sz="4" w:space="0"/>
        </w:rPr>
        <w:t>01标</w:t>
      </w:r>
      <w:r>
        <w:rPr>
          <w:rFonts w:hint="eastAsia" w:ascii="仿宋_GB2312" w:hAnsi="新宋体" w:eastAsia="仿宋_GB2312" w:cs="Arial"/>
          <w:b/>
          <w:bCs/>
          <w:sz w:val="24"/>
          <w:lang w:eastAsia="zh-CN"/>
        </w:rPr>
        <w:t>超融合等采购项目</w:t>
      </w:r>
    </w:p>
    <w:p>
      <w:pPr>
        <w:rPr>
          <w:rFonts w:hint="eastAsia" w:ascii="仿宋_GB2312" w:hAnsi="仿宋_GB2312" w:eastAsia="仿宋_GB2312" w:cs="仿宋_GB2312"/>
          <w:b/>
          <w:sz w:val="24"/>
        </w:rPr>
      </w:pPr>
      <w:r>
        <w:rPr>
          <w:rFonts w:hint="eastAsia" w:ascii="仿宋_GB2312" w:hAnsi="仿宋_GB2312" w:eastAsia="仿宋_GB2312" w:cs="仿宋_GB2312"/>
          <w:b/>
          <w:sz w:val="24"/>
          <w:lang w:val="en-US" w:eastAsia="zh-CN"/>
        </w:rPr>
        <w:t>一、采</w:t>
      </w:r>
      <w:r>
        <w:rPr>
          <w:rFonts w:hint="eastAsia" w:ascii="仿宋_GB2312" w:hAnsi="仿宋_GB2312" w:eastAsia="仿宋_GB2312" w:cs="仿宋_GB2312"/>
          <w:b/>
          <w:sz w:val="24"/>
        </w:rPr>
        <w:t>购清单</w:t>
      </w:r>
    </w:p>
    <w:tbl>
      <w:tblPr>
        <w:tblStyle w:val="63"/>
        <w:tblW w:w="9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6450"/>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0" w:type="dxa"/>
            <w:vAlign w:val="center"/>
          </w:tcPr>
          <w:p>
            <w:pPr>
              <w:jc w:val="center"/>
              <w:rPr>
                <w:rFonts w:hint="eastAsia" w:ascii="仿宋_GB2312" w:hAnsi="仿宋_GB2312" w:eastAsia="仿宋_GB2312" w:cs="仿宋_GB2312"/>
                <w:b/>
                <w:kern w:val="0"/>
                <w:sz w:val="24"/>
              </w:rPr>
            </w:pPr>
            <w:r>
              <w:rPr>
                <w:rFonts w:hint="eastAsia" w:ascii="仿宋_GB2312" w:hAnsi="仿宋_GB2312" w:eastAsia="仿宋_GB2312" w:cs="仿宋_GB2312"/>
                <w:b/>
                <w:kern w:val="0"/>
                <w:sz w:val="24"/>
              </w:rPr>
              <w:t>序号</w:t>
            </w:r>
          </w:p>
        </w:tc>
        <w:tc>
          <w:tcPr>
            <w:tcW w:w="6450" w:type="dxa"/>
            <w:vAlign w:val="center"/>
          </w:tcPr>
          <w:p>
            <w:pPr>
              <w:jc w:val="center"/>
              <w:rPr>
                <w:rFonts w:hint="eastAsia" w:ascii="仿宋_GB2312" w:hAnsi="仿宋_GB2312" w:eastAsia="仿宋_GB2312" w:cs="仿宋_GB2312"/>
                <w:b/>
                <w:kern w:val="0"/>
                <w:sz w:val="24"/>
              </w:rPr>
            </w:pPr>
            <w:r>
              <w:rPr>
                <w:rFonts w:hint="eastAsia" w:ascii="仿宋_GB2312" w:hAnsi="仿宋_GB2312" w:eastAsia="仿宋_GB2312" w:cs="仿宋_GB2312"/>
                <w:b/>
                <w:kern w:val="0"/>
                <w:sz w:val="24"/>
              </w:rPr>
              <w:t>设备名称</w:t>
            </w:r>
          </w:p>
        </w:tc>
        <w:tc>
          <w:tcPr>
            <w:tcW w:w="1755" w:type="dxa"/>
            <w:vAlign w:val="center"/>
          </w:tcPr>
          <w:p>
            <w:pPr>
              <w:jc w:val="center"/>
              <w:rPr>
                <w:rFonts w:hint="eastAsia" w:ascii="仿宋_GB2312" w:hAnsi="仿宋_GB2312" w:eastAsia="仿宋_GB2312" w:cs="仿宋_GB2312"/>
                <w:b/>
                <w:kern w:val="0"/>
                <w:sz w:val="24"/>
              </w:rPr>
            </w:pPr>
            <w:r>
              <w:rPr>
                <w:rFonts w:hint="eastAsia" w:ascii="仿宋_GB2312" w:hAnsi="仿宋_GB2312" w:eastAsia="仿宋_GB2312" w:cs="仿宋_GB2312"/>
                <w:b/>
                <w:kern w:val="0"/>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0" w:type="dxa"/>
            <w:vAlign w:val="center"/>
          </w:tcPr>
          <w:p>
            <w:pPr>
              <w:tabs>
                <w:tab w:val="left" w:pos="1106"/>
                <w:tab w:val="left" w:pos="2211"/>
                <w:tab w:val="left" w:pos="3317"/>
                <w:tab w:val="left" w:pos="4423"/>
                <w:tab w:val="left" w:pos="5528"/>
                <w:tab w:val="left" w:pos="6634"/>
                <w:tab w:val="left" w:pos="7740"/>
              </w:tabs>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6450"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sz w:val="24"/>
              </w:rPr>
            </w:pPr>
            <w:r>
              <w:rPr>
                <w:rFonts w:hint="eastAsia" w:ascii="仿宋_GB2312" w:hAnsi="仿宋_GB2312" w:eastAsia="仿宋_GB2312" w:cs="仿宋_GB2312"/>
                <w:sz w:val="24"/>
              </w:rPr>
              <w:t>超融合服务器</w:t>
            </w:r>
            <w:r>
              <w:rPr>
                <w:rFonts w:hint="eastAsia" w:ascii="仿宋_GB2312" w:hAnsi="仿宋_GB2312" w:eastAsia="仿宋_GB2312" w:cs="仿宋_GB2312"/>
                <w:b/>
                <w:bCs/>
                <w:sz w:val="24"/>
              </w:rPr>
              <w:t>（核心产品）</w:t>
            </w:r>
          </w:p>
        </w:tc>
        <w:tc>
          <w:tcPr>
            <w:tcW w:w="1755" w:type="dxa"/>
            <w:vAlign w:val="center"/>
          </w:tcPr>
          <w:p>
            <w:pPr>
              <w:tabs>
                <w:tab w:val="left" w:pos="1106"/>
                <w:tab w:val="left" w:pos="2211"/>
                <w:tab w:val="left" w:pos="3317"/>
                <w:tab w:val="left" w:pos="4423"/>
                <w:tab w:val="left" w:pos="5528"/>
                <w:tab w:val="left" w:pos="6634"/>
                <w:tab w:val="left" w:pos="7740"/>
              </w:tabs>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0" w:type="dxa"/>
            <w:shd w:val="clear" w:color="auto" w:fill="auto"/>
            <w:vAlign w:val="center"/>
          </w:tcPr>
          <w:p>
            <w:pPr>
              <w:tabs>
                <w:tab w:val="left" w:pos="1106"/>
                <w:tab w:val="left" w:pos="2211"/>
                <w:tab w:val="left" w:pos="3317"/>
                <w:tab w:val="left" w:pos="4423"/>
                <w:tab w:val="left" w:pos="5528"/>
                <w:tab w:val="left" w:pos="6634"/>
                <w:tab w:val="left" w:pos="7740"/>
              </w:tabs>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6450" w:type="dxa"/>
            <w:shd w:val="clear" w:color="auto" w:fill="auto"/>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sz w:val="24"/>
              </w:rPr>
            </w:pPr>
            <w:r>
              <w:rPr>
                <w:rFonts w:hint="eastAsia" w:ascii="仿宋_GB2312" w:hAnsi="仿宋_GB2312" w:eastAsia="仿宋_GB2312" w:cs="仿宋_GB2312"/>
                <w:sz w:val="24"/>
              </w:rPr>
              <w:t>超融合软件</w:t>
            </w:r>
          </w:p>
        </w:tc>
        <w:tc>
          <w:tcPr>
            <w:tcW w:w="1755" w:type="dxa"/>
            <w:shd w:val="clear" w:color="auto" w:fill="auto"/>
            <w:vAlign w:val="center"/>
          </w:tcPr>
          <w:p>
            <w:pPr>
              <w:tabs>
                <w:tab w:val="left" w:pos="1106"/>
                <w:tab w:val="left" w:pos="2211"/>
                <w:tab w:val="left" w:pos="3317"/>
                <w:tab w:val="left" w:pos="4423"/>
                <w:tab w:val="left" w:pos="5528"/>
                <w:tab w:val="left" w:pos="6634"/>
                <w:tab w:val="left" w:pos="7740"/>
              </w:tabs>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0" w:type="dxa"/>
            <w:shd w:val="clear" w:color="auto" w:fill="auto"/>
            <w:vAlign w:val="center"/>
          </w:tcPr>
          <w:p>
            <w:pPr>
              <w:tabs>
                <w:tab w:val="left" w:pos="1106"/>
                <w:tab w:val="left" w:pos="2211"/>
                <w:tab w:val="left" w:pos="3317"/>
                <w:tab w:val="left" w:pos="4423"/>
                <w:tab w:val="left" w:pos="5528"/>
                <w:tab w:val="left" w:pos="6634"/>
                <w:tab w:val="left" w:pos="7740"/>
              </w:tabs>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6450" w:type="dxa"/>
            <w:shd w:val="clear" w:color="auto" w:fill="auto"/>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sz w:val="24"/>
              </w:rPr>
            </w:pPr>
            <w:r>
              <w:rPr>
                <w:rFonts w:hint="eastAsia" w:ascii="仿宋_GB2312" w:hAnsi="仿宋_GB2312" w:eastAsia="仿宋_GB2312" w:cs="仿宋_GB2312"/>
                <w:sz w:val="24"/>
              </w:rPr>
              <w:t>仲裁节点</w:t>
            </w:r>
          </w:p>
        </w:tc>
        <w:tc>
          <w:tcPr>
            <w:tcW w:w="1755" w:type="dxa"/>
            <w:shd w:val="clear" w:color="auto" w:fill="auto"/>
            <w:vAlign w:val="center"/>
          </w:tcPr>
          <w:p>
            <w:pPr>
              <w:tabs>
                <w:tab w:val="left" w:pos="1106"/>
                <w:tab w:val="left" w:pos="2211"/>
                <w:tab w:val="left" w:pos="3317"/>
                <w:tab w:val="left" w:pos="4423"/>
                <w:tab w:val="left" w:pos="5528"/>
                <w:tab w:val="left" w:pos="6634"/>
                <w:tab w:val="left" w:pos="7740"/>
              </w:tabs>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0" w:type="dxa"/>
            <w:shd w:val="clear" w:color="auto" w:fill="auto"/>
            <w:vAlign w:val="center"/>
          </w:tcPr>
          <w:p>
            <w:pPr>
              <w:tabs>
                <w:tab w:val="left" w:pos="1106"/>
                <w:tab w:val="left" w:pos="2211"/>
                <w:tab w:val="left" w:pos="3317"/>
                <w:tab w:val="left" w:pos="4423"/>
                <w:tab w:val="left" w:pos="5528"/>
                <w:tab w:val="left" w:pos="6634"/>
                <w:tab w:val="left" w:pos="7740"/>
              </w:tabs>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6450"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sz w:val="24"/>
              </w:rPr>
            </w:pPr>
            <w:r>
              <w:rPr>
                <w:rFonts w:hint="eastAsia" w:ascii="仿宋_GB2312" w:hAnsi="仿宋_GB2312" w:eastAsia="仿宋_GB2312" w:cs="仿宋_GB2312"/>
                <w:sz w:val="24"/>
              </w:rPr>
              <w:t>堡垒机</w:t>
            </w:r>
          </w:p>
        </w:tc>
        <w:tc>
          <w:tcPr>
            <w:tcW w:w="1755" w:type="dxa"/>
            <w:vAlign w:val="center"/>
          </w:tcPr>
          <w:p>
            <w:pPr>
              <w:tabs>
                <w:tab w:val="left" w:pos="1106"/>
                <w:tab w:val="left" w:pos="2211"/>
                <w:tab w:val="left" w:pos="3317"/>
                <w:tab w:val="left" w:pos="4423"/>
                <w:tab w:val="left" w:pos="5528"/>
                <w:tab w:val="left" w:pos="6634"/>
                <w:tab w:val="left" w:pos="7740"/>
              </w:tabs>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0" w:type="dxa"/>
            <w:shd w:val="clear" w:color="auto" w:fill="auto"/>
            <w:vAlign w:val="center"/>
          </w:tcPr>
          <w:p>
            <w:pPr>
              <w:tabs>
                <w:tab w:val="left" w:pos="1106"/>
                <w:tab w:val="left" w:pos="2211"/>
                <w:tab w:val="left" w:pos="3317"/>
                <w:tab w:val="left" w:pos="4423"/>
                <w:tab w:val="left" w:pos="5528"/>
                <w:tab w:val="left" w:pos="6634"/>
                <w:tab w:val="left" w:pos="7740"/>
              </w:tabs>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6450"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sz w:val="24"/>
              </w:rPr>
            </w:pPr>
            <w:r>
              <w:rPr>
                <w:rFonts w:hint="eastAsia" w:ascii="仿宋_GB2312" w:hAnsi="仿宋_GB2312" w:eastAsia="仿宋_GB2312" w:cs="仿宋_GB2312"/>
                <w:sz w:val="24"/>
              </w:rPr>
              <w:t>国产化操作系统</w:t>
            </w:r>
          </w:p>
        </w:tc>
        <w:tc>
          <w:tcPr>
            <w:tcW w:w="1755" w:type="dxa"/>
            <w:vAlign w:val="center"/>
          </w:tcPr>
          <w:p>
            <w:pPr>
              <w:tabs>
                <w:tab w:val="left" w:pos="1106"/>
                <w:tab w:val="left" w:pos="2211"/>
                <w:tab w:val="left" w:pos="3317"/>
                <w:tab w:val="left" w:pos="4423"/>
                <w:tab w:val="left" w:pos="5528"/>
                <w:tab w:val="left" w:pos="6634"/>
                <w:tab w:val="left" w:pos="7740"/>
              </w:tabs>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0" w:type="dxa"/>
            <w:shd w:val="clear" w:color="auto" w:fill="auto"/>
            <w:vAlign w:val="center"/>
          </w:tcPr>
          <w:p>
            <w:pPr>
              <w:tabs>
                <w:tab w:val="left" w:pos="1106"/>
                <w:tab w:val="left" w:pos="2211"/>
                <w:tab w:val="left" w:pos="3317"/>
                <w:tab w:val="left" w:pos="4423"/>
                <w:tab w:val="left" w:pos="5528"/>
                <w:tab w:val="left" w:pos="6634"/>
                <w:tab w:val="left" w:pos="7740"/>
              </w:tabs>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6450"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sz w:val="24"/>
              </w:rPr>
            </w:pPr>
            <w:r>
              <w:rPr>
                <w:rFonts w:hint="eastAsia" w:ascii="仿宋_GB2312" w:hAnsi="仿宋_GB2312" w:eastAsia="仿宋_GB2312" w:cs="仿宋_GB2312"/>
                <w:sz w:val="24"/>
              </w:rPr>
              <w:t>国产化数据库</w:t>
            </w:r>
          </w:p>
        </w:tc>
        <w:tc>
          <w:tcPr>
            <w:tcW w:w="1755" w:type="dxa"/>
            <w:vAlign w:val="center"/>
          </w:tcPr>
          <w:p>
            <w:pPr>
              <w:tabs>
                <w:tab w:val="left" w:pos="1106"/>
                <w:tab w:val="left" w:pos="2211"/>
                <w:tab w:val="left" w:pos="3317"/>
                <w:tab w:val="left" w:pos="4423"/>
                <w:tab w:val="left" w:pos="5528"/>
                <w:tab w:val="left" w:pos="6634"/>
                <w:tab w:val="left" w:pos="7740"/>
              </w:tabs>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0" w:type="dxa"/>
            <w:shd w:val="clear" w:color="auto" w:fill="auto"/>
            <w:vAlign w:val="center"/>
          </w:tcPr>
          <w:p>
            <w:pPr>
              <w:tabs>
                <w:tab w:val="left" w:pos="1106"/>
                <w:tab w:val="left" w:pos="2211"/>
                <w:tab w:val="left" w:pos="3317"/>
                <w:tab w:val="left" w:pos="4423"/>
                <w:tab w:val="left" w:pos="5528"/>
                <w:tab w:val="left" w:pos="6634"/>
                <w:tab w:val="left" w:pos="7740"/>
              </w:tabs>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6450" w:type="dxa"/>
            <w:vAlign w:val="center"/>
          </w:tcPr>
          <w:p>
            <w:pPr>
              <w:tabs>
                <w:tab w:val="left" w:pos="1106"/>
                <w:tab w:val="left" w:pos="2211"/>
                <w:tab w:val="left" w:pos="3317"/>
                <w:tab w:val="left" w:pos="4423"/>
                <w:tab w:val="left" w:pos="5528"/>
                <w:tab w:val="left" w:pos="6634"/>
                <w:tab w:val="left" w:pos="7740"/>
              </w:tabs>
              <w:spacing w:line="276" w:lineRule="auto"/>
              <w:jc w:val="left"/>
              <w:rPr>
                <w:rFonts w:hint="eastAsia" w:ascii="仿宋_GB2312" w:hAnsi="仿宋_GB2312" w:eastAsia="仿宋_GB2312" w:cs="仿宋_GB2312"/>
                <w:sz w:val="24"/>
              </w:rPr>
            </w:pPr>
            <w:r>
              <w:rPr>
                <w:rFonts w:hint="eastAsia" w:ascii="仿宋_GB2312" w:hAnsi="仿宋_GB2312" w:eastAsia="仿宋_GB2312" w:cs="仿宋_GB2312"/>
                <w:sz w:val="24"/>
              </w:rPr>
              <w:t>国产化中间件</w:t>
            </w:r>
          </w:p>
        </w:tc>
        <w:tc>
          <w:tcPr>
            <w:tcW w:w="1755" w:type="dxa"/>
            <w:vAlign w:val="center"/>
          </w:tcPr>
          <w:p>
            <w:pPr>
              <w:tabs>
                <w:tab w:val="left" w:pos="1106"/>
                <w:tab w:val="left" w:pos="2211"/>
                <w:tab w:val="left" w:pos="3317"/>
                <w:tab w:val="left" w:pos="4423"/>
                <w:tab w:val="left" w:pos="5528"/>
                <w:tab w:val="left" w:pos="6634"/>
                <w:tab w:val="left" w:pos="7740"/>
              </w:tabs>
              <w:spacing w:line="276"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2套</w:t>
            </w:r>
          </w:p>
        </w:tc>
      </w:tr>
    </w:tbl>
    <w:p>
      <w:pPr>
        <w:spacing w:before="156" w:beforeLines="50" w:after="156" w:afterLines="50"/>
        <w:rPr>
          <w:rFonts w:hint="eastAsia" w:ascii="仿宋_GB2312" w:hAnsi="仿宋_GB2312" w:eastAsia="仿宋_GB2312" w:cs="仿宋_GB2312"/>
          <w:b/>
          <w:sz w:val="24"/>
        </w:rPr>
      </w:pPr>
      <w:r>
        <w:rPr>
          <w:rFonts w:hint="eastAsia" w:ascii="仿宋_GB2312" w:hAnsi="仿宋_GB2312" w:eastAsia="仿宋_GB2312" w:cs="仿宋_GB2312"/>
          <w:b/>
          <w:sz w:val="24"/>
          <w:lang w:val="en-US" w:eastAsia="zh-CN"/>
        </w:rPr>
        <w:t>二、</w:t>
      </w:r>
      <w:r>
        <w:rPr>
          <w:rFonts w:hint="eastAsia" w:ascii="仿宋_GB2312" w:hAnsi="仿宋_GB2312" w:eastAsia="仿宋_GB2312" w:cs="仿宋_GB2312"/>
          <w:b/>
          <w:sz w:val="24"/>
        </w:rPr>
        <w:t>详细技术指标要求：</w:t>
      </w:r>
    </w:p>
    <w:p>
      <w:pPr>
        <w:spacing w:before="156" w:beforeLines="50" w:after="156" w:afterLines="50"/>
        <w:outlineLvl w:val="0"/>
        <w:rPr>
          <w:rFonts w:hint="eastAsia" w:ascii="仿宋_GB2312" w:hAnsi="仿宋_GB2312" w:eastAsia="仿宋_GB2312" w:cs="仿宋_GB2312"/>
          <w:b/>
          <w:sz w:val="24"/>
        </w:rPr>
      </w:pPr>
      <w:r>
        <w:rPr>
          <w:rFonts w:hint="eastAsia" w:ascii="仿宋_GB2312" w:hAnsi="仿宋_GB2312" w:eastAsia="仿宋_GB2312" w:cs="仿宋_GB2312"/>
          <w:b/>
          <w:sz w:val="24"/>
        </w:rPr>
        <w:t>1.超融合服务器（核心产品）技术指标要求：</w:t>
      </w:r>
    </w:p>
    <w:tbl>
      <w:tblPr>
        <w:tblStyle w:val="62"/>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092"/>
        <w:gridCol w:w="1159"/>
        <w:gridCol w:w="1331"/>
        <w:gridCol w:w="4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tblHeader/>
        </w:trPr>
        <w:tc>
          <w:tcPr>
            <w:tcW w:w="703"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序号</w:t>
            </w:r>
          </w:p>
        </w:tc>
        <w:tc>
          <w:tcPr>
            <w:tcW w:w="1092" w:type="dxa"/>
            <w:shd w:val="clear" w:color="auto" w:fill="auto"/>
            <w:vAlign w:val="center"/>
          </w:tcPr>
          <w:p>
            <w:pPr>
              <w:widowControl/>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指标</w:t>
            </w:r>
          </w:p>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分类</w:t>
            </w:r>
          </w:p>
        </w:tc>
        <w:tc>
          <w:tcPr>
            <w:tcW w:w="1159" w:type="dxa"/>
            <w:shd w:val="clear" w:color="auto" w:fill="auto"/>
            <w:vAlign w:val="center"/>
          </w:tcPr>
          <w:p>
            <w:pPr>
              <w:widowControl/>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一级</w:t>
            </w:r>
          </w:p>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指标</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二级指标</w:t>
            </w:r>
          </w:p>
        </w:tc>
        <w:tc>
          <w:tcPr>
            <w:tcW w:w="4793"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color w:val="000000"/>
                <w:kern w:val="0"/>
                <w:sz w:val="24"/>
                <w:szCs w:val="24"/>
                <w:lang w:bidi="ar"/>
              </w:rPr>
              <w:t>1</w:t>
            </w:r>
          </w:p>
        </w:tc>
        <w:tc>
          <w:tcPr>
            <w:tcW w:w="1092"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产品规格</w:t>
            </w:r>
          </w:p>
          <w:p>
            <w:pPr>
              <w:widowControl/>
              <w:jc w:val="center"/>
              <w:rPr>
                <w:rFonts w:hint="eastAsia" w:ascii="仿宋_GB2312" w:hAnsi="仿宋_GB2312" w:eastAsia="仿宋_GB2312" w:cs="仿宋_GB2312"/>
                <w:kern w:val="0"/>
                <w:sz w:val="24"/>
                <w:szCs w:val="24"/>
              </w:rPr>
            </w:pPr>
          </w:p>
        </w:tc>
        <w:tc>
          <w:tcPr>
            <w:tcW w:w="1159"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主要参数</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★基本要求</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配置≥2*C86架构处理器(2.4GHz/24核处理器)；</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配置≥16*32GB DDR4-3200内存；</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配置≥2块480GB SSD系统盘，≥2块1.92TB NVME SSD缓存盘，≥8块6TB机械盘；</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配置双电源模块；</w:t>
            </w:r>
          </w:p>
          <w:p>
            <w:pPr>
              <w:pStyle w:val="4"/>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配置≥4个千兆电口，≥4个万兆光口（含万兆多模光模块）；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CPU规格</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★CPU信息</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配置≥2颗C86架构处理器，支持多线程，单颗CPU物理核心数≥24核，主频≥2.4GHz、末级缓存容量≥64MB、TDP功耗≤180W、最高内存频率≥5200MHz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主板规格</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★主板支持的CPU和内存情况</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主板支持C86架构CPU≥2颗、内存数量支持≥24个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主板内存槽数量</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主板内存槽位数量≥16个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主板存储接口</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支持SATA、SAS、M.2、U.2</w:t>
            </w:r>
            <w:r>
              <w:rPr>
                <w:rFonts w:hint="eastAsia" w:ascii="仿宋_GB2312" w:hAnsi="仿宋_GB2312" w:eastAsia="仿宋_GB2312" w:cs="仿宋_GB2312"/>
                <w:sz w:val="24"/>
                <w:szCs w:val="24"/>
              </w:rPr>
              <w:t>，</w:t>
            </w:r>
            <w:r>
              <w:rPr>
                <w:rFonts w:hint="eastAsia" w:ascii="仿宋_GB2312" w:hAnsi="仿宋_GB2312" w:eastAsia="仿宋_GB2312" w:cs="仿宋_GB2312"/>
                <w:kern w:val="0"/>
                <w:sz w:val="24"/>
                <w:szCs w:val="24"/>
              </w:rPr>
              <w:t>三种及以上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★PCIe插槽接口</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符合PCIe3.0插槽，可支持向下兼容</w:t>
            </w:r>
            <w:r>
              <w:rPr>
                <w:rFonts w:hint="eastAsia" w:ascii="仿宋_GB2312" w:hAnsi="仿宋_GB2312" w:eastAsia="仿宋_GB2312" w:cs="仿宋_GB2312"/>
                <w:sz w:val="24"/>
                <w:szCs w:val="24"/>
              </w:rPr>
              <w:t>至</w:t>
            </w:r>
            <w:r>
              <w:rPr>
                <w:rFonts w:hint="eastAsia" w:ascii="仿宋_GB2312" w:hAnsi="仿宋_GB2312" w:eastAsia="仿宋_GB2312" w:cs="仿宋_GB2312"/>
                <w:kern w:val="0"/>
                <w:sz w:val="24"/>
                <w:szCs w:val="24"/>
              </w:rPr>
              <w:t>PCIe2.0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主板PCIe插槽数量及规格</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PCIe3.0扩展插槽≥10个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★板载网络接口</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若支持板载网络接口应不少于1个1GE网口；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★主板OCP插槽数量</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支持OCP2.0及以上插槽的数量不少于1个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10</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内存规格</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★内存数量</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配置内存≥16条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11</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★内存规格</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配置单条内存≥32GB DDR4 5200MHz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12</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内存通道</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支持多个内存接口通道，每个通道可支持1DPC或2DPC，当支持2DPC时，印制电路板上应具备插槽的序号标识，具体通道数应在随机文件中明确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13</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存储规格</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★硬盘类型</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可选SATA/NVMeM.2选件,DSD模块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14</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硬磁盘实配容量</w:t>
            </w:r>
          </w:p>
        </w:tc>
        <w:tc>
          <w:tcPr>
            <w:tcW w:w="4793" w:type="dxa"/>
            <w:shd w:val="clear" w:color="auto" w:fill="auto"/>
            <w:vAlign w:val="center"/>
          </w:tcPr>
          <w:p>
            <w:pPr>
              <w:widowControl/>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系统盘：480GB SSD硬盘，缓存盘：1.92TB NVME SSD硬盘，数据盘：6TB机械盘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15</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★硬盘接口类型</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提供SATA3.0及以上接口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16</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★硬盘实配数量</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系统盘≥2块，缓存盘≥2块，数据盘≥8块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17</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★硬盘插槽数量及规格</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支持配置≥12块3.5寸硬盘，支持配置SATA和PCIeM.2选件，支持双MicroSD卡套件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18</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网络规格</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★网口速率和数量</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配置≥4个千兆RJ45网口、≥4个万兆光口（带模块）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19</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★独立网卡网口数量</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配置≥1块四口千兆网卡、≥2块双口万兆网卡；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20</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外部接口规格</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★显示接口</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显示接口类型应不少于1种，如：VGA、DP、HDMI等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21</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★USB接口</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配备不少于2个USB3.0</w:t>
            </w:r>
            <w:r>
              <w:rPr>
                <w:rFonts w:hint="eastAsia" w:ascii="仿宋_GB2312" w:hAnsi="仿宋_GB2312" w:eastAsia="仿宋_GB2312" w:cs="仿宋_GB2312"/>
                <w:sz w:val="24"/>
                <w:szCs w:val="24"/>
              </w:rPr>
              <w:t>及以上</w:t>
            </w:r>
            <w:r>
              <w:rPr>
                <w:rFonts w:hint="eastAsia" w:ascii="仿宋_GB2312" w:hAnsi="仿宋_GB2312" w:eastAsia="仿宋_GB2312" w:cs="仿宋_GB2312"/>
                <w:kern w:val="0"/>
                <w:sz w:val="24"/>
                <w:szCs w:val="24"/>
              </w:rPr>
              <w:t>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22</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电源规格</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★电源冗余模式</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整机电源模块按1+1冗余或N+1冗余配置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23</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★电源模块数量</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配置≥2个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24</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★电源功率</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提供220VAC/240HVDC交直流兼容电源，根据机房环境提供电源线；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25</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★电源指示灯</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配备电源指示灯，指示待机、工作异常等状态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26</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整机规格</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★外观和结构</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a）服务器的零部件应紧固无松动，可插拔部件应可靠连接，开关、按钮和其它控制部件应灵活可靠，布局应方便使用；</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b）产品表面不应有明显的凹痕、划伤、裂缝、变形和污染等。表面涂层均匀，不应起泡、龟裂、脱落和磨损，金属零部件无锈蚀及其它机械损伤；</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c）产品表面说明功能的文字、符号和标志应清晰、端正且牢固；</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d）应在服务器的显著位置提供运行状态的指示功能，并在随机文件中明确具体含义；</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e）机架、机箱的尺寸应符合通用机柜的安装要求，插入总线插座的电路板接口外形尺寸应符合有关总线标准的规定，将机箱固定在机柜上，机箱底面最大下垂变形不得干涉相邻机体；</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f）2U机架式双颗CPU服务器;</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g）服务器尺寸具体要求在随机文件中明确。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27</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★尺寸（高×宽×深）</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设计应遵循标准化、系列化的要求；机箱的内部结构符合通用部件的安装需要，尺寸要求（高×宽×深）：≦100</w:t>
            </w:r>
            <w:r>
              <w:rPr>
                <w:rFonts w:hint="eastAsia" w:ascii="仿宋_GB2312" w:hAnsi="仿宋_GB2312" w:eastAsia="仿宋_GB2312" w:cs="仿宋_GB2312"/>
                <w:sz w:val="24"/>
                <w:szCs w:val="24"/>
              </w:rPr>
              <w:t>mm x 500mm x 900mm。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28</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★环境适应性</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气候环境适应性应符合GB/T 9813.3的有关规定，工作温度10～35℃，贮存运输温度-40～55℃；工作相对湿度35％～80％，贮存运输相对湿度20％～93％（40℃）；大气压86～106kPa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29</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★机械环境适应性</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机械环境适应性应符合GB/T 9813.3的有关规定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30</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★噪声</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符合GB/T 9813.3的有关规定，在产品说明中给出具体测试值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31</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机柜规格</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★机柜尺寸</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≦高</w:t>
            </w:r>
            <w:r>
              <w:rPr>
                <w:rFonts w:hint="eastAsia" w:ascii="仿宋_GB2312" w:hAnsi="仿宋_GB2312" w:eastAsia="仿宋_GB2312" w:cs="仿宋_GB2312"/>
                <w:sz w:val="24"/>
                <w:szCs w:val="24"/>
              </w:rPr>
              <w:t>2000mm x 宽600mm x 深1200mm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32</w:t>
            </w:r>
          </w:p>
        </w:tc>
        <w:tc>
          <w:tcPr>
            <w:tcW w:w="1092"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功能要求</w:t>
            </w:r>
          </w:p>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主板功能</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★主板外部接口种类</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支持USB、显示、管理等接口，如：VGA、DP、HDMI、USB3.0、PS/2接口、BMC管理端口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33</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★主板防烧板设计</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支持主板防烧板设计，需保证电源故障后不扩散；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34</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网络功能</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★网络功能</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支持网络连接、网络访问、数据交换和网络管控功能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35</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CPU功能</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★计算处理</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支持通用计算及虚拟化功能。处理器需集成整型计算单元、浮点计算单元、内存控制器、I/O模块等，处理器与存储部件、网络部件、I/O部件等组成计算系统，提供数据处理、网络接入等计算相关功能。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36</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★密码算法实现</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CPU芯片应符合GM/T 0008的相关规定，或芯片密码模块应符合GB/T 37092或GM/T 0028的相关规定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37</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RAID卡功能</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RAID卡RAID级别支持</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支持RAID0/1/10/5/6/50/60/1E/SimpleVolume等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38</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电源功能</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★电源热插拔</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整机电源模块应具备热插拔功能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39</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★电源过流保护</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支持过流及短路保护的功能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40</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整机功能</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★散热方式</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支持风冷或液冷等散热方式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41</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★其他功能</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a）支持关键部件冗余（包括电源、风扇等）；</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b）支持熔断保护与恢复功能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restart"/>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42</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管理系统功能</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★BMC固件基础功能</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1）支持DHCP设置网络功能；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2）支持静态IP设置网络功能；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3）支持设备日志记录，包括但不限于登录日志、操作日志和报警日志等功能；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4）支持日志信息导出和记录删除功能；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5）支持通过管理接口向外输出准确的报警信息功能；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6）设备的BMC管理软件应能够按报警的严重程度进行区分；</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7）支持IPMI2.0、SNMP或Redfish等接口功能；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8）支持键盘、鼠标和视频的重定向、文本控制台的重定向、远程虚拟媒体、高可靠的硬件监控和管理功能；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9）支持基于网络开启、关闭和重启设备的功能，并查询当前设备开机运行状态；</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10）支持故障提示功能，并可通过接口读取服务器故障信息；</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11）支持基于网络的固件更新功能，包括BMC和BIOS等；</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12）支持基于网络安装操作系统的功能，并可通过网络控制台访问设备；</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13）支持通过本地的硬盘或光驱等存储设备，基于网络完成设备的操作系统安装功能；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14）支持通过浏览器打开管理界面并登录功能；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15）支持设置口令策略功能；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16）支持访问权限设置功能，并通过日志记录访问事件；</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17）支持对出厂默认的用户名及口令进行安全保护功能，并提供默认口令修改提示；</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18）支持读取设备主板的工作环境温度功能；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19）支持读取服务器CPU等核心器件的温度功能；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20）支持通过外部管理工具进行BMC参数设置的功能，并可基于网络通过外部管理工具对BMC进行管理；</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21）应支持固件版本查询、固件升级</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22）支持基于网络实现开关机和复位控制的功能；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23）BMC启动时间应不超过180s，实现功能包括网络、IPMI、散热、传感器服务可用；</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24）支持BMC固件设置的恢复出厂功能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vMerge w:val="continue"/>
            <w:vAlign w:val="center"/>
          </w:tcPr>
          <w:p>
            <w:pPr>
              <w:pStyle w:val="861"/>
              <w:widowControl/>
              <w:numPr>
                <w:ilvl w:val="0"/>
                <w:numId w:val="1"/>
              </w:numPr>
              <w:spacing w:after="156"/>
              <w:ind w:left="0" w:right="0" w:firstLine="0"/>
              <w:jc w:val="center"/>
              <w:rPr>
                <w:rFonts w:hint="eastAsia" w:ascii="仿宋_GB2312" w:hAnsi="仿宋_GB2312" w:eastAsia="仿宋_GB2312" w:cs="仿宋_GB2312"/>
                <w:kern w:val="0"/>
                <w:sz w:val="24"/>
                <w:szCs w:val="24"/>
              </w:rPr>
            </w:pPr>
          </w:p>
        </w:tc>
        <w:tc>
          <w:tcPr>
            <w:tcW w:w="1092" w:type="dxa"/>
            <w:vMerge w:val="continue"/>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★BMC固件增强功能</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a）网络控制、安装提供图形访问界面网络；</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b）设备的BMC 管理软件界面显示报警信息，且能够按报警的严重程度进行区分；</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c）Web GUI 采用BMC 端口直连，平均响应时间为不大于1s</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d）支持智能管理能力，具备支持3D形式展示各组件温度传感器的分布图，可直观体现服务器整体温感状态，如发生温度告警可快速定位到具体区域； </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e）USBWIFI：服务器支持外接USBWIFI模块，管理员可使用手机或PC通过无线登录BMC </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f）联合管理：BMC管理软件联合管理支持对周边伙伴设备的直接管理，简化服务器的统一管理，联合管理数量不低于200台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43</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★BIOS固件基础功能</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a）支持查看固件版本、内存信息、主板信息、处理器信息和系统时间信息功能；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b）支持上电初始化界面显示CPU信息、内存信息、固件版本和部分快捷键信息功能；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c）支持设置界面中英文显示切换功能；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d）支持查看PCIe设备信息，SATA设备信息功能；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e）支持操作系统安装和引导功能，应并向操作系统提供计算机主板信息和服务接口；</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f）支持设置启动顺序，并按照设置的启动顺序启动功能；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g）支持安全启动功能；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h）支持设置口令、修改口令、验证口令功能；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i）支持板载显示控制或独立显卡的显示控制功能；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j）支持RAID识别和启动功能；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k）支持串口重定向功能；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l）支持固件更新功能；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m）支持BIOS固件设置的恢复出厂功能；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n）支持网络引导启用和关闭功能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44</w:t>
            </w:r>
          </w:p>
        </w:tc>
        <w:tc>
          <w:tcPr>
            <w:tcW w:w="1092" w:type="dxa"/>
            <w:vMerge w:val="continue"/>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BIOS固件增强功能</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底板管理控制器（BMC）可以根据主机系统工作负载的特性，自动推荐和场景匹配的性能模板。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45</w:t>
            </w:r>
          </w:p>
        </w:tc>
        <w:tc>
          <w:tcPr>
            <w:tcW w:w="1092" w:type="dxa"/>
            <w:vMerge w:val="continue"/>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vMerge w:val="continue"/>
            <w:vAlign w:val="center"/>
          </w:tcPr>
          <w:p>
            <w:pPr>
              <w:widowControl/>
              <w:jc w:val="center"/>
              <w:rPr>
                <w:rFonts w:hint="eastAsia" w:ascii="仿宋_GB2312" w:hAnsi="仿宋_GB2312" w:eastAsia="仿宋_GB2312" w:cs="仿宋_GB2312"/>
                <w:kern w:val="0"/>
                <w:sz w:val="24"/>
                <w:szCs w:val="24"/>
              </w:rPr>
            </w:pP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可通过底板管理控制器（BMC）配置BIOS性能模板，实现利用预配置的配置文件，自动调优内部服务器资源，系统内置10种以上场景模板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46</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★远程控制</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支持远程关机和重新启动功能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47</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操作系统及驱动功能</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★操作系统及驱动的升级</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支持通过网络、闪存盘对操作系统、驱动进行升级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48</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★操作系统功能</w:t>
            </w:r>
          </w:p>
        </w:tc>
        <w:tc>
          <w:tcPr>
            <w:tcW w:w="4793" w:type="dxa"/>
            <w:shd w:val="clear" w:color="auto" w:fill="auto"/>
            <w:vAlign w:val="center"/>
          </w:tcPr>
          <w:p>
            <w:pPr>
              <w:widowControl/>
              <w:numPr>
                <w:ilvl w:val="0"/>
                <w:numId w:val="2"/>
              </w:numPr>
              <w:adjustRightInd/>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支持访问控制、安全审计、网络接入鉴别等功能； </w:t>
            </w:r>
          </w:p>
          <w:p>
            <w:pPr>
              <w:widowControl/>
              <w:numPr>
                <w:ilvl w:val="255"/>
                <w:numId w:val="0"/>
              </w:numP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b)操作系统其他功能应满足操作系统政府采购需求标准相关要求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49</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中文信息处理功能</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★中文信息处理</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符合GB 18030的有关规定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50</w:t>
            </w:r>
          </w:p>
        </w:tc>
        <w:tc>
          <w:tcPr>
            <w:tcW w:w="1092"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安全要求</w:t>
            </w:r>
          </w:p>
          <w:p>
            <w:pPr>
              <w:widowControl/>
              <w:jc w:val="center"/>
              <w:rPr>
                <w:rFonts w:hint="eastAsia" w:ascii="仿宋_GB2312" w:hAnsi="仿宋_GB2312" w:eastAsia="仿宋_GB2312" w:cs="仿宋_GB2312"/>
                <w:kern w:val="0"/>
                <w:sz w:val="24"/>
                <w:szCs w:val="24"/>
              </w:rPr>
            </w:pPr>
          </w:p>
        </w:tc>
        <w:tc>
          <w:tcPr>
            <w:tcW w:w="1159"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关键部件安全要求</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★关键部件安全要求</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CPU和操作系统等关键部件应当符合安全可靠测评要求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51</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固件安全要求</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★故障检测</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支持故障检测功能，可以检测到具体的FRU（内存、硬盘等）的故障并发出告警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52</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系统安全要求</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★弱口令字典检查</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支持弱口令字典检查功能，出现在弱口令字典中的字符串不能被设置为用户口令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53</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★白名单访问控制</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支持基于时间、IP或MAC白名单访问控制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54</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★二次鉴别</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支持二次鉴别功能。对于用户配置、权限配置、公钥导入等重要的管理操作，已登录用户应通过二次鉴别后，才能执行操作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55</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★密码证书安全加密存储</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支持对带外管理系统中的用户口令和证书等敏感信息进行加密存储，禁止使用私有的和业界已知不安全的密码算法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56</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★敏感信息安全加密传输</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支持使用安全的传输加密协议（如SSH或HTTPS等）传输用户的敏感信息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57</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信息安全要求</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★研发过程安全</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供应商承诺，生产商已建立从需求、设计、开发、测试、维护端到端的开发流程管理机制，输出和保存开发流程中每个阶段的产品需求清单、设计文档、开发文档、测试记录等材料，保证各个流程可追溯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58</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物理安全</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★物理安全</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安全要求应符合GB 4943.1的规定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59</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限用物质的限量要求</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★限用物质的限量要求</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限用物质的限量应符合GB/T 26572的要求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60</w:t>
            </w:r>
          </w:p>
        </w:tc>
        <w:tc>
          <w:tcPr>
            <w:tcW w:w="1092"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性能要求</w:t>
            </w:r>
          </w:p>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CPU性能</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★CPU主频</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≥2.2GHz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61</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★单CPU核数</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62</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单CPU末级缓存容量</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≥64MB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63</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内存性能</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单内存模块容量</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单内存模块容量≥32GB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64</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内存速率</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≥3200MT/s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65</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网络性能</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★独立网卡速率</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66</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★板载网卡速率</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67</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电源能耗</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★电源能耗</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符合GB/T 9813.3的有关规定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68</w:t>
            </w:r>
          </w:p>
        </w:tc>
        <w:tc>
          <w:tcPr>
            <w:tcW w:w="1092"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兼容要求</w:t>
            </w:r>
          </w:p>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部件兼容性要求</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内存兼容性</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适配3种及以上厂商的内存产品，且均不低于产品支持的内存规格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69</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固态存储兼容性</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适配3种或以上厂商的固态存储产品，且均不低于产品支持的固态存储设备规格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70</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★FC HBA卡兼容性</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FC HBA应适配2种或以上厂商产品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71</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★RAID卡兼容性</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RAID卡应适配2种或以上厂商产品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72</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网卡兼容性</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网卡应适配2种或以上厂商产品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73</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★功能卡兼容性</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内置或适配符合PCIe的功能卡，如：网络功能卡、存储功能卡及图形显示功能卡。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74</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外设兼容性</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外设兼容性</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兼容多种主流生产商的外部设备，包括显示器、键盘、鼠标、闪存盘、移动硬盘、USB光驱及KVM等，要求使用不同厂商的外部设备时，系统均能正常识别和安装驱动。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75</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软件兼容性</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数据库兼容</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兼容3个及以上厂商的数据库产品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76</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中间件兼容</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兼容3个及以上厂商的中间件产品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77</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平台软件兼容</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兼容3个及以上厂商的大数据平台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78</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虚拟化软件兼容</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兼容2款及以上虚拟化软件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79</w:t>
            </w:r>
          </w:p>
        </w:tc>
        <w:tc>
          <w:tcPr>
            <w:tcW w:w="1092"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可靠性要求</w:t>
            </w:r>
          </w:p>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整机可靠性要求</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整机可靠性</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m1值（MTBF的不可接受值）不得低于30000h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80</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风扇可靠性</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风扇寿命应不低于40000h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81</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★部件可靠性</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支持硬盘、电源、风扇热插拔(内置风扇除外)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82</w:t>
            </w:r>
          </w:p>
        </w:tc>
        <w:tc>
          <w:tcPr>
            <w:tcW w:w="1092"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包装及运输要求</w:t>
            </w:r>
          </w:p>
        </w:tc>
        <w:tc>
          <w:tcPr>
            <w:tcW w:w="1159"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包装及运输要求</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★标志、包装、运输和贮存</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符合GB/T 9813.3和商品包装政府采购需求标准的相关规定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83</w:t>
            </w:r>
          </w:p>
        </w:tc>
        <w:tc>
          <w:tcPr>
            <w:tcW w:w="1092"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服务要求</w:t>
            </w:r>
          </w:p>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服务响应</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服务响应</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a）提供电话、电子邮件、远程连接等多种形式服务；</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b）提供同城4h、异地12h技术响应服务，2个工作日解决问题，对于未能解决的问题和故障应提供可行的升级方案，并提供周转设备；</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c）建立全国技术服务体系和服务团体，符合专业服务体系标准要求，提供原厂中文服务；</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d）服务周期内提供产品的维修、换件和升级服务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84</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★培训服务</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供应商提供培训材料、产品手册、培训视频等培训相关内容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85</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服务周期</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服务周期</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a）产品整机免费服务周期5年（含换件和维修）；</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b）设备停产后继续提供质量保障服务（含备品备件），服务终止时间与最后一批设备交付时间间隔不低于5年；</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c)产品停止服务时间应提前1年告知客户；</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d)产品发布日期需在随机文件中明确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86</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服务工具要求</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★工具要求</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供应商提供设置服务器硬件、辅助操作系统安装等功能的辅助工具和管理软件。且随附软件应具有合法授权或版权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87</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★辅助工具</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支持如下功能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a）本地的数据备份和还原功能；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b）网络的数据备份和还原功能；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c）服务器操作系统的自动安装功能；</w:t>
            </w:r>
          </w:p>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d）服务器所配硬件需要的驱动程序和系统补丁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88</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★驱动安装升级指引</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供应商提供出厂安装的配件所需的驱动程序，形式包括但不限于驱动光盘、驱动下载链接等。其他配件应提供指引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89</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★随机附开盖工具</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随服务器打包提供开机箱工具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90</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★管理软件</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具备资源管理、系统管理、性能监控、健康监控、基于网络控制、报警设置功能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91</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增值服务</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厂家升级产品软件与扩容服务</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供应商提供原厂级的部件/软件产品升级和扩容能力5年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92</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★服务保障升级</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供应商提供远程技术支持、软件授权服务、备件更换服务、现场支持服务5年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93</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提供上门服务</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提供5年免费上门保修服务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94</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★业务场景性能优化服务及整体架构升级服务</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供应商提供针对特定业务场景性能优化服务及整体架构升级服务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95</w:t>
            </w:r>
          </w:p>
        </w:tc>
        <w:tc>
          <w:tcPr>
            <w:tcW w:w="1092"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供保要求</w:t>
            </w:r>
          </w:p>
          <w:p>
            <w:pPr>
              <w:widowControl/>
              <w:jc w:val="center"/>
              <w:rPr>
                <w:rFonts w:hint="eastAsia" w:ascii="仿宋_GB2312" w:hAnsi="仿宋_GB2312" w:eastAsia="仿宋_GB2312" w:cs="仿宋_GB2312"/>
                <w:kern w:val="0"/>
                <w:sz w:val="24"/>
                <w:szCs w:val="24"/>
              </w:rPr>
            </w:pPr>
          </w:p>
        </w:tc>
        <w:tc>
          <w:tcPr>
            <w:tcW w:w="1159"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供应链质量</w:t>
            </w: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★抗干扰性</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当产品部件出现供应风险时，应通知客户并提供风险应对方案确保产品的服务保障，必要时应停止相关受影响产品的销售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3" w:type="dxa"/>
            <w:shd w:val="clear" w:color="auto" w:fill="auto"/>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96</w:t>
            </w:r>
          </w:p>
        </w:tc>
        <w:tc>
          <w:tcPr>
            <w:tcW w:w="1092" w:type="dxa"/>
            <w:vMerge w:val="continue"/>
            <w:shd w:val="clear" w:color="auto" w:fill="auto"/>
            <w:vAlign w:val="center"/>
          </w:tcPr>
          <w:p>
            <w:pPr>
              <w:widowControl/>
              <w:jc w:val="center"/>
              <w:rPr>
                <w:rFonts w:hint="eastAsia" w:ascii="仿宋_GB2312" w:hAnsi="仿宋_GB2312" w:eastAsia="仿宋_GB2312" w:cs="仿宋_GB2312"/>
                <w:kern w:val="0"/>
                <w:sz w:val="24"/>
                <w:szCs w:val="24"/>
              </w:rPr>
            </w:pPr>
          </w:p>
        </w:tc>
        <w:tc>
          <w:tcPr>
            <w:tcW w:w="1159" w:type="dxa"/>
            <w:vMerge w:val="continue"/>
            <w:vAlign w:val="center"/>
          </w:tcPr>
          <w:p>
            <w:pPr>
              <w:widowControl/>
              <w:jc w:val="center"/>
              <w:rPr>
                <w:rFonts w:hint="eastAsia" w:ascii="仿宋_GB2312" w:hAnsi="仿宋_GB2312" w:eastAsia="仿宋_GB2312" w:cs="仿宋_GB2312"/>
                <w:kern w:val="0"/>
                <w:sz w:val="24"/>
                <w:szCs w:val="24"/>
              </w:rPr>
            </w:pPr>
          </w:p>
        </w:tc>
        <w:tc>
          <w:tcPr>
            <w:tcW w:w="1331" w:type="dxa"/>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★供应能力证明</w:t>
            </w:r>
          </w:p>
        </w:tc>
        <w:tc>
          <w:tcPr>
            <w:tcW w:w="4793" w:type="dxa"/>
            <w:shd w:val="clear" w:color="auto" w:fill="auto"/>
            <w:vAlign w:val="center"/>
          </w:tcPr>
          <w:p>
            <w:pPr>
              <w:widowControl/>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供应商提供供应链稳定承诺书，确保产品的部件在产品服务周期内稳定供货</w:t>
            </w:r>
          </w:p>
        </w:tc>
      </w:tr>
    </w:tbl>
    <w:p>
      <w:pPr>
        <w:pStyle w:val="2"/>
        <w:ind w:left="0" w:leftChars="0" w:firstLine="0" w:firstLineChars="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2.超融合软件技术指标要求：</w:t>
      </w:r>
    </w:p>
    <w:tbl>
      <w:tblPr>
        <w:tblStyle w:val="62"/>
        <w:tblW w:w="9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089"/>
        <w:gridCol w:w="7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729" w:type="dxa"/>
            <w:shd w:val="clear" w:color="auto" w:fill="auto"/>
            <w:noWrap/>
            <w:vAlign w:val="center"/>
          </w:tcPr>
          <w:p>
            <w:pPr>
              <w:widowControl/>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序号</w:t>
            </w:r>
          </w:p>
        </w:tc>
        <w:tc>
          <w:tcPr>
            <w:tcW w:w="1089" w:type="dxa"/>
            <w:vAlign w:val="center"/>
          </w:tcPr>
          <w:p>
            <w:pPr>
              <w:widowControl/>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指标分类</w:t>
            </w:r>
          </w:p>
        </w:tc>
        <w:tc>
          <w:tcPr>
            <w:tcW w:w="7289" w:type="dxa"/>
            <w:shd w:val="clear" w:color="auto" w:fill="auto"/>
            <w:vAlign w:val="center"/>
          </w:tcPr>
          <w:p>
            <w:pPr>
              <w:widowControl/>
              <w:jc w:val="left"/>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trPr>
        <w:tc>
          <w:tcPr>
            <w:tcW w:w="729"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w:t>
            </w:r>
          </w:p>
        </w:tc>
        <w:tc>
          <w:tcPr>
            <w:tcW w:w="1089"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代码自主可控</w:t>
            </w:r>
          </w:p>
        </w:tc>
        <w:tc>
          <w:tcPr>
            <w:tcW w:w="7289" w:type="dxa"/>
            <w:shd w:val="clear" w:color="auto" w:fill="auto"/>
            <w:vAlign w:val="center"/>
          </w:tcPr>
          <w:p>
            <w:pPr>
              <w:widowControl/>
              <w:jc w:val="left"/>
              <w:rPr>
                <w:rFonts w:hint="eastAsia"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投标产品代码自主率（“自研代码量比例”）大于95%。要求代码检测量在100万以上，非特殊裁剪版本。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9"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w:t>
            </w:r>
          </w:p>
        </w:tc>
        <w:tc>
          <w:tcPr>
            <w:tcW w:w="1089"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多芯片支持</w:t>
            </w:r>
          </w:p>
        </w:tc>
        <w:tc>
          <w:tcPr>
            <w:tcW w:w="7289" w:type="dxa"/>
            <w:shd w:val="clear" w:color="auto" w:fill="auto"/>
            <w:vAlign w:val="center"/>
          </w:tcPr>
          <w:p>
            <w:pPr>
              <w:widowControl/>
              <w:jc w:val="left"/>
              <w:rPr>
                <w:rFonts w:hint="eastAsia"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支持在通用的X86、arm架构服务器上安装超融合软件，支持飞腾、鲲鹏等业界主流的ARM平台，并且可以与原有的X86系统混合部署、统一管理。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9"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w:t>
            </w:r>
          </w:p>
        </w:tc>
        <w:tc>
          <w:tcPr>
            <w:tcW w:w="1089"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功能要求</w:t>
            </w:r>
          </w:p>
          <w:p>
            <w:pPr>
              <w:widowControl/>
              <w:jc w:val="center"/>
              <w:rPr>
                <w:rFonts w:hint="eastAsia" w:ascii="仿宋_GB2312" w:hAnsi="仿宋_GB2312" w:eastAsia="仿宋_GB2312" w:cs="仿宋_GB2312"/>
                <w:kern w:val="0"/>
                <w:sz w:val="24"/>
                <w:szCs w:val="24"/>
              </w:rPr>
            </w:pPr>
          </w:p>
        </w:tc>
        <w:tc>
          <w:tcPr>
            <w:tcW w:w="7289" w:type="dxa"/>
            <w:shd w:val="clear" w:color="auto" w:fill="auto"/>
            <w:vAlign w:val="center"/>
          </w:tcPr>
          <w:p>
            <w:pPr>
              <w:widowControl/>
              <w:jc w:val="left"/>
              <w:rPr>
                <w:rFonts w:hint="eastAsia"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虚拟化平台内置虚拟化系统健康度评价模型，基于多维度的性能监控指标及告警等信息，支持对虚拟化系统及主机进行健康评测，并能够以直观的数字呈现系统及主机健康程度。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9"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w:t>
            </w:r>
          </w:p>
        </w:tc>
        <w:tc>
          <w:tcPr>
            <w:tcW w:w="1089"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一键资源分析</w:t>
            </w:r>
          </w:p>
        </w:tc>
        <w:tc>
          <w:tcPr>
            <w:tcW w:w="7289" w:type="dxa"/>
            <w:shd w:val="clear" w:color="auto" w:fill="auto"/>
            <w:vAlign w:val="center"/>
          </w:tcPr>
          <w:p>
            <w:pPr>
              <w:widowControl/>
              <w:jc w:val="left"/>
              <w:rPr>
                <w:rFonts w:hint="eastAsia"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支持使用一键鼠标按钮分析虚拟机、主机历史资源使用情况，提供规划决策数据支撑，</w:t>
            </w:r>
            <w:r>
              <w:rPr>
                <w:rFonts w:hint="eastAsia" w:ascii="仿宋_GB2312" w:hAnsi="仿宋_GB2312" w:eastAsia="仿宋_GB2312" w:cs="仿宋_GB2312"/>
                <w:b/>
                <w:bCs/>
                <w:sz w:val="24"/>
                <w:szCs w:val="24"/>
              </w:rPr>
              <w:t>提供相关功能界面截图</w:t>
            </w:r>
            <w:r>
              <w:rPr>
                <w:rFonts w:hint="eastAsia" w:ascii="仿宋_GB2312" w:hAnsi="仿宋_GB2312" w:eastAsia="仿宋_GB2312" w:cs="仿宋_GB2312"/>
                <w:b/>
                <w:bCs/>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9"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w:t>
            </w:r>
          </w:p>
        </w:tc>
        <w:tc>
          <w:tcPr>
            <w:tcW w:w="1089"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一键无效文件分析</w:t>
            </w:r>
          </w:p>
        </w:tc>
        <w:tc>
          <w:tcPr>
            <w:tcW w:w="7289" w:type="dxa"/>
            <w:shd w:val="clear" w:color="auto" w:fill="auto"/>
            <w:vAlign w:val="center"/>
          </w:tcPr>
          <w:p>
            <w:pPr>
              <w:widowControl/>
              <w:jc w:val="left"/>
              <w:rPr>
                <w:rFonts w:hint="eastAsia"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支持使用一键鼠标按钮分析后端存储上的无效镜像文件，并提供一键清理和释放存储空间能力。</w:t>
            </w:r>
            <w:r>
              <w:rPr>
                <w:rFonts w:hint="eastAsia" w:ascii="仿宋_GB2312" w:hAnsi="仿宋_GB2312" w:eastAsia="仿宋_GB2312" w:cs="仿宋_GB2312"/>
                <w:b/>
                <w:bCs/>
                <w:kern w:val="0"/>
                <w:sz w:val="24"/>
                <w:szCs w:val="24"/>
              </w:rPr>
              <w:t>需提供带有CMA或CNAS标识的第三方检测报告复印件。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9"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w:t>
            </w:r>
          </w:p>
        </w:tc>
        <w:tc>
          <w:tcPr>
            <w:tcW w:w="1089"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一键僵尸虚拟机清理</w:t>
            </w:r>
          </w:p>
        </w:tc>
        <w:tc>
          <w:tcPr>
            <w:tcW w:w="7289" w:type="dxa"/>
            <w:shd w:val="clear" w:color="auto" w:fill="auto"/>
            <w:vAlign w:val="center"/>
          </w:tcPr>
          <w:p>
            <w:pPr>
              <w:widowControl/>
              <w:jc w:val="left"/>
              <w:rPr>
                <w:rFonts w:hint="eastAsia"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支持使用一键鼠标按钮快速查看、启动、删除、批量启动和批量删除长时间未使用且处于关闭状态的虚拟机，进行资源利用率统计。</w:t>
            </w:r>
            <w:r>
              <w:rPr>
                <w:rFonts w:hint="eastAsia" w:ascii="仿宋_GB2312" w:hAnsi="仿宋_GB2312" w:eastAsia="仿宋_GB2312" w:cs="仿宋_GB2312"/>
                <w:b/>
                <w:bCs/>
                <w:kern w:val="0"/>
                <w:sz w:val="24"/>
                <w:szCs w:val="24"/>
              </w:rPr>
              <w:t>需提供带有CMA或CNAS标识的第三方检测报告复印件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9"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w:t>
            </w:r>
          </w:p>
        </w:tc>
        <w:tc>
          <w:tcPr>
            <w:tcW w:w="1089"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网络拓扑可视</w:t>
            </w:r>
          </w:p>
        </w:tc>
        <w:tc>
          <w:tcPr>
            <w:tcW w:w="7289" w:type="dxa"/>
            <w:shd w:val="clear" w:color="auto" w:fill="auto"/>
            <w:vAlign w:val="center"/>
          </w:tcPr>
          <w:p>
            <w:pPr>
              <w:widowControl/>
              <w:jc w:val="left"/>
              <w:rPr>
                <w:rFonts w:hint="eastAsia"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▲支持对整个平台实现网络拓扑管理，支持在网络拓扑页面查看当前网络配置、增删虚拟交换机、增删虚拟网卡、增删虚拟防火墙、操作虚拟机、防火墙关联虚拟机网卡。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9"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w:t>
            </w:r>
          </w:p>
        </w:tc>
        <w:tc>
          <w:tcPr>
            <w:tcW w:w="1089"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融合存储</w:t>
            </w:r>
          </w:p>
        </w:tc>
        <w:tc>
          <w:tcPr>
            <w:tcW w:w="7289"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同一节点同时支持虚拟化和3种存储功能，最少只需3个节点集群即可同时提供虚拟化、分布式块、对象、文件存储服务。其中对象和文件服务必须在宿主机上提供，和超融合自研同品牌，不能以应用跑在虚拟机上的形式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9"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w:t>
            </w:r>
          </w:p>
        </w:tc>
        <w:tc>
          <w:tcPr>
            <w:tcW w:w="1089"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反磨损均衡</w:t>
            </w:r>
          </w:p>
        </w:tc>
        <w:tc>
          <w:tcPr>
            <w:tcW w:w="7289" w:type="dxa"/>
            <w:shd w:val="clear" w:color="auto" w:fill="auto"/>
            <w:vAlign w:val="center"/>
          </w:tcPr>
          <w:p>
            <w:pPr>
              <w:widowControl/>
              <w:jc w:val="left"/>
              <w:rPr>
                <w:rFonts w:hint="eastAsia"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对系统中的盘磨损度进行检测，当盘达到设计的磨损度后增大到该盘的IO数量，使其提前磨损并重构，避免系统中多个盘寿命同时到达后同时故障。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9"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10</w:t>
            </w:r>
          </w:p>
        </w:tc>
        <w:tc>
          <w:tcPr>
            <w:tcW w:w="1089"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网卡检测隔离</w:t>
            </w:r>
          </w:p>
        </w:tc>
        <w:tc>
          <w:tcPr>
            <w:tcW w:w="7289" w:type="dxa"/>
            <w:shd w:val="clear" w:color="auto" w:fill="auto"/>
            <w:vAlign w:val="center"/>
          </w:tcPr>
          <w:p>
            <w:pPr>
              <w:widowControl/>
              <w:jc w:val="left"/>
              <w:rPr>
                <w:rFonts w:hint="eastAsia"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支持物理网卡至物理交换机端到端的物理网络故障检测与隔离功能，支持网络物理亚健康故障检测、故障告警，支持故障发生后自动隔离从而不会对集群的正常工作造成影响，支持自定义配置阈值，支持IP冲突自动检测与告警，</w:t>
            </w:r>
            <w:r>
              <w:rPr>
                <w:rFonts w:hint="eastAsia" w:ascii="仿宋_GB2312" w:hAnsi="仿宋_GB2312" w:eastAsia="仿宋_GB2312" w:cs="仿宋_GB2312"/>
                <w:sz w:val="24"/>
                <w:szCs w:val="24"/>
              </w:rPr>
              <w:t>提供相关功能界面截图。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9"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11</w:t>
            </w:r>
          </w:p>
        </w:tc>
        <w:tc>
          <w:tcPr>
            <w:tcW w:w="1089"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兼容性要求</w:t>
            </w:r>
          </w:p>
        </w:tc>
        <w:tc>
          <w:tcPr>
            <w:tcW w:w="7289" w:type="dxa"/>
            <w:shd w:val="clear" w:color="auto" w:fill="auto"/>
            <w:vAlign w:val="center"/>
          </w:tcPr>
          <w:p>
            <w:pPr>
              <w:pStyle w:val="4"/>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▲支持超融合集群兼容及纳管现网H3C S7506交换机及超融合配套交换机，实现在超融合界面完成对交换机的配置管理，提升运维效率，降低运维复杂度。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9"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12</w:t>
            </w:r>
          </w:p>
        </w:tc>
        <w:tc>
          <w:tcPr>
            <w:tcW w:w="1089"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可靠性要求</w:t>
            </w:r>
          </w:p>
        </w:tc>
        <w:tc>
          <w:tcPr>
            <w:tcW w:w="7289" w:type="dxa"/>
            <w:shd w:val="clear" w:color="auto" w:fill="auto"/>
            <w:vAlign w:val="center"/>
          </w:tcPr>
          <w:p>
            <w:pPr>
              <w:widowControl/>
              <w:jc w:val="left"/>
              <w:rPr>
                <w:rFonts w:hint="eastAsia"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采用仲裁机制预防脑裂风险；要求平台可从2节点在线平滑扩容至3节点及以上，不需要重新开局，不需要迁移数据。</w:t>
            </w:r>
          </w:p>
        </w:tc>
      </w:tr>
    </w:tbl>
    <w:p>
      <w:pPr>
        <w:pStyle w:val="2"/>
        <w:ind w:left="0" w:leftChars="0" w:firstLine="0" w:firstLineChars="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3.仲裁节点指标要求：</w:t>
      </w:r>
    </w:p>
    <w:tbl>
      <w:tblPr>
        <w:tblStyle w:val="62"/>
        <w:tblW w:w="9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961"/>
        <w:gridCol w:w="1205"/>
        <w:gridCol w:w="1570"/>
        <w:gridCol w:w="4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713" w:type="dxa"/>
            <w:shd w:val="clear" w:color="auto" w:fill="auto"/>
            <w:vAlign w:val="center"/>
          </w:tcPr>
          <w:p>
            <w:pPr>
              <w:widowControl/>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961" w:type="dxa"/>
            <w:vAlign w:val="center"/>
          </w:tcPr>
          <w:p>
            <w:pPr>
              <w:widowControl/>
              <w:jc w:val="center"/>
              <w:textAlignment w:val="center"/>
              <w:rPr>
                <w:rFonts w:hint="eastAsia" w:ascii="仿宋_GB2312" w:hAnsi="仿宋_GB2312" w:eastAsia="仿宋_GB2312" w:cs="仿宋_GB2312"/>
                <w:b/>
                <w:bCs/>
                <w:kern w:val="0"/>
                <w:sz w:val="24"/>
                <w:szCs w:val="24"/>
                <w:lang w:bidi="ar"/>
              </w:rPr>
            </w:pPr>
            <w:r>
              <w:rPr>
                <w:rFonts w:hint="eastAsia" w:ascii="仿宋_GB2312" w:hAnsi="仿宋_GB2312" w:eastAsia="仿宋_GB2312" w:cs="仿宋_GB2312"/>
                <w:b/>
                <w:bCs/>
                <w:kern w:val="0"/>
                <w:sz w:val="24"/>
                <w:szCs w:val="24"/>
                <w:lang w:bidi="ar"/>
              </w:rPr>
              <w:t>指标分类</w:t>
            </w:r>
          </w:p>
        </w:tc>
        <w:tc>
          <w:tcPr>
            <w:tcW w:w="1205" w:type="dxa"/>
            <w:shd w:val="clear" w:color="auto" w:fill="auto"/>
            <w:vAlign w:val="center"/>
          </w:tcPr>
          <w:p>
            <w:pPr>
              <w:widowControl/>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kern w:val="0"/>
                <w:sz w:val="24"/>
                <w:szCs w:val="24"/>
                <w:lang w:bidi="ar"/>
              </w:rPr>
              <w:t>一级指标</w:t>
            </w:r>
          </w:p>
        </w:tc>
        <w:tc>
          <w:tcPr>
            <w:tcW w:w="1570" w:type="dxa"/>
            <w:shd w:val="clear" w:color="auto" w:fill="auto"/>
            <w:vAlign w:val="center"/>
          </w:tcPr>
          <w:p>
            <w:pPr>
              <w:widowControl/>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kern w:val="0"/>
                <w:sz w:val="24"/>
                <w:szCs w:val="24"/>
                <w:lang w:bidi="ar"/>
              </w:rPr>
              <w:t>二级指标</w:t>
            </w:r>
          </w:p>
        </w:tc>
        <w:tc>
          <w:tcPr>
            <w:tcW w:w="4591" w:type="dxa"/>
            <w:shd w:val="clear" w:color="auto" w:fill="auto"/>
            <w:vAlign w:val="center"/>
          </w:tcPr>
          <w:p>
            <w:pPr>
              <w:widowControl/>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kern w:val="0"/>
                <w:sz w:val="24"/>
                <w:szCs w:val="24"/>
                <w:lang w:bidi="ar"/>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w:t>
            </w:r>
          </w:p>
        </w:tc>
        <w:tc>
          <w:tcPr>
            <w:tcW w:w="961" w:type="dxa"/>
            <w:vMerge w:val="restart"/>
            <w:vAlign w:val="center"/>
          </w:tcPr>
          <w:p>
            <w:pPr>
              <w:widowControl/>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产品规格</w:t>
            </w:r>
          </w:p>
          <w:p>
            <w:pPr>
              <w:jc w:val="center"/>
              <w:rPr>
                <w:rFonts w:hint="eastAsia" w:ascii="仿宋_GB2312" w:hAnsi="仿宋_GB2312" w:eastAsia="仿宋_GB2312" w:cs="仿宋_GB2312"/>
                <w:sz w:val="24"/>
                <w:szCs w:val="24"/>
              </w:rPr>
            </w:pPr>
          </w:p>
        </w:tc>
        <w:tc>
          <w:tcPr>
            <w:tcW w:w="1205"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主要参数</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★基本要求</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处理器≥4核，主频≥3.0GHz，内存≥8GB DDR4，硬盘≥256GB SSD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w:t>
            </w:r>
          </w:p>
        </w:tc>
        <w:tc>
          <w:tcPr>
            <w:tcW w:w="961" w:type="dxa"/>
            <w:vMerge w:val="continue"/>
            <w:vAlign w:val="center"/>
          </w:tcPr>
          <w:p>
            <w:pPr>
              <w:widowControl/>
              <w:jc w:val="center"/>
              <w:textAlignment w:val="center"/>
              <w:rPr>
                <w:rFonts w:hint="eastAsia" w:ascii="仿宋_GB2312" w:hAnsi="仿宋_GB2312" w:eastAsia="仿宋_GB2312" w:cs="仿宋_GB2312"/>
                <w:kern w:val="0"/>
                <w:sz w:val="24"/>
                <w:szCs w:val="24"/>
                <w:lang w:bidi="ar"/>
              </w:rPr>
            </w:pPr>
          </w:p>
        </w:tc>
        <w:tc>
          <w:tcPr>
            <w:tcW w:w="1205" w:type="dxa"/>
            <w:vMerge w:val="restart"/>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内存规格</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内存配置容量</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配置≥1条8GB DDR4内存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内存类型</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支持DDR4及以上内存类型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w:t>
            </w:r>
          </w:p>
        </w:tc>
        <w:tc>
          <w:tcPr>
            <w:tcW w:w="961" w:type="dxa"/>
            <w:vMerge w:val="continue"/>
            <w:vAlign w:val="center"/>
          </w:tcPr>
          <w:p>
            <w:pPr>
              <w:widowControl/>
              <w:jc w:val="center"/>
              <w:textAlignment w:val="center"/>
              <w:rPr>
                <w:rFonts w:hint="eastAsia" w:ascii="仿宋_GB2312" w:hAnsi="仿宋_GB2312" w:eastAsia="仿宋_GB2312" w:cs="仿宋_GB2312"/>
                <w:kern w:val="0"/>
                <w:sz w:val="24"/>
                <w:szCs w:val="24"/>
                <w:lang w:bidi="ar"/>
              </w:rPr>
            </w:pPr>
          </w:p>
        </w:tc>
        <w:tc>
          <w:tcPr>
            <w:tcW w:w="1205" w:type="dxa"/>
            <w:vMerge w:val="restart"/>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主板规格</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主板集成模块</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集成资源扩展模块、计算处理模块、音频扩展模块等，主板的互联拓扑可通过处理器或交换电路实现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5</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主板支持的CPU和内存情况</w:t>
            </w:r>
          </w:p>
        </w:tc>
        <w:tc>
          <w:tcPr>
            <w:tcW w:w="4591" w:type="dxa"/>
            <w:shd w:val="clear" w:color="auto" w:fill="auto"/>
            <w:vAlign w:val="center"/>
          </w:tcPr>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支持X86架构CPU和DDR4及以上内存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主板内置PCle插槽数量</w:t>
            </w:r>
          </w:p>
        </w:tc>
        <w:tc>
          <w:tcPr>
            <w:tcW w:w="4591" w:type="dxa"/>
            <w:shd w:val="clear" w:color="auto" w:fill="auto"/>
            <w:vAlign w:val="center"/>
          </w:tcPr>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支持PCIe插槽数量不少于1个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主板其他</w:t>
            </w:r>
          </w:p>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内置接口</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供应商给出相关SATA、M.2、USB接口数量及占用状态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w:t>
            </w:r>
          </w:p>
        </w:tc>
        <w:tc>
          <w:tcPr>
            <w:tcW w:w="961" w:type="dxa"/>
            <w:vMerge w:val="continue"/>
            <w:vAlign w:val="center"/>
          </w:tcPr>
          <w:p>
            <w:pPr>
              <w:widowControl/>
              <w:jc w:val="center"/>
              <w:textAlignment w:val="center"/>
              <w:rPr>
                <w:rFonts w:hint="eastAsia" w:ascii="仿宋_GB2312" w:hAnsi="仿宋_GB2312" w:eastAsia="仿宋_GB2312" w:cs="仿宋_GB2312"/>
                <w:kern w:val="0"/>
                <w:sz w:val="24"/>
                <w:szCs w:val="24"/>
                <w:lang w:bidi="ar"/>
              </w:rPr>
            </w:pPr>
          </w:p>
        </w:tc>
        <w:tc>
          <w:tcPr>
            <w:tcW w:w="1205" w:type="dxa"/>
            <w:vMerge w:val="restart"/>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存储设备规格</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固态盘数量</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固态存储容量</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≥256GB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10</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固态存储形态</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采用插卡或板载等形态，可选用符合M.2或2.5寸SATA或mSATA等标准的插卡形态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11</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存储设备其他参数要求</w:t>
            </w:r>
          </w:p>
        </w:tc>
        <w:tc>
          <w:tcPr>
            <w:tcW w:w="4591" w:type="dxa"/>
            <w:shd w:val="clear" w:color="auto" w:fill="auto"/>
            <w:vAlign w:val="center"/>
          </w:tcPr>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固态盘应符合SJ/T 11654</w:t>
            </w:r>
            <w:r>
              <w:rPr>
                <w:rFonts w:hint="eastAsia" w:ascii="仿宋_GB2312" w:hAnsi="仿宋_GB2312" w:eastAsia="仿宋_GB2312" w:cs="仿宋_GB2312"/>
                <w:color w:val="333333"/>
                <w:sz w:val="24"/>
                <w:szCs w:val="24"/>
                <w:shd w:val="clear" w:color="auto" w:fill="FFFFFF"/>
              </w:rPr>
              <w:t>固态盘通用规范</w:t>
            </w:r>
            <w:r>
              <w:rPr>
                <w:rFonts w:hint="eastAsia" w:ascii="仿宋_GB2312" w:hAnsi="仿宋_GB2312" w:eastAsia="仿宋_GB2312" w:cs="仿宋_GB2312"/>
                <w:kern w:val="0"/>
                <w:sz w:val="24"/>
                <w:szCs w:val="24"/>
                <w:lang w:bidi="ar"/>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12</w:t>
            </w:r>
          </w:p>
        </w:tc>
        <w:tc>
          <w:tcPr>
            <w:tcW w:w="961" w:type="dxa"/>
            <w:vMerge w:val="continue"/>
            <w:vAlign w:val="center"/>
          </w:tcPr>
          <w:p>
            <w:pPr>
              <w:widowControl/>
              <w:jc w:val="center"/>
              <w:textAlignment w:val="center"/>
              <w:rPr>
                <w:rFonts w:hint="eastAsia" w:ascii="仿宋_GB2312" w:hAnsi="仿宋_GB2312" w:eastAsia="仿宋_GB2312" w:cs="仿宋_GB2312"/>
                <w:kern w:val="0"/>
                <w:sz w:val="24"/>
                <w:szCs w:val="24"/>
                <w:lang w:bidi="ar"/>
              </w:rPr>
            </w:pPr>
          </w:p>
        </w:tc>
        <w:tc>
          <w:tcPr>
            <w:tcW w:w="1205"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网络设备规格</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有线网卡数量</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13</w:t>
            </w:r>
          </w:p>
        </w:tc>
        <w:tc>
          <w:tcPr>
            <w:tcW w:w="961" w:type="dxa"/>
            <w:vMerge w:val="continue"/>
            <w:vAlign w:val="center"/>
          </w:tcPr>
          <w:p>
            <w:pPr>
              <w:widowControl/>
              <w:jc w:val="center"/>
              <w:textAlignment w:val="center"/>
              <w:rPr>
                <w:rFonts w:hint="eastAsia" w:ascii="仿宋_GB2312" w:hAnsi="仿宋_GB2312" w:eastAsia="仿宋_GB2312" w:cs="仿宋_GB2312"/>
                <w:kern w:val="0"/>
                <w:sz w:val="24"/>
                <w:szCs w:val="24"/>
                <w:lang w:bidi="ar"/>
              </w:rPr>
            </w:pPr>
          </w:p>
        </w:tc>
        <w:tc>
          <w:tcPr>
            <w:tcW w:w="1205" w:type="dxa"/>
            <w:vMerge w:val="restart"/>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外部接口规格</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USB接口数量</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14</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视频接口数量</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15</w:t>
            </w:r>
          </w:p>
        </w:tc>
        <w:tc>
          <w:tcPr>
            <w:tcW w:w="961" w:type="dxa"/>
            <w:vMerge w:val="continue"/>
            <w:vAlign w:val="center"/>
          </w:tcPr>
          <w:p>
            <w:pPr>
              <w:jc w:val="center"/>
              <w:rPr>
                <w:rFonts w:hint="eastAsia" w:ascii="仿宋_GB2312" w:hAnsi="仿宋_GB2312" w:eastAsia="仿宋_GB2312" w:cs="仿宋_GB2312"/>
                <w:kern w:val="0"/>
                <w:sz w:val="24"/>
                <w:szCs w:val="24"/>
                <w:lang w:bidi="ar"/>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音频接口数量</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16</w:t>
            </w:r>
          </w:p>
        </w:tc>
        <w:tc>
          <w:tcPr>
            <w:tcW w:w="961" w:type="dxa"/>
            <w:vMerge w:val="continue"/>
            <w:vAlign w:val="center"/>
          </w:tcPr>
          <w:p>
            <w:pPr>
              <w:widowControl/>
              <w:jc w:val="center"/>
              <w:textAlignment w:val="center"/>
              <w:rPr>
                <w:rFonts w:hint="eastAsia" w:ascii="仿宋_GB2312" w:hAnsi="仿宋_GB2312" w:eastAsia="仿宋_GB2312" w:cs="仿宋_GB2312"/>
                <w:kern w:val="0"/>
                <w:sz w:val="24"/>
                <w:szCs w:val="24"/>
                <w:lang w:bidi="ar"/>
              </w:rPr>
            </w:pPr>
          </w:p>
        </w:tc>
        <w:tc>
          <w:tcPr>
            <w:tcW w:w="1205" w:type="dxa"/>
            <w:vMerge w:val="restart"/>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整机基础规格</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整机外观</w:t>
            </w:r>
          </w:p>
        </w:tc>
        <w:tc>
          <w:tcPr>
            <w:tcW w:w="4591" w:type="dxa"/>
            <w:shd w:val="clear" w:color="auto" w:fill="auto"/>
            <w:vAlign w:val="center"/>
          </w:tcPr>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a)产品表面不应有凹痕、划伤、裂缝、变形和污染等。表面涂层均匀，不应起泡、龟裂、脱落和磨损，金属零部件无锈蚀及其它机械损伤；</w:t>
            </w:r>
          </w:p>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b)产品表面说明功能的文字、符号、标志，应清晰、端正、牢固；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17</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状态指示灯</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在产品显著位置提供状态指示功能，如运行状态，并由供应商提供详细参数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18</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整机结构</w:t>
            </w:r>
          </w:p>
        </w:tc>
        <w:tc>
          <w:tcPr>
            <w:tcW w:w="4591" w:type="dxa"/>
            <w:shd w:val="clear" w:color="auto" w:fill="auto"/>
            <w:vAlign w:val="center"/>
          </w:tcPr>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a)机箱应符合GB/T4208、GB/T26246的相关规定；</w:t>
            </w:r>
          </w:p>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b)产品内部结构应符合通用部件的安装需求；</w:t>
            </w:r>
          </w:p>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c)所有输入输出接口应符合相关国家或行业标准；</w:t>
            </w:r>
          </w:p>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d)产品零部件应紧固无松动，可插拔部件应可靠连接，开关、按钮和其它控制部件应灵活可靠，布局应方便使用；</w:t>
            </w:r>
          </w:p>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e)所有I/O连接器及需插接线缆的部位应预留采购人操作空间，方便插拔解锁与插拔线缆；</w:t>
            </w:r>
          </w:p>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f)可插拔板卡插槽部位应预留安装、拆卸或更换板卡空间；</w:t>
            </w:r>
          </w:p>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g)拆装可能接触到的金属剪口或金属尖角部位应做防划伤处理，以保证安全；</w:t>
            </w:r>
          </w:p>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h)整机内部走线应规整，固线结构和位置要合理可靠并做防割线处理，需便于理线和插拔操作，走线应不影响系统各主要部件组装和拆卸；</w:t>
            </w:r>
          </w:p>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i)如需通过孔走线，过线孔应做防割线处理；</w:t>
            </w:r>
          </w:p>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j)各插头位置和插拔方向应合理，应做到插拔无障碍设计，具备防呆设计，有效避免误操作；</w:t>
            </w:r>
          </w:p>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k)各主要部件拆装无障碍，使用常规工具拆装，无特殊拆装工具需求；</w:t>
            </w:r>
          </w:p>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l)各主要部件拆装步骤要少，各自拆装需避免相互干扰；</w:t>
            </w:r>
          </w:p>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m)对于整机或零部件外表面为高亮面的，应粘贴保护膜，保护膜需粘贴牢固，运输、组装等过程不易脱落，撕下无残留；</w:t>
            </w:r>
          </w:p>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n)其它要求应符合GB/T 9813.1的相关规定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19</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机箱防护要求</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机箱应符合GB/T4208中IP20防护要求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20</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整机噪音</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产品工作在空闲状态下，产品的声功率级应不超过20dB(A)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21</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整机散热</w:t>
            </w:r>
          </w:p>
        </w:tc>
        <w:tc>
          <w:tcPr>
            <w:tcW w:w="4591" w:type="dxa"/>
            <w:shd w:val="clear" w:color="auto" w:fill="auto"/>
            <w:vAlign w:val="center"/>
          </w:tcPr>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在环境温度25℃及处理器满载情况下，产品表面温度应符合如下要求：</w:t>
            </w:r>
          </w:p>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a)出风口在机箱后面板情况下，出风口温度不高于55℃；</w:t>
            </w:r>
          </w:p>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b)可触及面温度不高于45℃；</w:t>
            </w:r>
          </w:p>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c)显示器表面温度：显示屏不高于38℃，显示屏上下灯带位置温度（如涉及）不高于40℃，出风口温度不高于45℃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22</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整机能效限定值</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产品能效限定值应达到GB28380-2012标准中能效等级2级及以上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23</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机身材质</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24</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机身颜色</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25</w:t>
            </w:r>
          </w:p>
        </w:tc>
        <w:tc>
          <w:tcPr>
            <w:tcW w:w="961" w:type="dxa"/>
            <w:vMerge w:val="restart"/>
            <w:vAlign w:val="center"/>
          </w:tcPr>
          <w:p>
            <w:pPr>
              <w:widowControl/>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性能要求</w:t>
            </w:r>
          </w:p>
          <w:p>
            <w:pPr>
              <w:widowControl/>
              <w:jc w:val="center"/>
              <w:textAlignment w:val="center"/>
              <w:rPr>
                <w:rFonts w:hint="eastAsia" w:ascii="仿宋_GB2312" w:hAnsi="仿宋_GB2312" w:eastAsia="仿宋_GB2312" w:cs="仿宋_GB2312"/>
                <w:kern w:val="0"/>
                <w:sz w:val="24"/>
                <w:szCs w:val="24"/>
                <w:lang w:bidi="ar"/>
              </w:rPr>
            </w:pPr>
          </w:p>
        </w:tc>
        <w:tc>
          <w:tcPr>
            <w:tcW w:w="1205" w:type="dxa"/>
            <w:vMerge w:val="restart"/>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CPU性能</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CPU物理核数</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26</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CPU主频</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27</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CPU支持的内存最高速率</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≥3200MT/s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28</w:t>
            </w:r>
          </w:p>
        </w:tc>
        <w:tc>
          <w:tcPr>
            <w:tcW w:w="961" w:type="dxa"/>
            <w:vMerge w:val="continue"/>
            <w:vAlign w:val="center"/>
          </w:tcPr>
          <w:p>
            <w:pPr>
              <w:widowControl/>
              <w:jc w:val="center"/>
              <w:textAlignment w:val="center"/>
              <w:rPr>
                <w:rFonts w:hint="eastAsia" w:ascii="仿宋_GB2312" w:hAnsi="仿宋_GB2312" w:eastAsia="仿宋_GB2312" w:cs="仿宋_GB2312"/>
                <w:kern w:val="0"/>
                <w:sz w:val="24"/>
                <w:szCs w:val="24"/>
                <w:lang w:bidi="ar"/>
              </w:rPr>
            </w:pPr>
          </w:p>
        </w:tc>
        <w:tc>
          <w:tcPr>
            <w:tcW w:w="1205"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内存性能</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内存读写速率</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≥3200MT/s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29</w:t>
            </w:r>
          </w:p>
        </w:tc>
        <w:tc>
          <w:tcPr>
            <w:tcW w:w="961" w:type="dxa"/>
            <w:vMerge w:val="continue"/>
            <w:vAlign w:val="center"/>
          </w:tcPr>
          <w:p>
            <w:pPr>
              <w:widowControl/>
              <w:jc w:val="center"/>
              <w:textAlignment w:val="center"/>
              <w:rPr>
                <w:rFonts w:hint="eastAsia" w:ascii="仿宋_GB2312" w:hAnsi="仿宋_GB2312" w:eastAsia="仿宋_GB2312" w:cs="仿宋_GB2312"/>
                <w:kern w:val="0"/>
                <w:sz w:val="24"/>
                <w:szCs w:val="24"/>
                <w:lang w:bidi="ar"/>
              </w:rPr>
            </w:pPr>
          </w:p>
        </w:tc>
        <w:tc>
          <w:tcPr>
            <w:tcW w:w="1205"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网络设备性能</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有线网卡速率</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最高速率应不低于1000Mbps，应支持10Mbps、100Mbps、1000Mbps速率自适应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30</w:t>
            </w:r>
          </w:p>
        </w:tc>
        <w:tc>
          <w:tcPr>
            <w:tcW w:w="961" w:type="dxa"/>
            <w:vMerge w:val="restart"/>
            <w:vAlign w:val="center"/>
          </w:tcPr>
          <w:p>
            <w:pPr>
              <w:widowControl/>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功能要求</w:t>
            </w:r>
          </w:p>
          <w:p>
            <w:pPr>
              <w:widowControl/>
              <w:jc w:val="center"/>
              <w:textAlignment w:val="center"/>
              <w:rPr>
                <w:rFonts w:hint="eastAsia" w:ascii="仿宋_GB2312" w:hAnsi="仿宋_GB2312" w:eastAsia="仿宋_GB2312" w:cs="仿宋_GB2312"/>
                <w:kern w:val="0"/>
                <w:sz w:val="24"/>
                <w:szCs w:val="24"/>
                <w:lang w:bidi="ar"/>
              </w:rPr>
            </w:pPr>
          </w:p>
        </w:tc>
        <w:tc>
          <w:tcPr>
            <w:tcW w:w="1205" w:type="dxa"/>
            <w:vMerge w:val="restart"/>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主板功能</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内存扩展接口</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31</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存储扩展接口</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供应商给出主板支持存储扩展接口类型，如UFS3.0、SATA3.0、SAS3.0、M.2等类型接口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32</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主板USB瞬间过流保护</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支持有瞬间过流保护功能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33</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主板防静电保护</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支持防静电保护功能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34</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I/O接口功能</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35</w:t>
            </w:r>
          </w:p>
        </w:tc>
        <w:tc>
          <w:tcPr>
            <w:tcW w:w="961" w:type="dxa"/>
            <w:vMerge w:val="continue"/>
            <w:vAlign w:val="center"/>
          </w:tcPr>
          <w:p>
            <w:pPr>
              <w:widowControl/>
              <w:jc w:val="center"/>
              <w:textAlignment w:val="center"/>
              <w:rPr>
                <w:rFonts w:hint="eastAsia" w:ascii="仿宋_GB2312" w:hAnsi="仿宋_GB2312" w:eastAsia="仿宋_GB2312" w:cs="仿宋_GB2312"/>
                <w:kern w:val="0"/>
                <w:sz w:val="24"/>
                <w:szCs w:val="24"/>
                <w:lang w:bidi="ar"/>
              </w:rPr>
            </w:pPr>
          </w:p>
        </w:tc>
        <w:tc>
          <w:tcPr>
            <w:tcW w:w="1205"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存储功能</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存储功能</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通过SATA固态存储/PCIe固态存储/UFS固态存储/SATA硬磁盘等存储部件提供存储功能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36</w:t>
            </w:r>
          </w:p>
        </w:tc>
        <w:tc>
          <w:tcPr>
            <w:tcW w:w="961" w:type="dxa"/>
            <w:vMerge w:val="continue"/>
            <w:vAlign w:val="center"/>
          </w:tcPr>
          <w:p>
            <w:pPr>
              <w:widowControl/>
              <w:jc w:val="center"/>
              <w:textAlignment w:val="center"/>
              <w:rPr>
                <w:rFonts w:hint="eastAsia" w:ascii="仿宋_GB2312" w:hAnsi="仿宋_GB2312" w:eastAsia="仿宋_GB2312" w:cs="仿宋_GB2312"/>
                <w:kern w:val="0"/>
                <w:sz w:val="24"/>
                <w:szCs w:val="24"/>
                <w:lang w:bidi="ar"/>
              </w:rPr>
            </w:pPr>
          </w:p>
        </w:tc>
        <w:tc>
          <w:tcPr>
            <w:tcW w:w="1205" w:type="dxa"/>
            <w:vMerge w:val="restart"/>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网络设备功能</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网络功能</w:t>
            </w:r>
          </w:p>
        </w:tc>
        <w:tc>
          <w:tcPr>
            <w:tcW w:w="4591" w:type="dxa"/>
            <w:shd w:val="clear" w:color="auto" w:fill="auto"/>
            <w:vAlign w:val="center"/>
          </w:tcPr>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a)支持网络连接、网络开启/关闭功能；</w:t>
            </w:r>
          </w:p>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b)支持访问网络和数据交换功能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37</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数据传输</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支持数据传输能力，并提供数据流量和异常日志记录功能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38</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有线网卡接口类型</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支持RJ45接口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39</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网络设备拆装</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网络设备支持物理拆装，包括无线网卡和蓝牙模块等（若配置无线网卡和蓝牙模块）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40</w:t>
            </w:r>
          </w:p>
        </w:tc>
        <w:tc>
          <w:tcPr>
            <w:tcW w:w="961" w:type="dxa"/>
            <w:vMerge w:val="continue"/>
            <w:vAlign w:val="center"/>
          </w:tcPr>
          <w:p>
            <w:pPr>
              <w:widowControl/>
              <w:jc w:val="center"/>
              <w:textAlignment w:val="center"/>
              <w:rPr>
                <w:rFonts w:hint="eastAsia" w:ascii="仿宋_GB2312" w:hAnsi="仿宋_GB2312" w:eastAsia="仿宋_GB2312" w:cs="仿宋_GB2312"/>
                <w:kern w:val="0"/>
                <w:sz w:val="24"/>
                <w:szCs w:val="24"/>
                <w:lang w:bidi="ar"/>
              </w:rPr>
            </w:pPr>
          </w:p>
        </w:tc>
        <w:tc>
          <w:tcPr>
            <w:tcW w:w="1205" w:type="dxa"/>
            <w:vMerge w:val="restart"/>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外部接口功能</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音频接口类型</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支持3.5mm孔径3段式或4段式接口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41</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视频接口类型</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至少支持VGA、HDMI、DVI、DP、Type-C中1种显示接口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42</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HDMI、DP、Type-C显示接口要求</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若提供HDMI或DP或Type-C作为显示接口，应支持音频和视频同步输出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43</w:t>
            </w:r>
          </w:p>
        </w:tc>
        <w:tc>
          <w:tcPr>
            <w:tcW w:w="961" w:type="dxa"/>
            <w:vMerge w:val="continue"/>
            <w:vAlign w:val="center"/>
          </w:tcPr>
          <w:p>
            <w:pPr>
              <w:widowControl/>
              <w:jc w:val="center"/>
              <w:textAlignment w:val="center"/>
              <w:rPr>
                <w:rFonts w:hint="eastAsia" w:ascii="仿宋_GB2312" w:hAnsi="仿宋_GB2312" w:eastAsia="仿宋_GB2312" w:cs="仿宋_GB2312"/>
                <w:kern w:val="0"/>
                <w:sz w:val="24"/>
                <w:szCs w:val="24"/>
                <w:lang w:bidi="ar"/>
              </w:rPr>
            </w:pPr>
          </w:p>
        </w:tc>
        <w:tc>
          <w:tcPr>
            <w:tcW w:w="1205"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电源功能</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电源线适配能力</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电源适配器电线组件应符合GB/T 15934的要求，可拆线的插头和连接器可以不做要求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44</w:t>
            </w:r>
          </w:p>
        </w:tc>
        <w:tc>
          <w:tcPr>
            <w:tcW w:w="961" w:type="dxa"/>
            <w:vMerge w:val="restart"/>
            <w:vAlign w:val="center"/>
          </w:tcPr>
          <w:p>
            <w:pPr>
              <w:widowControl/>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可靠性要求</w:t>
            </w:r>
          </w:p>
          <w:p>
            <w:pPr>
              <w:jc w:val="center"/>
              <w:rPr>
                <w:rFonts w:hint="eastAsia" w:ascii="仿宋_GB2312" w:hAnsi="仿宋_GB2312" w:eastAsia="仿宋_GB2312" w:cs="仿宋_GB2312"/>
                <w:sz w:val="24"/>
                <w:szCs w:val="24"/>
              </w:rPr>
            </w:pPr>
          </w:p>
        </w:tc>
        <w:tc>
          <w:tcPr>
            <w:tcW w:w="1205" w:type="dxa"/>
            <w:vMerge w:val="restart"/>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存储设备可靠性</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固态存储寿命</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TBW≥80TB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45</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机械硬盘寿命</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通电时间≥5万小时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46</w:t>
            </w:r>
          </w:p>
        </w:tc>
        <w:tc>
          <w:tcPr>
            <w:tcW w:w="961" w:type="dxa"/>
            <w:vMerge w:val="continue"/>
            <w:vAlign w:val="center"/>
          </w:tcPr>
          <w:p>
            <w:pPr>
              <w:widowControl/>
              <w:jc w:val="center"/>
              <w:textAlignment w:val="center"/>
              <w:rPr>
                <w:rFonts w:hint="eastAsia" w:ascii="仿宋_GB2312" w:hAnsi="仿宋_GB2312" w:eastAsia="仿宋_GB2312" w:cs="仿宋_GB2312"/>
                <w:kern w:val="0"/>
                <w:sz w:val="24"/>
                <w:szCs w:val="24"/>
                <w:lang w:bidi="ar"/>
              </w:rPr>
            </w:pPr>
          </w:p>
        </w:tc>
        <w:tc>
          <w:tcPr>
            <w:tcW w:w="1205"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显示设备可靠性</w:t>
            </w:r>
          </w:p>
        </w:tc>
        <w:tc>
          <w:tcPr>
            <w:tcW w:w="1570" w:type="dxa"/>
            <w:shd w:val="clear" w:color="auto" w:fill="auto"/>
            <w:vAlign w:val="center"/>
          </w:tcPr>
          <w:p>
            <w:pPr>
              <w:widowControl/>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显示屏屏幕</w:t>
            </w:r>
          </w:p>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失效点</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符合GB/T 9813.2的要求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47</w:t>
            </w:r>
          </w:p>
        </w:tc>
        <w:tc>
          <w:tcPr>
            <w:tcW w:w="961" w:type="dxa"/>
            <w:vMerge w:val="continue"/>
            <w:vAlign w:val="center"/>
          </w:tcPr>
          <w:p>
            <w:pPr>
              <w:widowControl/>
              <w:jc w:val="center"/>
              <w:textAlignment w:val="center"/>
              <w:rPr>
                <w:rFonts w:hint="eastAsia" w:ascii="仿宋_GB2312" w:hAnsi="仿宋_GB2312" w:eastAsia="仿宋_GB2312" w:cs="仿宋_GB2312"/>
                <w:kern w:val="0"/>
                <w:sz w:val="24"/>
                <w:szCs w:val="24"/>
                <w:lang w:bidi="ar"/>
              </w:rPr>
            </w:pPr>
          </w:p>
        </w:tc>
        <w:tc>
          <w:tcPr>
            <w:tcW w:w="1205" w:type="dxa"/>
            <w:vMerge w:val="restart"/>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整机可靠性要求</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电磁兼容性要求的抗扰度</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符合GB/T 9254.2的规定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48</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环境条件要求的气候环境适应性</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49</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环境条件要求的振动适应性</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50</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环境条件要求的冲击适应性</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51</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环境条件要求的碰撞适应性</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52</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环境条件要求的运输包装件跌落适应性</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符合GB/T 9813.1中规定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53</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MTBF测试</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MTBF(m1)≥50万小时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54</w:t>
            </w:r>
          </w:p>
        </w:tc>
        <w:tc>
          <w:tcPr>
            <w:tcW w:w="961" w:type="dxa"/>
            <w:vMerge w:val="restart"/>
            <w:vAlign w:val="center"/>
          </w:tcPr>
          <w:p>
            <w:pPr>
              <w:widowControl/>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兼容要求</w:t>
            </w:r>
          </w:p>
          <w:p>
            <w:pPr>
              <w:jc w:val="center"/>
              <w:rPr>
                <w:rFonts w:hint="eastAsia" w:ascii="仿宋_GB2312" w:hAnsi="仿宋_GB2312" w:eastAsia="仿宋_GB2312" w:cs="仿宋_GB2312"/>
                <w:sz w:val="24"/>
                <w:szCs w:val="24"/>
              </w:rPr>
            </w:pPr>
          </w:p>
        </w:tc>
        <w:tc>
          <w:tcPr>
            <w:tcW w:w="1205" w:type="dxa"/>
            <w:vMerge w:val="restart"/>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兼容要求</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常用软件兼容</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支持流式软件、版式软件、浏览器、邮件采购人端、解压软件、多媒体、图形图像处理等常用软件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55</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数据库兼容</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兼容3个及以上厂商的数据库产品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56</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中间件兼容</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兼容3个及以上厂商中间件产品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57</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平台软件兼容</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兼容3个及以上厂商云计算及大数据平台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58</w:t>
            </w:r>
          </w:p>
        </w:tc>
        <w:tc>
          <w:tcPr>
            <w:tcW w:w="961" w:type="dxa"/>
            <w:vAlign w:val="center"/>
          </w:tcPr>
          <w:p>
            <w:pPr>
              <w:widowControl/>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包装及运输要求</w:t>
            </w:r>
          </w:p>
        </w:tc>
        <w:tc>
          <w:tcPr>
            <w:tcW w:w="1205"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包装及运输要求</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标志、包装、运输和贮存</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符合GB/T 9813.1和商品包装政府采购需求标准的相关规定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59</w:t>
            </w:r>
          </w:p>
        </w:tc>
        <w:tc>
          <w:tcPr>
            <w:tcW w:w="961" w:type="dxa"/>
            <w:vMerge w:val="restart"/>
            <w:vAlign w:val="center"/>
          </w:tcPr>
          <w:p>
            <w:pPr>
              <w:widowControl/>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服务要求</w:t>
            </w:r>
          </w:p>
          <w:p>
            <w:pPr>
              <w:jc w:val="center"/>
              <w:rPr>
                <w:rFonts w:hint="eastAsia" w:ascii="仿宋_GB2312" w:hAnsi="仿宋_GB2312" w:eastAsia="仿宋_GB2312" w:cs="仿宋_GB2312"/>
                <w:sz w:val="24"/>
                <w:szCs w:val="24"/>
              </w:rPr>
            </w:pPr>
          </w:p>
        </w:tc>
        <w:tc>
          <w:tcPr>
            <w:tcW w:w="1205" w:type="dxa"/>
            <w:vMerge w:val="restart"/>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服务要求</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配置检查工具</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供应商提供自检测试工具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60</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服务响应</w:t>
            </w:r>
          </w:p>
        </w:tc>
        <w:tc>
          <w:tcPr>
            <w:tcW w:w="4591" w:type="dxa"/>
            <w:shd w:val="clear" w:color="auto" w:fill="auto"/>
            <w:vAlign w:val="center"/>
          </w:tcPr>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a)供应商提供电话、电子邮件、远程连接等多种形式服务；</w:t>
            </w:r>
          </w:p>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b)供应商应提供7×24小时的免费技术服务，对故障在1小时内响应，2小时以内到现场，4小时以内解决问题；12小时内不能解决问题的，必须提供周转设备或更换设备，以保证采购单位的正常使用。</w:t>
            </w:r>
          </w:p>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c)建立全国技术服务体系和服务团体，符合专业服务体系标准要求，提供原厂中文服务；</w:t>
            </w:r>
          </w:p>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d)服务周期内提供产品的维修、换件和升级服务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61</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服务周期</w:t>
            </w:r>
          </w:p>
        </w:tc>
        <w:tc>
          <w:tcPr>
            <w:tcW w:w="4591" w:type="dxa"/>
            <w:shd w:val="clear" w:color="auto" w:fill="auto"/>
            <w:vAlign w:val="center"/>
          </w:tcPr>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a)设备停产后应继续提供质量保障服务（含备品备件），服务终止时间与最后一批设备交付时间间隔不低于5年；</w:t>
            </w:r>
          </w:p>
          <w:p>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b)产品停止服务时间应提前1年告知；</w:t>
            </w:r>
          </w:p>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c)应明确产品发布日期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62</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培训服务</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供应商提供培训材料、产品手册、培训视频等培训相关内容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63</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典型问题解决手册</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供应商提供典型问题解决说明文档或视频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64</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厂家升级软件与扩容服务</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供应商提供上门升级部件/软件与扩容的增值服务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65</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整机质量服务要求</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免费服务周期（含换件和维修）应不小于5年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66</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开箱组装/使用指导要求</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供应商提供开箱组装/使用指导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67</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驱动下载服务要求</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供应商提供驱动光盘或下载方式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68</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兼容适配软件下载服务要求</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供应商提供兼容适配软件下载渠道（光盘、网站）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69</w:t>
            </w:r>
          </w:p>
        </w:tc>
        <w:tc>
          <w:tcPr>
            <w:tcW w:w="961" w:type="dxa"/>
            <w:vMerge w:val="restart"/>
            <w:vAlign w:val="center"/>
          </w:tcPr>
          <w:p>
            <w:pPr>
              <w:widowControl/>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供应保障要求</w:t>
            </w:r>
          </w:p>
          <w:p>
            <w:pPr>
              <w:jc w:val="center"/>
              <w:rPr>
                <w:rFonts w:hint="eastAsia" w:ascii="仿宋_GB2312" w:hAnsi="仿宋_GB2312" w:eastAsia="仿宋_GB2312" w:cs="仿宋_GB2312"/>
                <w:sz w:val="24"/>
                <w:szCs w:val="24"/>
              </w:rPr>
            </w:pPr>
          </w:p>
        </w:tc>
        <w:tc>
          <w:tcPr>
            <w:tcW w:w="1205"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供应链合规性</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产品部件保障</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供应商保障产品主要部件，提供5年的备件服务能力（自购买之日起），或提供可兼容原设备的升级换代产品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70</w:t>
            </w:r>
          </w:p>
        </w:tc>
        <w:tc>
          <w:tcPr>
            <w:tcW w:w="961" w:type="dxa"/>
            <w:vMerge w:val="continue"/>
            <w:vAlign w:val="center"/>
          </w:tcPr>
          <w:p>
            <w:pPr>
              <w:widowControl/>
              <w:jc w:val="center"/>
              <w:textAlignment w:val="center"/>
              <w:rPr>
                <w:rFonts w:hint="eastAsia" w:ascii="仿宋_GB2312" w:hAnsi="仿宋_GB2312" w:eastAsia="仿宋_GB2312" w:cs="仿宋_GB2312"/>
                <w:kern w:val="0"/>
                <w:sz w:val="24"/>
                <w:szCs w:val="24"/>
                <w:lang w:bidi="ar"/>
              </w:rPr>
            </w:pPr>
          </w:p>
        </w:tc>
        <w:tc>
          <w:tcPr>
            <w:tcW w:w="1205" w:type="dxa"/>
            <w:vMerge w:val="restart"/>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供应链质量</w:t>
            </w: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抗干扰性</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当产品部件出现供应风险时，供应商应通知采购人并提供风险应对方案确保产品的服务保障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13"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71</w:t>
            </w:r>
          </w:p>
        </w:tc>
        <w:tc>
          <w:tcPr>
            <w:tcW w:w="961" w:type="dxa"/>
            <w:vMerge w:val="continue"/>
            <w:vAlign w:val="center"/>
          </w:tcPr>
          <w:p>
            <w:pPr>
              <w:jc w:val="center"/>
              <w:rPr>
                <w:rFonts w:hint="eastAsia" w:ascii="仿宋_GB2312" w:hAnsi="仿宋_GB2312" w:eastAsia="仿宋_GB2312" w:cs="仿宋_GB2312"/>
                <w:sz w:val="24"/>
                <w:szCs w:val="24"/>
              </w:rPr>
            </w:pPr>
          </w:p>
        </w:tc>
        <w:tc>
          <w:tcPr>
            <w:tcW w:w="1205" w:type="dxa"/>
            <w:vMerge w:val="continue"/>
            <w:shd w:val="clear" w:color="auto" w:fill="auto"/>
            <w:vAlign w:val="center"/>
          </w:tcPr>
          <w:p>
            <w:pPr>
              <w:jc w:val="center"/>
              <w:rPr>
                <w:rFonts w:hint="eastAsia" w:ascii="仿宋_GB2312" w:hAnsi="仿宋_GB2312" w:eastAsia="仿宋_GB2312" w:cs="仿宋_GB2312"/>
                <w:sz w:val="24"/>
                <w:szCs w:val="24"/>
              </w:rPr>
            </w:pPr>
          </w:p>
        </w:tc>
        <w:tc>
          <w:tcPr>
            <w:tcW w:w="1570"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供应能力证明</w:t>
            </w:r>
          </w:p>
        </w:tc>
        <w:tc>
          <w:tcPr>
            <w:tcW w:w="4591" w:type="dxa"/>
            <w:shd w:val="clear" w:color="auto" w:fill="auto"/>
            <w:vAlign w:val="center"/>
          </w:tcPr>
          <w:p>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供应商提供供应链稳定承诺书，确保产品的部件在产品服务周期内稳定供货</w:t>
            </w:r>
          </w:p>
        </w:tc>
      </w:tr>
    </w:tbl>
    <w:p>
      <w:pPr>
        <w:spacing w:before="156" w:beforeLines="50" w:after="156" w:afterLines="50"/>
        <w:outlineLvl w:val="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4.堡垒机技术指标要求：</w:t>
      </w:r>
    </w:p>
    <w:tbl>
      <w:tblPr>
        <w:tblStyle w:val="62"/>
        <w:tblW w:w="9051" w:type="dxa"/>
        <w:tblCellSpacing w:w="0" w:type="dxa"/>
        <w:tblInd w:w="0" w:type="dxa"/>
        <w:tblBorders>
          <w:top w:val="none" w:color="auto" w:sz="0" w:space="0"/>
          <w:left w:val="none" w:color="auto" w:sz="0" w:space="0"/>
          <w:bottom w:val="none" w:color="auto" w:sz="0"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2069"/>
        <w:gridCol w:w="6982"/>
      </w:tblGrid>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527"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指标项</w:t>
            </w:r>
          </w:p>
        </w:tc>
        <w:tc>
          <w:tcPr>
            <w:tcW w:w="6982"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详细描述</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505"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产品架构</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软硬件一体化产品，采用标准机架式硬件结构。</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28"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部署方式</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旁路代理模式，不影响正常业务流量。</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54"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高可用性</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支持双机热备部署;支持集群部署;配置冗余电源。</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41"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管理结构</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B/S架构，采用HTTPS方式远程安全管理，无需安装管理客户端。</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40"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应用发布</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支持内置或外置应用发布。</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41"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网络接口</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≥RJ45串口console口*1;≥100/1000MRJ45*4个自适应以太网口；≥2万兆光口SFP+。</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60"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存储性能</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内存≥32G，存储空间不低于4TB。</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53"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可管理对象数量</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配置≥500个设备许可证书。</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803"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并发会话数</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图形并发会话数≥800</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字符型并发会话数≥1200</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90"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支持协议</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1.字符型远程操作协议：SSH(V1、V2)、TELNET、RLOGIN、AS400；</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2.图形化远程操作协议：RDP、VNC、X11；</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3.文件传输协议：FTP、SFTP；</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4.数据库远程操作协议：支持ORACLE、MSSQL、Mysql数据库远程访问协议审计；</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5.支持通过应用发布的代理进行协议扩展，支持Radmin、Pcanywhere、HTTP/HTTPS，6.可自定义其它访问协议及客户端支持；</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7.支持应用发布方式HTTP越权访问提示及阻断功能；</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8支持协议端口自定义。</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16" w:hRule="atLeast"/>
          <w:tblCellSpacing w:w="0" w:type="dxa"/>
        </w:trPr>
        <w:tc>
          <w:tcPr>
            <w:tcW w:w="2069" w:type="dxa"/>
            <w:vMerge w:val="restart"/>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主机运维及访问方式</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访问方式：</w:t>
            </w:r>
          </w:p>
          <w:p>
            <w:pPr>
              <w:pStyle w:val="59"/>
              <w:spacing w:beforeAutospacing="0" w:after="156" w:afterAutospacing="0" w:line="300" w:lineRule="exact"/>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1.Web方式访问</w:t>
            </w:r>
          </w:p>
          <w:p>
            <w:pPr>
              <w:pStyle w:val="59"/>
              <w:spacing w:beforeAutospacing="0" w:after="156" w:afterAutospacing="0" w:line="300" w:lineRule="exact"/>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支持所有远程协议；</w:t>
            </w:r>
          </w:p>
          <w:p>
            <w:pPr>
              <w:pStyle w:val="59"/>
              <w:spacing w:beforeAutospacing="0" w:after="156" w:afterAutospacing="0" w:line="300" w:lineRule="exact"/>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支持Web访问方式支持IE、Edge、Firefox、Chrome、Safari等主流浏览器；</w:t>
            </w:r>
          </w:p>
          <w:p>
            <w:pPr>
              <w:pStyle w:val="59"/>
              <w:spacing w:beforeAutospacing="0" w:after="156" w:afterAutospacing="0" w:line="300" w:lineRule="exact"/>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无需插件安装；</w:t>
            </w:r>
          </w:p>
          <w:p>
            <w:pPr>
              <w:pStyle w:val="59"/>
              <w:spacing w:beforeAutospacing="0" w:after="156" w:afterAutospacing="0" w:line="300" w:lineRule="exact"/>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支持国产化桌面操作系统、苹果操作系统调用本地客户端进行运维。</w:t>
            </w:r>
          </w:p>
          <w:p>
            <w:pPr>
              <w:pStyle w:val="59"/>
              <w:spacing w:beforeAutospacing="0" w:after="156" w:afterAutospacing="0" w:line="300" w:lineRule="exact"/>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2.客户端访问方式</w:t>
            </w:r>
          </w:p>
          <w:p>
            <w:pPr>
              <w:pStyle w:val="59"/>
              <w:spacing w:beforeAutospacing="0" w:after="156" w:afterAutospacing="0" w:line="300" w:lineRule="exact"/>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支持通过管理员常用的客户端(如SecureCRT、PUTTY、Mstsc、PLsql、SQLplus等)直接连接堡垒机再访问到服务器；</w:t>
            </w:r>
          </w:p>
          <w:p>
            <w:pPr>
              <w:pStyle w:val="59"/>
              <w:spacing w:beforeAutospacing="0" w:after="156" w:afterAutospacing="0" w:line="300" w:lineRule="exact"/>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支持客户端(如SecureCRT、putty)会话复制功能；</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支持SSH软件中直接调用sftp功能。</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74" w:hRule="atLeast"/>
          <w:tblCellSpacing w:w="0" w:type="dxa"/>
        </w:trPr>
        <w:tc>
          <w:tcPr>
            <w:tcW w:w="2069" w:type="dxa"/>
            <w:vMerge w:val="continue"/>
            <w:shd w:val="clear" w:color="auto" w:fill="FFFFFF"/>
            <w:vAlign w:val="center"/>
          </w:tcPr>
          <w:p>
            <w:pPr>
              <w:spacing w:line="300" w:lineRule="exact"/>
              <w:rPr>
                <w:rFonts w:hint="eastAsia" w:ascii="仿宋_GB2312" w:hAnsi="仿宋_GB2312" w:eastAsia="仿宋_GB2312" w:cs="仿宋_GB2312"/>
                <w:sz w:val="24"/>
                <w:szCs w:val="24"/>
              </w:rPr>
            </w:pP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所有方式支持历史访问配置参数自动记忆功能；</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通过web调用客户端方式使用SSH协议支持会话复制功能及支持直接调用SFTP功能；</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使用RDP协议支持剪切板、磁盘映射功能；</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支持进行连接测试（PING、TRACEROUTE、TELNET）。</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463" w:hRule="atLeast"/>
          <w:tblCellSpacing w:w="0" w:type="dxa"/>
        </w:trPr>
        <w:tc>
          <w:tcPr>
            <w:tcW w:w="2069" w:type="dxa"/>
            <w:vMerge w:val="continue"/>
            <w:shd w:val="clear" w:color="auto" w:fill="FFFFFF"/>
            <w:vAlign w:val="center"/>
          </w:tcPr>
          <w:p>
            <w:pPr>
              <w:spacing w:line="300" w:lineRule="exact"/>
              <w:rPr>
                <w:rFonts w:hint="eastAsia" w:ascii="仿宋_GB2312" w:hAnsi="仿宋_GB2312" w:eastAsia="仿宋_GB2312" w:cs="仿宋_GB2312"/>
                <w:sz w:val="24"/>
                <w:szCs w:val="24"/>
              </w:rPr>
            </w:pP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菜单方式访问支持所有协议；</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支持双人协同操作功能；</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支持会话批量连接登录功能；</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支持批量执行并对批量执行结果进行成功或失败判断。</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310"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身份认证</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支持多种认证方式：本地密码认证、UsbKey认证、TOTP令牌认证、第三方CA证书认证、指纹认证、邮件认证、RADIUS认证、LDAP认证、AD域认证以及短信认证；支持http短信网关平台进行联动，实现短信动态口令双因素认证机制，如与移动MAS联动等</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支持登录输错多次自动开启验证码功能。</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488"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访问授权</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1.支持SSO功能，运维人员对资源进行维护时无需进行二次登录认证；</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2.支持通过基于多种方式组合访问控制策略，授权用户可访问的目标设备，包括但不限于时间、IP/IP段、用户/用户组、设备/设备组、设备账号、命令关键字、黑白名单等；</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3.支持审批模式：运维用户访问特定的服务器设备必须经过管理员的临时审批授权才能进行，否则无法进行任何操作；</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4.支持移动端工单审批功能；</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5.支持对重要设备启用登录审核策略：运维人员向管理员申请登录，管理员允许之后才可登录，否则无法登录；</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6.支持对重要设备启用登录备注策略：运维用户访问设备时必须先填写该次访问的目的等内容，否则无法登录；</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7.支持对重要命令进行实时审核：运维人员执行命令后，系统响应动作包括：指令审批、忽略指令、阻断会话、产生告警等；</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8.支持工单授权功能：通过运维人员申请或管理员下发工单的方式来赋予运维人员访问目标服务器的权限，且有工单生效时间限制，时间限制至少支持1小时至365天可选。</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7"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访问控制及异常告警</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1.支持运维用户多次登录失败自动锁定账号功能及解锁机制设定；</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限定管理员针对指定的运维用户的运维记录进行审计；</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2.支持按用户（用户组）、目标设备（设备组）、系统账号、命令集和生效时间等内容或按访问授权策略设定安全事件规则；</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3.支持运维用户多次登录失败自动锁定账号功能及解锁机制设定；</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4.支持异常登录告警功能；</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5.支持以屏幕、邮件、SYSLOG、SnmpTrap、短信等方式实时发送告警信息。</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529"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用户管理功能</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1.支持添加、删除、修改以及启用、停用运维用户；</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2.支持用户多角色划分功能，如系统管理员、配置管理员、审计管理员、密码管理员、审计员、运维用户等，对各类角色可组合进行细粒度的权限管理；</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3.支持用户的批量导入/导出，按用户类型等分组方式；</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4.支持用户安全策略功能，如密码锁定次数、密码有效期、密码复杂度、用户有效期、用户登录时间限制、用户登录IP范围等；</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5.支持AD域用户、LDAP用户按组织架构批量导入。</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6.支持用户/用户组的多级架构管理 </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7.支持认证方式全局设定、单一用户认证方式设定，支持多种认证方式组合。</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699"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主机管理功能</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1.支持添加主机页面在线ping主机功能，即时获取该主机存活信息；</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2.支持在添加主机页面对主机账号及协议通道验证功能，即时获知该账号及访问通道是否有效，并设定周期性自动验证； </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3.支持常用的运维协议：SSH、TELNET、RDP、FTP、SFTP、Oracle、Mysql、MSSQL；</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4.支持oracle、mysql主流数据库协议代理运维；</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5.支持批量导入主机。</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550"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操作行为记录</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1.支持对运维操作会话的在线监控、实时阻断、会话回放、起止时间、来源用户、来源IP、目标设备、协议、命令记录、操作内容（如对文件的上传、下载、删除、修改等操作等）的详细行为日志；</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2.支持会话录像在线回放、定位回放及下载后使用官方专用客户端离线回放；</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3.支持审计数据按时间区间进行备份，按周期及磁盘配额进行自动归档，并通过FTP方式自动上传保存。</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362"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会话过程回放</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1.支持倍速/低速播放、拖动、暂停、停止、重新播放等播放控制操作；</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2.支持从特定操作指令开始进行定位回放； </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3.支持回放界面中显示键盘输入、功能键、鼠标动作；</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4.支持下载回放文件到本地保存。</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101"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密码管理</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改密类型支持Windows、Linux、HUAWEI、H3C等； </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支持按设备、数据库、系统账号、计划执行时间、改密周期、密码策略、改密结果发送等生成详细的改密计划，到期自动执行；</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245"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实时监控</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1.支持实时监控近期发生的所有会话信息，显示会话状态（连接中、退出、阻断）；</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2.支持对会话进行同步监控，执行会话回放、监控和阻断操作；</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3.支持实时监控审计系统CPU、内存、磁盘等的使用情况。</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220"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数据安全管理</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1.支持自动归档和手动备份、支持以FTP方式自动上传归档数据；</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2.支持备份数据恢复导入；</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3.支持系统配置的导入、导出功能。</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838"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系统管理功能</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1.支持从WEB管理界面重启、关闭设备；</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2.支持页面超时设置；</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3.支持Syslog、FTP、SNMP等多种输出接口配置；</w:t>
            </w:r>
          </w:p>
          <w:p>
            <w:pPr>
              <w:pStyle w:val="59"/>
              <w:spacing w:beforeAutospacing="0" w:after="156" w:afterAutospacing="0" w:line="30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4.支持系统告警日志发送。</w:t>
            </w:r>
          </w:p>
        </w:tc>
      </w:tr>
      <w:tr>
        <w:tblPrEx>
          <w:tblBorders>
            <w:top w:val="none" w:color="auto" w:sz="0" w:space="0"/>
            <w:left w:val="none" w:color="auto" w:sz="0" w:space="0"/>
            <w:bottom w:val="none" w:color="auto" w:sz="0"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568" w:hRule="atLeast"/>
          <w:tblCellSpacing w:w="0" w:type="dxa"/>
        </w:trPr>
        <w:tc>
          <w:tcPr>
            <w:tcW w:w="2069" w:type="dxa"/>
            <w:shd w:val="clear" w:color="auto" w:fill="FFFFFF"/>
            <w:vAlign w:val="center"/>
          </w:tcPr>
          <w:p>
            <w:pPr>
              <w:pStyle w:val="59"/>
              <w:spacing w:beforeAutospacing="0" w:after="156" w:afterAutospacing="0" w:line="3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服务</w:t>
            </w:r>
          </w:p>
        </w:tc>
        <w:tc>
          <w:tcPr>
            <w:tcW w:w="6982" w:type="dxa"/>
            <w:shd w:val="clear" w:color="auto" w:fill="FFFFFF"/>
            <w:vAlign w:val="center"/>
          </w:tcPr>
          <w:p>
            <w:pPr>
              <w:pStyle w:val="59"/>
              <w:spacing w:beforeAutospacing="0" w:after="156" w:afterAutospacing="0" w:line="300" w:lineRule="exact"/>
              <w:jc w:val="both"/>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提供原厂五年7×24小时，4小时用户现场响应服务</w:t>
            </w:r>
          </w:p>
        </w:tc>
      </w:tr>
    </w:tbl>
    <w:p>
      <w:pPr>
        <w:keepNext/>
        <w:keepLines/>
        <w:spacing w:line="400" w:lineRule="exact"/>
        <w:outlineLvl w:val="1"/>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5.国产化操作系统技术指标要求：</w:t>
      </w:r>
    </w:p>
    <w:tbl>
      <w:tblPr>
        <w:tblStyle w:val="62"/>
        <w:tblW w:w="90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288"/>
        <w:gridCol w:w="1270"/>
        <w:gridCol w:w="1371"/>
        <w:gridCol w:w="4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702" w:type="dxa"/>
            <w:shd w:val="clear" w:color="auto" w:fill="auto"/>
            <w:vAlign w:val="center"/>
          </w:tcPr>
          <w:p>
            <w:pPr>
              <w:widowControl/>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序号</w:t>
            </w:r>
          </w:p>
        </w:tc>
        <w:tc>
          <w:tcPr>
            <w:tcW w:w="1288" w:type="dxa"/>
            <w:shd w:val="clear" w:color="auto" w:fill="auto"/>
            <w:vAlign w:val="center"/>
          </w:tcPr>
          <w:p>
            <w:pPr>
              <w:widowControl/>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指标分类</w:t>
            </w:r>
          </w:p>
        </w:tc>
        <w:tc>
          <w:tcPr>
            <w:tcW w:w="1270" w:type="dxa"/>
            <w:shd w:val="clear" w:color="auto" w:fill="auto"/>
            <w:vAlign w:val="center"/>
          </w:tcPr>
          <w:p>
            <w:pPr>
              <w:widowControl/>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一级指标</w:t>
            </w:r>
          </w:p>
        </w:tc>
        <w:tc>
          <w:tcPr>
            <w:tcW w:w="1371" w:type="dxa"/>
            <w:shd w:val="clear" w:color="auto" w:fill="auto"/>
            <w:vAlign w:val="center"/>
          </w:tcPr>
          <w:p>
            <w:pPr>
              <w:widowControl/>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二级指标</w:t>
            </w:r>
          </w:p>
        </w:tc>
        <w:tc>
          <w:tcPr>
            <w:tcW w:w="4420" w:type="dxa"/>
            <w:shd w:val="clear" w:color="auto" w:fill="auto"/>
            <w:vAlign w:val="center"/>
          </w:tcPr>
          <w:p>
            <w:pPr>
              <w:widowControl/>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w:t>
            </w:r>
          </w:p>
        </w:tc>
        <w:tc>
          <w:tcPr>
            <w:tcW w:w="1288"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功能要求</w:t>
            </w:r>
          </w:p>
          <w:p>
            <w:pPr>
              <w:widowControl/>
              <w:jc w:val="left"/>
              <w:rPr>
                <w:rFonts w:hint="eastAsia" w:ascii="仿宋_GB2312" w:hAnsi="仿宋_GB2312" w:eastAsia="仿宋_GB2312" w:cs="仿宋_GB2312"/>
                <w:kern w:val="0"/>
                <w:sz w:val="24"/>
                <w:szCs w:val="24"/>
              </w:rPr>
            </w:pPr>
          </w:p>
          <w:p>
            <w:pPr>
              <w:widowControl/>
              <w:jc w:val="left"/>
              <w:rPr>
                <w:rFonts w:hint="eastAsia" w:ascii="仿宋_GB2312" w:hAnsi="仿宋_GB2312" w:eastAsia="仿宋_GB2312" w:cs="仿宋_GB2312"/>
                <w:kern w:val="0"/>
                <w:sz w:val="24"/>
                <w:szCs w:val="24"/>
              </w:rPr>
            </w:pPr>
          </w:p>
        </w:tc>
        <w:tc>
          <w:tcPr>
            <w:tcW w:w="127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操作系统支持多CPU架构</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★同源兼容多CPU平台架构</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操作系统支持同源兼容ARM、LoongArch、MIPS、SW64、x86架构的CPU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操作系统支持CPU内置功能</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★多核支持</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操作系统支持双核及多核处理器，包括核间负载均衡、线程绑定等，并提供接口，通过访问接口获取运行状态和控制多核调度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★CPU虚拟化支持</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操作系统支持CPU虚拟化技术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★动态调节CPU运行频率</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操作系统根据负载情况，自动调节CPU的运行频率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★支持多CPU</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支持跨路内存访问，支持CPU间负载均衡，支持并优化NUMA体系架构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★支持CPU内置安全功能</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操作系统支持CPU硬件密码运算与随机数生成等功能；提供编程接口供应用程序调用；支持通过硬件指令判别临界区冲突；支持调用CPU指令，实现自旋锁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安装部署</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★安装方式</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操作系统支持光盘安装、USB闪存盘安装、网络安装和无人值守安装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★安装模式</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操作系统支持图形或文本安装模式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★安装过程配置</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安装界面文种设置、逻辑分区配置（如LVM）、自定义分区设置、安装组件设置、时区设置、键盘布局设置、初始用户设置、计算机名设置和网络设置，支持通过USB闪存盘等方式加载硬件驱动、支持设置加密文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10</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★系统引导</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a)操作系统应支持UEFI2.0及以上规范固件引导，当计算机以UEFI模式启动安装时，安装程序应分配ESP，并在ESP中放置启动引导文件，使系统能以UEFI模式引导；b)支持bootloader引导，支持MBR及GPT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11</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★引导修复</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操作系统安装媒体提供系统引导修复功能，当已安装的系统引导被破坏时，可重建系统引导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12</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★引导参数编辑</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操作系统支持用户编辑引导参数，支持GRUB口令保护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13</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★数据保护</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安装程序在安装执行前明确提示用户可能会删除已有数据，并提供退出/取消功能，当用户取消安装时，不改变硬盘上已有数据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14</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★分辨率自适应</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操作系统安装完成后应自动适配显示器最佳分辨率(文本模式除外)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15</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★安装配置正确性校验</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操作系统安装和配置过程中，如用户自定义的某些配置可能会影响系统启动或正常使用，予以明确提示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16</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系统内核</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★内核要求</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a)若操作系统是基于Linux内核的服务器操作系统应兼容4.19版内核</w:t>
            </w:r>
          </w:p>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b)若操作系统属于其他类型内核不作要求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17</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进程、线程调度</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★NUMA</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操作系统支持基于NUMA的亲和调度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18</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★多核轮询</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操作系统支持CPU多核轮询调度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19</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★进程调度</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操作系统具备进程优先级动态调整能力，允许在进程运行时对优先级进行调整；区分实时进程与非实时进程，分别进行调度；支持进程运行状态检查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20</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内存管理</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★内存容量</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操作系统支持最大内存不小于4TB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21</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★内存大页管理</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操作系统允许应用申请内存大页降低页表转换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22</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★NUMA</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操作系统支持NUMA近节点优化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23</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color w:val="FF0000"/>
                <w:kern w:val="0"/>
                <w:sz w:val="24"/>
                <w:szCs w:val="24"/>
              </w:rPr>
            </w:pPr>
            <w:r>
              <w:rPr>
                <w:rFonts w:hint="eastAsia" w:ascii="仿宋_GB2312" w:hAnsi="仿宋_GB2312" w:eastAsia="仿宋_GB2312" w:cs="仿宋_GB2312"/>
                <w:kern w:val="0"/>
                <w:sz w:val="24"/>
                <w:szCs w:val="24"/>
              </w:rPr>
              <w:t>★内存超分</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操作系统支持虚拟内存超分，提升内存的使用率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24</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存储管理</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★RAID支持</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操作系统支持硬RAID和软RAID，支持软RAID级别0、1、5、6、10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25</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★虚拟文件系统</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操作系统支持将不同功能的外部设备抽象为统一的文件操作接口，包括存储、输入输出设备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26</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★文件管理</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操作系统支持文件存储、检索和共享；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27</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文件保护</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操作系统提供自研文件保护箱，提供用户间数据隔离和加密保护功能，支持创建多个密码不同的加密文件夹；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28</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★可移动存储</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操作系统支持对可移动外部存储的管理，包括启停、禁用、恢复等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29</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★外部独立存储</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操作系统支持使用外部独立存储设备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30</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★多路径聚合</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操作系统支持存储多路径聚合及I/O动态负载均衡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31</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★故障检测</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操作系统支持硬盘损坏或老化检测及信息收集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32</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★虚拟内存</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操作系统支持将硬盘的特定分区或文件作为虚拟扩展内存用于存放内存数据，支持虚拟内存压缩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33</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★网络块设备挂载</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操作系统支持FCoE、iSCSI，支持将Ceph块设备视为常规存储设备挂载到某个目录并作为标准文件系统使用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34</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★存储缓存</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操作系统支持快速块设备作为慢速块设备缓存以加速I/O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35</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网络管理</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★网络链路检测</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操作系统支持网络链路故障检测、链路事件通知和链路状态查询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36</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★TCP卸载引擎</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操作系统支持运行TCP协议卸载引擎的网卡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37</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★网络协议</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操作系统支持IPv4、IPv6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38</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★多网卡绑定</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操作系统支持多网卡绑定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39</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★用户态TCP/IP协议栈</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操作系统支持用户态TCP/IP协议栈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40</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文件系统</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★文件系统支持</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操作系统支持XFS、EXT3、EXT4、NTFS、FAT32等文件系统，支持相应格式分区创建、删除、格式化等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41</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★日志式文件系统</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操作系统支持日志式文件系统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42</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★文件处理能力</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操作系统支持最大文件不小于4TB，最大分区与文件系统不小于10PB，最大文件名长度不小于255字节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43</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★分区大小调整</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操作系统支持动态调整分区大小，对系统分区容量进行改变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44</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授权激活</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★产品许可机制</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a)操作系统支持序列号授权、批量激活服务、场地授权等方式；未激活期间，系统不得频繁提示干扰用户正常使用；未激活系统不得影响用户数据安全与完整性；</w:t>
            </w:r>
          </w:p>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b)免激活的系统不适用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45</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应用开发运行环境</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★集成开发环境/开发框架</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操作系统通过内置、软件仓库或附加光盘等方式提供开发环境，包括Qt、Eclipse、VSCode等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46</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★开发工具库</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操作系统通过内置、软件仓库或附加光盘等方式提供开发库，包括GNUC、GNUC++、Java、Qt、Gtk+、Cairo、OpenGL、Perl、Python、Ruby、Rust、Golang、JS等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47</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★编译器开发工具</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操作系统通过内置、软件仓库或附加光盘等方式提供编译开发工具，包括GCC、G++、Binutils、GDB、Make、CMake等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48</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★文本编辑工具</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操作系统通过内置、软件仓库或附加光盘等方式提供文本编辑工具，包括Emacs、Vim等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49</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★软件包管理</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操作系统支持查询软件包描述和包含文件，以及软件包依赖；支持在安装时自动提示并下载安装缺失的依赖软件包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50</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★开发文档</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供应商应提供软件开发参考文档、驱动开发参考文档、应用移植开发文档、API文档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51</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服务支持</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★网络服务</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操作系统支持TCP/UDP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52</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★网络共享</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操作系统支持基于NFS、SMB、FTP、CIFS等协议的数据网络共享服务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53</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★WEB服务</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操作系统支持基于HTTP、HTTPS、FastCGI等协议WEB服务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54</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★加密传输服务</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操作系统支持基于IPSec和SSL协议的隧道加密传输服务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55</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★数字证书服务</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操作系统支持基于PKI体系的数字证书服务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56</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★访问控制服务</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操作系统支持基于RBAC(基于角色的访问控制)机制的访问控制服务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57</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★网络管理服务</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操作系统支持基于SNMP、NETCONF、RESTCONF等协议的网络管理服务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58</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★时间同步服务</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操作系统支持基于NTP协议网络时间同步服务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59</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★远程连接服务</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操作系统支持RPC、rsync、SSH等远程服务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60</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★邮件服务</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操作系统支持基于SMTP、POP3、IMAP等的邮件服务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61</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★身份鉴别服务</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操作系统支持基于轻量级目录访问协议的统一身份鉴别服务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62</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★数据存储和查询服务</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操作系统支持结构化和非结构化格式数据的存储和查询服务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63</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vMerge w:val="continue"/>
            <w:vAlign w:val="center"/>
          </w:tcPr>
          <w:p>
            <w:pPr>
              <w:widowControl/>
              <w:jc w:val="left"/>
              <w:rPr>
                <w:rFonts w:hint="eastAsia" w:ascii="仿宋_GB2312" w:hAnsi="仿宋_GB2312" w:eastAsia="仿宋_GB2312" w:cs="仿宋_GB2312"/>
                <w:kern w:val="0"/>
                <w:sz w:val="24"/>
                <w:szCs w:val="24"/>
              </w:rPr>
            </w:pP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操作系统支持块、文件、对象等类型的数据存储服务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64</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vMerge w:val="continue"/>
            <w:vAlign w:val="center"/>
          </w:tcPr>
          <w:p>
            <w:pPr>
              <w:widowControl/>
              <w:jc w:val="left"/>
              <w:rPr>
                <w:rFonts w:hint="eastAsia" w:ascii="仿宋_GB2312" w:hAnsi="仿宋_GB2312" w:eastAsia="仿宋_GB2312" w:cs="仿宋_GB2312"/>
                <w:kern w:val="0"/>
                <w:sz w:val="24"/>
                <w:szCs w:val="24"/>
              </w:rPr>
            </w:pP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操作系统支持SQL、NoSQL、键值等类型的数据库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65</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★存储服务</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操作系统支持多种传输速率和存储协议的SAN和NAS存储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66</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★集群支持</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操作系统支持服务基于主备机制的分布式集群、高可用集群的部署模式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67</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vMerge w:val="continue"/>
            <w:vAlign w:val="center"/>
          </w:tcPr>
          <w:p>
            <w:pPr>
              <w:widowControl/>
              <w:jc w:val="left"/>
              <w:rPr>
                <w:rFonts w:hint="eastAsia" w:ascii="仿宋_GB2312" w:hAnsi="仿宋_GB2312" w:eastAsia="仿宋_GB2312" w:cs="仿宋_GB2312"/>
                <w:kern w:val="0"/>
                <w:sz w:val="24"/>
                <w:szCs w:val="24"/>
              </w:rPr>
            </w:pP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操作系统支持服务基于分布式通信协议的分布式集群、高可用集群的部署模式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68</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vMerge w:val="continue"/>
            <w:vAlign w:val="center"/>
          </w:tcPr>
          <w:p>
            <w:pPr>
              <w:widowControl/>
              <w:jc w:val="left"/>
              <w:rPr>
                <w:rFonts w:hint="eastAsia" w:ascii="仿宋_GB2312" w:hAnsi="仿宋_GB2312" w:eastAsia="仿宋_GB2312" w:cs="仿宋_GB2312"/>
                <w:kern w:val="0"/>
                <w:sz w:val="24"/>
                <w:szCs w:val="24"/>
              </w:rPr>
            </w:pP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操作系统支持基于虚拟路由器冗余协议的高可用集群部署模式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69</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★分布式服务</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操作系统支持基于同步、异步请求处理机制的分布式服务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70</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★负载均衡模式</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操作系统支持基于OSI模型的4/7层和链路层的负载均衡模式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71</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vMerge w:val="continue"/>
            <w:vAlign w:val="center"/>
          </w:tcPr>
          <w:p>
            <w:pPr>
              <w:widowControl/>
              <w:jc w:val="left"/>
              <w:rPr>
                <w:rFonts w:hint="eastAsia" w:ascii="仿宋_GB2312" w:hAnsi="仿宋_GB2312" w:eastAsia="仿宋_GB2312" w:cs="仿宋_GB2312"/>
                <w:kern w:val="0"/>
                <w:sz w:val="24"/>
                <w:szCs w:val="24"/>
              </w:rPr>
            </w:pP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操作系统支持基于不同调度算法的负载均衡模式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72</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★高可用服务</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操作系统提供对HA的支持，支持多种集群配置模式，包括主主模式、主备模式、N+1模式和N+M模式，支持资源及节点故障检测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73</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开源组件</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★开源数据库</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供应商可通过安装镜像内置、软件仓库或附加光盘等方式提供开源数据库，并对提供的开源组件进行签名认证，确保组件的安全性、稳定性、可靠性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74</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color w:val="00B0F0"/>
                <w:kern w:val="0"/>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color w:val="auto"/>
                <w:kern w:val="0"/>
                <w:sz w:val="24"/>
                <w:szCs w:val="24"/>
              </w:rPr>
              <w:t>开源中间件</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供应商可通过安装镜像内置、软件仓库或附加光盘等方式提供开源中间件，并对提供的开源组件进行签名认证，确保组件的安全性、稳定性、可靠性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75</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color w:val="00B0F0"/>
                <w:kern w:val="0"/>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color w:val="auto"/>
                <w:kern w:val="0"/>
                <w:sz w:val="24"/>
                <w:szCs w:val="24"/>
              </w:rPr>
              <w:t>单机虚拟化管理</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供应商可通过安装镜像内置、软件仓库或附加光盘等方式提供开源单机虚拟化管理软件，并对提供的开源组件进行签名认证，确保组件的安全性、稳定性、可靠性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76</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★容器虚拟化软件</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供应商可通过安装镜像内置、软件仓库或附加光盘等方式提供开源容器虚拟化软件，并对提供的开源组件进行签名认证，确保组件的安全性、稳定性、可靠性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77</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★容器管理工具</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供应商可通过安装镜像内置、软件仓库或附加光盘等方式提供开源容器管理工具，并对提供的开源组件进行签名认证，确保组件的安全性、稳定性、可靠性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78</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★分布式存储软件</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供应商可通过安装镜像内置、软件仓库或附加光盘等方式提供开源分布式存储软件，并对提供的开源组件进行签名认证，确保组件的安全性、稳定性、可靠性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79</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★云计算管理平台</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供应商可通过安装镜像内置、软件仓库或附加光盘等方式提供开源云计算管理平台，并对提供的开源组件进行签名认证，确保组件的安全性、稳定性、可靠性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80</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虚拟化</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★虚拟化部署</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操作系统支持在KVM、Xen、Hyper-V虚拟机上安装部署操作系统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81</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★内核虚拟化(KVM)</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KVM虚拟化：对虚拟机进行启、停等管理操作；对虚拟机硬盘做快照并从快照恢复；兼容qemu、libvirt标准接口；支持UEFI或legacyBIOS方式启动；支持虚拟时钟arch-timer；支持虚拟鼠标、键盘、触控板、声卡、显卡、硬盘、CDROM、串口pty/pipe/file等设备；支持Virtio协议下的虚拟设备，包括串口、blk驱动硬盘、SCSI驱动硬盘、不同后端控制器类型的Virtio网卡(包括内核态、用户态、qemu)、GPU、vsock设备等；支持硬盘和网卡选择类型VFIO设备；支持虚拟机CPU、内存、网卡、硬盘等离线调整；支持虚拟机网卡、硬盘、USB设备热插拔；支持PCI/PCIE设备直通；支持虚拟机热迁移和加密传输；支持虚拟机远程访问；支持虚拟机CPU和I/O线程绑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82</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★KVM虚拟机管理</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虚拟机对主机的访问控制；虚拟机可以拥有独立的物理资源，且各个虚拟机之间严格隔离；支持大页内存运行虚拟机；支持三种CPU型号模拟模式，包括直通、宿主模型、自定义；支持虚拟机资源调配控制，包括Numa、CPU、内存、I/O、网卡；支持CPU拓扑模拟和透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83</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容器</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★容器虚拟化</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OCI；支持进程命名空间隔离技术包括不限于mnt、pid、ipc、uts、user、network等；支持在同CPU指令架构下的不同规格硬件上无缝分发，保障运行兼容性；支持沙箱扩展；支持面向容器的独立逻辑文件管理，具备在容器创建时指定专用根文件夹，容器内进程文件访问重定向等功能；支持日志查询功能；支持通过控制终端对容器内主进程的标准输入输出对接交互；支持通过控制终端对容器内新建进程的标准输入输出对接交互；支持容器存储卷管理（新增、删除、卷容量配置、自动回收）、卷共享；支持面向容器的网络设备资源分配和使用；支持CNI；支持容器获取物理节点资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84</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★容器镜像和存储管理</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操作系统支持容器镜像导入、导出；支持容器镜像分层保存、导入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85</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★容器资源隔离和调配</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容器资源在线调整，包括CPU资源、内存资源、I/O资源等；支持文件配额分配、存储带宽资源使用量监控等机制，实现容器级I/O控制能力；支持面向容器的网络带宽调度策略，实现容器级网络带宽分配、使用量监控等机制；支持面向容器的存储空间使用监控、分配机制；支持容器CPU核独占；支持面向容器的CPU时间片资源按需划分机制；支持面向容器的内存分配和回收机制，实现内存使用量跟踪和管理；支持同一集群在线、离线业务混合部署；支持对容器的编排、负载均衡、调度等能力；支持根据容器在线与离线混合部署状态进行资源优先调度，提高计算机资源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86</w:t>
            </w:r>
          </w:p>
        </w:tc>
        <w:tc>
          <w:tcPr>
            <w:tcW w:w="1288"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易用性要求</w:t>
            </w:r>
          </w:p>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中文支持</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★字符编码集</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操作系统应符合GB18030的要求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87</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★中文帮助文档</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操作系统内置中文帮助文档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88</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多语言图形界面</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操作系统的多文种图形用户界面应支持GB18030规定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89</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中文图形界面</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操作系统支持中文图形操作界面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90</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管理工具</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★系统信息查看工具</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操作系统支持查看系统版本、内核版本、内存容量、CPU型号等信息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91</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★网络管理工具</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操作系统支持多网口自动连接、网络地址（常被称为“IP地址”）设置、DNS设置、路由设置；支持多网卡链路聚合，模式类型包括但不仅限于轮询、主备、802.3AD动态链路聚合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92</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★日期和时间管理工具</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操作系统可设置时间同步服务器地址，支持局域网和广域网的同步设置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93</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★日志服务管理工具</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操作系统支持收集系统日志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94</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★账户管理工具</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操作系统支持账户添加、删除、属性修改等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95</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★用户操作审计工具</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操作系统支持用户操作痕迹查询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96</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★存储管理工具</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操作系统支持EXT、XFS、NTFS、FAT、SWAP等多种格式的分区管理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97</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★SNMP协议工具包</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操作系统支持SNMP设备和操作信息检索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98</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★文本终端连接工具</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操作系统支持多终端协同管理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99</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★服务管理工具集</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操作系统支持服务启动与停止，查看服务状态及日志，查询服务启动顺序及依赖关系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100</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★配置管理工具</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操作系统提供配置管理工具，可以简化任务配置及服务管理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101</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★监控管理工具</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操作系统支持监控系统资源使用情况，包含CPU、内存、存储I/O、网络I/O等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102</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★守护进程</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操作系统支持按需启动守护进程，用户可自定义设定需求守护的进程，如遇异常可重新加载，实现应用持续运行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103</w:t>
            </w:r>
          </w:p>
        </w:tc>
        <w:tc>
          <w:tcPr>
            <w:tcW w:w="1288"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兼容性要求</w:t>
            </w:r>
          </w:p>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基础组件兼容</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★版本兼容</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操作系统基础运行库或开发环境向后（向下）兼容，即系统版本升级后，能兼容上一版本所运行的软件与设备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104</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★兼容周期</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操作系统主版本兼容维护时间自发布之日起不低于3年，包括但不限于安全修复、功能升级、新硬件支持等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105</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★兼容方式</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操作系统支持以增量升级包的方式实现版本更新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106</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运行环境</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★文件系统层次结构</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供应商应给出长期兼容支持的文件系统层次结构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107</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★运行库</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供应商应给出长期兼容支持的运行库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108</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★命令</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供应商应给出长期兼容支持的常用命令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109</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桌面运行环境</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系统使用自研UKUI桌面环境，支持登录界面查看明文密码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110</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软件包格式</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★软件包格式转换</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操作系统支持RPM或DEB格式的软件包，当系统不支持RPM或DEB格式的软件包时，提供工具对软件包格式进行转换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111</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软件兼容</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集群软件</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供应商提供兼容的集群软件清单，且至少兼容一款产品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112</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虚拟化云平台</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供应商提供兼容的虚拟化平台软件清单，且至少兼容三款产品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113</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容器云</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供应商提供兼容的容器云软件清单，且至少兼容三款产品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114</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存储软件</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供应商提供兼容的存储软件清单，且至少兼容一款产品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115</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数据库管理系统</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供应商提供兼容的数据库软件清单，且至少兼容三款产品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116</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中间件</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供应商提供兼容的中间件软件清单，且至少兼容三款产品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117</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运维平台</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供应商提供兼容的运维平台软件清单，且至少兼容一款产品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118</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备份软件</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供应商提供兼容的备份恢复软件清单，且至少兼容一款产品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119</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大数据平台</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供应商提供兼容的大数据平台软件清单，且至少兼容一款产品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120</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终端防护及杀毒</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供应商提供兼容的终端防护及杀毒软件清单，且至少兼容一款产品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121</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网络防护</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供应商提供兼容的网络防护软件清单，且至少兼容一款产品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122</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身份认证</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供应商提供兼容的身份认证软件清单，且至少兼容一款产品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123</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硬件兼容</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★服务器整机</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供应商提供兼容的服务器整机品牌及型号清单，且至少兼容一款产品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124</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★AI服务器</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供应商提供兼容的AI服务器整机品牌及型号清单，且至少兼容一款产品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125</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★存储</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供应商提供兼容的存储服务器整机品牌及型号清单，且至少兼容一款产品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126</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★部件兼容</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供应商提供兼容的系统总线、HBA卡、RAID卡、网卡、光纤卡、AI加速卡、GPU、NPU等品牌及型号清单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127</w:t>
            </w:r>
          </w:p>
        </w:tc>
        <w:tc>
          <w:tcPr>
            <w:tcW w:w="1288"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可靠性要求</w:t>
            </w:r>
          </w:p>
          <w:p>
            <w:pPr>
              <w:widowControl/>
              <w:jc w:val="left"/>
              <w:rPr>
                <w:rFonts w:hint="eastAsia" w:ascii="仿宋_GB2312" w:hAnsi="仿宋_GB2312" w:eastAsia="仿宋_GB2312" w:cs="仿宋_GB2312"/>
                <w:kern w:val="0"/>
                <w:sz w:val="24"/>
                <w:szCs w:val="24"/>
              </w:rPr>
            </w:pPr>
          </w:p>
        </w:tc>
        <w:tc>
          <w:tcPr>
            <w:tcW w:w="127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稳定性</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★操作系统连续运行168小时</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操作系统高负载下连续常态运行168小时无故障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128</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备份还原</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★备份还原</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操作系统提供备份还原功能，支持生成系统状态快照及恢复系统状态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129</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内存纠错</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★内存纠错</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操作系统支持DDR3、DDR4等内存上的ECC查错、纠错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130</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热插拔</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★CPU热插拔</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硬件支持时，操作系统支持CPU热插拔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131</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★内存热插拔</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硬件支持时，操作系统支持内存热插拔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132</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★硬盘热插拔</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硬件支持时，操作系统支持硬盘热插拔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133</w:t>
            </w:r>
          </w:p>
        </w:tc>
        <w:tc>
          <w:tcPr>
            <w:tcW w:w="1288"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可维护性要求</w:t>
            </w:r>
          </w:p>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维护工具</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★远程维护</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操作系统提供远程控制管理工具，支持RDP、SSH、SPICE、VNC等协议，方便用户进行文本或图形化形式的远程连接及维护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134</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安全授权管理工具</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为保障操作系统高安全性，供应商所投操作系统的安全授权管理工具、安全白名单共享库、系统安全配置修改工具、安全模块等组件功能开源率为0%。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135</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★文件完整检查</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操作系统提供文件系统检查工具，对文件系统完整性进行检测和修复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136</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★内核分析</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操作系统提供内核性能分析工具，提供性能分析框架，支持对内核函数层面进行分析；提供内核探测工具，支持对内核及用户态程序动态追踪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137</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★集中管可控</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操作系统提供集中管控工具，支持对区域内服务器操作系统进行集中管理维护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138</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★兼容性评价</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操作系统提供软硬件兼容性检查工具，自动分析应用软件、硬件兼容性，定位兼容性问题；提供操作系统跨版本兼容性分析工具，在迁移前检查分析软硬件，定位兼容性问题。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139</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★性能调优</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操作系统提供性能测试调优工具，按系统工作特点（如计算为主、存储为主等）自动优化系统配置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140</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日志管理</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★日志记录与存储</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对安全事件的日志记录，包括账户增删改、成功登录、失败登录、敏感服务开启关闭、配置修改等，日志信息详实，包括所属用户、访问时间、访问地址等；支持内核异常日志信息的记录和存储；支持内核崩溃转储机制，系统崩溃时可收集整个内存信息；支持配置远程日志功能，可将指定日志内容归档到日志服务器；支持对日志功能进行访问控制，防止未经授权的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141</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★日志处理与分析</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操作系统提供系统错误问题回溯分析工具，对系统崩溃问题及错误问题进行回溯；支持日志切分、一键收集、转储、同步机制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142</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脆弱性管理</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★脆弱性管理</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提供故障管理框架，内置故障分析专家系统，可与外部同类型系统互联；具备故障响应、故障警告功能，提供用户接口，支持故障响应、警告信息分发；支持故障管理守护进程，使用统一的传输信道或机制上报故障信息；具备硬件故障信息捕获、紧急处理功能，包括CPU、内存及PCIe设备等硬件的故障；支持诊断/响应组件动态加载机制；提供或支持第三方远程诊断框架及调测工具集，实现远程诊断及调试断点功能；</w:t>
            </w:r>
          </w:p>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支持物理机、虚拟机中操作系统的故障恢复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143</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热补丁</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★热补丁</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对内核热补丁进行编号，每个热补丁拥有独立编号；支持增量修复以及回滚机制；提供热补丁合法性和一致性校验功能；提供热补丁管理机制和工具，功能至少覆盖补丁查询、安装、移除；提供热补丁升级和回滚系统日志，便于查询或回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144</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系统升级</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★升级内容</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操作系统支持系统增量升级功能，对系统部件、安全补丁等升级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145</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★升级方式</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操作系统支持在线升级和离线升级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146</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★数据保护</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操作系统升级不得修改破坏用户数据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147</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★兼容性</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操作系统升级不得影响原有软硬件兼容性，如有影响应显示的提示告知用户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148</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★回退</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操作系统提供升级回退机制，能卸载已升级的软件包，恢复系统原有状态，如升级为不可回退，则系统升级前以显式的提示告知用户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149</w:t>
            </w:r>
          </w:p>
        </w:tc>
        <w:tc>
          <w:tcPr>
            <w:tcW w:w="1288"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服务要求</w:t>
            </w:r>
          </w:p>
          <w:p>
            <w:pPr>
              <w:widowControl/>
              <w:jc w:val="left"/>
              <w:rPr>
                <w:rFonts w:hint="eastAsia" w:ascii="仿宋_GB2312" w:hAnsi="仿宋_GB2312" w:eastAsia="仿宋_GB2312" w:cs="仿宋_GB2312"/>
                <w:kern w:val="0"/>
                <w:sz w:val="24"/>
                <w:szCs w:val="24"/>
              </w:rPr>
            </w:pPr>
          </w:p>
        </w:tc>
        <w:tc>
          <w:tcPr>
            <w:tcW w:w="127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交付方式</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★交付方式</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供应商提供光盘、USB闪存盘、镜像文件（下载）等交付方式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150</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服务周期</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★产品维护周期</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产品自发布之日起至产品停止功能升级（包含不限于新特性、新硬件支持、问题修复、安全补丁等）之日止≥5年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151</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★产品延伸服务周期</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产品停止功能升级之日起至产品停止功能维护（包括问题修复、安全补丁等）之日止≥5年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152</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★产品延伸安全服务周期</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153</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★售后服务最小保障期</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154</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售后服务</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★原厂服务</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服务由操作系统厂商的正式员工提供，不由代理商提供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155</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服务热线电话</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操作系统厂商为最终用户提供工作日每日不少于8h（覆盖一般工作时间，具体时间由企业标准给出）中文技术服务热线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156</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技术服务标准</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操作系统厂商提供工作日每日不少于8h技术支持服务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157</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★定制优化增值服务</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操作系统厂商提供代码级定制优化服务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158</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技术服务时效</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操作系统厂商满足同城4h、异地12h响应要求，两个工作日解决问题，对于未能解决的问题和故障提供可行的升级方案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159</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★技术服务保障</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发生非人为因素故障，在七日内由操作系统厂商原厂人员免费对产品进行补充或更换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160</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现场交付与安装调试</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★现场安装调试</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操作系统厂商提供产品安装与现场调试，并提供安装与调试所需的工具和设备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161</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★配套资料</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交付产品时操作系统厂商提供配套的技术资料，包括但不限于系统说明文件、用户手册（用户安装、操作、维护、故障排除）等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162</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系统更换</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★系统更换</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服务期内，操作系统厂商支持版本免费更换（注：更换后不延长服务期）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163</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厂商能力要求</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★服务团队</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操作系统厂商建立全国技术服务体系和服务团队，为客户提供专业的原厂中文服务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164</w:t>
            </w:r>
          </w:p>
        </w:tc>
        <w:tc>
          <w:tcPr>
            <w:tcW w:w="1288"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供应保障要求</w:t>
            </w:r>
          </w:p>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数据安全保障</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★数据收集安全保障</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除用户授权采集的信息外不采集其他数据，相关信息采集无安全风险，相关数据存储在大陆境内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165</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★数据供给安全保障</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涉及数据下载的线上服务物理服务器不出境，包括代码仓库、系统补丁、安全补丁、服务网站等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166</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代码无风险</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★代码无风险</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操作系统厂商提供源代码，源代码可供第三方机构审查，开源许可合规，代码知识产权无风险，无恶意安全漏洞或后门，代码可追溯、可重构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167</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工程构建体系</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★工程构建体系</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操作系统厂商具备统一的工程构建体系，能用一套操作系统源码构建用于云侧计算、边侧计算场景中部署运行的操作系统，降低部署后系统维护、使用复杂度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168</w:t>
            </w:r>
          </w:p>
        </w:tc>
        <w:tc>
          <w:tcPr>
            <w:tcW w:w="1288"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安全要求</w:t>
            </w:r>
          </w:p>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基本要求</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★基本要求</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操作系统应当符合安全可靠测评要求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169</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密码算法支持</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★密码算法实现</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操作系统支持GM/T0002、GM/T0003和GM/T0004规定的密码算法运算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170</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★随机数生成</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操作系统随机数质量符合GM/T0005《随机性检测规范》或GB/T32915《信息安全技术二元序列随机性检测方法》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171</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★内置数字证书</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操作系统内置国家电子认证根CA的根证书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172</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★密码协议实现</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操作系统支持符合GB/T38636—2020的TLCP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173</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安全管理</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★防火墙</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操作系统提供防火墙配置管理工具，支持基于协议、网络地址、端口的访问控制规则配置，规则修改后立即生效；支持关闭指定服务和端口，包括但不限于关闭远程访问、共享访问等；支持防止ARP欺骗攻击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174</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★安全框架</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操作系统提供统一访问控制安全框架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175</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★三员管理</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操作系统支持系统管理员、安全管理员、审计管理员分权管理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176</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★文件完整性</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操作系统支持静态文件度量（如IMA）和动态内存度量，保障特定文件及内存中运行程序的完整性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177</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★可信计算</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操作系统支持机密计算框架，提供机密计算SDK，能接入1种以上可信执行环境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178</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★内核保护</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操作系统支持内核完整性保护，保障内核不被非授权改变；提供内核模块加载黑名单机制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179</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身份鉴别</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★身份鉴别服务</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用户标识使用账户名和账户ID，在操作系统的整个生存周期内用户标识具有唯一性；支持用户口令复杂度校验及强口令管理；支持用户口令有效期配置；支持口令鉴别失败控制；支持口令加密算法配置，用户口令进行加密后以不可逆的密文形式保存；支持禁止根账户（root）远程登录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180</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restart"/>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访问控制</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★自主访问控制</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允许客体拥有者以普通账户决定并控制对客体的访问，并阻止非授权用户对客体的访问；普通用户缺省拥有新建、读写和删除私有目录下文件的权限；支持细粒度的自主访问控制，将访问控制的粒度控制在单个用户，对系统中的每一个客体，实现由客体拥有者以指定用户方式确定其对该客体的访问权限，而其他同组用户或非同组的用户和用户组对该客体的访问权则由客体拥有者授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181</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★强制访问控制</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操作系统支持对应用程序的访问控制与资源限制，包括对文件、网络等客体的访问控制；支持应用安装控制、应用执行控制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182</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多种强制访问控制联合加载</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提供多种强制访问控制联合加载，包括SELINUX、APPARMOR等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183</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vMerge w:val="continue"/>
            <w:vAlign w:val="center"/>
          </w:tcPr>
          <w:p>
            <w:pPr>
              <w:widowControl/>
              <w:jc w:val="left"/>
              <w:rPr>
                <w:rFonts w:hint="eastAsia" w:ascii="仿宋_GB2312" w:hAnsi="仿宋_GB2312" w:eastAsia="仿宋_GB2312" w:cs="仿宋_GB2312"/>
                <w:kern w:val="0"/>
                <w:sz w:val="24"/>
                <w:szCs w:val="24"/>
              </w:rPr>
            </w:pP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★安全审计</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能对身份鉴别的使用、自主访问控制、标记和强制访问控制策略的修改等生成审计日志；审计记录包括：事件类型、事件发生的日期、触发事件的用户、事件成功或失败等字段；支持审计日志查询和导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2" w:type="dxa"/>
            <w:shd w:val="clear" w:color="auto" w:fill="auto"/>
            <w:noWrap/>
            <w:vAlign w:val="center"/>
          </w:tcPr>
          <w:p>
            <w:pPr>
              <w:widowControl/>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bidi="ar"/>
              </w:rPr>
              <w:t>184</w:t>
            </w:r>
          </w:p>
        </w:tc>
        <w:tc>
          <w:tcPr>
            <w:tcW w:w="1288" w:type="dxa"/>
            <w:vMerge w:val="continue"/>
            <w:shd w:val="clear" w:color="auto" w:fill="auto"/>
            <w:vAlign w:val="center"/>
          </w:tcPr>
          <w:p>
            <w:pPr>
              <w:widowControl/>
              <w:jc w:val="left"/>
              <w:rPr>
                <w:rFonts w:hint="eastAsia" w:ascii="仿宋_GB2312" w:hAnsi="仿宋_GB2312" w:eastAsia="仿宋_GB2312" w:cs="仿宋_GB2312"/>
                <w:kern w:val="0"/>
                <w:sz w:val="24"/>
                <w:szCs w:val="24"/>
              </w:rPr>
            </w:pPr>
          </w:p>
        </w:tc>
        <w:tc>
          <w:tcPr>
            <w:tcW w:w="127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漏洞管理</w:t>
            </w:r>
          </w:p>
        </w:tc>
        <w:tc>
          <w:tcPr>
            <w:tcW w:w="1371"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★漏洞管理</w:t>
            </w:r>
          </w:p>
        </w:tc>
        <w:tc>
          <w:tcPr>
            <w:tcW w:w="4420" w:type="dxa"/>
            <w:shd w:val="clear" w:color="auto" w:fill="auto"/>
            <w:vAlign w:val="center"/>
          </w:tcPr>
          <w:p>
            <w:pPr>
              <w:widowControl/>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操作系统支持漏洞编号，每个漏洞独立编号，可直接使用NVDB、CNVD或CVE编号；漏洞提醒，发现或获悉漏洞信息时，通过系统推送、电子邮件或官方网站等方式通知用户；漏洞修复，对已发现的安全漏洞通过补丁等方式对系统漏洞进行修复；漏洞列表，提供每个版本已修复的漏洞列表，提供命令或网页等方式方便用户查询漏洞及其修复情况</w:t>
            </w:r>
          </w:p>
        </w:tc>
      </w:tr>
    </w:tbl>
    <w:p>
      <w:pPr>
        <w:keepNext/>
        <w:keepLines/>
        <w:spacing w:line="400" w:lineRule="exact"/>
        <w:outlineLvl w:val="1"/>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6.国产化数据库技术指标要求：</w:t>
      </w:r>
    </w:p>
    <w:tbl>
      <w:tblPr>
        <w:tblStyle w:val="62"/>
        <w:tblW w:w="90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21"/>
        <w:gridCol w:w="1313"/>
        <w:gridCol w:w="1295"/>
        <w:gridCol w:w="4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719"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1221"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指标分类</w:t>
            </w:r>
          </w:p>
        </w:tc>
        <w:tc>
          <w:tcPr>
            <w:tcW w:w="131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一级指标</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二级指标</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w:t>
            </w:r>
          </w:p>
        </w:tc>
        <w:tc>
          <w:tcPr>
            <w:tcW w:w="1221"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功能要求</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安装与升级</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数据库安装</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a)支持命令行或图形化的安装；</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b)支持命令行或图形化的可配置安装能力；</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c)依据安装环境提供相应的初始化参数配置值；</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d)提供图形化软件组件管理向导工具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数据库重启</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a)支持命令行或图形化的方式关闭和启动服务；</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b)关闭服务后，再启动服务，服务正常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安装配置日志</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a)提供软件安装的日志记录功能；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b)记录的软件安装信息完整正确；</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c)提供安装配置操作的日志记录功能；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d)记录的配置操作信息完整正确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升级维护</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a)支持版本升级，保证版本间功能和数据的兼容性；</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b)厂商提供当前版本与历史版本的差异说明文档，包含新版本对软件和硬件的支持情况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5</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安装和升级的兼容性</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支持在不同CPU架构的节点上安装配置、升级，且安装配置、升级数据库的命令行或图形界面相同或相似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节点部署</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a)支持节点安装配置；</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b)支持通过单一节点发起并将数据库部署在多个节点上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数据配置</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参数配置</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a)依据工作负载和运行环境，提供配置参数修改的能力</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b)修改数据库配置参数后，配置参数立即生效或数据库重新启动生效，立即生效的配置参数和需要数据库重新启动方可生效的配置参数在相关文档中明确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存储配置</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a)提供数据库级物理存储位置、逻辑存储参数配置功能；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b)在数据库初始化阶段，提供数据库物理读写块大小的配置功能；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c)提供数据库存储对象空间使用参数的配置功能；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d)提供索引数据存储参数管理功能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内存配置</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提供数据库内存规划和配置建议；</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b)依据物理内存规划数据库可用内存；</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c)依据可用内存或负载情况，自动设置或向用户建议不同数据缓存区大小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10</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SQL功能</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基础数据类型</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a)支持数值类型；b)支持字符类型；</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c)支持二进制类型；</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d)支持日期和时间类型；</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e)支持布尔类型；</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f)支持（大）文本类型；</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g)支持大对象类型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11</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扩展数据类型</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支持间隔、XML、JSON等数据类型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12</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自定义数据类型</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具备用户自定义数据类型的能力，可支持不同应用场景的数据类型需求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13</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数据存储基础功能</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支持基础数据类型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14</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数据存储增强功能</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a)支持扩展数据类型；</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b)支持自定义数据类型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15</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数据检索基础功能</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支持基础数据类型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16</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数据检索增强功能</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a)支持扩展数据类型；</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b)支持自定义数据类型；</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c)支持中文检索功能，如使用中国纪年历法进行检索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17</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核心SQL能力</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a)支持左外连接；</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b)支持右外连接；</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c)支持内连接；</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d)支持全连接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18</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字符集</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中文字符集符合GB18030的要求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19</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常用操作符</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a)支持逻辑操作符及相关运算；</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b)支持比较操作符及相关运算；</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c)支持算术运算符及相关运算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20</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条件表达式</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a)支持对比条件表达式；</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b)支持逻辑条件表达式；</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c)支持空值条件表达式；</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d)支持等于条件表达式；</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e)支持模式匹配条件表达式；</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f)支持区间条件表达式；</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g)支持IN条件表达式；</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h)支持存在条件表达式；</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i)支持以上条件表达式的复合表达式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21</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SQL执行计划</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支持SQL计划，使SQL按照指定的语句执行，并实现预期结果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22</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数据库对象</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基础对象类型</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a)支持用户的创建、删除、修改；</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b)支持角色的创建、删除、修改；</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c)支持存储过程的创建、删除、修改；</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d)支持表操作功能；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e)支持自增序列；</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f)支持主键约束、外键约束、唯一性约束、检查约束和联合主键约束；</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g)支持游标功能；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h)支持视图的创建、删除、修改；</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i)支持数值计算函数、字符处理函数、日期时间值函数、间隔函数、类型转换函数、位运算函数、聚合函数、格式化、系统信息等常用函数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23</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扩展对象类型</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a)支持包的创建、删除、修改；</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b)支持触发器的创建、删除、修改；</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c)支持外部链接的创建、删除，并可以通过外部链接进行外部访问；</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d)支持作业的创建、删除、修改；</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e)支持全局唯一的自增序列；</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f)支持创建函数索引；</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g)支持定义同义词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24</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基础表分区管理</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a)哈希分区方式；</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b)范围分区方式；</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c)列表分区方式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25</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扩展表分区管理</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a)支持数据库表分区及二级分区能力；</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b)支持建立分区索引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26</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查看对象</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a)支持查看数据库信息；</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b)支持查看表对象信息；</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c)支持查看索引对象信息；</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d)支持查看字段对象信息；</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e）支持查看约束对象信息；</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f）支持查看数据库实例信息；</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g）支持查看表空间信息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27</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查看日志、系统信息</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a)支持查看日志文件的能力；</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b）厂商提供查看实例数据缓存的视图或图形化管理工具；</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c）厂商提供查看日志缓存的视图或图形化管理工具；</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d）厂商提供查看数据字典的视图或图形化管理工具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28</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对象变更</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a)支持数据库的创建、删除、更新以及数据库属性的查询；</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b)支持在线变更表结构、索引；</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c)支持数据的增加、删除、修改和查询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29</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查看会话系统表/视图</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a)提供查看会话标识的视图或图形化管理工具；</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b)提供查看进程/线程标识的视图或图形化管理工具；</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c)提供查看用户标识的视图或图形化管理工具；</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d)提供查看最近的用户请求命令的视图或图形化管理工具；</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e)提供查看缺省模式的视图或图形化管理工具；</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f)提供查看登录时间/会话状态的视图或图形化管理工具；</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g)提供查看会话状态的视图或图形化管理工具；</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h)提供查看等待会话的锁信息的视图或图形化管理工具；</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i)提供查看等待时间统计信息的视图或图形化管理工具；</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j)提供查看使用时间统计信息的视图或图形化管理工具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30</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★查看监控连接系统表/视图</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a)提供查看连接标识的视图或图形化管理工具；</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b)提供查看连接状态的视图或图形化管理工具；</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c)提供查看连接用户的视图或图形化管理工具；</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d)提供查看连接类型的视图或图形化管理工具；</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e)提供查看当前事务信息的视图或图形化管理工具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31</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★异构数据库联机访问</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提供异构数据库数据联机访问功能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32</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★完整性管理</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a)支持验证表存储完整性；</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b)支持验证索引存储完整性；</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c)支持验证数据库存储结构完整性；</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d)支持查看视图定义完整性；</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e)支持查看存储过程/函数定义完整性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33</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事务能力</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事务基础特性</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支持事务的ACID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34</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死锁检测与处理</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a)在并发执行过程中，能检测到死锁；</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b)提供解决全局死锁的机制；</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c)具备死锁处理能力；</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d)具备死锁超时回滚的能力；</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e)具备死锁检测与处理记录功能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35</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运维</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运行时统计信息基础功能</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a)数据库慢SQL统计：</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1）支持统计SQL语句；</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2）支持统计用户名；</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3）支持统计数据库名；</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4）支持统计执行时长；</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b）数据库性能状态统计：</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1）支持统计每秒事务数和查询数；</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2）支持统计SQL平均响应时间；</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3）支持统计高频SQL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36</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运维</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运行时统计信息增强功能</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a)支持统计集群节点CPU使用情况；</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b)支持统计集群节点内存使用情况；</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c)支持统计集群节点磁盘使用情况；</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d)支持统计集群节点网络使用情况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37</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日志</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a)具备对各类事件进行日志记录的功能，可通过日志查看操作内容、执行过程和结果；</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b)具备提示和警告功能，提示或警告数据库结构修改、数据库运行配置修改等重要操作；</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c)日志完整正确，并且提供可读文本的形式；</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d)支持中文日志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38</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远程运维</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具备远程维护功能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39</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报警</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a)厂商提供通知管理员的方法或工具；</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b)支持设置报警基线，数据库运行中遇到重要事件、异常事件和状态、超过报警阈值等情况时，通知管理员；</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c)提供报警API；</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d)报警发生时，支持报警信息的实时展示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40</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SQL监测与优化建议</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a)实时监测SQL执行过程中资源使用情况；</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b)提供查询计划的缓存管理功能；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c)提供SQL改写的优化建议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41</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迁移</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应用迁移</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a)提供SQL、存储过程等价语法转换，并将转换后的语法在目标库进行校验，转换后语法可编译可执行；</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b)对转换出错或校验出错的语法进行定位，引导用户进行错误校正后再次编译校验；</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c)尽量减少应用的修改，从源数据库迁移到目标数据库，并可运行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42</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数据迁移</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a)提供元数据、数据库、数据库对象、表数据快速迁移的功能；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b)支持数据迁移工具实现同构或异构数据库之间的数据迁移；</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c)支持全量数据迁移、增量数据持续同步等迁移模式；</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d)在数据迁移过程中具备应对传输异</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常的能力，保障数据迁移的稳定性、连续性和一致性；</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e)支持存量数据的一次性迁移和增量数据库的持续同步；</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f)支持多种不同类型的源数据库和目标数据库之间的数据迁移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43</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数据比对基础功能</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对源数据库和目标数据库之间的数据进行比对，支持数据一致性，并提供一致性比对报告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44</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数据比对增强功能</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数据比对规模是可配置的，用户可根据业务需求，进行库级、表级等级别的比对，提供数据修复功能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45</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备份恢复</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数据备份</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a)运行状态下支持对数据库进行全库备份；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b)运行状态下支持对数据库进行部分备份；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c)运行状态下支持对数据库进行增量备份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46</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备份数据管理</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a)支持备份数据的加密；</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b)支持备份数据的压缩；</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c)支持备份数据的存储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47</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用户/模式备份、恢复</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a)支持对数据库的所有或指定用户/模式下的数据进行备份；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b)支持对数据库的所有或指定用户/模式下的数据备份进行恢复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48</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多种存储媒体备份、还原</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支持多种备份存储媒体，支持多种存储媒体的部分、完整数据库数据还原处理能力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49</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备份还原的一致性校验</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提供数据库备份数据一致性校验的命令或工具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50</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集群管理</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集群构建与管理</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a)支持集群的运行环境；</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b)支持创建并配置数据库集群；</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c)配置信息至少包括日常运维管理、容灾管理、日志管理、备份管理、监控等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51</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集群构建与管理扩展要求</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在读写操作负载差距较大时，提供读写分离能力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52</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★数据分布</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支持自动数据分布；</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 按照指定规则设置数据分布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53</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★分布式计算</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支持在分布式节点上的并行计算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54</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★集群扩展</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支持在线扩容、缩容；</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 集群扩容、缩容过程中支持分布式事务</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ACID 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55</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★数据重分布</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支持按照数据库集群的节点、状态和负载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的变化，进行动态重分布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56</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★对应用透明</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当数据分布、分布计算、集群扩展、数据</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重分布等变化时，不需要修改应用代码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57</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★均分负载</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支持在集群环境下，事务并行执行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58</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共享存储架构下的集群要求</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在共享存储集群架构的基础上：</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a)支持管理硬件存储资源，包括为共享存储扩展存储容量；</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b)支持集群多个节点同时写入或一写多读，事务支持ACID特性；</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c)支持节点间的缓存一致性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59</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restart"/>
            <w:vAlign w:val="center"/>
          </w:tcPr>
          <w:p>
            <w:pPr>
              <w:tabs>
                <w:tab w:val="left" w:pos="1106"/>
                <w:tab w:val="left" w:pos="2211"/>
                <w:tab w:val="left" w:pos="3317"/>
                <w:tab w:val="left" w:pos="4423"/>
                <w:tab w:val="left" w:pos="5528"/>
                <w:tab w:val="left" w:pos="6634"/>
                <w:tab w:val="left" w:pos="7740"/>
              </w:tabs>
              <w:spacing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工具</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数据库开发调试工具</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a)具备图形化功能，提高易用性；</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b)具备导入、编辑、保存、执行SQL语句和SQL脚本功能；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c)具备复制、编辑现有数据库对象功能；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d)具备关键词显示标记、动态语法提示的SQL编辑器功能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60</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★数据库预编译工具</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厂商提供预编译工具，支持嵌入式SQL编程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61</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★网络配置工具</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a)提供客户端、服务器端网络配置向导；</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b)支持配置网络连接参数、主机、端口、协议等内容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62</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★创建、修改、删除工具</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a)支持数据库的创建、修改和删除；</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b)支持配置数据库数据文件、日志文件、归档文件的存储位置、逻辑空间（如表空间）等参数；</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c)支持配置数据库属性相关参数（如最大连接数等）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63</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用户、角色管理工具</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a)支持创建、修改、删除用户的功能；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b）提供定义用户的功能；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c)支持创建、修改、删除角色的功能，且提供用户自定义角色的功能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64</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SQL执行计划查看工具</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a)提供与数据库管理系统进行SQL交互的工具，方便运维工作；</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b)支持查看SQL语句查询执行计划与统计信息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65</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数据库对象工具</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a)支持创建、修改、删除表的功能，支持定义表结构、约束、存储配置管理的功能；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b)支持创建、修改、删除索引的功能，支持定义索引结构、类型、存储配置管理的功能；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c)支持创建、修改、删除视图的功能，支持视图定义的功能；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d)支持创建、修改、删除约束的功能，支持约束定义的功能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66</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导入导出工具</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a)支持导出不同格式，可以将不同格</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式数据导入到数据库中；</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b)支持不同级别和不同数据库对象的导入/导出功能；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c)支持从文本文件或者其他上游数据源将数据导入；</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d)支持SQL脚本进行导入导出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67</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触发器、存储过程/函数工具</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a)支持创建、修改、删除触发器的功</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能，支持触发条件、事件的设置；</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b)支持创建、修改、删除存储过程/函数的功能，提供定义存储过程/函数的工具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68</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数据库运维工具</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a)支持数据库、数据库存储对象结构、</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数据、统计信息更新维护；</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b)支持数据库创建、数据库修改、数据库删除、数据库模板维护；</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c)支持数据库任务自动化调度作业管理；</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d)支持图形化展示数据库管理的各种元数据界面，展示的内容具有层次性，包括模式、非模式数据字典信息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69</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监控跟踪工具</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a)收集和统计数据库某时间段的运行</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状态及性能信息，判断该时间的数据库运行性能瓶颈；</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b)支持系统状态监控能力，包括对集</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群、服务器和数据库状态的监控等；</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c)支持性能瓶颈跟踪、运行过程监测与调优；</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d)提供数据库实例、网络通信、数据库对象的跟踪日志，日志数据准确、完整；</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e)支持特定事件或事务发生时收集监控数据库活动事务数据；</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f)支持跟踪数据库等待事件；</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g)提供捕获并记录实例、数据库在特定时间点的状态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70</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图形化管理</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图形化远程启动、关闭数据库</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a)提供数据库资源配置向导；</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b)提供远程数据库服务启动、关闭功能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71</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图形化的开发工具</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厂商提供图形化的开发工具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72</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图形化运维工具</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厂商提供图形化的运维工具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73</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图形化展示工具</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厂商提供图形化数据展示工具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74</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图形界面配置参数基础功能</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a）基本配置参数：</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1）配置资源使用限额；</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2）配置连接数；</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3）配置白名单；</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b）逻辑存储配置：</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1）图形界面支持逻辑存储配置；</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2）提供图形化界面管理数据库对象逻辑空间分配功能；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c）提供图形界面配置参数功能，支持图形界面配置用户口令；</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d）配置审计：</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1）支持图形化界面配置审计策略；</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2）支持查看审计数据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75</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图形化管理数据库对象</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图形化管理统一的数据库实例、数据库日志文件、数据库运行模式、表对象、表数据存储空间、索引定义类型、视图、触发器、存储过程/函数、角色/用户权限、同义词、序列、外部表、物化视图、作业调度、数据库链接、分区表数据、服务器资源分配、自增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76</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★图形化监控</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a)支持多实例集成监控与管理；</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b）支持操作系统和网络资源集成监控与管理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77</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★图形化管理归档</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支持对归档模式、归档文件位置、归档启用/停用进行管理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78</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★图形化管理数据的备份、还原/恢复</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提供图形化管理数据的备份、还原/恢复的功能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79</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★图形化界面易用性</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a)支持浏览器图形界面管理；</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b)图形化管理工具界面窗口、选单、图标、文字、快捷键统一并易于理解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80</w:t>
            </w:r>
          </w:p>
        </w:tc>
        <w:tc>
          <w:tcPr>
            <w:tcW w:w="1221"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可靠性要求</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稳定运行</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稳定运行</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a)支持连续稳定运行；</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b)支持数据库管理系统运行风险的报警能力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81</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故障切换</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快速切换</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支持快速切换，在主数据库出现故障时，能够快速切换到备用数据库，保障业务正常运行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82</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恢复无断点</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支持无断点恢复能力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83</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容灾能力</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主备备份</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a)支持多副本，支持主副本与从副本之间的数据同步，最低时延由生产厂商提供；</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b)提供基于主机的数据库复制技术，包括基于日志的备用数据库和远程数据库备份技术，并具备数据副本间的复制能力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84</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实例容灾</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a)在任意数据库实例出现故障时，集群内服务正常运行，数据不丢失，集群整体业务可用；</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b)在实例故障、节点故障等单数据库实例故障时，RPO时间等于0，RTO时间小于30s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85</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容灾部署</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a)提供远程容灾部署与管理功能；</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b)提供生产中心与备份中心之间的容灾部署与管理功能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86</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同城容灾</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a)支持同城双中心部署，当主中心故障时，业务切换到备中心；</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b)由于网络、供电等原因造成的可用区级故障，触发集群计划外停机，在同城多可用区场景下，RPO时间等于0，RTO时间小于1分钟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87</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异地容灾</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a)城市级故障，比如地震，业务可以切换到异地；</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b)异地灾备场景支持两地三中心部署架构，在本地建立同城灾备中心，在异地建立异地灾备中心，RPO时间小于1分钟，RTO时间小于10分钟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88</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容错性</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服务端编程稳定性</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支持当用户自定义的存储过程、函数运行异常时，数据库稳定运行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89</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网络容错</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支持网络中断时，保障事务一致性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90</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检测报警</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a)支持数据库实例启动时错误检测能力；</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b)支持加载不同文件格式、不同大小数据出现错误时的故障检测和处理能力；</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c)支持数据库备份执行过程中发生故障时报错或者报警能力；</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d)支持数据库恢复发生故障时报错或者报警能力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91</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故障恢复</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a)系统故障重启后能正常运行且支持数据一致性；</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b)支持完全媒体故障恢复的能力；</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c)提供基于时间点故障恢复功能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92</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不同级别故障可恢复</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支持数据库事务故障、系统故障、存储媒体故障不同级别的可恢复能力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93</w:t>
            </w:r>
          </w:p>
        </w:tc>
        <w:tc>
          <w:tcPr>
            <w:tcW w:w="1221"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兼容要求</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软件兼容</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云化部署</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持虚拟化部署或容器化部署等云化部署方式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94</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硬件兼容</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硬件平台兼容</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a)同源支持以下至少三种CPU平台架</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构：</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1)ARM；</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2)LoongArch；</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3)MIPS；</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4)SW64；</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5)x86；</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b)支持SMP和NUMA的运行环境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95</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标准兼容</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ODBC</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支持ODBC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96</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JDBC</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支持JDBC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97</w:t>
            </w:r>
          </w:p>
        </w:tc>
        <w:tc>
          <w:tcPr>
            <w:tcW w:w="1221"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服务要求</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交付方式</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交付方式</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以光盘、便携式移动设备、镜像文件、在线下载等交付方式提供产品交付物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98</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服务周期</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产品维护周期</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产品自发布之日起至产品停止功能升级（包含不限于新特性、新硬件支持、问题修复、安全补丁等）之日止≥5年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99</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产品延伸服务周期</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产品停止功能升级之日起至产品停止功能维护（包括问题修复、安全补丁等）之日止≥4年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100</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产品延伸安全服务周期</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产品功能维护停止之日起至产品停止安全维护（包括中高风险漏洞修复）之日止≥2年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101</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售后服务最小保障期</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自销售之日起，产品售后服务周期≥6年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102</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供应链与服务保障</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供应链与服务保障基础要求</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a)提供多种形式支持服务，包含电话、电子邮件、远程连接等；</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b)提供技术支持服务，支持同城4h、异地12h响应要求，两个工作日解决问题，对于未能解决的问题和故障提供可行的升级方案；</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c)提供培训材料、产品手册、培训视频等培训相关内容；</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d)建立全国技术服务体系和服务团队，符合专业服务体系标准要求，提供原厂中文服务；</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e)服务周期内支持版本免费升级；</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f)开源产品对获得的社区源代码进行安全性和知识产权审查与管理；</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g)提供数据库参数、慢SQL语句的性能优化指南，包含性能优化的具体措施、技巧、案例及建议等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103</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★定制服务</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针对关键客户提供代码级定制优化服务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104</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★驻场服务</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提供原厂团队驻场服务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105</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★在线反馈</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支持在线问题反馈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106</w:t>
            </w:r>
          </w:p>
        </w:tc>
        <w:tc>
          <w:tcPr>
            <w:tcW w:w="1221"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安全要求</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基本要求</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基本要求</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数据库应当符合安全可靠测评要求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107</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基础安全</w:t>
            </w: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安全架构</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将系统管理员分为数据库管理员、数据库安全员和数据库审计员三种类型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108</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漏洞管理</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建立漏洞管理机制，及时通过邮件、网站等方式将安全漏洞告知用户，并提供安全补丁对漏洞进行修复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000000"/>
                <w:kern w:val="0"/>
                <w:sz w:val="24"/>
                <w:szCs w:val="24"/>
                <w:lang w:bidi="ar"/>
              </w:rPr>
              <w:t>10</w:t>
            </w:r>
            <w:r>
              <w:rPr>
                <w:rFonts w:hint="eastAsia" w:ascii="仿宋_GB2312" w:hAnsi="仿宋_GB2312" w:eastAsia="仿宋_GB2312" w:cs="仿宋_GB2312"/>
                <w:color w:val="000000"/>
                <w:kern w:val="0"/>
                <w:sz w:val="24"/>
                <w:szCs w:val="24"/>
                <w:lang w:val="en-US" w:eastAsia="zh-CN" w:bidi="ar"/>
              </w:rPr>
              <w:t>9</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295"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rPr>
              <w:t>★</w:t>
            </w:r>
            <w:r>
              <w:rPr>
                <w:rFonts w:hint="eastAsia" w:ascii="仿宋_GB2312" w:hAnsi="仿宋_GB2312" w:eastAsia="仿宋_GB2312" w:cs="仿宋_GB2312"/>
                <w:sz w:val="24"/>
                <w:szCs w:val="24"/>
              </w:rPr>
              <w:t>身份鉴别及访问控制</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提供身份鉴别及访问控制，加解密的密码要求符合GM/T0028的相关规定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110</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restart"/>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color w:val="00B0F0"/>
                <w:sz w:val="24"/>
                <w:szCs w:val="24"/>
              </w:rPr>
            </w:pPr>
            <w:r>
              <w:rPr>
                <w:rFonts w:hint="eastAsia" w:ascii="仿宋_GB2312" w:hAnsi="仿宋_GB2312" w:eastAsia="仿宋_GB2312" w:cs="仿宋_GB2312"/>
                <w:color w:val="auto"/>
                <w:kern w:val="0"/>
                <w:sz w:val="24"/>
                <w:szCs w:val="24"/>
              </w:rPr>
              <w:t>增强安全</w:t>
            </w:r>
          </w:p>
        </w:tc>
        <w:tc>
          <w:tcPr>
            <w:tcW w:w="1295" w:type="dxa"/>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★防篡改</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a)支持对指定的表开启防篡改能力，开启后，对重要数据的增、删、改操作，记录篡改校验信息，并提供篡改校验能力；</w:t>
            </w:r>
          </w:p>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b)支持对指定的表开启追溯能力，开启后，对数据的变更具有全向追溯能力，能够记录数据变更的历史信息以及相应的操作记录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111</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color w:val="00B0F0"/>
                <w:sz w:val="24"/>
                <w:szCs w:val="24"/>
              </w:rPr>
            </w:pPr>
          </w:p>
        </w:tc>
        <w:tc>
          <w:tcPr>
            <w:tcW w:w="1295" w:type="dxa"/>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★全密态</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支持全密态的等值、非等值查询能力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112</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color w:val="00B0F0"/>
                <w:sz w:val="24"/>
                <w:szCs w:val="24"/>
              </w:rPr>
            </w:pPr>
          </w:p>
        </w:tc>
        <w:tc>
          <w:tcPr>
            <w:tcW w:w="1295" w:type="dxa"/>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★安全扩展要求</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支持自身数据的动态脱敏和透明加密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113</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color w:val="00B0F0"/>
                <w:sz w:val="24"/>
                <w:szCs w:val="24"/>
              </w:rPr>
            </w:pPr>
          </w:p>
        </w:tc>
        <w:tc>
          <w:tcPr>
            <w:tcW w:w="1295" w:type="dxa"/>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★闪回查询</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支持数据库闪回查询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19" w:type="dxa"/>
            <w:vAlign w:val="center"/>
          </w:tcPr>
          <w:p>
            <w:pPr>
              <w:widowControl/>
              <w:spacing w:line="300" w:lineRule="exact"/>
              <w:jc w:val="center"/>
              <w:textAlignment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114</w:t>
            </w:r>
          </w:p>
        </w:tc>
        <w:tc>
          <w:tcPr>
            <w:tcW w:w="1221"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p>
        </w:tc>
        <w:tc>
          <w:tcPr>
            <w:tcW w:w="1313" w:type="dxa"/>
            <w:vMerge w:val="continue"/>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color w:val="00B0F0"/>
                <w:sz w:val="24"/>
                <w:szCs w:val="24"/>
              </w:rPr>
            </w:pPr>
          </w:p>
        </w:tc>
        <w:tc>
          <w:tcPr>
            <w:tcW w:w="1295" w:type="dxa"/>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★闪回恢复</w:t>
            </w:r>
          </w:p>
        </w:tc>
        <w:tc>
          <w:tcPr>
            <w:tcW w:w="4493" w:type="dxa"/>
            <w:vAlign w:val="center"/>
          </w:tcPr>
          <w:p>
            <w:pPr>
              <w:tabs>
                <w:tab w:val="left" w:pos="1106"/>
                <w:tab w:val="left" w:pos="2211"/>
                <w:tab w:val="left" w:pos="3317"/>
                <w:tab w:val="left" w:pos="4423"/>
                <w:tab w:val="left" w:pos="5528"/>
                <w:tab w:val="left" w:pos="6634"/>
                <w:tab w:val="left" w:pos="7740"/>
              </w:tabs>
              <w:spacing w:line="3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支持闪回查询实时恢复数据，支持不同级别（如库级、表级等）的闪回恢复</w:t>
            </w:r>
          </w:p>
        </w:tc>
      </w:tr>
    </w:tbl>
    <w:p>
      <w:pPr>
        <w:keepNext/>
        <w:keepLines/>
        <w:spacing w:line="400" w:lineRule="exact"/>
        <w:outlineLvl w:val="1"/>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7.国产化中间件技术指标要求：</w:t>
      </w:r>
    </w:p>
    <w:tbl>
      <w:tblPr>
        <w:tblStyle w:val="62"/>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168"/>
        <w:gridCol w:w="7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shd w:val="clear" w:color="auto" w:fill="auto"/>
            <w:vAlign w:val="center"/>
          </w:tcPr>
          <w:p>
            <w:pPr>
              <w:jc w:val="left"/>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序号</w:t>
            </w:r>
          </w:p>
        </w:tc>
        <w:tc>
          <w:tcPr>
            <w:tcW w:w="1168" w:type="dxa"/>
            <w:shd w:val="clear" w:color="auto" w:fill="auto"/>
            <w:vAlign w:val="center"/>
          </w:tcPr>
          <w:p>
            <w:pPr>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kern w:val="0"/>
                <w:sz w:val="24"/>
                <w:szCs w:val="24"/>
              </w:rPr>
              <w:t>指标分类</w:t>
            </w:r>
          </w:p>
        </w:tc>
        <w:tc>
          <w:tcPr>
            <w:tcW w:w="7130" w:type="dxa"/>
            <w:shd w:val="clear" w:color="auto" w:fill="auto"/>
            <w:vAlign w:val="center"/>
          </w:tcPr>
          <w:p>
            <w:pPr>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kern w:val="0"/>
                <w:sz w:val="24"/>
                <w:szCs w:val="24"/>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shd w:val="clear" w:color="auto" w:fill="auto"/>
            <w:vAlign w:val="center"/>
          </w:tcPr>
          <w:p>
            <w:pPr>
              <w:widowControl/>
              <w:jc w:val="center"/>
              <w:textAlignment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color w:val="000000"/>
                <w:kern w:val="0"/>
                <w:sz w:val="24"/>
                <w:szCs w:val="24"/>
                <w:lang w:bidi="ar"/>
              </w:rPr>
              <w:t>1</w:t>
            </w:r>
          </w:p>
        </w:tc>
        <w:tc>
          <w:tcPr>
            <w:tcW w:w="1168" w:type="dxa"/>
            <w:shd w:val="clear" w:color="auto" w:fill="auto"/>
            <w:vAlign w:val="center"/>
          </w:tcPr>
          <w:p>
            <w:pPr>
              <w:jc w:val="left"/>
              <w:rPr>
                <w:rFonts w:hint="eastAsia"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软件部署</w:t>
            </w:r>
          </w:p>
        </w:tc>
        <w:tc>
          <w:tcPr>
            <w:tcW w:w="7130" w:type="dxa"/>
            <w:shd w:val="clear" w:color="auto" w:fill="auto"/>
            <w:vAlign w:val="center"/>
          </w:tcPr>
          <w:p>
            <w:pPr>
              <w:jc w:val="left"/>
              <w:rPr>
                <w:rFonts w:hint="eastAsia"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国产化中间件支持Web服务器软件中间件及应用服务器中间件，两者二选一，可根据部署的业务软件选择其中一种作为数据库中间件。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功能要求</w:t>
            </w:r>
          </w:p>
        </w:tc>
        <w:tc>
          <w:tcPr>
            <w:tcW w:w="7130"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为适应业务需求，Web中间件产品需通过Q/KXY EDCC-XC/A-003-2024《信息技术应用创新兼容适配测试方法》的检验。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代码自研率</w:t>
            </w:r>
          </w:p>
        </w:tc>
        <w:tc>
          <w:tcPr>
            <w:tcW w:w="7130"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产品为自研产品，核心代码自主率满足至少99%代码自研率自主要求。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信息系统安全测评</w:t>
            </w:r>
          </w:p>
        </w:tc>
        <w:tc>
          <w:tcPr>
            <w:tcW w:w="7130"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确保产品安全可靠，规避中间件产品的安全漏洞威胁。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2"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5</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产品安全性</w:t>
            </w:r>
          </w:p>
        </w:tc>
        <w:tc>
          <w:tcPr>
            <w:tcW w:w="7130"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为确保Web中间件产品的安全性，产品需通过产品安全检验。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6</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权限控制机制</w:t>
            </w:r>
          </w:p>
        </w:tc>
        <w:tc>
          <w:tcPr>
            <w:tcW w:w="7130"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支持提供权限控制机制，限制不同用户的权限。提供审计日志功能，完整的记录用户的操作，包含时间、操作人员、操作类型、操作内容等，审计追溯违规行为，有效保护系统的安全性。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健康检查</w:t>
            </w:r>
          </w:p>
        </w:tc>
        <w:tc>
          <w:tcPr>
            <w:tcW w:w="7130"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支持动态脚本语言LUA实现高级特性，支持对后端实例节点做健康检查，包括主动和被动检查方式。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可视化集中管理</w:t>
            </w:r>
          </w:p>
        </w:tc>
        <w:tc>
          <w:tcPr>
            <w:tcW w:w="7130"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提供可视化集中管理控制台，支持负载服务跨节点安装、部署、主备模式、多实例模式搭建、参数设置等生命周期管理，提升运维管理效率。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代理模式</w:t>
            </w:r>
          </w:p>
        </w:tc>
        <w:tc>
          <w:tcPr>
            <w:tcW w:w="7130"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支持正向代理、反向代理；支持HTTP Connect方法做正向代理；支持组合多个请求的反向代理策略。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10</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熔断限流</w:t>
            </w:r>
          </w:p>
        </w:tc>
        <w:tc>
          <w:tcPr>
            <w:tcW w:w="7130"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支持熔断限流，基于监控内存、CPU和请求的响应时间，达到设定的阈值时拒绝所有请求，支持自定义熔断后续动作</w:t>
            </w:r>
            <w:r>
              <w:rPr>
                <w:rFonts w:hint="eastAsia" w:ascii="仿宋_GB2312" w:hAnsi="仿宋_GB2312" w:eastAsia="仿宋_GB2312" w:cs="仿宋_GB2312"/>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11</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流量控制策略</w:t>
            </w:r>
          </w:p>
        </w:tc>
        <w:tc>
          <w:tcPr>
            <w:tcW w:w="7130"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支持多种流量控制策略包括不限于请求数、传输速率、系统保护、并发连接数等参数做流量限制，允许对单个IP请求处理速率、请求连接数量进行控制，支持针对每个请求限制下载速度。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12</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模块管理</w:t>
            </w:r>
          </w:p>
        </w:tc>
        <w:tc>
          <w:tcPr>
            <w:tcW w:w="7130"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▲支持动态模块编译加载及模块在线管理，在运行时动态选择加载或卸载某些模块，扩展起来更加方便快捷，对业务零影响</w:t>
            </w:r>
            <w:r>
              <w:rPr>
                <w:rFonts w:hint="eastAsia" w:ascii="仿宋_GB2312" w:hAnsi="仿宋_GB2312" w:eastAsia="仿宋_GB2312" w:cs="仿宋_GB2312"/>
                <w:color w:val="auto"/>
                <w:kern w:val="0"/>
                <w:sz w:val="24"/>
                <w:szCs w:val="24"/>
              </w:rPr>
              <w:t>，提供相关功能界面截图。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13</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云原生能力成熟度</w:t>
            </w:r>
          </w:p>
        </w:tc>
        <w:tc>
          <w:tcPr>
            <w:tcW w:w="7130"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为适应业务需求，产品需通过Q/KXY MI002-2022《云原生能力成熟度模型 第五部分：中间件》的检验，并获得云原生中间件能力成熟度4级认证。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14</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服务器应用场景测试</w:t>
            </w:r>
          </w:p>
        </w:tc>
        <w:tc>
          <w:tcPr>
            <w:tcW w:w="7130"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为适应信创需求。产品需通过《GCC 7004-2020-服务器应用场景测试方法 Web应用》性能评测。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15</w:t>
            </w:r>
          </w:p>
        </w:tc>
        <w:tc>
          <w:tcPr>
            <w:tcW w:w="1168" w:type="dxa"/>
            <w:shd w:val="clear" w:color="auto" w:fill="auto"/>
            <w:vAlign w:val="center"/>
          </w:tcPr>
          <w:p>
            <w:pPr>
              <w:jc w:val="left"/>
              <w:rPr>
                <w:rFonts w:hint="eastAsia" w:ascii="仿宋_GB2312" w:hAnsi="仿宋_GB2312" w:eastAsia="仿宋_GB2312" w:cs="仿宋_GB2312"/>
                <w:sz w:val="24"/>
                <w:szCs w:val="24"/>
              </w:rPr>
            </w:pPr>
            <w:bookmarkStart w:id="43" w:name="_Hlk192173554"/>
            <w:r>
              <w:rPr>
                <w:rFonts w:hint="eastAsia" w:ascii="仿宋_GB2312" w:hAnsi="仿宋_GB2312" w:eastAsia="仿宋_GB2312" w:cs="仿宋_GB2312"/>
                <w:sz w:val="24"/>
                <w:szCs w:val="24"/>
              </w:rPr>
              <w:t>JAVA认证</w:t>
            </w:r>
          </w:p>
        </w:tc>
        <w:tc>
          <w:tcPr>
            <w:tcW w:w="7130"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通过JavaEE 7、JavaEE 8、JakartaEE 9.0、JakartaEE 9.1标准认证。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16</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轻量级</w:t>
            </w:r>
          </w:p>
        </w:tc>
        <w:tc>
          <w:tcPr>
            <w:tcW w:w="7130"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中间件产品提供适合PaaS平台部署的轻量级产品，提供支持SpringBoot内嵌中间件版本，支持SpringBoot1.x版本、SpringBoot2.x版本、SpringBoot3.x版本。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17</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兼容互认</w:t>
            </w:r>
          </w:p>
        </w:tc>
        <w:tc>
          <w:tcPr>
            <w:tcW w:w="7130"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支持国产化环境，如飞腾、龙芯、鲲鹏、海光、申威、兆芯等平台及麒麟、统信、中科方德等国产操作系统。支持国产数据库，如：神州通用、达梦、人大金仓、华为GaussDB、瀚高数据库等国产数据库</w:t>
            </w:r>
            <w:r>
              <w:rPr>
                <w:rFonts w:hint="eastAsia" w:ascii="仿宋_GB2312" w:hAnsi="仿宋_GB2312" w:eastAsia="仿宋_GB2312" w:cs="仿宋_GB2312"/>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18</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商用密码产品认证</w:t>
            </w:r>
          </w:p>
        </w:tc>
        <w:tc>
          <w:tcPr>
            <w:tcW w:w="7130"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产品标准和技术要求符合GM/T 0028《密码模块安全技术要求》第二级或以上要求</w:t>
            </w:r>
            <w:r>
              <w:rPr>
                <w:rFonts w:hint="eastAsia" w:ascii="仿宋_GB2312" w:hAnsi="仿宋_GB2312" w:eastAsia="仿宋_GB2312" w:cs="仿宋_GB2312"/>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4" w:hRule="atLeast"/>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19</w:t>
            </w:r>
          </w:p>
        </w:tc>
        <w:tc>
          <w:tcPr>
            <w:tcW w:w="1168" w:type="dxa"/>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应用Web接口</w:t>
            </w:r>
          </w:p>
        </w:tc>
        <w:tc>
          <w:tcPr>
            <w:tcW w:w="713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支持通过应用Web接口的QPS、并发数等指标对应用请求进行限流，限流包括快速失败、预热启动、排队等待等；支持通过应用Web接口的慢请求比例、异常比例、异常数等阈值，熔断Web接口请求。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20</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标准功能完善成熟</w:t>
            </w:r>
          </w:p>
        </w:tc>
        <w:tc>
          <w:tcPr>
            <w:tcW w:w="7130"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为证明中间件所有标准功能完善并且成熟，需通过软件产品单项功能测试。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21</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高可用</w:t>
            </w:r>
          </w:p>
        </w:tc>
        <w:tc>
          <w:tcPr>
            <w:tcW w:w="713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支持EJB集群，EJB集群需要支持多种负载管理算法（支持简单轮转、加权轮转、随机、备份等负载均衡策略等）和故障EJB自动隔离功能；EJB容器支持除了IIOP之外的自主序列化协议。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22</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集群管理</w:t>
            </w:r>
          </w:p>
        </w:tc>
        <w:tc>
          <w:tcPr>
            <w:tcW w:w="7130"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提供完善的集群技术与 Session 管理，内置分布式会话管理方案，支持 Sesison 数据配置接入分布式缓存实现 Sesison 数据的独立管理。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23</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自我保护安全防御</w:t>
            </w:r>
          </w:p>
        </w:tc>
        <w:tc>
          <w:tcPr>
            <w:tcW w:w="7130"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产品具备应用运行时自我保护安全防御机制，支持依据上下文及关键函数的参数等信息动态判断恶意攻击，实时进行安全阻断，内置常见安全漏洞防御选项，灵活配置防御策略，实现对多种攻击手段如SQL注入、命令注入、文件目录列表等进行检测和拦截，并记录攻击的细节信息备查，同时根据攻击事件，发现应用存在的安全漏洞，并提出修复意见。确保产品安全可靠，规避中间件产品的安全漏洞威胁，需支持用户认证、授权；三员分立；国密算法等。</w:t>
            </w:r>
            <w:r>
              <w:rPr>
                <w:rFonts w:hint="eastAsia" w:ascii="仿宋_GB2312" w:hAnsi="仿宋_GB2312" w:eastAsia="仿宋_GB2312" w:cs="仿宋_GB2312"/>
                <w:color w:val="auto"/>
                <w:kern w:val="0"/>
                <w:sz w:val="24"/>
                <w:szCs w:val="24"/>
              </w:rPr>
              <w:t>提供相关功能界面截图。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24</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安全攻击防护</w:t>
            </w:r>
          </w:p>
        </w:tc>
        <w:tc>
          <w:tcPr>
            <w:tcW w:w="7130"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支持拦截多种web安全攻击，包括命令注入、SQL注入、任意文件下载和读取、文件目录列出、任意文件上传、SSRF、文件包含、Struts OGNL代码执行、远程命令执行、XXE、反序列化漏洞、反射型XSS、WebShell等。支持安全防护统计功能。包含攻击次数、攻击类型、Top10攻击来源、Top10被攻击URL等信息。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25</w:t>
            </w:r>
          </w:p>
        </w:tc>
        <w:tc>
          <w:tcPr>
            <w:tcW w:w="1168" w:type="dxa"/>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产品安全性</w:t>
            </w:r>
          </w:p>
        </w:tc>
        <w:tc>
          <w:tcPr>
            <w:tcW w:w="7130"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保障产品安全性，应对产品进行安全功能测试和渗透测试，为确保测试全面，安全检测应覆盖SQL注入、XSS跨站、访问控制、身份验证、逻辑型漏洞、敏感信息泄露、文件操作、安全配置漏洞、会话管理、接口参数、端口测试等几个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26</w:t>
            </w:r>
          </w:p>
        </w:tc>
        <w:tc>
          <w:tcPr>
            <w:tcW w:w="1168" w:type="dxa"/>
            <w:tcBorders>
              <w:bottom w:val="single" w:color="auto" w:sz="4" w:space="0"/>
            </w:tcBorders>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用户访问能力</w:t>
            </w:r>
          </w:p>
        </w:tc>
        <w:tc>
          <w:tcPr>
            <w:tcW w:w="7130"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为保证系统稳定运行，提供在全国产环境下满足至少五十万在线用户访问能力，平均响应时间低于300毫秒，事务通过率≥98%。</w:t>
            </w:r>
          </w:p>
        </w:tc>
      </w:tr>
      <w:bookmarkEnd w:id="43"/>
    </w:tbl>
    <w:p>
      <w:pPr>
        <w:spacing w:line="400" w:lineRule="exact"/>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三、</w:t>
      </w:r>
      <w:r>
        <w:rPr>
          <w:rFonts w:hint="eastAsia" w:ascii="仿宋_GB2312" w:hAnsi="仿宋_GB2312" w:eastAsia="仿宋_GB2312" w:cs="仿宋_GB2312"/>
          <w:b/>
          <w:bCs/>
          <w:sz w:val="24"/>
          <w:szCs w:val="24"/>
        </w:rPr>
        <w:t>服务及其他要求：</w:t>
      </w:r>
    </w:p>
    <w:p>
      <w:pPr>
        <w:spacing w:line="40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中标人必须保证所有设备为原装正规渠道行货,有原厂服务、如有需要则提供正规渠道等证明，所有产品均原包装到用户，当场开箱验货同时提供该设备相关技术参数的原厂技术说明或者产品功能测试。如不符合</w:t>
      </w:r>
      <w:r>
        <w:rPr>
          <w:rFonts w:hint="eastAsia" w:ascii="仿宋_GB2312" w:hAnsi="仿宋_GB2312" w:eastAsia="仿宋_GB2312" w:cs="仿宋_GB2312"/>
          <w:sz w:val="24"/>
          <w:szCs w:val="24"/>
          <w:lang w:val="en-US" w:eastAsia="zh-CN"/>
        </w:rPr>
        <w:t>招标文件及所投产品</w:t>
      </w:r>
      <w:r>
        <w:rPr>
          <w:rFonts w:hint="eastAsia" w:ascii="仿宋_GB2312" w:hAnsi="仿宋_GB2312" w:eastAsia="仿宋_GB2312" w:cs="仿宋_GB2312"/>
          <w:sz w:val="24"/>
          <w:szCs w:val="24"/>
        </w:rPr>
        <w:t>技术要求</w:t>
      </w:r>
      <w:r>
        <w:rPr>
          <w:rFonts w:hint="eastAsia" w:ascii="仿宋_GB2312" w:hAnsi="仿宋_GB2312" w:eastAsia="仿宋_GB2312" w:cs="仿宋_GB2312"/>
          <w:sz w:val="24"/>
          <w:szCs w:val="24"/>
        </w:rPr>
        <w:t>,招标人有权退货并且后果一概由中标人承担。</w:t>
      </w:r>
    </w:p>
    <w:p>
      <w:pPr>
        <w:spacing w:line="40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为保证项目顺利实施和后续维护服务，项目须由中标人实施不允许转包，中标人中标后确定一名具有信息系统项目管理师资质的项目经理，项目经理负责组织和协调项目工作组提供本项目的建设和维护工作，项目工作组成员应包括项目经理和投标书中项目团队工程师，承诺中标后项目团队人员在项目实施过程中均到招标人现场进行项目实施，在项目维保期内，投标方承诺提供本地技术支持和服务，提供项目组成员资质证明和本单位社保证明，否则招标人将终止合同，如发现项目转包</w:t>
      </w:r>
      <w:r>
        <w:rPr>
          <w:rFonts w:hint="eastAsia" w:ascii="仿宋_GB2312" w:hAnsi="仿宋_GB2312" w:eastAsia="仿宋_GB2312" w:cs="仿宋_GB2312"/>
          <w:sz w:val="24"/>
          <w:szCs w:val="24"/>
        </w:rPr>
        <w:t>，取消其中标资格且后果一概由中标人承担。</w:t>
      </w:r>
    </w:p>
    <w:p>
      <w:pPr>
        <w:spacing w:line="40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供货时提供硬件设备的原厂五年质保函(复印件无效，服务承诺书要求有明确服务年限)。由原厂授权工程师和原厂认证工程师到本地完成招标设备和原有设备的配置安装工作，切割医院核心网络和保证原有数据库和虚拟机系统不间断迁移服务等配置工作,不得影响原有业务系统，要求做好原有系统相关的原有硬件设备升级工作，本项目涉及招标人内部业务系统及原有设备调整所产生的所有费用均包含在投标报价中。</w:t>
      </w:r>
    </w:p>
    <w:p>
      <w:pPr>
        <w:spacing w:line="40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4.到货期及验收标准要求</w:t>
      </w:r>
    </w:p>
    <w:p>
      <w:pPr>
        <w:spacing w:line="40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在合同签订之日起30个工作日内所有设备全部到货（用户根据工程进度需要延迟的除外），开箱验收后根据招标人要求完成安装调试，安装过程中用户不负责保管，直至系统正式上线的所有费用由中标人自行负责。验收以采购文件和技术文件、投标文件、合同及安装技术要求为依据。</w:t>
      </w:r>
    </w:p>
    <w:p>
      <w:pPr>
        <w:spacing w:line="40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5.项目售后服务要求</w:t>
      </w:r>
    </w:p>
    <w:p>
      <w:pPr>
        <w:spacing w:line="400" w:lineRule="exact"/>
        <w:ind w:firstLine="480" w:firstLineChars="200"/>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000000" w:themeColor="text1"/>
          <w:sz w:val="24"/>
          <w:szCs w:val="24"/>
          <w14:textFill>
            <w14:solidFill>
              <w14:schemeClr w14:val="tx1"/>
            </w14:solidFill>
          </w14:textFill>
        </w:rPr>
        <w:t>5.1服务和授权：超融合服务器、仲裁节点、堡垒机等硬件原厂五年质保服务，</w:t>
      </w:r>
      <w:r>
        <w:rPr>
          <w:rFonts w:hint="eastAsia" w:ascii="仿宋_GB2312" w:hAnsi="仿宋_GB2312" w:eastAsia="仿宋_GB2312" w:cs="仿宋_GB2312"/>
          <w:color w:val="auto"/>
          <w:kern w:val="0"/>
          <w:sz w:val="24"/>
          <w:szCs w:val="24"/>
        </w:rPr>
        <w:t>不超过4小时现场响应服务，操作系统、中间件、数据库三年原厂质保。中标商在供货时有义务配合用户进行核实。</w:t>
      </w:r>
    </w:p>
    <w:p>
      <w:pPr>
        <w:spacing w:line="400" w:lineRule="exact"/>
        <w:ind w:firstLine="480" w:firstLineChars="200"/>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5.2中标人必须根据本次招标文件所制定的目标和范围，提出相应的售后服务方案。提供7*24小时日常服务，通过提供邮件、电话、QQ、VPN远程连接等技术支持方式，以解决日常系统出现的问题咨询和故障处理。当甲方出现紧急故障情况时，立即向中标人电话报修，要求中标人10分钟内响应，积极配合诊断并进行处理。</w:t>
      </w:r>
    </w:p>
    <w:p>
      <w:pPr>
        <w:spacing w:line="400" w:lineRule="exact"/>
        <w:ind w:firstLine="480" w:firstLineChars="200"/>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6.付款方式</w:t>
      </w:r>
    </w:p>
    <w:p>
      <w:pPr>
        <w:spacing w:line="400" w:lineRule="exact"/>
        <w:ind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szCs w:val="24"/>
          <w:lang w:val="zh-CN"/>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pPr>
        <w:kinsoku/>
        <w:wordWrap w:val="0"/>
        <w:overflowPunct/>
        <w:topLinePunct w:val="0"/>
        <w:bidi w:val="0"/>
        <w:spacing w:line="360" w:lineRule="auto"/>
        <w:outlineLvl w:val="0"/>
        <w:rPr>
          <w:rFonts w:hint="eastAsia" w:ascii="仿宋" w:hAnsi="仿宋" w:eastAsia="仿宋" w:cs="仿宋"/>
          <w:b/>
          <w:color w:val="auto"/>
          <w:sz w:val="36"/>
          <w:szCs w:val="36"/>
          <w:highlight w:val="none"/>
        </w:rPr>
      </w:pPr>
    </w:p>
    <w:p>
      <w:pPr>
        <w:pStyle w:val="7"/>
        <w:kinsoku/>
        <w:wordWrap w:val="0"/>
        <w:overflowPunct/>
        <w:topLinePunct w:val="0"/>
        <w:bidi w:val="0"/>
        <w:rPr>
          <w:rFonts w:hint="eastAsia"/>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insoku/>
        <w:wordWrap w:val="0"/>
        <w:overflowPunct/>
        <w:topLinePunct w:val="0"/>
        <w:bidi w:val="0"/>
        <w:spacing w:line="360" w:lineRule="auto"/>
        <w:ind w:left="720" w:leftChars="343" w:firstLine="1084" w:firstLineChars="300"/>
        <w:outlineLvl w:val="0"/>
        <w:rPr>
          <w:rFonts w:hint="eastAsia" w:ascii="仿宋" w:hAnsi="仿宋" w:eastAsia="仿宋" w:cs="仿宋"/>
          <w:b/>
          <w:color w:val="auto"/>
          <w:sz w:val="36"/>
          <w:szCs w:val="36"/>
          <w:highlight w:val="none"/>
        </w:rPr>
      </w:pP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jc w:val="center"/>
        <w:textAlignment w:val="auto"/>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pPr>
        <w:kinsoku/>
        <w:wordWrap w:val="0"/>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pPr>
        <w:pStyle w:val="7"/>
        <w:kinsoku/>
        <w:wordWrap w:val="0"/>
        <w:overflowPunct/>
        <w:topLinePunct w:val="0"/>
        <w:bidi w:val="0"/>
        <w:rPr>
          <w:rFonts w:hint="default" w:ascii="仿宋_GB2312" w:hAnsi="仿宋" w:eastAsia="仿宋_GB2312" w:cs="Times New Roman"/>
          <w:b/>
          <w:color w:val="auto"/>
          <w:kern w:val="2"/>
          <w:sz w:val="32"/>
          <w:szCs w:val="32"/>
          <w:highlight w:val="none"/>
        </w:rPr>
      </w:pPr>
    </w:p>
    <w:p>
      <w:pPr>
        <w:kinsoku/>
        <w:wordWrap w:val="0"/>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pPr>
        <w:kinsoku/>
        <w:wordWrap w:val="0"/>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pPr>
        <w:widowControl w:val="0"/>
        <w:kinsoku/>
        <w:wordWrap w:val="0"/>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pPr>
        <w:kinsoku/>
        <w:wordWrap w:val="0"/>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pPr>
        <w:numPr>
          <w:ilvl w:val="-1"/>
          <w:numId w:val="0"/>
        </w:num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pPr>
        <w:kinsoku/>
        <w:wordWrap w:val="0"/>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pPr>
        <w:kinsoku/>
        <w:wordWrap w:val="0"/>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widowControl w:val="0"/>
        <w:kinsoku/>
        <w:wordWrap w:val="0"/>
        <w:overflowPunct/>
        <w:topLinePunct w:val="0"/>
        <w:autoSpaceDE/>
        <w:autoSpaceDN/>
        <w:bidi w:val="0"/>
        <w:adjustRightInd/>
        <w:snapToGrid/>
        <w:spacing w:beforeAutospacing="0" w:afterAutospacing="0" w:line="440" w:lineRule="exact"/>
        <w:ind w:left="-420" w:leftChars="-200" w:right="-420" w:rightChars="-200" w:firstLine="482" w:firstLineChars="200"/>
        <w:jc w:val="center"/>
        <w:textAlignment w:val="auto"/>
        <w:rPr>
          <w:rFonts w:hint="eastAsia" w:ascii="仿宋" w:hAnsi="仿宋" w:eastAsia="仿宋" w:cs="仿宋"/>
          <w:color w:val="auto"/>
          <w:kern w:val="0"/>
          <w:sz w:val="24"/>
          <w:szCs w:val="20"/>
          <w:highlight w:val="none"/>
        </w:rPr>
      </w:pPr>
      <w:bookmarkStart w:id="44" w:name="_Toc22209"/>
      <w:r>
        <w:rPr>
          <w:rFonts w:hint="eastAsia" w:ascii="仿宋" w:hAnsi="仿宋" w:eastAsia="仿宋" w:cs="仿宋"/>
          <w:b/>
          <w:bCs/>
          <w:color w:val="auto"/>
          <w:kern w:val="0"/>
          <w:sz w:val="24"/>
          <w:szCs w:val="20"/>
          <w:highlight w:val="none"/>
        </w:rPr>
        <w:t>第一节 政府采购合同协议书</w:t>
      </w:r>
      <w:bookmarkEnd w:id="44"/>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pPr>
        <w:kinsoku/>
        <w:wordWrap w:val="0"/>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pPr>
        <w:kinsoku/>
        <w:wordWrap w:val="0"/>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pPr>
        <w:kinsoku/>
        <w:wordWrap w:val="0"/>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pPr>
        <w:numPr>
          <w:ilvl w:val="0"/>
          <w:numId w:val="3"/>
        </w:numPr>
        <w:kinsoku/>
        <w:wordWrap w:val="0"/>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pPr>
        <w:numPr>
          <w:ilvl w:val="-1"/>
          <w:numId w:val="0"/>
        </w:numPr>
        <w:kinsoku/>
        <w:wordWrap w:val="0"/>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4"/>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4"/>
        </w:num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pPr>
        <w:kinsoku/>
        <w:wordWrap w:val="0"/>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pPr>
        <w:kinsoku/>
        <w:wordWrap w:val="0"/>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（应明确预付款的支付比例和支付条件）</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pPr>
        <w:kinsoku/>
        <w:wordWrap w:val="0"/>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pPr>
        <w:kinsoku/>
        <w:wordWrap w:val="0"/>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numPr>
          <w:ilvl w:val="0"/>
          <w:numId w:val="0"/>
        </w:num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pPr>
        <w:kinsoku/>
        <w:wordWrap w:val="0"/>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pPr>
        <w:kinsoku/>
        <w:wordWrap w:val="0"/>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pPr>
              <w:kinsoku/>
              <w:wordWrap w:val="0"/>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pPr>
        <w:numPr>
          <w:ilvl w:val="0"/>
          <w:numId w:val="5"/>
        </w:numPr>
        <w:kinsoku/>
        <w:wordWrap w:val="0"/>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45" w:name="_Toc27624"/>
      <w:r>
        <w:rPr>
          <w:rFonts w:hint="eastAsia" w:ascii="仿宋" w:hAnsi="仿宋" w:eastAsia="仿宋" w:cs="仿宋"/>
          <w:b/>
          <w:bCs/>
          <w:color w:val="auto"/>
          <w:kern w:val="0"/>
          <w:sz w:val="24"/>
          <w:szCs w:val="20"/>
          <w:highlight w:val="none"/>
        </w:rPr>
        <w:t>政府采购合同通用条款</w:t>
      </w:r>
      <w:bookmarkEnd w:id="45"/>
    </w:p>
    <w:p>
      <w:pPr>
        <w:numPr>
          <w:ilvl w:val="-1"/>
          <w:numId w:val="0"/>
        </w:numPr>
        <w:kinsoku/>
        <w:wordWrap w:val="0"/>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pPr>
        <w:numPr>
          <w:ilvl w:val="0"/>
          <w:numId w:val="0"/>
        </w:numPr>
        <w:kinsoku/>
        <w:wordWrap w:val="0"/>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pPr>
        <w:numPr>
          <w:ilvl w:val="-1"/>
          <w:numId w:val="0"/>
        </w:num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pPr>
        <w:numPr>
          <w:ilvl w:val="0"/>
          <w:numId w:val="0"/>
        </w:numPr>
        <w:kinsoku/>
        <w:wordWrap w:val="0"/>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pPr>
        <w:kinsoku/>
        <w:wordWrap w:val="0"/>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pPr>
        <w:kinsoku/>
        <w:wordWrap w:val="0"/>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.1 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将争议提交绍兴仲裁委员会仲裁。</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pPr>
        <w:kinsoku/>
        <w:wordWrap w:val="0"/>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pPr>
        <w:numPr>
          <w:ilvl w:val="0"/>
          <w:numId w:val="0"/>
        </w:numPr>
        <w:kinsoku/>
        <w:wordWrap w:val="0"/>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pPr>
        <w:kinsoku/>
        <w:wordWrap w:val="0"/>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47" w:name="_Toc20313"/>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pPr>
        <w:kinsoku/>
        <w:wordWrap w:val="0"/>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47"/>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tcBorders>
              <w:top w:val="single" w:color="auto" w:sz="2" w:space="0"/>
              <w:left w:val="single" w:color="auto" w:sz="2" w:space="0"/>
              <w:right w:val="single" w:color="auto" w:sz="2" w:space="0"/>
            </w:tcBorders>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pPr>
              <w:kinsoku/>
              <w:wordWrap w:val="0"/>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pPr>
              <w:kinsoku/>
              <w:wordWrap w:val="0"/>
              <w:overflowPunct/>
              <w:topLinePunct w:val="0"/>
              <w:bidi w:val="0"/>
              <w:spacing w:beforeAutospacing="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noWrap w:val="0"/>
            <w:vAlign w:val="center"/>
          </w:tcPr>
          <w:p>
            <w:pPr>
              <w:kinsoku/>
              <w:wordWrap w:val="0"/>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pPr>
              <w:kinsoku/>
              <w:wordWrap w:val="0"/>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2"/>
        <w:tblW w:w="9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19"/>
        <w:gridCol w:w="6597"/>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0" w:type="dxa"/>
            <w:vAlign w:val="center"/>
          </w:tcPr>
          <w:p>
            <w:pPr>
              <w:spacing w:line="40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1219" w:type="dxa"/>
            <w:vAlign w:val="center"/>
          </w:tcPr>
          <w:p>
            <w:pPr>
              <w:spacing w:line="40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评分项目</w:t>
            </w:r>
          </w:p>
        </w:tc>
        <w:tc>
          <w:tcPr>
            <w:tcW w:w="6597" w:type="dxa"/>
            <w:vAlign w:val="center"/>
          </w:tcPr>
          <w:p>
            <w:pPr>
              <w:spacing w:line="40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评分细则</w:t>
            </w:r>
          </w:p>
        </w:tc>
        <w:tc>
          <w:tcPr>
            <w:tcW w:w="716" w:type="dxa"/>
            <w:vAlign w:val="center"/>
          </w:tcPr>
          <w:p>
            <w:pPr>
              <w:spacing w:line="40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219"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技术参数偏离情况</w:t>
            </w:r>
          </w:p>
        </w:tc>
        <w:tc>
          <w:tcPr>
            <w:tcW w:w="6597" w:type="dxa"/>
            <w:vAlign w:val="center"/>
          </w:tcPr>
          <w:p>
            <w:pPr>
              <w:spacing w:line="400" w:lineRule="exact"/>
              <w:jc w:val="left"/>
              <w:rPr>
                <w:rFonts w:hint="eastAsia" w:ascii="仿宋_GB2312" w:hAnsi="仿宋_GB2312" w:eastAsia="仿宋_GB2312" w:cs="仿宋_GB2312"/>
                <w:sz w:val="24"/>
              </w:rPr>
            </w:pPr>
            <w:r>
              <w:rPr>
                <w:rFonts w:hint="eastAsia" w:ascii="仿宋_GB2312" w:hAnsi="仿宋_GB2312" w:eastAsia="仿宋_GB2312" w:cs="仿宋_GB2312"/>
                <w:sz w:val="24"/>
              </w:rPr>
              <w:t>技术参数响应情况：对应于招标文件第三部分招标项目范围及要求——“二、详细技术指标要求”，完全满足指标参数得30分。打“★”号的性能指标为实质性指标，若出现负偏离作无效标处理；打“▲”为主要性能指标，每有一项负偏离扣2分；其他指标，每有一项负偏离扣1分，扣完为止。</w:t>
            </w:r>
          </w:p>
        </w:tc>
        <w:tc>
          <w:tcPr>
            <w:tcW w:w="716"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219"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类似业绩</w:t>
            </w:r>
          </w:p>
        </w:tc>
        <w:tc>
          <w:tcPr>
            <w:tcW w:w="6597" w:type="dxa"/>
            <w:vAlign w:val="center"/>
          </w:tcPr>
          <w:p>
            <w:pPr>
              <w:spacing w:line="400" w:lineRule="exact"/>
              <w:jc w:val="left"/>
              <w:rPr>
                <w:rFonts w:hint="eastAsia" w:ascii="仿宋_GB2312" w:hAnsi="仿宋_GB2312" w:eastAsia="仿宋_GB2312" w:cs="仿宋_GB2312"/>
                <w:sz w:val="24"/>
                <w:lang w:val="zh-CN"/>
              </w:rPr>
            </w:pPr>
            <w:r>
              <w:rPr>
                <w:rFonts w:hint="eastAsia" w:ascii="仿宋_GB2312" w:hAnsi="仿宋_GB2312" w:eastAsia="仿宋_GB2312" w:cs="仿宋_GB2312"/>
                <w:sz w:val="24"/>
                <w:lang w:val="zh-CN"/>
              </w:rPr>
              <w:t>投标人自202</w:t>
            </w:r>
            <w:r>
              <w:rPr>
                <w:rFonts w:hint="eastAsia" w:ascii="仿宋_GB2312" w:hAnsi="仿宋_GB2312" w:eastAsia="仿宋_GB2312" w:cs="仿宋_GB2312"/>
                <w:sz w:val="24"/>
              </w:rPr>
              <w:t>2</w:t>
            </w:r>
            <w:r>
              <w:rPr>
                <w:rFonts w:hint="eastAsia" w:ascii="仿宋_GB2312" w:hAnsi="仿宋_GB2312" w:eastAsia="仿宋_GB2312" w:cs="仿宋_GB2312"/>
                <w:sz w:val="24"/>
                <w:lang w:val="zh-CN"/>
              </w:rPr>
              <w:t>年</w:t>
            </w:r>
            <w:r>
              <w:rPr>
                <w:rFonts w:hint="eastAsia" w:ascii="仿宋_GB2312" w:hAnsi="仿宋_GB2312" w:eastAsia="仿宋_GB2312" w:cs="仿宋_GB2312"/>
                <w:sz w:val="24"/>
              </w:rPr>
              <w:t>7</w:t>
            </w:r>
            <w:r>
              <w:rPr>
                <w:rFonts w:hint="eastAsia" w:ascii="仿宋_GB2312" w:hAnsi="仿宋_GB2312" w:eastAsia="仿宋_GB2312" w:cs="仿宋_GB2312"/>
                <w:sz w:val="24"/>
                <w:lang w:val="zh-CN"/>
              </w:rPr>
              <w:t>月1日以来（以合同签订时间为准）完成的同类案例，每有1个得1分，满分3分。</w:t>
            </w:r>
          </w:p>
          <w:p>
            <w:pPr>
              <w:spacing w:line="400" w:lineRule="exact"/>
              <w:jc w:val="left"/>
              <w:rPr>
                <w:rFonts w:hint="eastAsia" w:ascii="仿宋_GB2312" w:hAnsi="仿宋_GB2312" w:eastAsia="仿宋_GB2312" w:cs="仿宋_GB2312"/>
                <w:sz w:val="24"/>
              </w:rPr>
            </w:pPr>
            <w:r>
              <w:rPr>
                <w:rFonts w:hint="eastAsia" w:ascii="仿宋_GB2312" w:hAnsi="仿宋_GB2312" w:eastAsia="仿宋_GB2312" w:cs="仿宋_GB2312"/>
                <w:b/>
                <w:bCs/>
                <w:sz w:val="24"/>
                <w:lang w:val="zh-CN"/>
              </w:rPr>
              <w:t>注：1.每个案例提供合同和验收报告复印件，并加盖投标人公章。2.投标产品为省级以上主管部门认定的首台套产品，自纳入《省推广应用指导目录》起三年内参加政府采购活动，视同已具备相应销售业绩，业绩分为满分。</w:t>
            </w:r>
          </w:p>
        </w:tc>
        <w:tc>
          <w:tcPr>
            <w:tcW w:w="716"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219"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项目整体方案</w:t>
            </w:r>
          </w:p>
        </w:tc>
        <w:tc>
          <w:tcPr>
            <w:tcW w:w="6597" w:type="dxa"/>
            <w:vAlign w:val="center"/>
          </w:tcPr>
          <w:p>
            <w:pPr>
              <w:spacing w:line="400" w:lineRule="exact"/>
              <w:jc w:val="left"/>
              <w:rPr>
                <w:rFonts w:hint="eastAsia" w:ascii="仿宋_GB2312" w:hAnsi="仿宋_GB2312" w:eastAsia="仿宋_GB2312" w:cs="仿宋_GB2312"/>
                <w:sz w:val="24"/>
              </w:rPr>
            </w:pPr>
            <w:r>
              <w:rPr>
                <w:rFonts w:hint="eastAsia" w:ascii="仿宋_GB2312" w:hAnsi="仿宋_GB2312" w:eastAsia="仿宋_GB2312" w:cs="仿宋_GB2312"/>
                <w:caps/>
                <w:sz w:val="24"/>
              </w:rPr>
              <w:t>根据投标人提供的项目整体方案进行打分，包括但不限于总体设计、建设方案和产品选型等、对基本功能的理解与实现等(本项分值设置为5,4,3,2,1,0.5,0分)。</w:t>
            </w:r>
          </w:p>
        </w:tc>
        <w:tc>
          <w:tcPr>
            <w:tcW w:w="716"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219"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caps/>
                <w:sz w:val="24"/>
              </w:rPr>
              <w:t>项目</w:t>
            </w:r>
            <w:r>
              <w:rPr>
                <w:rFonts w:hint="eastAsia" w:ascii="仿宋_GB2312" w:hAnsi="仿宋_GB2312" w:eastAsia="仿宋_GB2312" w:cs="仿宋_GB2312"/>
                <w:sz w:val="24"/>
              </w:rPr>
              <w:t>实施方案</w:t>
            </w:r>
          </w:p>
        </w:tc>
        <w:tc>
          <w:tcPr>
            <w:tcW w:w="6597" w:type="dxa"/>
            <w:vAlign w:val="center"/>
          </w:tcPr>
          <w:p>
            <w:pPr>
              <w:spacing w:line="400" w:lineRule="exact"/>
              <w:jc w:val="left"/>
              <w:rPr>
                <w:rFonts w:hint="eastAsia" w:ascii="仿宋_GB2312" w:hAnsi="仿宋_GB2312" w:eastAsia="仿宋_GB2312" w:cs="仿宋_GB2312"/>
                <w:sz w:val="24"/>
              </w:rPr>
            </w:pPr>
            <w:r>
              <w:rPr>
                <w:rFonts w:hint="eastAsia" w:ascii="仿宋_GB2312" w:hAnsi="仿宋_GB2312" w:eastAsia="仿宋_GB2312" w:cs="仿宋_GB2312"/>
                <w:caps/>
                <w:sz w:val="24"/>
              </w:rPr>
              <w:t>根据投标人提供项目实施方案进行打分，包括但不限有详尽合理的实施措施、明确任务分工、时间安排等。(本项分值设置为5,4,3,2,1,0.5,0分)。</w:t>
            </w:r>
          </w:p>
        </w:tc>
        <w:tc>
          <w:tcPr>
            <w:tcW w:w="716"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restart"/>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219" w:type="dxa"/>
            <w:vMerge w:val="restart"/>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质量保障及应急方案</w:t>
            </w:r>
          </w:p>
        </w:tc>
        <w:tc>
          <w:tcPr>
            <w:tcW w:w="6597" w:type="dxa"/>
            <w:vAlign w:val="center"/>
          </w:tcPr>
          <w:p>
            <w:pPr>
              <w:spacing w:line="400" w:lineRule="exact"/>
              <w:rPr>
                <w:rFonts w:hint="eastAsia" w:ascii="仿宋_GB2312" w:hAnsi="仿宋_GB2312" w:eastAsia="仿宋_GB2312" w:cs="仿宋_GB2312"/>
                <w:sz w:val="24"/>
              </w:rPr>
            </w:pPr>
            <w:r>
              <w:rPr>
                <w:rFonts w:hint="eastAsia" w:ascii="仿宋_GB2312" w:hAnsi="仿宋_GB2312" w:eastAsia="仿宋_GB2312" w:cs="仿宋_GB2312"/>
                <w:caps/>
                <w:sz w:val="24"/>
              </w:rPr>
              <w:t>根据投标人提供的质量保障方案进行打分，包括但不限于明确的建设质量目标，质量管理措施，并具有详细可行的实施内容等。(本项分值设置为3,2,1,0.5,0分)。</w:t>
            </w:r>
          </w:p>
        </w:tc>
        <w:tc>
          <w:tcPr>
            <w:tcW w:w="716"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spacing w:line="400" w:lineRule="exact"/>
              <w:jc w:val="center"/>
              <w:rPr>
                <w:rFonts w:hint="eastAsia" w:ascii="仿宋_GB2312" w:hAnsi="仿宋_GB2312" w:eastAsia="仿宋_GB2312" w:cs="仿宋_GB2312"/>
                <w:sz w:val="24"/>
              </w:rPr>
            </w:pPr>
          </w:p>
        </w:tc>
        <w:tc>
          <w:tcPr>
            <w:tcW w:w="1219" w:type="dxa"/>
            <w:vMerge w:val="continue"/>
            <w:vAlign w:val="center"/>
          </w:tcPr>
          <w:p>
            <w:pPr>
              <w:spacing w:line="400" w:lineRule="exact"/>
              <w:jc w:val="center"/>
              <w:rPr>
                <w:rFonts w:hint="eastAsia" w:ascii="仿宋_GB2312" w:hAnsi="仿宋_GB2312" w:eastAsia="仿宋_GB2312" w:cs="仿宋_GB2312"/>
                <w:sz w:val="24"/>
              </w:rPr>
            </w:pPr>
          </w:p>
        </w:tc>
        <w:tc>
          <w:tcPr>
            <w:tcW w:w="6597" w:type="dxa"/>
            <w:vAlign w:val="center"/>
          </w:tcPr>
          <w:p>
            <w:pPr>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color w:val="000000" w:themeColor="text1"/>
                <w:sz w:val="24"/>
                <w14:textFill>
                  <w14:solidFill>
                    <w14:schemeClr w14:val="tx1"/>
                  </w14:solidFill>
                </w14:textFill>
              </w:rPr>
              <w:t>根据投标人提供针对本项目的应急方案进行打分，包括</w:t>
            </w:r>
            <w:r>
              <w:rPr>
                <w:rFonts w:hint="eastAsia" w:ascii="仿宋_GB2312" w:hAnsi="仿宋_GB2312" w:eastAsia="仿宋_GB2312" w:cs="仿宋_GB2312"/>
                <w:caps/>
                <w:sz w:val="24"/>
              </w:rPr>
              <w:t>但不限</w:t>
            </w:r>
            <w:r>
              <w:rPr>
                <w:rFonts w:hint="eastAsia" w:ascii="仿宋_GB2312" w:hAnsi="仿宋_GB2312" w:eastAsia="仿宋_GB2312" w:cs="仿宋_GB2312"/>
                <w:color w:val="000000" w:themeColor="text1"/>
                <w:sz w:val="24"/>
                <w14:textFill>
                  <w14:solidFill>
                    <w14:schemeClr w14:val="tx1"/>
                  </w14:solidFill>
                </w14:textFill>
              </w:rPr>
              <w:t>系统设施设备的故障紧急预案、应对措施、应急保障及相关承诺等。</w:t>
            </w:r>
            <w:r>
              <w:rPr>
                <w:rFonts w:hint="eastAsia" w:ascii="仿宋_GB2312" w:hAnsi="仿宋_GB2312" w:eastAsia="仿宋_GB2312" w:cs="仿宋_GB2312"/>
                <w:caps/>
                <w:sz w:val="24"/>
              </w:rPr>
              <w:t>(本项分值设置为4,3,2,1,0.5,0分)。</w:t>
            </w:r>
          </w:p>
        </w:tc>
        <w:tc>
          <w:tcPr>
            <w:tcW w:w="716"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400" w:lineRule="exact"/>
              <w:jc w:val="center"/>
              <w:rPr>
                <w:rFonts w:hint="eastAsia" w:ascii="仿宋_GB2312" w:hAnsi="仿宋_GB2312" w:eastAsia="仿宋_GB2312" w:cs="仿宋_GB2312"/>
                <w:sz w:val="24"/>
                <w:lang w:val="zh-CN"/>
              </w:rPr>
            </w:pPr>
            <w:r>
              <w:rPr>
                <w:rFonts w:hint="eastAsia" w:ascii="仿宋_GB2312" w:hAnsi="仿宋_GB2312" w:eastAsia="仿宋_GB2312" w:cs="仿宋_GB2312"/>
                <w:sz w:val="24"/>
              </w:rPr>
              <w:t>6</w:t>
            </w:r>
          </w:p>
        </w:tc>
        <w:tc>
          <w:tcPr>
            <w:tcW w:w="1219"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项目团队人员情况</w:t>
            </w:r>
          </w:p>
        </w:tc>
        <w:tc>
          <w:tcPr>
            <w:tcW w:w="6597" w:type="dxa"/>
            <w:vAlign w:val="center"/>
          </w:tcPr>
          <w:p>
            <w:pPr>
              <w:spacing w:line="400" w:lineRule="exact"/>
              <w:rPr>
                <w:rFonts w:hint="eastAsia" w:ascii="仿宋_GB2312" w:hAnsi="仿宋_GB2312" w:eastAsia="仿宋_GB2312" w:cs="仿宋_GB2312"/>
                <w:sz w:val="24"/>
              </w:rPr>
            </w:pPr>
            <w:r>
              <w:rPr>
                <w:rFonts w:hint="eastAsia" w:ascii="仿宋_GB2312" w:hAnsi="仿宋_GB2312" w:eastAsia="仿宋_GB2312" w:cs="仿宋_GB2312"/>
                <w:caps/>
                <w:sz w:val="24"/>
              </w:rPr>
              <w:t>根据投标人拟派项目团队人员其他情况进行打分，包括但不限于人员配置、工作经验、安排部署等方面。((本项分值设置为4,3,2,1,0.5,0分)。</w:t>
            </w:r>
          </w:p>
        </w:tc>
        <w:tc>
          <w:tcPr>
            <w:tcW w:w="716"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1219" w:type="dxa"/>
            <w:vAlign w:val="center"/>
          </w:tcPr>
          <w:p>
            <w:pPr>
              <w:snapToGrid w:val="0"/>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重点和难点分析及解决措施</w:t>
            </w:r>
          </w:p>
        </w:tc>
        <w:tc>
          <w:tcPr>
            <w:tcW w:w="6597" w:type="dxa"/>
            <w:vAlign w:val="center"/>
          </w:tcPr>
          <w:p>
            <w:pPr>
              <w:snapToGrid w:val="0"/>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根据投标人针对本项目的重点、难点分析及解决措施等进行打分，(本项分值设置为3,2,1,0.5,0分)。</w:t>
            </w:r>
          </w:p>
        </w:tc>
        <w:tc>
          <w:tcPr>
            <w:tcW w:w="716"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1219"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培训方案</w:t>
            </w:r>
          </w:p>
        </w:tc>
        <w:tc>
          <w:tcPr>
            <w:tcW w:w="6597" w:type="dxa"/>
            <w:vAlign w:val="center"/>
          </w:tcPr>
          <w:p>
            <w:pPr>
              <w:spacing w:line="400" w:lineRule="exact"/>
              <w:rPr>
                <w:rFonts w:hint="eastAsia" w:ascii="仿宋_GB2312" w:hAnsi="仿宋_GB2312" w:eastAsia="仿宋_GB2312" w:cs="仿宋_GB2312"/>
                <w:sz w:val="24"/>
              </w:rPr>
            </w:pPr>
            <w:r>
              <w:rPr>
                <w:rFonts w:hint="eastAsia" w:ascii="仿宋_GB2312" w:hAnsi="仿宋_GB2312" w:eastAsia="仿宋_GB2312" w:cs="仿宋_GB2312"/>
                <w:sz w:val="24"/>
              </w:rPr>
              <w:t>根据</w:t>
            </w:r>
            <w:r>
              <w:rPr>
                <w:rFonts w:hint="eastAsia" w:ascii="仿宋_GB2312" w:hAnsi="仿宋_GB2312" w:eastAsia="仿宋_GB2312" w:cs="仿宋_GB2312"/>
                <w:caps/>
                <w:sz w:val="24"/>
              </w:rPr>
              <w:t>投标人</w:t>
            </w:r>
            <w:r>
              <w:rPr>
                <w:rFonts w:hint="eastAsia" w:ascii="仿宋_GB2312" w:hAnsi="仿宋_GB2312" w:eastAsia="仿宋_GB2312" w:cs="仿宋_GB2312"/>
                <w:color w:val="000000" w:themeColor="text1"/>
                <w:sz w:val="24"/>
                <w14:textFill>
                  <w14:solidFill>
                    <w14:schemeClr w14:val="tx1"/>
                  </w14:solidFill>
                </w14:textFill>
              </w:rPr>
              <w:t>提供的</w:t>
            </w:r>
            <w:r>
              <w:rPr>
                <w:rFonts w:hint="eastAsia" w:ascii="仿宋_GB2312" w:hAnsi="仿宋_GB2312" w:eastAsia="仿宋_GB2312" w:cs="仿宋_GB2312"/>
                <w:sz w:val="24"/>
              </w:rPr>
              <w:t>培训方案</w:t>
            </w:r>
            <w:r>
              <w:rPr>
                <w:rFonts w:hint="eastAsia" w:ascii="仿宋_GB2312" w:hAnsi="仿宋_GB2312" w:eastAsia="仿宋_GB2312" w:cs="仿宋_GB2312"/>
                <w:color w:val="000000" w:themeColor="text1"/>
                <w:sz w:val="24"/>
                <w14:textFill>
                  <w14:solidFill>
                    <w14:schemeClr w14:val="tx1"/>
                  </w14:solidFill>
                </w14:textFill>
              </w:rPr>
              <w:t>进行打分</w:t>
            </w:r>
            <w:r>
              <w:rPr>
                <w:rFonts w:hint="eastAsia" w:ascii="仿宋_GB2312" w:hAnsi="仿宋_GB2312" w:eastAsia="仿宋_GB2312" w:cs="仿宋_GB2312"/>
                <w:sz w:val="24"/>
              </w:rPr>
              <w:t>，包括</w:t>
            </w:r>
            <w:r>
              <w:rPr>
                <w:rFonts w:hint="eastAsia" w:ascii="仿宋_GB2312" w:hAnsi="仿宋_GB2312" w:eastAsia="仿宋_GB2312" w:cs="仿宋_GB2312"/>
                <w:color w:val="000000" w:themeColor="text1"/>
                <w:sz w:val="24"/>
                <w14:textFill>
                  <w14:solidFill>
                    <w14:schemeClr w14:val="tx1"/>
                  </w14:solidFill>
                </w14:textFill>
              </w:rPr>
              <w:t>但不限于</w:t>
            </w:r>
            <w:r>
              <w:rPr>
                <w:rFonts w:hint="eastAsia" w:ascii="仿宋_GB2312" w:hAnsi="仿宋_GB2312" w:eastAsia="仿宋_GB2312" w:cs="仿宋_GB2312"/>
                <w:sz w:val="24"/>
              </w:rPr>
              <w:t>培训内容、培训计划、培训团队、培训时间等。</w:t>
            </w:r>
            <w:r>
              <w:rPr>
                <w:rFonts w:hint="eastAsia" w:ascii="仿宋_GB2312" w:hAnsi="仿宋_GB2312" w:eastAsia="仿宋_GB2312" w:cs="仿宋_GB2312"/>
                <w:caps/>
                <w:sz w:val="24"/>
              </w:rPr>
              <w:t>(本项分值设置为4,3,2,1,0.5,0分)。</w:t>
            </w:r>
          </w:p>
        </w:tc>
        <w:tc>
          <w:tcPr>
            <w:tcW w:w="716"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1219"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售后服务方案</w:t>
            </w:r>
          </w:p>
        </w:tc>
        <w:tc>
          <w:tcPr>
            <w:tcW w:w="6597" w:type="dxa"/>
            <w:vAlign w:val="center"/>
          </w:tcPr>
          <w:p>
            <w:pPr>
              <w:spacing w:line="400" w:lineRule="exact"/>
              <w:rPr>
                <w:rFonts w:hint="eastAsia" w:ascii="仿宋_GB2312" w:hAnsi="仿宋_GB2312" w:eastAsia="仿宋_GB2312" w:cs="仿宋_GB2312"/>
                <w:sz w:val="24"/>
              </w:rPr>
            </w:pPr>
            <w:r>
              <w:rPr>
                <w:rFonts w:hint="eastAsia" w:ascii="仿宋_GB2312" w:hAnsi="仿宋_GB2312" w:eastAsia="仿宋_GB2312" w:cs="仿宋_GB2312"/>
                <w:caps/>
                <w:sz w:val="24"/>
              </w:rPr>
              <w:t>根据投标人提供的售后服务方案进行打分，包括但不限于售后团队情况、售后服务承诺，质保期内外的后续技术支持和维护能力情况等进行打分。(本项分值设置为5,4,3,2,1,0.5,0分)。</w:t>
            </w:r>
          </w:p>
        </w:tc>
        <w:tc>
          <w:tcPr>
            <w:tcW w:w="716"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1219"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caps/>
                <w:sz w:val="24"/>
              </w:rPr>
              <w:t>合理化建议</w:t>
            </w:r>
          </w:p>
        </w:tc>
        <w:tc>
          <w:tcPr>
            <w:tcW w:w="6597" w:type="dxa"/>
            <w:vAlign w:val="center"/>
          </w:tcPr>
          <w:p>
            <w:pPr>
              <w:spacing w:line="400" w:lineRule="exact"/>
              <w:rPr>
                <w:rFonts w:hint="eastAsia" w:ascii="仿宋_GB2312" w:hAnsi="仿宋_GB2312" w:eastAsia="仿宋_GB2312" w:cs="仿宋_GB2312"/>
                <w:sz w:val="24"/>
              </w:rPr>
            </w:pPr>
            <w:r>
              <w:rPr>
                <w:rFonts w:hint="eastAsia" w:ascii="仿宋_GB2312" w:hAnsi="仿宋_GB2312" w:eastAsia="仿宋_GB2312" w:cs="仿宋_GB2312"/>
                <w:bCs/>
                <w:iCs/>
                <w:sz w:val="24"/>
              </w:rPr>
              <w:t>根据</w:t>
            </w:r>
            <w:r>
              <w:rPr>
                <w:rFonts w:hint="eastAsia" w:ascii="仿宋_GB2312" w:hAnsi="仿宋_GB2312" w:eastAsia="仿宋_GB2312" w:cs="仿宋_GB2312"/>
                <w:caps/>
                <w:sz w:val="24"/>
              </w:rPr>
              <w:t>投标人</w:t>
            </w:r>
            <w:r>
              <w:rPr>
                <w:rFonts w:hint="eastAsia" w:ascii="仿宋_GB2312" w:hAnsi="仿宋_GB2312" w:eastAsia="仿宋_GB2312" w:cs="仿宋_GB2312"/>
                <w:bCs/>
                <w:iCs/>
                <w:sz w:val="24"/>
              </w:rPr>
              <w:t>针对本项目实际情况提出的合理化建议、切实的优惠承诺（不包括价格优惠）等进行打分。</w:t>
            </w:r>
            <w:r>
              <w:rPr>
                <w:rFonts w:hint="eastAsia" w:ascii="仿宋_GB2312" w:hAnsi="仿宋_GB2312" w:eastAsia="仿宋_GB2312" w:cs="仿宋_GB2312"/>
                <w:caps/>
                <w:sz w:val="24"/>
              </w:rPr>
              <w:t>(本项分值设置为4,3,2,1,0.5,0分)。</w:t>
            </w:r>
          </w:p>
        </w:tc>
        <w:tc>
          <w:tcPr>
            <w:tcW w:w="716" w:type="dxa"/>
            <w:vAlign w:val="center"/>
          </w:tcPr>
          <w:p>
            <w:pPr>
              <w:spacing w:line="40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r>
    </w:tbl>
    <w:p>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30</w:t>
      </w: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p>
      <w:pPr>
        <w:kinsoku/>
        <w:wordWrap w:val="0"/>
        <w:overflowPunct/>
        <w:topLinePunct w:val="0"/>
        <w:bidi w:val="0"/>
        <w:spacing w:line="360" w:lineRule="auto"/>
        <w:ind w:left="720" w:firstLine="723" w:firstLineChars="200"/>
        <w:outlineLvl w:val="0"/>
        <w:rPr>
          <w:rFonts w:hint="eastAsia" w:ascii="仿宋" w:hAnsi="仿宋" w:eastAsia="仿宋" w:cs="仿宋"/>
          <w:b/>
          <w:color w:val="auto"/>
          <w:sz w:val="36"/>
          <w:szCs w:val="20"/>
          <w:highlight w:val="none"/>
        </w:rPr>
      </w:pPr>
    </w:p>
    <w:bookmarkEnd w:id="41"/>
    <w:bookmarkEnd w:id="42"/>
    <w:p>
      <w:pPr>
        <w:widowControl/>
        <w:kinsoku/>
        <w:wordWrap w:val="0"/>
        <w:overflowPunct/>
        <w:topLinePunct w:val="0"/>
        <w:bidi w:val="0"/>
        <w:adjustRightInd/>
        <w:jc w:val="center"/>
        <w:rPr>
          <w:rFonts w:hint="eastAsia" w:ascii="仿宋" w:hAnsi="仿宋" w:eastAsia="仿宋" w:cs="仿宋"/>
          <w:b/>
          <w:color w:val="auto"/>
          <w:sz w:val="36"/>
          <w:szCs w:val="20"/>
          <w:highlight w:val="none"/>
        </w:rPr>
      </w:pPr>
    </w:p>
    <w:p>
      <w:pPr>
        <w:pageBreakBefore/>
        <w:widowControl/>
        <w:kinsoku/>
        <w:wordWrap w:val="0"/>
        <w:overflowPunct/>
        <w:topLinePunct w:val="0"/>
        <w:bidi w:val="0"/>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4"/>
        <w:kinsoku/>
        <w:wordWrap w:val="0"/>
        <w:overflowPunct/>
        <w:topLinePunct w:val="0"/>
        <w:bidi w:val="0"/>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绍兴市第七人民医院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绍兴市第七人民医院超融合等采购项目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2025-07-0060</w:t>
      </w:r>
      <w:r>
        <w:rPr>
          <w:rFonts w:hint="eastAsia" w:ascii="仿宋" w:hAnsi="仿宋" w:eastAsia="仿宋" w:cs="仿宋"/>
          <w:color w:val="auto"/>
          <w:sz w:val="24"/>
          <w:highlight w:val="none"/>
        </w:rPr>
        <w:t>】政府采购活动，郑重承诺：</w:t>
      </w:r>
    </w:p>
    <w:p>
      <w:pPr>
        <w:kinsoku/>
        <w:wordWrap w:val="0"/>
        <w:overflowPunct/>
        <w:topLinePunct w:val="0"/>
        <w:bidi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kinsoku/>
        <w:wordWrap w:val="0"/>
        <w:overflowPunct/>
        <w:topLinePunct w:val="0"/>
        <w:bidi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pageBreakBefore/>
        <w:widowControl/>
        <w:kinsoku/>
        <w:wordWrap w:val="0"/>
        <w:overflowPunct/>
        <w:topLinePunct w:val="0"/>
        <w:bidi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0"/>
        <w:kinsoku/>
        <w:wordWrap w:val="0"/>
        <w:overflowPunct/>
        <w:topLinePunct w:val="0"/>
        <w:bidi w:val="0"/>
        <w:rPr>
          <w:rFonts w:hint="eastAsia"/>
          <w:color w:val="auto"/>
          <w:highlight w:val="none"/>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kinsoku/>
        <w:wordWrap w:val="0"/>
        <w:overflowPunct/>
        <w:topLinePunct w:val="0"/>
        <w:bidi w:val="0"/>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kinsoku/>
        <w:wordWrap w:val="0"/>
        <w:overflowPunct/>
        <w:topLinePunct w:val="0"/>
        <w:bidi w:val="0"/>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kinsoku/>
        <w:wordWrap w:val="0"/>
        <w:overflowPunct/>
        <w:topLinePunct w:val="0"/>
        <w:bidi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p>
    <w:p>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pageBreakBefore/>
        <w:kinsoku/>
        <w:wordWrap w:val="0"/>
        <w:overflowPunct/>
        <w:topLinePunct w:val="0"/>
        <w:bidi w:val="0"/>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kinsoku/>
        <w:wordWrap w:val="0"/>
        <w:overflowPunct/>
        <w:topLinePunct w:val="0"/>
        <w:bidi w:val="0"/>
        <w:spacing w:line="336" w:lineRule="auto"/>
        <w:jc w:val="center"/>
        <w:outlineLvl w:val="0"/>
        <w:rPr>
          <w:rFonts w:ascii="仿宋" w:hAnsi="仿宋" w:eastAsia="仿宋" w:cs="仿宋"/>
          <w:b/>
          <w:color w:val="auto"/>
          <w:kern w:val="0"/>
          <w:sz w:val="24"/>
          <w:highlight w:val="none"/>
        </w:rPr>
      </w:pPr>
    </w:p>
    <w:p>
      <w:pPr>
        <w:kinsoku/>
        <w:wordWrap w:val="0"/>
        <w:overflowPunct/>
        <w:topLinePunct w:val="0"/>
        <w:bidi w:val="0"/>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5"/>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5"/>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pPr>
        <w:pStyle w:val="905"/>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pPr>
        <w:pStyle w:val="905"/>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 （页码）</w:t>
      </w:r>
    </w:p>
    <w:p>
      <w:pPr>
        <w:pStyle w:val="905"/>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5"/>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905"/>
        <w:numPr>
          <w:ilvl w:val="0"/>
          <w:numId w:val="6"/>
        </w:numPr>
        <w:kinsoku/>
        <w:wordWrap w:val="0"/>
        <w:overflowPunct/>
        <w:topLinePunct w:val="0"/>
        <w:bidi w:val="0"/>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kinsoku/>
        <w:wordWrap w:val="0"/>
        <w:overflowPunct/>
        <w:topLinePunct w:val="0"/>
        <w:bidi w:val="0"/>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pPr>
        <w:pageBreakBefore/>
        <w:kinsoku/>
        <w:wordWrap w:val="0"/>
        <w:overflowPunct/>
        <w:topLinePunct w:val="0"/>
        <w:bidi w:val="0"/>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6"/>
        <w:keepNext w:val="0"/>
        <w:keepLines w:val="0"/>
        <w:pageBreakBefore w:val="0"/>
        <w:kinsoku/>
        <w:wordWrap w:val="0"/>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_GB2312" w:hAnsi="仿宋" w:eastAsia="仿宋_GB2312" w:cs="仿宋"/>
          <w:szCs w:val="24"/>
          <w:u w:val="single"/>
          <w:lang w:eastAsia="zh-CN"/>
        </w:rPr>
        <w:t>绍兴市第七人民医院</w:t>
      </w:r>
      <w:r>
        <w:rPr>
          <w:rFonts w:hint="eastAsia" w:ascii="仿宋_GB2312" w:hAnsi="仿宋" w:eastAsia="仿宋_GB2312" w:cs="仿宋"/>
          <w:szCs w:val="24"/>
          <w:u w:val="single"/>
        </w:rPr>
        <w:t>、绍兴市公共资源交易中心</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7"/>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7"/>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6"/>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pageBreakBefore/>
        <w:widowControl/>
        <w:kinsoku/>
        <w:wordWrap w:val="0"/>
        <w:overflowPunct/>
        <w:topLinePunct w:val="0"/>
        <w:bidi w:val="0"/>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kinsoku/>
        <w:wordWrap w:val="0"/>
        <w:overflowPunct/>
        <w:topLinePunct w:val="0"/>
        <w:bidi w:val="0"/>
        <w:jc w:val="center"/>
        <w:rPr>
          <w:rFonts w:hint="eastAsia" w:ascii="仿宋" w:hAnsi="仿宋" w:eastAsia="仿宋" w:cs="仿宋"/>
          <w:b/>
          <w:color w:val="auto"/>
          <w:sz w:val="24"/>
          <w:highlight w:val="none"/>
        </w:rPr>
      </w:pP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绍兴市第七人民医院、绍兴市公共资源交易中心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绍兴市第七人民医院超融合等采购项目（招标编号:2025-07-0060）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kinsoku/>
        <w:wordWrap w:val="0"/>
        <w:overflowPunct/>
        <w:topLinePunct w:val="0"/>
        <w:bidi w:val="0"/>
        <w:ind w:firstLine="4920" w:firstLineChars="2050"/>
        <w:jc w:val="left"/>
        <w:rPr>
          <w:rFonts w:hint="eastAsia" w:ascii="仿宋" w:hAnsi="仿宋" w:eastAsia="仿宋" w:cs="仿宋"/>
          <w:color w:val="auto"/>
          <w:sz w:val="24"/>
          <w:highlight w:val="none"/>
        </w:rPr>
      </w:pPr>
    </w:p>
    <w:p>
      <w:pPr>
        <w:kinsoku/>
        <w:wordWrap w:val="0"/>
        <w:overflowPunct/>
        <w:topLinePunct w:val="0"/>
        <w:bidi w:val="0"/>
        <w:spacing w:line="800" w:lineRule="exact"/>
        <w:rPr>
          <w:rFonts w:hint="eastAsia" w:ascii="仿宋" w:hAnsi="仿宋" w:eastAsia="仿宋" w:cs="仿宋"/>
          <w:b/>
          <w:color w:val="auto"/>
          <w:sz w:val="24"/>
          <w:highlight w:val="none"/>
        </w:rPr>
      </w:pPr>
    </w:p>
    <w:p>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kinsoku/>
        <w:wordWrap w:val="0"/>
        <w:overflowPunct/>
        <w:topLinePunct w:val="0"/>
        <w:bidi w:val="0"/>
        <w:jc w:val="center"/>
        <w:rPr>
          <w:rFonts w:hint="eastAsia" w:ascii="仿宋" w:hAnsi="仿宋" w:eastAsia="仿宋" w:cs="仿宋"/>
          <w:b/>
          <w:color w:val="auto"/>
          <w:sz w:val="24"/>
          <w:highlight w:val="none"/>
        </w:rPr>
      </w:pPr>
    </w:p>
    <w:p>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绍兴市第七人民医院、绍兴市公共资源交易中心 </w:t>
      </w:r>
      <w:r>
        <w:rPr>
          <w:rFonts w:hint="eastAsia" w:ascii="仿宋" w:hAnsi="仿宋" w:eastAsia="仿宋" w:cs="仿宋"/>
          <w:color w:val="auto"/>
          <w:sz w:val="24"/>
          <w:highlight w:val="none"/>
          <w:u w:val="none"/>
          <w:lang w:val="en-US" w:eastAsia="zh-CN"/>
        </w:rPr>
        <w:t>组织的</w:t>
      </w:r>
      <w:r>
        <w:rPr>
          <w:rFonts w:hint="eastAsia" w:ascii="仿宋" w:hAnsi="仿宋" w:eastAsia="仿宋" w:cs="仿宋"/>
          <w:color w:val="auto"/>
          <w:sz w:val="24"/>
          <w:highlight w:val="none"/>
          <w:u w:val="single"/>
          <w:lang w:val="en-US" w:eastAsia="zh-CN"/>
        </w:rPr>
        <w:t xml:space="preserve"> 绍兴市第七人民医院超融合等采购项目（招标编号:2023-07-0055）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keepNext w:val="0"/>
        <w:keepLines w:val="0"/>
        <w:pageBreakBefore w:val="0"/>
        <w:widowControl w:val="0"/>
        <w:kinsoku/>
        <w:wordWrap w:val="0"/>
        <w:overflowPunct/>
        <w:topLinePunct w:val="0"/>
        <w:autoSpaceDE/>
        <w:autoSpaceDN/>
        <w:bidi w:val="0"/>
        <w:adjustRightInd w:val="0"/>
        <w:snapToGrid w:val="0"/>
        <w:spacing w:line="56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eepNext w:val="0"/>
        <w:keepLines w:val="0"/>
        <w:pageBreakBefore w:val="0"/>
        <w:widowControl w:val="0"/>
        <w:kinsoku/>
        <w:wordWrap w:val="0"/>
        <w:overflowPunct/>
        <w:topLinePunct w:val="0"/>
        <w:autoSpaceDE/>
        <w:autoSpaceDN/>
        <w:bidi w:val="0"/>
        <w:adjustRightInd w:val="0"/>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wordWrap w:val="0"/>
        <w:overflowPunct/>
        <w:topLinePunct w:val="0"/>
        <w:bidi w:val="0"/>
        <w:spacing w:line="360" w:lineRule="exact"/>
        <w:rPr>
          <w:rFonts w:hint="eastAsia" w:ascii="仿宋" w:hAnsi="仿宋" w:eastAsia="仿宋" w:cs="仿宋"/>
          <w:color w:val="auto"/>
          <w:sz w:val="24"/>
          <w:highlight w:val="none"/>
        </w:rPr>
      </w:pPr>
    </w:p>
    <w:p>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spacing w:line="360" w:lineRule="exact"/>
        <w:rPr>
          <w:rFonts w:hint="eastAsia" w:ascii="仿宋" w:hAnsi="仿宋" w:eastAsia="仿宋" w:cs="仿宋"/>
          <w:color w:val="auto"/>
          <w:sz w:val="24"/>
          <w:highlight w:val="none"/>
        </w:rPr>
      </w:pP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rPr>
          <w:rFonts w:hint="eastAsia" w:ascii="仿宋" w:hAnsi="仿宋" w:eastAsia="仿宋" w:cs="仿宋"/>
          <w:color w:val="auto"/>
          <w:highlight w:val="none"/>
        </w:rPr>
      </w:pP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pPr>
        <w:pageBreakBefore w:val="0"/>
        <w:kinsoku/>
        <w:wordWrap w:val="0"/>
        <w:overflowPunct/>
        <w:topLinePunct w:val="0"/>
        <w:bidi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pPr>
        <w:kinsoku/>
        <w:wordWrap w:val="0"/>
        <w:overflowPunct/>
        <w:topLinePunct w:val="0"/>
        <w:bidi w:val="0"/>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keepNext w:val="0"/>
        <w:keepLines w:val="0"/>
        <w:pageBreakBefore w:val="0"/>
        <w:widowControl w:val="0"/>
        <w:kinsoku/>
        <w:wordWrap w:val="0"/>
        <w:overflowPunct/>
        <w:topLinePunct w:val="0"/>
        <w:autoSpaceDE/>
        <w:autoSpaceDN/>
        <w:bidi w:val="0"/>
        <w:adjustRightInd w:val="0"/>
        <w:snapToGrid/>
        <w:spacing w:line="800" w:lineRule="exact"/>
        <w:jc w:val="both"/>
        <w:textAlignment w:val="auto"/>
        <w:rPr>
          <w:rFonts w:hint="eastAsia" w:ascii="仿宋" w:hAnsi="仿宋" w:eastAsia="仿宋" w:cs="仿宋"/>
          <w:b/>
          <w:color w:val="auto"/>
          <w:sz w:val="30"/>
          <w:szCs w:val="30"/>
          <w:highlight w:val="none"/>
          <w:lang w:val="en-US" w:eastAsia="zh-CN"/>
        </w:rPr>
      </w:pPr>
    </w:p>
    <w:p>
      <w:pPr>
        <w:pStyle w:val="7"/>
        <w:kinsoku/>
        <w:wordWrap w:val="0"/>
        <w:overflowPunct/>
        <w:topLinePunct w:val="0"/>
        <w:bidi w:val="0"/>
        <w:rPr>
          <w:rFonts w:hint="eastAsia"/>
          <w:lang w:val="en-US" w:eastAsia="zh-CN"/>
        </w:rPr>
      </w:pPr>
    </w:p>
    <w:p>
      <w:pPr>
        <w:keepNext w:val="0"/>
        <w:keepLines w:val="0"/>
        <w:pageBreakBefore w:val="0"/>
        <w:widowControl w:val="0"/>
        <w:kinsoku/>
        <w:wordWrap w:val="0"/>
        <w:overflowPunct/>
        <w:topLinePunct w:val="0"/>
        <w:autoSpaceDE/>
        <w:autoSpaceDN/>
        <w:bidi w:val="0"/>
        <w:adjustRightInd w:val="0"/>
        <w:snapToGrid/>
        <w:spacing w:line="800" w:lineRule="exact"/>
        <w:jc w:val="center"/>
        <w:textAlignment w:val="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kinsoku/>
        <w:wordWrap w:val="0"/>
        <w:overflowPunct/>
        <w:topLinePunct w:val="0"/>
        <w:bidi w:val="0"/>
        <w:spacing w:line="800" w:lineRule="exact"/>
        <w:rPr>
          <w:rFonts w:hint="eastAsia" w:ascii="仿宋" w:hAnsi="仿宋" w:eastAsia="仿宋" w:cs="仿宋"/>
          <w:b/>
          <w:color w:val="auto"/>
          <w:sz w:val="24"/>
          <w:highlight w:val="none"/>
        </w:rPr>
      </w:pPr>
    </w:p>
    <w:p>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kinsoku/>
        <w:wordWrap w:val="0"/>
        <w:overflowPunct/>
        <w:topLinePunct w:val="0"/>
        <w:bidi w:val="0"/>
        <w:spacing w:line="440" w:lineRule="exact"/>
        <w:rPr>
          <w:rFonts w:hint="eastAsia" w:ascii="仿宋" w:hAnsi="仿宋" w:eastAsia="仿宋" w:cs="仿宋"/>
          <w:color w:val="auto"/>
          <w:sz w:val="24"/>
          <w:highlight w:val="none"/>
        </w:rPr>
      </w:pPr>
    </w:p>
    <w:p>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kinsoku/>
        <w:wordWrap w:val="0"/>
        <w:overflowPunct/>
        <w:topLinePunct w:val="0"/>
        <w:bidi w:val="0"/>
        <w:spacing w:line="440" w:lineRule="exact"/>
        <w:ind w:right="480"/>
        <w:rPr>
          <w:rFonts w:hint="eastAsia" w:ascii="仿宋" w:hAnsi="仿宋" w:eastAsia="仿宋" w:cs="仿宋"/>
          <w:color w:val="auto"/>
          <w:sz w:val="24"/>
          <w:highlight w:val="none"/>
        </w:rPr>
      </w:pPr>
    </w:p>
    <w:p>
      <w:pPr>
        <w:kinsoku/>
        <w:wordWrap w:val="0"/>
        <w:overflowPunct/>
        <w:topLinePunct w:val="0"/>
        <w:bidi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kinsoku/>
        <w:wordWrap w:val="0"/>
        <w:overflowPunct/>
        <w:topLinePunct w:val="0"/>
        <w:bidi w:val="0"/>
        <w:jc w:val="center"/>
        <w:rPr>
          <w:rFonts w:hint="eastAsia" w:ascii="仿宋" w:hAnsi="仿宋" w:eastAsia="仿宋" w:cs="仿宋"/>
          <w:b/>
          <w:color w:val="auto"/>
          <w:kern w:val="0"/>
          <w:sz w:val="32"/>
          <w:szCs w:val="32"/>
          <w:highlight w:val="none"/>
          <w:lang w:val="en-US" w:eastAsia="zh-CN"/>
        </w:rPr>
      </w:pPr>
    </w:p>
    <w:p>
      <w:pPr>
        <w:kinsoku/>
        <w:wordWrap w:val="0"/>
        <w:overflowPunct/>
        <w:topLinePunct w:val="0"/>
        <w:bidi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pPr>
              <w:kinsoku/>
              <w:wordWrap w:val="0"/>
              <w:overflowPunct/>
              <w:topLinePunct w:val="0"/>
              <w:bidi w:val="0"/>
              <w:jc w:val="center"/>
              <w:rPr>
                <w:rFonts w:hint="eastAsia" w:ascii="仿宋" w:hAnsi="仿宋" w:eastAsia="仿宋" w:cs="仿宋"/>
                <w:b/>
                <w:color w:val="auto"/>
                <w:kern w:val="0"/>
                <w:sz w:val="32"/>
                <w:szCs w:val="32"/>
                <w:highlight w:val="none"/>
              </w:rPr>
            </w:pPr>
          </w:p>
        </w:tc>
      </w:tr>
    </w:tbl>
    <w:p>
      <w:pPr>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kinsoku/>
        <w:wordWrap w:val="0"/>
        <w:overflowPunct/>
        <w:topLinePunct w:val="0"/>
        <w:bidi w:val="0"/>
        <w:jc w:val="center"/>
        <w:rPr>
          <w:rFonts w:hint="eastAsia" w:ascii="仿宋" w:hAnsi="仿宋" w:eastAsia="仿宋" w:cs="仿宋"/>
          <w:b/>
          <w:color w:val="auto"/>
          <w:kern w:val="0"/>
          <w:sz w:val="32"/>
          <w:szCs w:val="32"/>
          <w:highlight w:val="none"/>
        </w:rPr>
      </w:pP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bidi w:val="0"/>
        <w:ind w:firstLine="1911" w:firstLineChars="595"/>
        <w:rPr>
          <w:rFonts w:hint="eastAsia" w:ascii="仿宋" w:hAnsi="仿宋" w:eastAsia="仿宋" w:cs="仿宋"/>
          <w:b/>
          <w:bCs/>
          <w:color w:val="auto"/>
          <w:sz w:val="32"/>
          <w:szCs w:val="32"/>
          <w:highlight w:val="none"/>
        </w:rPr>
      </w:pPr>
    </w:p>
    <w:p>
      <w:pPr>
        <w:pageBreakBefore/>
        <w:widowControl/>
        <w:tabs>
          <w:tab w:val="left" w:pos="1538"/>
          <w:tab w:val="center" w:pos="4541"/>
        </w:tabs>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kinsoku/>
        <w:wordWrap w:val="0"/>
        <w:overflowPunct/>
        <w:topLinePunct w:val="0"/>
        <w:bidi w:val="0"/>
        <w:snapToGrid w:val="0"/>
        <w:spacing w:line="360" w:lineRule="auto"/>
        <w:rPr>
          <w:rFonts w:hint="eastAsia" w:ascii="仿宋" w:hAnsi="仿宋" w:eastAsia="仿宋" w:cs="仿宋"/>
          <w:color w:val="auto"/>
          <w:sz w:val="24"/>
          <w:highlight w:val="none"/>
        </w:rPr>
      </w:pP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绍兴市第七人民医院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kinsoku/>
        <w:wordWrap w:val="0"/>
        <w:overflowPunct/>
        <w:topLinePunct w:val="0"/>
        <w:bidi w:val="0"/>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wordWrap w:val="0"/>
        <w:overflowPunct/>
        <w:topLinePunct w:val="0"/>
        <w:autoSpaceDE w:val="0"/>
        <w:autoSpaceDN w:val="0"/>
        <w:bidi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8"/>
        <w:kinsoku/>
        <w:wordWrap w:val="0"/>
        <w:overflowPunct/>
        <w:topLinePunct w:val="0"/>
        <w:bidi w:val="0"/>
        <w:ind w:firstLine="0"/>
        <w:jc w:val="both"/>
        <w:rPr>
          <w:rFonts w:hAnsi="仿宋_GB2312" w:cs="仿宋_GB2312"/>
          <w:color w:val="auto"/>
          <w:highlight w:val="none"/>
        </w:rPr>
      </w:pP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kinsoku/>
        <w:wordWrap w:val="0"/>
        <w:overflowPunct/>
        <w:topLinePunct w:val="0"/>
        <w:autoSpaceDE w:val="0"/>
        <w:autoSpaceDN w:val="0"/>
        <w:bidi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kinsoku/>
        <w:wordWrap w:val="0"/>
        <w:overflowPunct/>
        <w:topLinePunct w:val="0"/>
        <w:autoSpaceDE w:val="0"/>
        <w:autoSpaceDN w:val="0"/>
        <w:bidi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pPr>
        <w:kinsoku/>
        <w:wordWrap w:val="0"/>
        <w:overflowPunct/>
        <w:topLinePunct w:val="0"/>
        <w:autoSpaceDE w:val="0"/>
        <w:autoSpaceDN w:val="0"/>
        <w:bidi w:val="0"/>
        <w:spacing w:line="360" w:lineRule="auto"/>
        <w:ind w:firstLine="4560" w:firstLineChars="1900"/>
        <w:rPr>
          <w:rFonts w:ascii="仿宋_GB2312" w:hAnsi="仿宋_GB2312" w:eastAsia="仿宋_GB2312" w:cs="仿宋_GB2312"/>
          <w:color w:val="auto"/>
          <w:kern w:val="0"/>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en-US" w:eastAsia="zh-CN"/>
        </w:rPr>
      </w:pPr>
    </w:p>
    <w:p>
      <w:pPr>
        <w:pageBreakBefore w:val="0"/>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kinsoku/>
        <w:wordWrap w:val="0"/>
        <w:overflowPunct/>
        <w:topLinePunct w:val="0"/>
        <w:autoSpaceDE w:val="0"/>
        <w:autoSpaceDN w:val="0"/>
        <w:bidi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pPr>
              <w:kinsoku/>
              <w:wordWrap w:val="0"/>
              <w:overflowPunct/>
              <w:topLinePunct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color w:val="auto"/>
          <w:kern w:val="0"/>
          <w:sz w:val="24"/>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kinsoku/>
        <w:wordWrap w:val="0"/>
        <w:overflowPunct/>
        <w:topLinePunct w:val="0"/>
        <w:autoSpaceDE w:val="0"/>
        <w:autoSpaceDN w:val="0"/>
        <w:bidi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80"/>
        <w:kinsoku/>
        <w:wordWrap w:val="0"/>
        <w:overflowPunct/>
        <w:topLinePunct w:val="0"/>
        <w:bidi w:val="0"/>
        <w:rPr>
          <w:color w:val="auto"/>
          <w:highlight w:val="none"/>
        </w:rPr>
      </w:pP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kinsoku/>
        <w:wordWrap w:val="0"/>
        <w:overflowPunct/>
        <w:topLinePunct w:val="0"/>
        <w:autoSpaceDE w:val="0"/>
        <w:autoSpaceDN w:val="0"/>
        <w:bidi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color w:val="auto"/>
          <w:sz w:val="30"/>
          <w:szCs w:val="30"/>
          <w:highlight w:val="none"/>
          <w:lang w:eastAsia="zh-CN"/>
        </w:rPr>
      </w:pPr>
    </w:p>
    <w:p>
      <w:pPr>
        <w:kinsoku/>
        <w:wordWrap w:val="0"/>
        <w:overflowPunct/>
        <w:topLinePunct w:val="0"/>
        <w:bidi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p>
    <w:p>
      <w:pPr>
        <w:pStyle w:val="80"/>
        <w:kinsoku/>
        <w:wordWrap w:val="0"/>
        <w:overflowPunct/>
        <w:topLinePunct w:val="0"/>
        <w:bidi w:val="0"/>
        <w:rPr>
          <w:rFonts w:hint="eastAsia"/>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kinsoku/>
        <w:wordWrap w:val="0"/>
        <w:overflowPunct/>
        <w:topLinePunct w:val="0"/>
        <w:autoSpaceDE w:val="0"/>
        <w:autoSpaceDN w:val="0"/>
        <w:bidi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val="0"/>
              <w:overflowPunct/>
              <w:topLinePunct w:val="0"/>
              <w:autoSpaceDE w:val="0"/>
              <w:autoSpaceDN w:val="0"/>
              <w:bidi w:val="0"/>
              <w:adjustRightInd w:val="0"/>
              <w:snapToGrid/>
              <w:spacing w:line="240" w:lineRule="auto"/>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2"/>
                <w:szCs w:val="22"/>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pPr>
        <w:kinsoku/>
        <w:wordWrap w:val="0"/>
        <w:overflowPunct/>
        <w:topLinePunct w:val="0"/>
        <w:autoSpaceDE w:val="0"/>
        <w:autoSpaceDN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80"/>
        <w:kinsoku/>
        <w:wordWrap w:val="0"/>
        <w:overflowPunct/>
        <w:topLinePunct w:val="0"/>
        <w:bidi w:val="0"/>
        <w:rPr>
          <w:color w:val="auto"/>
          <w:highlight w:val="none"/>
        </w:rPr>
      </w:pP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kinsoku/>
        <w:wordWrap w:val="0"/>
        <w:overflowPunct/>
        <w:topLinePunct w:val="0"/>
        <w:bidi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80"/>
        <w:kinsoku/>
        <w:wordWrap w:val="0"/>
        <w:overflowPunct/>
        <w:topLinePunct w:val="0"/>
        <w:bidi w:val="0"/>
        <w:rPr>
          <w:color w:val="auto"/>
          <w:highlight w:val="none"/>
        </w:rPr>
      </w:pPr>
    </w:p>
    <w:p>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18"/>
          <w:szCs w:val="18"/>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rPr>
          <w:rFonts w:ascii="仿宋_GB2312" w:hAnsi="仿宋_GB2312" w:eastAsia="仿宋_GB2312" w:cs="仿宋_GB2312"/>
          <w:b/>
          <w:bCs/>
          <w:color w:val="auto"/>
          <w:sz w:val="18"/>
          <w:szCs w:val="18"/>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p>
    <w:p>
      <w:pPr>
        <w:pStyle w:val="7"/>
        <w:kinsoku/>
        <w:wordWrap w:val="0"/>
        <w:overflowPunct/>
        <w:topLinePunct w:val="0"/>
        <w:bidi w:val="0"/>
        <w:rPr>
          <w:rFonts w:ascii="仿宋_GB2312" w:hAnsi="仿宋_GB2312" w:eastAsia="仿宋_GB2312" w:cs="仿宋_GB2312"/>
          <w:b/>
          <w:bCs/>
          <w:color w:val="auto"/>
          <w:sz w:val="32"/>
          <w:szCs w:val="32"/>
          <w:highlight w:val="none"/>
        </w:rPr>
      </w:pPr>
    </w:p>
    <w:p>
      <w:pPr>
        <w:kinsoku/>
        <w:wordWrap w:val="0"/>
        <w:overflowPunct/>
        <w:topLinePunct w:val="0"/>
        <w:bidi w:val="0"/>
        <w:rPr>
          <w:rFonts w:ascii="仿宋_GB2312" w:hAnsi="仿宋_GB2312" w:eastAsia="仿宋_GB2312" w:cs="仿宋_GB2312"/>
          <w:b/>
          <w:bCs/>
          <w:color w:val="auto"/>
          <w:sz w:val="32"/>
          <w:szCs w:val="32"/>
          <w:highlight w:val="none"/>
        </w:rPr>
      </w:pPr>
    </w:p>
    <w:p>
      <w:pPr>
        <w:pStyle w:val="7"/>
        <w:kinsoku/>
        <w:wordWrap w:val="0"/>
        <w:overflowPunct/>
        <w:topLinePunct w:val="0"/>
        <w:bidi w:val="0"/>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kinsoku/>
        <w:wordWrap w:val="0"/>
        <w:overflowPunct/>
        <w:topLinePunct w:val="0"/>
        <w:autoSpaceDE w:val="0"/>
        <w:autoSpaceDN w:val="0"/>
        <w:bidi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kinsoku/>
        <w:wordWrap w:val="0"/>
        <w:overflowPunct/>
        <w:topLinePunct w:val="0"/>
        <w:bidi w:val="0"/>
        <w:spacing w:line="360" w:lineRule="auto"/>
        <w:rPr>
          <w:rFonts w:ascii="仿宋_GB2312" w:hAnsi="仿宋_GB2312" w:eastAsia="仿宋_GB2312" w:cs="仿宋_GB2312"/>
          <w:color w:val="auto"/>
          <w:sz w:val="24"/>
          <w:highlight w:val="none"/>
        </w:rPr>
      </w:pPr>
    </w:p>
    <w:p>
      <w:pPr>
        <w:pStyle w:val="80"/>
        <w:kinsoku/>
        <w:wordWrap w:val="0"/>
        <w:overflowPunct/>
        <w:topLinePunct w:val="0"/>
        <w:bidi w:val="0"/>
        <w:rPr>
          <w:color w:val="auto"/>
          <w:highlight w:val="none"/>
        </w:rPr>
      </w:pPr>
    </w:p>
    <w:p>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kinsoku/>
        <w:wordWrap w:val="0"/>
        <w:overflowPunct/>
        <w:topLinePunct w:val="0"/>
        <w:bidi w:val="0"/>
        <w:rPr>
          <w:rFonts w:hint="eastAsia"/>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pgNumType w:fmt="decimal"/>
          <w:cols w:space="720" w:num="1"/>
          <w:titlePg/>
          <w:docGrid w:linePitch="312" w:charSpace="0"/>
        </w:sectPr>
      </w:pP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kinsoku/>
        <w:wordWrap w:val="0"/>
        <w:overflowPunct/>
        <w:topLinePunct w:val="0"/>
        <w:bidi w:val="0"/>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ind w:right="480"/>
        <w:jc w:val="both"/>
        <w:rPr>
          <w:rFonts w:hint="eastAsia" w:ascii="仿宋" w:hAnsi="仿宋" w:eastAsia="仿宋" w:cs="仿宋"/>
          <w:b/>
          <w:color w:val="auto"/>
          <w:kern w:val="0"/>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footerReference r:id="rId19" w:type="first"/>
          <w:headerReference r:id="rId17" w:type="default"/>
          <w:footerReference r:id="rId18" w:type="default"/>
          <w:pgSz w:w="11906" w:h="16838"/>
          <w:pgMar w:top="1814" w:right="1474" w:bottom="1814" w:left="1474"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绍兴市第七人民医院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绍兴市第七人民医院超融合等采购项目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2025-07-0060</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pPr>
        <w:kinsoku/>
        <w:wordWrap w:val="0"/>
        <w:overflowPunct/>
        <w:topLinePunct w:val="0"/>
        <w:bidi w:val="0"/>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pStyle w:val="80"/>
        <w:kinsoku/>
        <w:wordWrap w:val="0"/>
        <w:overflowPunct/>
        <w:topLinePunct w:val="0"/>
        <w:bidi w:val="0"/>
        <w:ind w:firstLine="9600" w:firstLineChars="4000"/>
        <w:rPr>
          <w:rFonts w:hint="eastAsia"/>
          <w:color w:val="auto"/>
          <w:highlight w:val="none"/>
          <w:lang w:val="zh-CN"/>
        </w:rPr>
      </w:pPr>
      <w:r>
        <w:rPr>
          <w:rFonts w:hint="eastAsia" w:ascii="仿宋" w:hAnsi="仿宋" w:eastAsia="仿宋" w:cs="仿宋"/>
          <w:color w:val="auto"/>
          <w:sz w:val="24"/>
          <w:highlight w:val="none"/>
        </w:rPr>
        <w:t>日期：  年   月   日</w:t>
      </w:r>
    </w:p>
    <w:p>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kinsoku/>
        <w:wordWrap w:val="0"/>
        <w:overflowPunct/>
        <w:topLinePunct w:val="0"/>
        <w:bidi w:val="0"/>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insoku/>
        <w:wordWrap w:val="0"/>
        <w:overflowPunct/>
        <w:topLinePunct w:val="0"/>
        <w:bidi w:val="0"/>
        <w:spacing w:line="360" w:lineRule="auto"/>
        <w:ind w:firstLine="482" w:firstLineChars="200"/>
        <w:rPr>
          <w:rFonts w:hint="eastAsia" w:ascii="仿宋" w:hAnsi="仿宋" w:eastAsia="仿宋" w:cs="仿宋"/>
          <w:b/>
          <w:color w:val="auto"/>
          <w:kern w:val="0"/>
          <w:sz w:val="24"/>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8" w:name="_Hlk101259491"/>
      <w:r>
        <w:rPr>
          <w:rFonts w:hint="eastAsia" w:ascii="仿宋" w:hAnsi="仿宋" w:eastAsia="仿宋" w:cs="仿宋"/>
          <w:color w:val="auto"/>
          <w:sz w:val="32"/>
          <w:szCs w:val="32"/>
          <w:highlight w:val="none"/>
        </w:rPr>
        <w:t>（如有）</w:t>
      </w:r>
      <w:bookmarkEnd w:id="48"/>
    </w:p>
    <w:p>
      <w:pPr>
        <w:widowControl/>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kinsoku/>
        <w:wordWrap w:val="0"/>
        <w:overflowPunct/>
        <w:topLinePunct w:val="0"/>
        <w:bidi w:val="0"/>
        <w:rPr>
          <w:rFonts w:hint="eastAsia" w:ascii="仿宋" w:hAnsi="仿宋" w:eastAsia="仿宋" w:cs="仿宋"/>
          <w:b/>
          <w:color w:val="auto"/>
          <w:sz w:val="24"/>
          <w:highlight w:val="none"/>
        </w:rPr>
      </w:pPr>
    </w:p>
    <w:p>
      <w:pPr>
        <w:pStyle w:val="81"/>
        <w:kinsoku/>
        <w:wordWrap w:val="0"/>
        <w:overflowPunct/>
        <w:topLinePunct w:val="0"/>
        <w:bidi w:val="0"/>
        <w:rPr>
          <w:rFonts w:hint="eastAsia" w:ascii="仿宋" w:hAnsi="仿宋" w:eastAsia="仿宋" w:cs="仿宋"/>
          <w:b/>
          <w:color w:val="auto"/>
          <w:sz w:val="24"/>
          <w:highlight w:val="none"/>
        </w:rPr>
      </w:pPr>
    </w:p>
    <w:p>
      <w:pPr>
        <w:kinsoku/>
        <w:wordWrap w:val="0"/>
        <w:overflowPunct/>
        <w:topLinePunct w:val="0"/>
        <w:bidi w:val="0"/>
        <w:rPr>
          <w:rFonts w:hint="eastAsia" w:ascii="仿宋" w:hAnsi="仿宋" w:eastAsia="仿宋" w:cs="仿宋"/>
          <w:b/>
          <w:color w:val="auto"/>
          <w:sz w:val="24"/>
          <w:highlight w:val="none"/>
        </w:rPr>
      </w:pPr>
    </w:p>
    <w:p>
      <w:pPr>
        <w:pStyle w:val="80"/>
        <w:kinsoku/>
        <w:wordWrap w:val="0"/>
        <w:overflowPunct/>
        <w:topLinePunct w:val="0"/>
        <w:bidi w:val="0"/>
        <w:rPr>
          <w:rFonts w:hint="eastAsia" w:ascii="仿宋" w:hAnsi="仿宋" w:eastAsia="仿宋" w:cs="仿宋"/>
          <w:b/>
          <w:color w:val="auto"/>
          <w:sz w:val="24"/>
          <w:highlight w:val="none"/>
        </w:rPr>
      </w:pPr>
    </w:p>
    <w:p>
      <w:pPr>
        <w:pStyle w:val="81"/>
        <w:kinsoku/>
        <w:wordWrap w:val="0"/>
        <w:overflowPunct/>
        <w:topLinePunct w:val="0"/>
        <w:bidi w:val="0"/>
        <w:rPr>
          <w:rFonts w:hint="eastAsia"/>
          <w:color w:val="auto"/>
          <w:highlight w:val="none"/>
        </w:rPr>
      </w:pPr>
    </w:p>
    <w:p>
      <w:pPr>
        <w:pStyle w:val="81"/>
        <w:kinsoku/>
        <w:wordWrap w:val="0"/>
        <w:overflowPunct/>
        <w:topLinePunct w:val="0"/>
        <w:bidi w:val="0"/>
        <w:rPr>
          <w:rFonts w:hint="eastAsia"/>
          <w:color w:val="auto"/>
          <w:highlight w:val="none"/>
        </w:rPr>
      </w:pPr>
    </w:p>
    <w:p>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pPr>
        <w:widowControl/>
        <w:kinsoku/>
        <w:wordWrap w:val="0"/>
        <w:overflowPunct/>
        <w:topLinePunct w:val="0"/>
        <w:autoSpaceDE w:val="0"/>
        <w:autoSpaceDN w:val="0"/>
        <w:bidi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80"/>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pPr>
        <w:pStyle w:val="81"/>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pPr>
        <w:pStyle w:val="692"/>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b w:val="0"/>
          <w:color w:val="auto"/>
          <w:sz w:val="32"/>
          <w:szCs w:val="32"/>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pPr>
        <w:pStyle w:val="6"/>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49" w:name="_Toc465665161"/>
      <w:r>
        <w:rPr>
          <w:rFonts w:hint="eastAsia" w:ascii="仿宋" w:hAnsi="仿宋" w:eastAsia="仿宋" w:cs="仿宋"/>
          <w:color w:val="auto"/>
          <w:highlight w:val="none"/>
        </w:rPr>
        <w:t>附件</w:t>
      </w:r>
      <w:bookmarkEnd w:id="49"/>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kinsoku/>
        <w:wordWrap w:val="0"/>
        <w:overflowPunct/>
        <w:topLinePunct w:val="0"/>
        <w:bidi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jc w:val="center"/>
        <w:rPr>
          <w:rFonts w:hint="eastAsia" w:ascii="仿宋" w:hAnsi="仿宋" w:eastAsia="仿宋" w:cs="仿宋"/>
          <w:b/>
          <w:bCs/>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wordWrap w:val="0"/>
        <w:overflowPunct/>
        <w:topLinePunct w:val="0"/>
        <w:bidi w:val="0"/>
        <w:spacing w:line="360" w:lineRule="auto"/>
        <w:ind w:firstLine="600" w:firstLineChars="200"/>
        <w:jc w:val="left"/>
        <w:rPr>
          <w:rFonts w:hint="eastAsia" w:ascii="仿宋" w:hAnsi="仿宋" w:eastAsia="仿宋" w:cs="仿宋"/>
          <w:color w:val="auto"/>
          <w:sz w:val="30"/>
          <w:szCs w:val="30"/>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kinsoku/>
        <w:wordWrap w:val="0"/>
        <w:overflowPunct/>
        <w:topLinePunct w:val="0"/>
        <w:bidi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kinsoku/>
        <w:wordWrap w:val="0"/>
        <w:overflowPunct/>
        <w:topLinePunct w:val="0"/>
        <w:bidi w:val="0"/>
        <w:spacing w:line="360" w:lineRule="auto"/>
        <w:ind w:firstLine="480" w:firstLineChars="200"/>
        <w:jc w:val="left"/>
        <w:rPr>
          <w:rFonts w:hint="eastAsia" w:ascii="仿宋" w:hAnsi="仿宋" w:eastAsia="仿宋" w:cs="仿宋"/>
          <w:b/>
          <w:color w:val="auto"/>
          <w:spacing w:val="6"/>
          <w:sz w:val="32"/>
          <w:szCs w:val="32"/>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kinsoku/>
        <w:wordWrap w:val="0"/>
        <w:overflowPunct/>
        <w:topLinePunct w:val="0"/>
        <w:bidi w:val="0"/>
        <w:spacing w:line="360" w:lineRule="auto"/>
        <w:rPr>
          <w:rFonts w:hint="eastAsia" w:ascii="仿宋" w:hAnsi="仿宋" w:eastAsia="仿宋" w:cs="仿宋"/>
          <w:color w:val="auto"/>
          <w:sz w:val="24"/>
          <w:highlight w:val="none"/>
          <w:u w:val="single"/>
        </w:rPr>
      </w:pPr>
    </w:p>
    <w:p>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绍兴市公共资源交易中心</w:t>
      </w:r>
      <w:r>
        <w:rPr>
          <w:rFonts w:hint="eastAsia" w:ascii="仿宋" w:hAnsi="仿宋" w:eastAsia="仿宋" w:cs="仿宋"/>
          <w:color w:val="auto"/>
          <w:sz w:val="24"/>
          <w:highlight w:val="none"/>
          <w:u w:val="single"/>
        </w:rPr>
        <w:t>：</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绍兴市第七人民医院超融合等采购项目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2025-07-0060</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firstLine="494"/>
        <w:rPr>
          <w:rFonts w:hint="eastAsia" w:ascii="仿宋" w:hAnsi="仿宋" w:eastAsia="仿宋" w:cs="仿宋"/>
          <w:color w:val="auto"/>
          <w:sz w:val="24"/>
          <w:highlight w:val="none"/>
        </w:rPr>
      </w:pPr>
    </w:p>
    <w:p>
      <w:pPr>
        <w:kinsoku/>
        <w:wordWrap w:val="0"/>
        <w:overflowPunct/>
        <w:topLinePunct w:val="0"/>
        <w:bidi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kinsoku/>
        <w:wordWrap w:val="0"/>
        <w:overflowPunct/>
        <w:topLinePunct w:val="0"/>
        <w:bidi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kinsoku/>
        <w:wordWrap w:val="0"/>
        <w:overflowPunct/>
        <w:topLinePunct w:val="0"/>
        <w:bidi w:val="0"/>
        <w:rPr>
          <w:rFonts w:hint="eastAsia"/>
          <w:color w:val="auto"/>
          <w:highlight w:val="none"/>
        </w:rPr>
      </w:pPr>
    </w:p>
    <w:p>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kinsoku/>
        <w:wordWrap w:val="0"/>
        <w:overflowPunct/>
        <w:topLinePunct w:val="0"/>
        <w:bidi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both"/>
        <w:rPr>
          <w:rFonts w:hint="eastAsia" w:ascii="仿宋" w:hAnsi="仿宋" w:eastAsia="仿宋" w:cs="仿宋"/>
          <w:b/>
          <w:color w:val="auto"/>
          <w:spacing w:val="6"/>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绍兴市第七人民医院超融合等采购项目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2025-07-0060</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bookmarkStart w:id="50"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0"/>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insoku/>
        <w:wordWrap w:val="0"/>
        <w:overflowPunct/>
        <w:topLinePunct w:val="0"/>
        <w:bidi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wordWrap w:val="0"/>
        <w:overflowPunct/>
        <w:topLinePunct w:val="0"/>
        <w:bidi w:val="0"/>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insoku/>
        <w:wordWrap w:val="0"/>
        <w:overflowPunct/>
        <w:topLinePunct w:val="0"/>
        <w:bidi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insoku/>
        <w:wordWrap w:val="0"/>
        <w:overflowPunct/>
        <w:topLinePunct w:val="0"/>
        <w:bidi w:val="0"/>
        <w:snapToGrid w:val="0"/>
        <w:spacing w:line="360" w:lineRule="auto"/>
        <w:jc w:val="center"/>
        <w:outlineLvl w:val="0"/>
        <w:rPr>
          <w:rFonts w:hint="eastAsia" w:ascii="仿宋" w:hAnsi="仿宋" w:eastAsia="仿宋" w:cs="仿宋"/>
          <w:b/>
          <w:color w:val="auto"/>
          <w:kern w:val="0"/>
          <w:sz w:val="32"/>
          <w:szCs w:val="32"/>
          <w:highlight w:val="none"/>
        </w:rPr>
      </w:pPr>
    </w:p>
    <w:p>
      <w:pPr>
        <w:keepNext w:val="0"/>
        <w:keepLines w:val="0"/>
        <w:pageBreakBefore/>
        <w:widowControl w:val="0"/>
        <w:kinsoku/>
        <w:wordWrap w:val="0"/>
        <w:overflowPunct/>
        <w:topLinePunct w:val="0"/>
        <w:autoSpaceDE/>
        <w:autoSpaceDN/>
        <w:bidi w:val="0"/>
        <w:adjustRightInd w:val="0"/>
        <w:snapToGrid w:val="0"/>
        <w:spacing w:line="360" w:lineRule="auto"/>
        <w:jc w:val="center"/>
        <w:textAlignment w:val="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pPr>
        <w:widowControl/>
        <w:kinsoku/>
        <w:wordWrap w:val="0"/>
        <w:overflowPunct/>
        <w:topLinePunct w:val="0"/>
        <w:bidi w:val="0"/>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绍兴市第七人民医院超融合等采购项目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2025-07-0060</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7"/>
        <w:kinsoku/>
        <w:wordWrap w:val="0"/>
        <w:overflowPunct/>
        <w:topLinePunct w:val="0"/>
        <w:bidi w:val="0"/>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kinsoku/>
        <w:wordWrap w:val="0"/>
        <w:overflowPunct/>
        <w:topLinePunct w:val="0"/>
        <w:bidi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kinsoku/>
        <w:wordWrap w:val="0"/>
        <w:overflowPunct/>
        <w:topLinePunct w:val="0"/>
        <w:bidi w:val="0"/>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1"/>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kinsoku/>
        <w:wordWrap w:val="0"/>
        <w:overflowPunct/>
        <w:topLinePunct w:val="0"/>
        <w:bidi w:val="0"/>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en-US" w:eastAsia="zh-CN"/>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kinsoku/>
        <w:wordWrap w:val="0"/>
        <w:overflowPunct/>
        <w:topLinePunct w:val="0"/>
        <w:bidi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kinsoku/>
        <w:wordWrap w:val="0"/>
        <w:overflowPunct/>
        <w:topLinePunct w:val="0"/>
        <w:bidi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p>
    <w:p>
      <w:pPr>
        <w:kinsoku/>
        <w:wordWrap w:val="0"/>
        <w:overflowPunct/>
        <w:topLinePunct w:val="0"/>
        <w:bidi w:val="0"/>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kinsoku/>
        <w:wordWrap w:val="0"/>
        <w:overflowPunct/>
        <w:topLinePunct w:val="0"/>
        <w:bidi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wordWrap w:val="0"/>
        <w:overflowPunct/>
        <w:topLinePunct w:val="0"/>
        <w:bidi w:val="0"/>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pStyle w:val="81"/>
        <w:kinsoku/>
        <w:wordWrap w:val="0"/>
        <w:overflowPunct/>
        <w:topLinePunct w:val="0"/>
        <w:bidi w:val="0"/>
        <w:rPr>
          <w:rFonts w:hint="eastAsia" w:ascii="仿宋" w:hAnsi="仿宋" w:eastAsia="仿宋" w:cs="仿宋"/>
          <w:b/>
          <w:color w:val="auto"/>
          <w:spacing w:val="6"/>
          <w:sz w:val="32"/>
          <w:szCs w:val="32"/>
          <w:highlight w:val="none"/>
        </w:rPr>
      </w:pPr>
    </w:p>
    <w:p>
      <w:pPr>
        <w:kinsoku/>
        <w:wordWrap w:val="0"/>
        <w:overflowPunct/>
        <w:topLinePunct w:val="0"/>
        <w:bidi w:val="0"/>
        <w:rPr>
          <w:rFonts w:hint="eastAsia" w:ascii="仿宋" w:hAnsi="仿宋" w:eastAsia="仿宋" w:cs="仿宋"/>
          <w:b/>
          <w:color w:val="auto"/>
          <w:spacing w:val="6"/>
          <w:sz w:val="32"/>
          <w:szCs w:val="32"/>
          <w:highlight w:val="none"/>
        </w:rPr>
      </w:pPr>
    </w:p>
    <w:p>
      <w:pPr>
        <w:pStyle w:val="80"/>
        <w:kinsoku/>
        <w:wordWrap w:val="0"/>
        <w:overflowPunct/>
        <w:topLinePunct w:val="0"/>
        <w:bidi w:val="0"/>
        <w:rPr>
          <w:rFonts w:hint="eastAsia" w:ascii="仿宋" w:hAnsi="仿宋" w:eastAsia="仿宋" w:cs="仿宋"/>
          <w:b/>
          <w:color w:val="auto"/>
          <w:spacing w:val="6"/>
          <w:sz w:val="32"/>
          <w:szCs w:val="32"/>
          <w:highlight w:val="none"/>
        </w:rPr>
      </w:pPr>
    </w:p>
    <w:p>
      <w:pPr>
        <w:pStyle w:val="81"/>
        <w:kinsoku/>
        <w:wordWrap w:val="0"/>
        <w:overflowPunct/>
        <w:topLinePunct w:val="0"/>
        <w:bidi w:val="0"/>
        <w:rPr>
          <w:rFonts w:hint="eastAsia"/>
          <w:color w:val="auto"/>
          <w:highlight w:val="none"/>
        </w:rPr>
      </w:pPr>
    </w:p>
    <w:p>
      <w:pPr>
        <w:kinsoku/>
        <w:wordWrap w:val="0"/>
        <w:overflowPunct/>
        <w:topLinePunct w:val="0"/>
        <w:bidi w:val="0"/>
        <w:spacing w:line="360" w:lineRule="auto"/>
        <w:jc w:val="both"/>
        <w:rPr>
          <w:rFonts w:hint="eastAsia" w:ascii="仿宋" w:hAnsi="仿宋" w:eastAsia="仿宋" w:cs="仿宋"/>
          <w:b/>
          <w:color w:val="auto"/>
          <w:spacing w:val="6"/>
          <w:sz w:val="32"/>
          <w:szCs w:val="32"/>
          <w:highlight w:val="none"/>
        </w:rPr>
      </w:pPr>
      <w:bookmarkStart w:id="52" w:name="OLE_LINK13"/>
      <w:bookmarkStart w:id="53" w:name="OLE_LINK14"/>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2"/>
    <w:bookmarkEnd w:id="53"/>
    <w:p>
      <w:pPr>
        <w:kinsoku/>
        <w:wordWrap w:val="0"/>
        <w:overflowPunct/>
        <w:topLinePunct w:val="0"/>
        <w:bidi w:val="0"/>
        <w:spacing w:line="360" w:lineRule="auto"/>
        <w:rPr>
          <w:rFonts w:hint="eastAsia" w:ascii="仿宋" w:hAnsi="仿宋" w:eastAsia="仿宋" w:cs="仿宋"/>
          <w:b/>
          <w:color w:val="auto"/>
          <w:spacing w:val="6"/>
          <w:sz w:val="30"/>
          <w:szCs w:val="30"/>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绍兴市第七人民医院超融合等采购项目</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p>
    <w:p>
      <w:pPr>
        <w:kinsoku/>
        <w:wordWrap w:val="0"/>
        <w:overflowPunct/>
        <w:topLinePunct w:val="0"/>
        <w:bidi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kinsoku/>
        <w:wordWrap w:val="0"/>
        <w:overflowPunct/>
        <w:topLinePunct w:val="0"/>
        <w:bidi w:val="0"/>
        <w:spacing w:line="360" w:lineRule="auto"/>
        <w:jc w:val="center"/>
        <w:rPr>
          <w:rFonts w:hint="eastAsia" w:ascii="仿宋" w:hAnsi="仿宋" w:eastAsia="仿宋" w:cs="仿宋"/>
          <w:color w:val="auto"/>
          <w:sz w:val="24"/>
          <w:highlight w:val="none"/>
          <w:u w:val="singl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lang w:eastAsia="zh-CN"/>
        </w:rPr>
        <w:t>绍兴市第七人民医院超融合等采购项目</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kinsoku/>
        <w:wordWrap w:val="0"/>
        <w:overflowPunct/>
        <w:topLinePunct w:val="0"/>
        <w:bidi w:val="0"/>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kinsoku/>
        <w:wordWrap w:val="0"/>
        <w:overflowPunct/>
        <w:topLinePunct w:val="0"/>
        <w:bidi w:val="0"/>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kinsoku/>
        <w:wordWrap w:val="0"/>
        <w:overflowPunct/>
        <w:topLinePunct w:val="0"/>
        <w:bidi w:val="0"/>
        <w:spacing w:line="360" w:lineRule="auto"/>
        <w:jc w:val="both"/>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hint="eastAsia" w:ascii="仿宋" w:hAnsi="仿宋" w:eastAsia="仿宋" w:cs="仿宋"/>
          <w:b/>
          <w:color w:val="auto"/>
          <w:sz w:val="32"/>
          <w:szCs w:val="32"/>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jc w:val="both"/>
        <w:rPr>
          <w:rFonts w:ascii="宋体" w:hAnsi="宋体" w:cs="宋体"/>
          <w:b/>
          <w:color w:val="auto"/>
          <w:sz w:val="32"/>
          <w:szCs w:val="32"/>
          <w:highlight w:val="none"/>
        </w:rPr>
      </w:pPr>
    </w:p>
    <w:p>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wordWrap w:val="0"/>
        <w:overflowPunct/>
        <w:topLinePunct w:val="0"/>
        <w:bidi w:val="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kinsoku/>
        <w:wordWrap w:val="0"/>
        <w:overflowPunct/>
        <w:topLinePunct w:val="0"/>
        <w:bidi w:val="0"/>
        <w:spacing w:before="150" w:line="420" w:lineRule="atLeast"/>
        <w:ind w:right="825"/>
        <w:jc w:val="right"/>
        <w:textAlignment w:val="baseline"/>
        <w:rPr>
          <w:rFonts w:hint="eastAsia"/>
          <w:color w:val="auto"/>
          <w:highlight w:val="none"/>
          <w:lang w:val="en-US" w:eastAsia="zh-CN"/>
        </w:rPr>
      </w:pPr>
      <w:r>
        <w:rPr>
          <w:rFonts w:hint="eastAsia" w:ascii="仿宋" w:hAnsi="仿宋" w:eastAsia="仿宋" w:cs="仿宋"/>
          <w:color w:val="auto"/>
          <w:kern w:val="0"/>
          <w:szCs w:val="21"/>
          <w:highlight w:val="none"/>
        </w:rPr>
        <w:t>2017年12月28日</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shd w:val="clear" w:color="auto" w:fill="FFFFFF"/>
        <w:kinsoku/>
        <w:wordWrap w:val="0"/>
        <w:overflowPunct/>
        <w:topLinePunct w:val="0"/>
        <w:bidi w:val="0"/>
        <w:spacing w:before="150" w:line="420" w:lineRule="atLeast"/>
        <w:jc w:val="center"/>
        <w:textAlignment w:val="baseline"/>
        <w:rPr>
          <w:rFonts w:hint="eastAsia" w:ascii="仿宋" w:hAnsi="仿宋" w:eastAsia="仿宋" w:cs="仿宋"/>
          <w:b/>
          <w:bCs/>
          <w:color w:val="auto"/>
          <w:kern w:val="0"/>
          <w:sz w:val="36"/>
          <w:szCs w:val="36"/>
          <w:highlight w:val="none"/>
        </w:rPr>
      </w:pPr>
      <w:bookmarkStart w:id="54" w:name="_GoBack"/>
      <w:bookmarkEnd w:id="54"/>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kinsoku/>
        <w:wordWrap w:val="0"/>
        <w:overflowPunct/>
        <w:topLinePunct w:val="0"/>
        <w:bidi w:val="0"/>
        <w:jc w:val="left"/>
        <w:rPr>
          <w:rFonts w:hint="eastAsia" w:ascii="仿宋" w:hAnsi="仿宋" w:eastAsia="仿宋" w:cs="仿宋"/>
          <w:color w:val="auto"/>
          <w:kern w:val="0"/>
          <w:sz w:val="24"/>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kinsoku/>
        <w:wordWrap w:val="0"/>
        <w:overflowPunct/>
        <w:topLinePunct w:val="0"/>
        <w:bidi w:val="0"/>
        <w:jc w:val="left"/>
        <w:rPr>
          <w:rFonts w:hint="eastAsia" w:ascii="仿宋" w:hAnsi="仿宋" w:eastAsia="仿宋" w:cs="仿宋"/>
          <w:color w:val="auto"/>
          <w:kern w:val="0"/>
          <w:sz w:val="18"/>
          <w:szCs w:val="18"/>
          <w:highlight w:val="none"/>
        </w:rPr>
      </w:pP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kinsoku/>
        <w:wordWrap w:val="0"/>
        <w:overflowPunct/>
        <w:topLinePunct w:val="0"/>
        <w:bidi w:val="0"/>
        <w:rPr>
          <w:rFonts w:hint="eastAsia" w:ascii="仿宋" w:hAnsi="仿宋" w:eastAsia="仿宋" w:cs="仿宋"/>
          <w:color w:val="auto"/>
          <w:sz w:val="24"/>
          <w:highlight w:val="none"/>
        </w:rPr>
      </w:pPr>
    </w:p>
    <w:p>
      <w:pPr>
        <w:kinsoku/>
        <w:wordWrap w:val="0"/>
        <w:overflowPunct/>
        <w:topLinePunct w:val="0"/>
        <w:bidi w:val="0"/>
        <w:ind w:firstLine="420" w:firstLineChars="200"/>
        <w:rPr>
          <w:rFonts w:hint="eastAsia" w:ascii="仿宋" w:hAnsi="仿宋" w:eastAsia="仿宋" w:cs="仿宋"/>
          <w:color w:val="auto"/>
          <w:highlight w:val="none"/>
        </w:rPr>
      </w:pPr>
    </w:p>
    <w:p>
      <w:pPr>
        <w:kinsoku/>
        <w:wordWrap w:val="0"/>
        <w:overflowPunct/>
        <w:topLinePunct w:val="0"/>
        <w:bidi w:val="0"/>
        <w:spacing w:line="360" w:lineRule="auto"/>
        <w:ind w:right="420"/>
        <w:rPr>
          <w:rFonts w:hint="eastAsia" w:ascii="仿宋" w:hAnsi="仿宋" w:eastAsia="仿宋" w:cs="仿宋"/>
          <w:color w:val="auto"/>
          <w:highlight w:val="none"/>
        </w:rPr>
      </w:pPr>
    </w:p>
    <w:p>
      <w:pPr>
        <w:kinsoku/>
        <w:wordWrap w:val="0"/>
        <w:overflowPunct/>
        <w:topLinePunct w:val="0"/>
        <w:bidi w:val="0"/>
        <w:spacing w:line="360" w:lineRule="auto"/>
        <w:rPr>
          <w:rFonts w:ascii="宋体" w:hAnsi="宋体" w:cs="宋体"/>
          <w:bCs/>
          <w:color w:val="auto"/>
          <w:sz w:val="24"/>
          <w:highlight w:val="none"/>
        </w:rPr>
      </w:pPr>
    </w:p>
    <w:p>
      <w:pPr>
        <w:kinsoku/>
        <w:wordWrap w:val="0"/>
        <w:overflowPunct/>
        <w:topLinePunct w:val="0"/>
        <w:bidi w:val="0"/>
        <w:spacing w:line="360" w:lineRule="auto"/>
        <w:jc w:val="center"/>
        <w:rPr>
          <w:rFonts w:ascii="宋体" w:hAnsi="宋体" w:cs="宋体"/>
          <w:b/>
          <w:color w:val="auto"/>
          <w:sz w:val="32"/>
          <w:szCs w:val="32"/>
          <w:highlight w:val="none"/>
        </w:rPr>
      </w:pPr>
    </w:p>
    <w:p>
      <w:pPr>
        <w:kinsoku/>
        <w:wordWrap w:val="0"/>
        <w:overflowPunct/>
        <w:topLinePunct w:val="0"/>
        <w:bidi w:val="0"/>
        <w:spacing w:line="360" w:lineRule="auto"/>
        <w:rPr>
          <w:rFonts w:ascii="宋体" w:hAnsi="宋体" w:cs="宋体"/>
          <w:bCs/>
          <w:color w:val="auto"/>
          <w:sz w:val="24"/>
          <w:highlight w:val="none"/>
        </w:rPr>
      </w:pPr>
    </w:p>
    <w:sectPr>
      <w:footerReference r:id="rId22" w:type="first"/>
      <w:footerReference r:id="rId20" w:type="default"/>
      <w:footerReference r:id="rId21"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楷体_GB2312"/>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 w:name="hakuyoxingshu7000">
    <w:panose1 w:val="02000600000000000000"/>
    <w:charset w:val="86"/>
    <w:family w:val="auto"/>
    <w:pitch w:val="default"/>
    <w:sig w:usb0="FFFFFFFF" w:usb1="E9FFFFFF" w:usb2="0000003F" w:usb3="00000000" w:csb0="603F00FF" w:csb1="FFFF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b w:val="0"/>
        <w:i/>
        <w:sz w:val="18"/>
        <w:u w:val="single"/>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招标编号:2025-07-0060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b w:val="0"/>
        <w:i/>
        <w:sz w:val="18"/>
        <w:u w:val="single"/>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招标编号:2025-07-0060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招标编号:2025-07-0060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招标编号:2025-07-0060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79CBAC"/>
    <w:multiLevelType w:val="singleLevel"/>
    <w:tmpl w:val="C679CBAC"/>
    <w:lvl w:ilvl="0" w:tentative="0">
      <w:start w:val="1"/>
      <w:numFmt w:val="lowerLetter"/>
      <w:lvlText w:val="%1)"/>
      <w:lvlJc w:val="left"/>
      <w:pPr>
        <w:tabs>
          <w:tab w:val="left" w:pos="312"/>
        </w:tabs>
      </w:pPr>
    </w:lvl>
  </w:abstractNum>
  <w:abstractNum w:abstractNumId="1">
    <w:nsid w:val="D1659224"/>
    <w:multiLevelType w:val="singleLevel"/>
    <w:tmpl w:val="D1659224"/>
    <w:lvl w:ilvl="0" w:tentative="0">
      <w:start w:val="2"/>
      <w:numFmt w:val="decimal"/>
      <w:suff w:val="nothing"/>
      <w:lvlText w:val="（%1）"/>
      <w:lvlJc w:val="left"/>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04DE69BE"/>
    <w:multiLevelType w:val="multilevel"/>
    <w:tmpl w:val="04DE69BE"/>
    <w:lvl w:ilvl="0" w:tentative="0">
      <w:start w:val="1"/>
      <w:numFmt w:val="decimal"/>
      <w:lvlText w:val="%1"/>
      <w:lvlJc w:val="left"/>
      <w:pPr>
        <w:ind w:left="440" w:hanging="440"/>
      </w:pPr>
      <w:rPr>
        <w:rFonts w:hint="eastAsia"/>
        <w:b w:val="0"/>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78FA9A07"/>
    <w:multiLevelType w:val="singleLevel"/>
    <w:tmpl w:val="78FA9A07"/>
    <w:lvl w:ilvl="0" w:tentative="0">
      <w:start w:val="1"/>
      <w:numFmt w:val="decimal"/>
      <w:lvlText w:val="%1."/>
      <w:lvlJc w:val="left"/>
      <w:pPr>
        <w:tabs>
          <w:tab w:val="left" w:pos="312"/>
        </w:tabs>
      </w:pPr>
    </w:lvl>
  </w:abstractNum>
  <w:num w:numId="1">
    <w:abstractNumId w:val="5"/>
  </w:num>
  <w:num w:numId="2">
    <w:abstractNumId w:val="0"/>
  </w:num>
  <w:num w:numId="3">
    <w:abstractNumId w:val="6"/>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09531D4"/>
    <w:rsid w:val="01054276"/>
    <w:rsid w:val="02E55505"/>
    <w:rsid w:val="033E089E"/>
    <w:rsid w:val="06D74677"/>
    <w:rsid w:val="082A3A50"/>
    <w:rsid w:val="0983157E"/>
    <w:rsid w:val="0AF507FE"/>
    <w:rsid w:val="0FA0239A"/>
    <w:rsid w:val="14127BE9"/>
    <w:rsid w:val="169E17AF"/>
    <w:rsid w:val="1AF0D45A"/>
    <w:rsid w:val="1FBF3881"/>
    <w:rsid w:val="1FCBC4A9"/>
    <w:rsid w:val="1FDF64A5"/>
    <w:rsid w:val="23384B81"/>
    <w:rsid w:val="26866A58"/>
    <w:rsid w:val="2CDA6E57"/>
    <w:rsid w:val="370E5D48"/>
    <w:rsid w:val="37D80F43"/>
    <w:rsid w:val="38647781"/>
    <w:rsid w:val="3DF3849B"/>
    <w:rsid w:val="3E51324C"/>
    <w:rsid w:val="3F326AC0"/>
    <w:rsid w:val="3F6D7804"/>
    <w:rsid w:val="3FEFF7E8"/>
    <w:rsid w:val="3FF7BB55"/>
    <w:rsid w:val="3FFCE84F"/>
    <w:rsid w:val="3FFE25DA"/>
    <w:rsid w:val="3FFF5138"/>
    <w:rsid w:val="423715AE"/>
    <w:rsid w:val="44E70A58"/>
    <w:rsid w:val="45FF8421"/>
    <w:rsid w:val="4DE4148C"/>
    <w:rsid w:val="4F20277D"/>
    <w:rsid w:val="4F3FEEA3"/>
    <w:rsid w:val="4FAE554B"/>
    <w:rsid w:val="4FEEF1CF"/>
    <w:rsid w:val="50C301CB"/>
    <w:rsid w:val="55E34E9E"/>
    <w:rsid w:val="566FF3A5"/>
    <w:rsid w:val="57DAE6E1"/>
    <w:rsid w:val="585A0984"/>
    <w:rsid w:val="5A558E99"/>
    <w:rsid w:val="5BDF3378"/>
    <w:rsid w:val="5CFEE2CC"/>
    <w:rsid w:val="5D7F1DB6"/>
    <w:rsid w:val="5F665FB3"/>
    <w:rsid w:val="642152E2"/>
    <w:rsid w:val="65077AE2"/>
    <w:rsid w:val="659E345F"/>
    <w:rsid w:val="67FC8C85"/>
    <w:rsid w:val="69B5403F"/>
    <w:rsid w:val="6AEF1016"/>
    <w:rsid w:val="6BBFC6AF"/>
    <w:rsid w:val="6BEFF7E4"/>
    <w:rsid w:val="729E74BD"/>
    <w:rsid w:val="76FBAFF1"/>
    <w:rsid w:val="776E0A3D"/>
    <w:rsid w:val="77C33BE9"/>
    <w:rsid w:val="77FE5760"/>
    <w:rsid w:val="77FF1645"/>
    <w:rsid w:val="7B34AC69"/>
    <w:rsid w:val="7BFDEE39"/>
    <w:rsid w:val="7BFF9D14"/>
    <w:rsid w:val="7C6E17B9"/>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7">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8">
    <w:name w:val="heading 3"/>
    <w:basedOn w:val="1"/>
    <w:next w:val="9"/>
    <w:qFormat/>
    <w:uiPriority w:val="0"/>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First Indent 2"/>
    <w:basedOn w:val="3"/>
    <w:next w:val="4"/>
    <w:link w:val="121"/>
    <w:qFormat/>
    <w:uiPriority w:val="0"/>
    <w:pPr>
      <w:adjustRightInd/>
      <w:spacing w:after="120" w:line="240" w:lineRule="auto"/>
      <w:ind w:left="420" w:leftChars="200" w:firstLine="210"/>
    </w:pPr>
    <w:rPr>
      <w:sz w:val="21"/>
    </w:rPr>
  </w:style>
  <w:style w:type="paragraph" w:styleId="3">
    <w:name w:val="Body Text Indent"/>
    <w:basedOn w:val="1"/>
    <w:next w:val="2"/>
    <w:link w:val="264"/>
    <w:qFormat/>
    <w:uiPriority w:val="0"/>
    <w:pPr>
      <w:spacing w:line="480" w:lineRule="exact"/>
      <w:ind w:firstLine="480" w:firstLineChars="200"/>
    </w:pPr>
    <w:rPr>
      <w:rFonts w:ascii="宋体" w:hAnsi="宋体"/>
      <w:sz w:val="24"/>
    </w:rPr>
  </w:style>
  <w:style w:type="paragraph" w:styleId="4">
    <w:name w:val="Body Text"/>
    <w:basedOn w:val="1"/>
    <w:next w:val="5"/>
    <w:link w:val="429"/>
    <w:qFormat/>
    <w:uiPriority w:val="0"/>
    <w:pPr>
      <w:autoSpaceDE w:val="0"/>
      <w:autoSpaceDN w:val="0"/>
      <w:spacing w:line="360" w:lineRule="auto"/>
    </w:pPr>
    <w:rPr>
      <w:rFonts w:ascii="宋体" w:hAnsi="Arial" w:cs="Arial"/>
      <w:snapToGrid w:val="0"/>
      <w:sz w:val="24"/>
      <w:szCs w:val="21"/>
      <w:lang w:val="zh-CN"/>
    </w:rPr>
  </w:style>
  <w:style w:type="paragraph" w:styleId="5">
    <w:name w:val="Body Text First Indent"/>
    <w:basedOn w:val="4"/>
    <w:next w:val="1"/>
    <w:link w:val="320"/>
    <w:qFormat/>
    <w:uiPriority w:val="0"/>
    <w:pPr>
      <w:ind w:firstLine="420"/>
    </w:pPr>
    <w:rPr>
      <w:rFonts w:hAnsi="Calibri" w:cs="Times New Roman"/>
      <w:snapToGrid/>
      <w:szCs w:val="20"/>
    </w:rPr>
  </w:style>
  <w:style w:type="paragraph" w:styleId="9">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0">
    <w:name w:val="caption"/>
    <w:basedOn w:val="1"/>
    <w:next w:val="1"/>
    <w:link w:val="229"/>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2"/>
    <w:qFormat/>
    <w:uiPriority w:val="0"/>
    <w:pPr>
      <w:shd w:val="clear" w:color="auto" w:fill="000080"/>
    </w:pPr>
  </w:style>
  <w:style w:type="paragraph" w:styleId="23">
    <w:name w:val="annotation text"/>
    <w:basedOn w:val="1"/>
    <w:link w:val="343"/>
    <w:qFormat/>
    <w:uiPriority w:val="99"/>
    <w:pPr>
      <w:jc w:val="left"/>
    </w:pPr>
  </w:style>
  <w:style w:type="paragraph" w:styleId="24">
    <w:name w:val="Salutation"/>
    <w:basedOn w:val="1"/>
    <w:next w:val="1"/>
    <w:link w:val="297"/>
    <w:qFormat/>
    <w:uiPriority w:val="0"/>
    <w:rPr>
      <w:rFonts w:ascii="仿宋_GB2312" w:eastAsia="仿宋_GB2312"/>
      <w:sz w:val="28"/>
      <w:szCs w:val="20"/>
    </w:rPr>
  </w:style>
  <w:style w:type="paragraph" w:styleId="25">
    <w:name w:val="Body Text 3"/>
    <w:basedOn w:val="1"/>
    <w:link w:val="329"/>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9"/>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3"/>
    <w:next w:val="23"/>
    <w:link w:val="96"/>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12"/>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7"/>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5"/>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9"/>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8"/>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2"/>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10"/>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20"/>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3"/>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6"/>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11"/>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4"/>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10"/>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3"/>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5"/>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10"/>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5"/>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3"/>
    <w:qFormat/>
    <w:uiPriority w:val="0"/>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4"/>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9"/>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4"/>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10"/>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7"/>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7"/>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7"/>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8"/>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11"/>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8"/>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7"/>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9"/>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10"/>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7"/>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9"/>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7"/>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8"/>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7"/>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8"/>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6"/>
    <w:qFormat/>
    <w:uiPriority w:val="0"/>
    <w:pPr>
      <w:tabs>
        <w:tab w:val="left" w:pos="840"/>
      </w:tabs>
      <w:adjustRightInd/>
      <w:ind w:left="840" w:hanging="420"/>
    </w:pPr>
  </w:style>
  <w:style w:type="paragraph" w:customStyle="1" w:styleId="625">
    <w:name w:val="样式 标题 2标题2H2Heading 2 HiddenHeading 2 CCBSheading 22nd lev..."/>
    <w:basedOn w:val="7"/>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7"/>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7"/>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6"/>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6"/>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10"/>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7"/>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8"/>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9"/>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8"/>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6"/>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10"/>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8"/>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9"/>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2"/>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8"/>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6"/>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11"/>
    <w:next w:val="1"/>
    <w:qFormat/>
    <w:uiPriority w:val="0"/>
    <w:pPr>
      <w:tabs>
        <w:tab w:val="left" w:pos="1080"/>
      </w:tabs>
      <w:ind w:left="1080" w:hanging="1080"/>
    </w:pPr>
  </w:style>
  <w:style w:type="paragraph" w:customStyle="1" w:styleId="896">
    <w:name w:val="数字标题1"/>
    <w:basedOn w:val="6"/>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7"/>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自动更正"/>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143</Pages>
  <Words>19611</Words>
  <Characters>21110</Characters>
  <Paragraphs>2030</Paragraphs>
  <TotalTime>8</TotalTime>
  <ScaleCrop>false</ScaleCrop>
  <LinksUpToDate>false</LinksUpToDate>
  <CharactersWithSpaces>21474</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Administrator</cp:lastModifiedBy>
  <cp:lastPrinted>2021-12-31T11:06:00Z</cp:lastPrinted>
  <dcterms:modified xsi:type="dcterms:W3CDTF">2025-07-14T06:47:58Z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89A41EA5B055435EBB9B7F6413558F4A_13</vt:lpwstr>
  </property>
  <property fmtid="{D5CDD505-2E9C-101B-9397-08002B2CF9AE}" pid="5" name="KSOTemplateDocerSaveRecord">
    <vt:lpwstr>eyJoZGlkIjoiZmIyOTdiYmU4MjViNzBiM2E5NjczMDhhYmM1MmQxMGIiLCJ1c2VySWQiOiI3MTQ2NjQ1In0=</vt:lpwstr>
  </property>
</Properties>
</file>