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color w:val="auto"/>
          <w:sz w:val="52"/>
          <w:szCs w:val="52"/>
          <w:highlight w:val="none"/>
          <w:lang w:eastAsia="zh-CN"/>
        </w:rPr>
      </w:pPr>
      <w:bookmarkStart w:id="0" w:name="_Hlt67893495"/>
      <w:bookmarkEnd w:id="0"/>
      <w:r>
        <w:rPr>
          <w:rFonts w:hint="eastAsia" w:ascii="仿宋" w:hAnsi="仿宋" w:eastAsia="仿宋" w:cs="仿宋"/>
          <w:b/>
          <w:bCs/>
          <w:color w:val="auto"/>
          <w:sz w:val="52"/>
          <w:szCs w:val="52"/>
          <w:highlight w:val="none"/>
          <w:lang w:eastAsia="zh-CN"/>
        </w:rPr>
        <w:t>绍兴市柯桥区妇幼保健院一氧化氮治疗仪采购项目</w:t>
      </w:r>
    </w:p>
    <w:p>
      <w:pPr>
        <w:pStyle w:val="2"/>
        <w:rPr>
          <w:rFonts w:hint="eastAsia" w:ascii="仿宋" w:hAnsi="仿宋" w:eastAsia="仿宋" w:cs="仿宋"/>
          <w:b/>
          <w:bCs/>
          <w:color w:val="auto"/>
          <w:sz w:val="40"/>
          <w:szCs w:val="40"/>
          <w:highlight w:val="none"/>
          <w:lang w:eastAsia="zh-CN"/>
        </w:rPr>
      </w:pPr>
    </w:p>
    <w:p>
      <w:pPr>
        <w:pStyle w:val="3"/>
        <w:rPr>
          <w:rFonts w:hint="eastAsia" w:ascii="仿宋" w:hAnsi="仿宋" w:eastAsia="仿宋" w:cs="仿宋"/>
          <w:b/>
          <w:bCs/>
          <w:color w:val="auto"/>
          <w:sz w:val="40"/>
          <w:szCs w:val="40"/>
          <w:highlight w:val="none"/>
          <w:lang w:eastAsia="zh-CN"/>
        </w:rPr>
      </w:pPr>
    </w:p>
    <w:p>
      <w:pPr>
        <w:rPr>
          <w:color w:val="auto"/>
          <w:highlight w:val="none"/>
        </w:rPr>
      </w:pP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pPr>
        <w:jc w:val="center"/>
        <w:outlineLvl w:val="0"/>
        <w:rPr>
          <w:rFonts w:ascii="仿宋" w:hAnsi="仿宋" w:eastAsia="仿宋" w:cs="仿宋"/>
          <w:color w:val="auto"/>
          <w:sz w:val="56"/>
          <w:szCs w:val="56"/>
          <w:highlight w:val="none"/>
        </w:rPr>
      </w:pPr>
      <w:r>
        <w:rPr>
          <w:rFonts w:hint="eastAsia" w:ascii="仿宋" w:hAnsi="仿宋" w:eastAsia="仿宋" w:cs="仿宋"/>
          <w:b/>
          <w:color w:val="auto"/>
          <w:sz w:val="56"/>
          <w:szCs w:val="56"/>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招标编号:绍柯采[2025]1089号 </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olor w:val="auto"/>
                <w:sz w:val="28"/>
                <w:szCs w:val="28"/>
                <w:highlight w:val="none"/>
              </w:rPr>
              <w:t>浙江建诚工程管理咨询有限公司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pPr>
        <w:pStyle w:val="636"/>
        <w:rPr>
          <w:rFonts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bookmarkEnd w:id="2"/>
    <w:p>
      <w:pPr>
        <w:adjustRightInd/>
        <w:spacing w:line="360" w:lineRule="auto"/>
        <w:outlineLvl w:val="0"/>
        <w:rPr>
          <w:rFonts w:ascii="仿宋" w:hAnsi="仿宋" w:eastAsia="仿宋" w:cs="仿宋"/>
          <w:b/>
          <w:color w:val="auto"/>
          <w:sz w:val="36"/>
          <w:szCs w:val="20"/>
          <w:highlight w:val="none"/>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绍兴市柯桥区妇幼保健院一氧化氮治疗仪采购项目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 月 日 点 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 xml:space="preserve">绍柯采[2025]1089号 </w:t>
      </w:r>
    </w:p>
    <w:p>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绍兴市柯桥区妇幼保健院一氧化氮治疗仪采购项目</w:t>
      </w:r>
    </w:p>
    <w:p>
      <w:pPr>
        <w:spacing w:line="440" w:lineRule="exact"/>
        <w:ind w:firstLine="482" w:firstLineChars="200"/>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400000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248000</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绍兴市柯桥区妇幼保健院一氧化氮治疗仪采购项目</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pP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400000元</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val="en-US" w:eastAsia="zh-CN"/>
        </w:rPr>
        <w:t>一氧化氮治疗仪采购项目</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详见招标文件。</w:t>
      </w:r>
    </w:p>
    <w:p>
      <w:pPr>
        <w:spacing w:line="44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pPr>
        <w:spacing w:line="440" w:lineRule="exact"/>
        <w:ind w:firstLine="480" w:firstLineChars="200"/>
        <w:rPr>
          <w:rFonts w:hint="eastAsia" w:eastAsia="仿宋"/>
          <w:color w:val="auto"/>
          <w:highlight w:val="none"/>
          <w:lang w:eastAsia="zh-CN"/>
        </w:rPr>
      </w:pPr>
      <w:r>
        <w:rPr>
          <w:rFonts w:hint="eastAsia" w:ascii="仿宋" w:eastAsia="仿宋" w:cs="仿宋"/>
          <w:bCs/>
          <w:color w:val="auto"/>
          <w:sz w:val="24"/>
          <w:highlight w:val="none"/>
          <w:lang w:eastAsia="zh-CN"/>
        </w:rPr>
        <w:t>备注：</w:t>
      </w:r>
      <w:r>
        <w:rPr>
          <w:rFonts w:hint="eastAsia" w:ascii="仿宋" w:hAnsi="仿宋" w:eastAsia="仿宋"/>
          <w:color w:val="auto"/>
          <w:sz w:val="24"/>
          <w:szCs w:val="28"/>
          <w:highlight w:val="none"/>
          <w:lang w:val="en-US" w:eastAsia="zh-CN"/>
        </w:rPr>
        <w:t>/。</w:t>
      </w: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是，☐否。</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olor w:val="auto"/>
          <w:sz w:val="24"/>
          <w:szCs w:val="28"/>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lang w:val="en-US" w:eastAsia="zh-CN"/>
        </w:rPr>
        <w:t>投标产品属于第三类医疗器械，供应商应提供有效的</w:t>
      </w:r>
      <w:r>
        <w:rPr>
          <w:rFonts w:hint="eastAsia" w:ascii="仿宋" w:hAnsi="仿宋" w:eastAsia="仿宋"/>
          <w:color w:val="auto"/>
          <w:sz w:val="24"/>
          <w:szCs w:val="28"/>
          <w:highlight w:val="none"/>
        </w:rPr>
        <w:t>医疗器械经营许可证</w:t>
      </w:r>
      <w:r>
        <w:rPr>
          <w:rFonts w:hint="eastAsia" w:ascii="仿宋" w:hAnsi="仿宋" w:eastAsia="仿宋" w:cs="仿宋"/>
          <w:color w:val="auto"/>
          <w:sz w:val="24"/>
          <w:highlight w:val="none"/>
          <w:lang w:val="en-US" w:eastAsia="zh-CN"/>
        </w:rPr>
        <w:t>，若是生产厂家投标提供医疗器械生产许可证</w:t>
      </w:r>
      <w:r>
        <w:rPr>
          <w:rFonts w:hint="eastAsia" w:ascii="仿宋" w:hAnsi="仿宋" w:eastAsia="仿宋" w:cs="仿宋"/>
          <w:color w:val="auto"/>
          <w:sz w:val="24"/>
          <w:highlight w:val="none"/>
          <w:lang w:eastAsia="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 月 日 点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 月 日 点 分00秒</w:t>
      </w:r>
      <w:r>
        <w:rPr>
          <w:rFonts w:hint="eastAsia" w:ascii="仿宋" w:hAnsi="仿宋" w:eastAsia="仿宋" w:cs="仿宋"/>
          <w:bCs/>
          <w:color w:val="auto"/>
          <w:sz w:val="24"/>
          <w:highlight w:val="none"/>
          <w:u w:val="single"/>
        </w:rPr>
        <w:t xml:space="preserve">  </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开标地点（网址）：绍兴市柯桥区卫生健康行政执法队5楼开标室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pPr>
        <w:pStyle w:val="5"/>
        <w:spacing w:line="440" w:lineRule="exact"/>
        <w:ind w:left="0" w:firstLine="482" w:firstLineChars="200"/>
        <w:rPr>
          <w:rFonts w:ascii="仿宋" w:eastAsia="仿宋" w:cs="仿宋"/>
          <w:color w:val="auto"/>
          <w:sz w:val="24"/>
          <w:szCs w:val="24"/>
          <w:highlight w:val="none"/>
        </w:rPr>
      </w:pPr>
      <w:bookmarkStart w:id="11" w:name="_Toc35393806"/>
      <w:bookmarkStart w:id="12" w:name="_Toc28359096"/>
      <w:bookmarkStart w:id="13" w:name="_Toc28359019"/>
      <w:bookmarkStart w:id="14" w:name="_Toc35393637"/>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pPr>
        <w:spacing w:line="360" w:lineRule="auto"/>
        <w:ind w:firstLine="480" w:firstLineChars="200"/>
        <w:jc w:val="left"/>
        <w:rPr>
          <w:rFonts w:ascii="仿宋" w:hAnsi="仿宋" w:eastAsia="仿宋"/>
          <w:color w:val="auto"/>
          <w:sz w:val="24"/>
          <w:szCs w:val="28"/>
          <w:highlight w:val="none"/>
        </w:rPr>
      </w:pPr>
      <w:bookmarkStart w:id="15" w:name="_Toc28359020"/>
      <w:bookmarkStart w:id="16" w:name="_Toc35393638"/>
      <w:bookmarkStart w:id="17" w:name="_Toc35393807"/>
      <w:bookmarkStart w:id="18" w:name="_Toc28359097"/>
      <w:r>
        <w:rPr>
          <w:rFonts w:ascii="仿宋" w:hAnsi="仿宋" w:eastAsia="仿宋"/>
          <w:color w:val="auto"/>
          <w:sz w:val="24"/>
          <w:szCs w:val="28"/>
          <w:highlight w:val="none"/>
        </w:rPr>
        <w:t>名称：</w:t>
      </w:r>
      <w:r>
        <w:rPr>
          <w:rFonts w:hint="eastAsia" w:ascii="仿宋" w:hAnsi="仿宋" w:eastAsia="仿宋"/>
          <w:color w:val="auto"/>
          <w:sz w:val="24"/>
          <w:szCs w:val="28"/>
          <w:highlight w:val="none"/>
        </w:rPr>
        <w:t>绍兴市柯桥区妇幼保健院</w:t>
      </w:r>
    </w:p>
    <w:p>
      <w:pPr>
        <w:spacing w:line="360" w:lineRule="auto"/>
        <w:ind w:firstLine="480" w:firstLineChars="200"/>
        <w:jc w:val="left"/>
        <w:rPr>
          <w:rFonts w:ascii="仿宋" w:hAnsi="仿宋" w:eastAsia="仿宋"/>
          <w:color w:val="auto"/>
          <w:sz w:val="24"/>
          <w:szCs w:val="28"/>
          <w:highlight w:val="none"/>
        </w:rPr>
      </w:pPr>
      <w:r>
        <w:rPr>
          <w:rFonts w:ascii="仿宋" w:hAnsi="仿宋" w:eastAsia="仿宋"/>
          <w:color w:val="auto"/>
          <w:sz w:val="24"/>
          <w:szCs w:val="28"/>
          <w:highlight w:val="none"/>
        </w:rPr>
        <w:t>地址：</w:t>
      </w:r>
      <w:r>
        <w:rPr>
          <w:rFonts w:hint="eastAsia" w:ascii="仿宋" w:hAnsi="仿宋" w:eastAsia="仿宋"/>
          <w:color w:val="auto"/>
          <w:sz w:val="24"/>
          <w:szCs w:val="28"/>
          <w:highlight w:val="none"/>
        </w:rPr>
        <w:t>绍兴市柯桥区柯岩大道778号</w:t>
      </w:r>
    </w:p>
    <w:p>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传真：/</w:t>
      </w:r>
    </w:p>
    <w:p>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项目联系人（询问）：</w:t>
      </w:r>
      <w:r>
        <w:rPr>
          <w:rFonts w:hint="eastAsia" w:ascii="仿宋" w:hAnsi="仿宋" w:eastAsia="仿宋"/>
          <w:color w:val="auto"/>
          <w:sz w:val="24"/>
          <w:szCs w:val="28"/>
          <w:highlight w:val="none"/>
          <w:lang w:val="en-US" w:eastAsia="zh-CN"/>
        </w:rPr>
        <w:t>王</w:t>
      </w:r>
      <w:r>
        <w:rPr>
          <w:rFonts w:hint="eastAsia" w:ascii="仿宋" w:hAnsi="仿宋" w:eastAsia="仿宋"/>
          <w:color w:val="auto"/>
          <w:sz w:val="24"/>
          <w:szCs w:val="28"/>
          <w:highlight w:val="none"/>
        </w:rPr>
        <w:t>老师</w:t>
      </w:r>
    </w:p>
    <w:p>
      <w:pPr>
        <w:spacing w:line="360" w:lineRule="auto"/>
        <w:ind w:firstLine="480" w:firstLineChars="200"/>
        <w:jc w:val="left"/>
        <w:rPr>
          <w:rFonts w:hint="eastAsia" w:ascii="仿宋" w:hAnsi="仿宋" w:eastAsia="仿宋"/>
          <w:color w:val="auto"/>
          <w:sz w:val="24"/>
          <w:szCs w:val="28"/>
          <w:highlight w:val="none"/>
          <w:lang w:val="en-US" w:eastAsia="zh-CN"/>
        </w:rPr>
      </w:pPr>
      <w:r>
        <w:rPr>
          <w:rFonts w:hint="eastAsia" w:ascii="仿宋" w:hAnsi="仿宋" w:eastAsia="仿宋"/>
          <w:color w:val="auto"/>
          <w:sz w:val="24"/>
          <w:szCs w:val="28"/>
          <w:highlight w:val="none"/>
        </w:rPr>
        <w:t>项目联系方式（询问）：0575-</w:t>
      </w:r>
      <w:r>
        <w:rPr>
          <w:rFonts w:hint="eastAsia" w:ascii="仿宋" w:hAnsi="仿宋" w:eastAsia="仿宋"/>
          <w:color w:val="auto"/>
          <w:sz w:val="24"/>
          <w:szCs w:val="28"/>
          <w:highlight w:val="none"/>
          <w:lang w:val="en-US" w:eastAsia="zh-CN"/>
        </w:rPr>
        <w:t>85028770</w:t>
      </w:r>
    </w:p>
    <w:p>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质疑联系人：毛老师</w:t>
      </w:r>
    </w:p>
    <w:p>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质疑联系方式：0575-85028627</w:t>
      </w:r>
    </w:p>
    <w:p>
      <w:pPr>
        <w:pStyle w:val="5"/>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pPr>
        <w:snapToGrid w:val="0"/>
        <w:spacing w:line="360" w:lineRule="auto"/>
        <w:ind w:firstLine="480" w:firstLineChars="200"/>
        <w:jc w:val="left"/>
        <w:rPr>
          <w:rFonts w:ascii="仿宋" w:hAnsi="仿宋" w:eastAsia="仿宋"/>
          <w:color w:val="auto"/>
          <w:sz w:val="24"/>
          <w:highlight w:val="none"/>
        </w:rPr>
      </w:pPr>
      <w:bookmarkStart w:id="19" w:name="_Toc28359021"/>
      <w:bookmarkStart w:id="20" w:name="_Toc35393639"/>
      <w:bookmarkStart w:id="21" w:name="_Toc28359098"/>
      <w:bookmarkStart w:id="22" w:name="_Toc35393808"/>
      <w:r>
        <w:rPr>
          <w:rFonts w:hint="eastAsia" w:ascii="仿宋" w:hAnsi="仿宋" w:eastAsia="仿宋"/>
          <w:color w:val="auto"/>
          <w:sz w:val="24"/>
          <w:highlight w:val="none"/>
        </w:rPr>
        <w:t>名    称：浙江建诚工程管理咨询有限公司</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地    址：绍兴市越城区平江路龙湖大厦14楼</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传    真：0575-88658182</w:t>
      </w:r>
    </w:p>
    <w:p>
      <w:pPr>
        <w:snapToGrid w:val="0"/>
        <w:spacing w:line="360" w:lineRule="auto"/>
        <w:ind w:firstLine="480" w:firstLineChars="200"/>
        <w:jc w:val="left"/>
        <w:rPr>
          <w:rFonts w:hint="eastAsia" w:ascii="仿宋" w:hAnsi="仿宋" w:eastAsia="仿宋"/>
          <w:color w:val="auto"/>
          <w:sz w:val="24"/>
          <w:highlight w:val="none"/>
          <w:lang w:eastAsia="zh-CN"/>
        </w:rPr>
      </w:pPr>
      <w:r>
        <w:rPr>
          <w:rFonts w:hint="eastAsia" w:ascii="仿宋" w:hAnsi="仿宋" w:eastAsia="仿宋"/>
          <w:color w:val="auto"/>
          <w:sz w:val="24"/>
          <w:highlight w:val="none"/>
        </w:rPr>
        <w:t>项目联系人（询问）：</w:t>
      </w:r>
      <w:r>
        <w:rPr>
          <w:rFonts w:hint="eastAsia" w:ascii="仿宋" w:hAnsi="仿宋" w:eastAsia="仿宋"/>
          <w:color w:val="auto"/>
          <w:sz w:val="24"/>
          <w:highlight w:val="none"/>
          <w:lang w:eastAsia="zh-CN"/>
        </w:rPr>
        <w:t>王高民</w:t>
      </w:r>
    </w:p>
    <w:p>
      <w:pPr>
        <w:snapToGrid w:val="0"/>
        <w:spacing w:line="360" w:lineRule="auto"/>
        <w:ind w:firstLine="480" w:firstLineChars="200"/>
        <w:jc w:val="left"/>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项目联系方式（询问）：</w:t>
      </w:r>
      <w:r>
        <w:rPr>
          <w:rFonts w:hint="eastAsia" w:ascii="仿宋" w:hAnsi="仿宋" w:eastAsia="仿宋"/>
          <w:color w:val="auto"/>
          <w:sz w:val="24"/>
          <w:highlight w:val="none"/>
          <w:lang w:val="en-US" w:eastAsia="zh-CN"/>
        </w:rPr>
        <w:t>13858429370</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质疑联系人：徐平阳</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质疑联系方式：18157591508</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23" w:name="OLE_LINK1"/>
      <w:bookmarkStart w:id="24" w:name="OLE_LINK12"/>
      <w:r>
        <w:rPr>
          <w:rFonts w:hint="eastAsia" w:ascii="仿宋" w:hAnsi="仿宋" w:eastAsia="仿宋" w:cs="仿宋"/>
          <w:color w:val="auto"/>
          <w:sz w:val="24"/>
          <w:highlight w:val="none"/>
        </w:rPr>
        <w:t>绍兴市柯桥区财政局</w:t>
      </w:r>
      <w:bookmarkEnd w:id="23"/>
    </w:p>
    <w:bookmarkEnd w:id="24"/>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5" w:name="OLE_LINK2"/>
      <w:r>
        <w:rPr>
          <w:rFonts w:hint="eastAsia" w:ascii="仿宋" w:hAnsi="仿宋" w:eastAsia="仿宋" w:cs="仿宋"/>
          <w:color w:val="auto"/>
          <w:sz w:val="24"/>
          <w:highlight w:val="none"/>
        </w:rPr>
        <w:t>绍兴市柯桥区育才路财税大楼</w:t>
      </w:r>
      <w:bookmarkEnd w:id="25"/>
      <w:r>
        <w:rPr>
          <w:rFonts w:hint="eastAsia" w:ascii="仿宋" w:hAnsi="仿宋" w:eastAsia="仿宋" w:cs="仿宋"/>
          <w:color w:val="auto"/>
          <w:sz w:val="24"/>
          <w:highlight w:val="none"/>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6" w:name="OLE_LINK15"/>
      <w:bookmarkStart w:id="27" w:name="OLE_LINK3"/>
      <w:r>
        <w:rPr>
          <w:rFonts w:hint="eastAsia" w:ascii="仿宋" w:hAnsi="仿宋" w:eastAsia="仿宋" w:cs="仿宋"/>
          <w:color w:val="auto"/>
          <w:sz w:val="24"/>
          <w:highlight w:val="none"/>
        </w:rPr>
        <w:t>王涛</w:t>
      </w:r>
      <w:bookmarkEnd w:id="26"/>
      <w:r>
        <w:rPr>
          <w:rFonts w:hint="eastAsia" w:ascii="仿宋" w:hAnsi="仿宋" w:eastAsia="仿宋" w:cs="仿宋"/>
          <w:color w:val="auto"/>
          <w:sz w:val="24"/>
          <w:highlight w:val="none"/>
        </w:rPr>
        <w:t xml:space="preserve"> </w:t>
      </w:r>
    </w:p>
    <w:bookmarkEnd w:id="27"/>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8" w:name="OLE_LINK4"/>
      <w:r>
        <w:rPr>
          <w:rFonts w:hint="eastAsia" w:ascii="仿宋" w:hAnsi="仿宋" w:eastAsia="仿宋" w:cs="仿宋"/>
          <w:color w:val="auto"/>
          <w:sz w:val="24"/>
          <w:highlight w:val="none"/>
        </w:rPr>
        <w:t xml:space="preserve"> 0575-85672135   </w:t>
      </w:r>
      <w:bookmarkEnd w:id="28"/>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bookmarkStart w:id="29" w:name="OLE_LINK31"/>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eastAsia="zh-CN"/>
              </w:rPr>
              <w:t>货物价款、劳务、材料、质检（自检）、运输、装卸、安装、缺陷修复、管理、保险、税费及不可预见</w:t>
            </w:r>
            <w:r>
              <w:rPr>
                <w:rFonts w:hint="eastAsia" w:ascii="仿宋" w:hAnsi="仿宋" w:eastAsia="仿宋" w:cs="仿宋"/>
                <w:color w:val="auto"/>
                <w:sz w:val="24"/>
                <w:szCs w:val="24"/>
                <w:highlight w:val="none"/>
              </w:rPr>
              <w:t>等费用均计入报价。</w:t>
            </w:r>
            <w:bookmarkStart w:id="30"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0"/>
            <w:r>
              <w:rPr>
                <w:rFonts w:hint="eastAsia" w:ascii="宋体" w:hAnsi="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★投标文</w:t>
            </w:r>
            <w:bookmarkStart w:id="31" w:name="OLE_LINK21"/>
            <w:r>
              <w:rPr>
                <w:rFonts w:hint="eastAsia" w:ascii="宋体" w:hAnsi="宋体" w:eastAsia="宋体" w:cs="宋体"/>
                <w:b/>
                <w:bCs/>
                <w:color w:val="auto"/>
                <w:sz w:val="24"/>
                <w:highlight w:val="none"/>
                <w:lang w:val="zh-CN"/>
              </w:rPr>
              <w:t>件出现不是唯一的</w:t>
            </w:r>
            <w:bookmarkEnd w:id="31"/>
            <w:r>
              <w:rPr>
                <w:rFonts w:hint="eastAsia" w:ascii="宋体" w:hAnsi="宋体" w:eastAsia="宋体" w:cs="宋体"/>
                <w:b/>
                <w:bCs/>
                <w:color w:val="auto"/>
                <w:sz w:val="24"/>
                <w:highlight w:val="none"/>
                <w:lang w:val="zh-CN"/>
              </w:rPr>
              <w:t>、有选择性投标报价的；</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★投标报价超过招标文件中规定的预算金额或最高限价的;</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2" w:name="OLE_LINK28"/>
            <w:r>
              <w:rPr>
                <w:rFonts w:hint="eastAsia" w:ascii="宋体" w:hAnsi="宋体" w:eastAsia="宋体" w:cs="宋体"/>
                <w:b/>
                <w:bCs/>
                <w:color w:val="auto"/>
                <w:sz w:val="24"/>
                <w:highlight w:val="none"/>
                <w:lang w:val="zh-CN"/>
              </w:rPr>
              <w:t>能证明其报价合理性的</w:t>
            </w:r>
            <w:bookmarkEnd w:id="32"/>
            <w:r>
              <w:rPr>
                <w:rFonts w:hint="eastAsia" w:ascii="宋体" w:hAnsi="宋体" w:eastAsia="宋体" w:cs="宋体"/>
                <w:b/>
                <w:bCs/>
                <w:color w:val="auto"/>
                <w:sz w:val="24"/>
                <w:highlight w:val="none"/>
                <w:lang w:val="zh-CN"/>
              </w:rPr>
              <w:t>;</w:t>
            </w:r>
          </w:p>
          <w:p>
            <w:pPr>
              <w:spacing w:line="360" w:lineRule="auto"/>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rPr>
              <w:t>★报价低于项目预算50%的投标报价，投标人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lang w:val="zh-CN"/>
              </w:rPr>
              <w:t>投标文件中提供成本测算资料</w:t>
            </w:r>
            <w:r>
              <w:rPr>
                <w:rFonts w:hint="eastAsia" w:ascii="宋体" w:hAnsi="宋体" w:eastAsia="宋体" w:cs="宋体"/>
                <w:b/>
                <w:bCs/>
                <w:color w:val="auto"/>
                <w:sz w:val="24"/>
                <w:highlight w:val="none"/>
                <w:lang w:val="zh-CN" w:eastAsia="zh-CN"/>
              </w:rPr>
              <w:t>，</w:t>
            </w:r>
            <w:r>
              <w:rPr>
                <w:rFonts w:hint="eastAsia" w:ascii="宋体" w:hAnsi="宋体" w:eastAsia="宋体" w:cs="宋体"/>
                <w:b/>
                <w:bCs/>
                <w:color w:val="auto"/>
                <w:sz w:val="24"/>
                <w:highlight w:val="none"/>
                <w:lang w:val="zh-CN"/>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lang w:val="zh-CN"/>
              </w:rPr>
              <w:t>视为投标人</w:t>
            </w:r>
            <w:bookmarkStart w:id="33" w:name="OLE_LINK23"/>
            <w:r>
              <w:rPr>
                <w:rFonts w:hint="eastAsia" w:ascii="宋体" w:hAnsi="宋体" w:eastAsia="宋体" w:cs="宋体"/>
                <w:b/>
                <w:bCs/>
                <w:color w:val="auto"/>
                <w:sz w:val="24"/>
                <w:highlight w:val="none"/>
                <w:lang w:val="zh-CN"/>
              </w:rPr>
              <w:t>不能证明其报价合理性</w:t>
            </w:r>
            <w:r>
              <w:rPr>
                <w:rFonts w:hint="eastAsia" w:ascii="宋体" w:hAnsi="宋体" w:eastAsia="宋体" w:cs="宋体"/>
                <w:b/>
                <w:bCs/>
                <w:color w:val="auto"/>
                <w:sz w:val="24"/>
                <w:highlight w:val="none"/>
                <w:lang w:val="zh-CN" w:eastAsia="zh-CN"/>
              </w:rPr>
              <w:t>；</w:t>
            </w:r>
          </w:p>
          <w:bookmarkEnd w:id="33"/>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★《开标一览表(报价表)》填写不完整或字迹不能辨认或有漏项的,经评标委员会认定属于</w:t>
            </w:r>
            <w:bookmarkStart w:id="34" w:name="OLE_LINK29"/>
            <w:r>
              <w:rPr>
                <w:rFonts w:hint="eastAsia" w:ascii="宋体" w:hAnsi="宋体" w:eastAsia="宋体" w:cs="宋体"/>
                <w:b/>
                <w:bCs/>
                <w:color w:val="auto"/>
                <w:sz w:val="24"/>
                <w:highlight w:val="none"/>
                <w:lang w:val="zh-CN"/>
              </w:rPr>
              <w:t>重大偏差</w:t>
            </w:r>
            <w:bookmarkEnd w:id="34"/>
            <w:r>
              <w:rPr>
                <w:rFonts w:hint="eastAsia" w:ascii="宋体" w:hAnsi="宋体" w:eastAsia="宋体" w:cs="宋体"/>
                <w:b/>
                <w:bCs/>
                <w:color w:val="auto"/>
                <w:sz w:val="24"/>
                <w:highlight w:val="none"/>
                <w:lang w:val="zh-CN"/>
              </w:rPr>
              <w:t>的；</w:t>
            </w:r>
          </w:p>
          <w:p>
            <w:pPr>
              <w:spacing w:line="360" w:lineRule="auto"/>
              <w:rPr>
                <w:rFonts w:hint="eastAsia" w:ascii="仿宋" w:hAnsi="仿宋" w:eastAsia="仿宋" w:cs="仿宋"/>
                <w:b/>
                <w:color w:val="auto"/>
                <w:sz w:val="24"/>
                <w:highlight w:val="none"/>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rPr>
              <w:t>投标人对根据修正原则修</w:t>
            </w:r>
            <w:bookmarkStart w:id="35" w:name="OLE_LINK30"/>
            <w:r>
              <w:rPr>
                <w:rFonts w:hint="eastAsia" w:ascii="宋体" w:hAnsi="宋体" w:eastAsia="宋体" w:cs="宋体"/>
                <w:b/>
                <w:bCs/>
                <w:color w:val="auto"/>
                <w:sz w:val="24"/>
                <w:highlight w:val="none"/>
              </w:rPr>
              <w:t>正后的报价不</w:t>
            </w:r>
            <w:bookmarkEnd w:id="35"/>
            <w:r>
              <w:rPr>
                <w:rFonts w:hint="eastAsia" w:ascii="宋体" w:hAnsi="宋体" w:eastAsia="宋体" w:cs="宋体"/>
                <w:b/>
                <w:bCs/>
                <w:color w:val="auto"/>
                <w:sz w:val="24"/>
                <w:highlight w:val="none"/>
              </w:rPr>
              <w:t>确认的。</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6" w:name="OLE_LINK5"/>
            <w:r>
              <w:rPr>
                <w:rFonts w:hint="eastAsia"/>
                <w:color w:val="auto"/>
                <w:highlight w:val="none"/>
              </w:rPr>
              <w:t>商务技术文件</w:t>
            </w:r>
            <w:bookmarkEnd w:id="36"/>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color w:val="auto"/>
                <w:sz w:val="24"/>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pStyle w:val="80"/>
              <w:rPr>
                <w:rFonts w:eastAsia="仿宋"/>
                <w:color w:val="auto"/>
                <w:highlight w:val="none"/>
              </w:rPr>
            </w:pPr>
            <w:r>
              <w:rPr>
                <w:rFonts w:hint="eastAsia" w:ascii="仿宋" w:hAnsi="仿宋" w:eastAsia="仿宋" w:cs="仿宋"/>
                <w:b/>
                <w:bCs/>
                <w:color w:val="auto"/>
                <w:highlight w:val="none"/>
              </w:rPr>
              <w:t>（8）</w:t>
            </w:r>
            <w:r>
              <w:rPr>
                <w:rFonts w:hint="eastAsia" w:ascii="仿宋" w:hAnsi="仿宋" w:eastAsia="仿宋" w:cs="仿宋"/>
                <w:color w:val="auto"/>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报价单中所有试剂</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pPr>
              <w:snapToGrid w:val="0"/>
              <w:spacing w:line="440" w:lineRule="exact"/>
              <w:ind w:hanging="1"/>
              <w:jc w:val="center"/>
              <w:rPr>
                <w:rFonts w:ascii="仿宋" w:hAnsi="仿宋" w:eastAsia="仿宋" w:cs="仿宋"/>
                <w:b/>
                <w:color w:val="auto"/>
                <w:spacing w:val="-20"/>
                <w:sz w:val="24"/>
                <w:highlight w:val="none"/>
              </w:rPr>
            </w:pPr>
            <w:bookmarkStart w:id="37" w:name="OLE_LINK41"/>
            <w:r>
              <w:rPr>
                <w:rFonts w:hint="eastAsia" w:ascii="仿宋_GB2312" w:hAnsi="仿宋" w:eastAsia="仿宋_GB2312"/>
                <w:bCs/>
                <w:color w:val="auto"/>
                <w:sz w:val="24"/>
                <w:highlight w:val="none"/>
              </w:rPr>
              <w:t>中小企业优惠措施</w:t>
            </w:r>
            <w:bookmarkEnd w:id="37"/>
          </w:p>
        </w:tc>
        <w:tc>
          <w:tcPr>
            <w:tcW w:w="7515" w:type="dxa"/>
            <w:vAlign w:val="center"/>
          </w:tcPr>
          <w:p>
            <w:pPr>
              <w:pStyle w:val="965"/>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pPr>
              <w:pStyle w:val="965"/>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38" w:name="OLE_LINK43"/>
            <w:bookmarkStart w:id="39" w:name="OLE_LINK42"/>
            <w:bookmarkStart w:id="40" w:name="OLE_LINK44"/>
            <w:r>
              <w:rPr>
                <w:rFonts w:hint="eastAsia" w:ascii="仿宋" w:hAnsi="仿宋" w:eastAsia="仿宋"/>
                <w:b/>
                <w:color w:val="auto"/>
                <w:sz w:val="24"/>
                <w:szCs w:val="24"/>
                <w:highlight w:val="none"/>
              </w:rPr>
              <w:t>中小企业划型标准</w:t>
            </w:r>
            <w:bookmarkEnd w:id="38"/>
            <w:r>
              <w:rPr>
                <w:rFonts w:hint="eastAsia" w:ascii="仿宋" w:hAnsi="仿宋" w:eastAsia="仿宋"/>
                <w:b/>
                <w:color w:val="auto"/>
                <w:sz w:val="24"/>
                <w:szCs w:val="24"/>
                <w:highlight w:val="none"/>
              </w:rPr>
              <w:t>规</w:t>
            </w:r>
            <w:bookmarkEnd w:id="39"/>
            <w:r>
              <w:rPr>
                <w:rFonts w:hint="eastAsia" w:ascii="仿宋" w:hAnsi="仿宋" w:eastAsia="仿宋"/>
                <w:b/>
                <w:color w:val="auto"/>
                <w:sz w:val="24"/>
                <w:szCs w:val="24"/>
                <w:highlight w:val="none"/>
              </w:rPr>
              <w:t>定》</w:t>
            </w:r>
            <w:bookmarkEnd w:id="40"/>
            <w:r>
              <w:rPr>
                <w:rFonts w:hint="eastAsia" w:ascii="仿宋" w:hAnsi="仿宋" w:eastAsia="仿宋"/>
                <w:b/>
                <w:color w:val="auto"/>
                <w:sz w:val="24"/>
                <w:szCs w:val="24"/>
                <w:highlight w:val="none"/>
              </w:rPr>
              <w:t>执行）</w:t>
            </w:r>
          </w:p>
          <w:p>
            <w:pPr>
              <w:adjustRightInd w:val="0"/>
              <w:snapToGrid w:val="0"/>
              <w:spacing w:before="72" w:beforeLines="30" w:after="72" w:afterLines="30"/>
              <w:ind w:firstLine="482" w:firstLineChars="20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rPr>
              <w:t>详见</w:t>
            </w:r>
            <w:r>
              <w:rPr>
                <w:rFonts w:hint="eastAsia" w:ascii="仿宋" w:hAnsi="仿宋" w:eastAsia="仿宋"/>
                <w:b/>
                <w:color w:val="auto"/>
                <w:sz w:val="24"/>
                <w:szCs w:val="24"/>
                <w:highlight w:val="none"/>
                <w:u w:val="single"/>
                <w:lang w:eastAsia="zh-CN"/>
              </w:rPr>
              <w:t>第三部分</w:t>
            </w:r>
            <w:r>
              <w:rPr>
                <w:rFonts w:hint="eastAsia" w:ascii="仿宋" w:hAnsi="仿宋" w:eastAsia="仿宋" w:cs="Times New Roman"/>
                <w:b/>
                <w:color w:val="auto"/>
                <w:sz w:val="24"/>
                <w:szCs w:val="24"/>
                <w:highlight w:val="none"/>
                <w:u w:val="single"/>
              </w:rPr>
              <w:t>招标项目范围及要求</w:t>
            </w:r>
            <w:r>
              <w:rPr>
                <w:rFonts w:hint="eastAsia" w:ascii="仿宋" w:hAnsi="仿宋" w:eastAsia="仿宋"/>
                <w:b/>
                <w:color w:val="auto"/>
                <w:sz w:val="24"/>
                <w:szCs w:val="24"/>
                <w:highlight w:val="none"/>
                <w:u w:val="single"/>
              </w:rPr>
              <w:t>的采购清单</w:t>
            </w:r>
          </w:p>
          <w:p>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auto"/>
                <w:kern w:val="0"/>
                <w:sz w:val="24"/>
                <w:szCs w:val="24"/>
                <w:highlight w:val="none"/>
                <w:u w:val="single"/>
              </w:rPr>
              <w:t xml:space="preserve"> </w:t>
            </w:r>
            <w:r>
              <w:rPr>
                <w:rFonts w:hint="eastAsia" w:ascii="仿宋" w:hAnsi="仿宋" w:eastAsia="仿宋"/>
                <w:b/>
                <w:color w:val="auto"/>
                <w:sz w:val="24"/>
                <w:szCs w:val="24"/>
                <w:highlight w:val="none"/>
                <w:u w:val="single"/>
                <w:lang w:eastAsia="zh-CN"/>
              </w:rPr>
              <w:t>工业</w:t>
            </w:r>
            <w:r>
              <w:rPr>
                <w:rFonts w:hint="eastAsia" w:ascii="仿宋" w:hAnsi="仿宋" w:eastAsia="仿宋" w:cs="仿宋"/>
                <w:b/>
                <w:color w:val="auto"/>
                <w:kern w:val="0"/>
                <w:sz w:val="24"/>
                <w:szCs w:val="24"/>
                <w:highlight w:val="none"/>
                <w:u w:val="single"/>
                <w:lang w:val="en-US" w:eastAsia="zh-CN"/>
              </w:rPr>
              <w:t xml:space="preserve"> </w:t>
            </w:r>
          </w:p>
          <w:p>
            <w:pPr>
              <w:adjustRightInd w:val="0"/>
              <w:snapToGrid w:val="0"/>
              <w:spacing w:before="72" w:beforeLines="30" w:after="72" w:afterLines="30"/>
              <w:ind w:firstLine="482" w:firstLineChars="200"/>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号的相关规定，本项目是专门面向中小企业采购的项目，不执行价格评审优惠的扶持政策。</w:t>
            </w:r>
            <w:r>
              <w:rPr>
                <w:rFonts w:hint="eastAsia" w:ascii="仿宋" w:hAnsi="仿宋" w:eastAsia="仿宋"/>
                <w:b/>
                <w:color w:val="auto"/>
                <w:sz w:val="24"/>
                <w:szCs w:val="24"/>
                <w:highlight w:val="none"/>
                <w:lang w:eastAsia="zh-CN"/>
              </w:rPr>
              <w:t>（该条款为选项，采购人根据实际选择）</w:t>
            </w:r>
          </w:p>
          <w:p>
            <w:pPr>
              <w:adjustRightInd w:val="0"/>
              <w:snapToGrid w:val="0"/>
              <w:spacing w:before="72" w:beforeLines="30" w:after="72" w:afterLines="30"/>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1" w:name="OLE_LINK37"/>
            <w:r>
              <w:rPr>
                <w:rFonts w:hint="eastAsia" w:ascii="仿宋" w:hAnsi="仿宋" w:eastAsia="仿宋"/>
                <w:color w:val="auto"/>
                <w:sz w:val="24"/>
                <w:szCs w:val="24"/>
                <w:highlight w:val="none"/>
              </w:rPr>
              <w:t>人福利性单位声明函</w:t>
            </w:r>
            <w:bookmarkEnd w:id="41"/>
            <w:r>
              <w:rPr>
                <w:rFonts w:hint="eastAsia" w:ascii="仿宋" w:hAnsi="仿宋" w:eastAsia="仿宋"/>
                <w:color w:val="auto"/>
                <w:sz w:val="24"/>
                <w:szCs w:val="24"/>
                <w:highlight w:val="none"/>
              </w:rPr>
              <w:t>（见附件）。</w:t>
            </w:r>
          </w:p>
          <w:p>
            <w:pPr>
              <w:snapToGrid w:val="0"/>
              <w:spacing w:line="440" w:lineRule="exact"/>
              <w:rPr>
                <w:rFonts w:ascii="仿宋" w:hAnsi="仿宋" w:eastAsia="仿宋" w:cs="仿宋"/>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2" w:name="OLE_LINK38"/>
            <w:r>
              <w:rPr>
                <w:rFonts w:hint="eastAsia" w:ascii="仿宋" w:hAnsi="仿宋" w:eastAsia="仿宋"/>
                <w:color w:val="auto"/>
                <w:sz w:val="24"/>
                <w:szCs w:val="24"/>
                <w:highlight w:val="none"/>
              </w:rPr>
              <w:t>监狱企业的证明文件</w:t>
            </w:r>
            <w:bookmarkEnd w:id="42"/>
            <w:r>
              <w:rPr>
                <w:rFonts w:hint="eastAsia" w:ascii="仿宋" w:hAnsi="仿宋" w:eastAsia="仿宋"/>
                <w:color w:val="auto"/>
                <w:sz w:val="24"/>
                <w:szCs w:val="24"/>
                <w:highlight w:val="none"/>
              </w:rPr>
              <w:t>（格式自拟）。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2" w:char="0052"/>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widowControl/>
              <w:adjustRightInd/>
              <w:spacing w:line="336" w:lineRule="auto"/>
              <w:rPr>
                <w:rFonts w:hint="default" w:ascii="仿宋" w:hAnsi="仿宋" w:eastAsia="仿宋" w:cs="仿宋"/>
                <w:b/>
                <w:color w:val="auto"/>
                <w:sz w:val="24"/>
                <w:highlight w:val="none"/>
                <w:lang w:val="en-US"/>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pPr>
              <w:widowControl/>
              <w:adjustRightInd/>
              <w:spacing w:line="336" w:lineRule="auto"/>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w:t>
            </w:r>
            <w:bookmarkStart w:id="43" w:name="OLE_LINK6"/>
            <w:r>
              <w:rPr>
                <w:rFonts w:hint="eastAsia"/>
                <w:b/>
                <w:color w:val="auto"/>
                <w:highlight w:val="none"/>
              </w:rPr>
              <w:t>费用由采购人支付，具体以双方签订的合同为准。</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highlight w:val="none"/>
        </w:rPr>
      </w:pPr>
    </w:p>
    <w:bookmarkEnd w:id="9"/>
    <w:p>
      <w:pPr>
        <w:adjustRightInd/>
        <w:spacing w:line="360" w:lineRule="auto"/>
        <w:jc w:val="center"/>
        <w:outlineLvl w:val="0"/>
        <w:rPr>
          <w:rFonts w:ascii="仿宋" w:hAnsi="仿宋" w:eastAsia="仿宋" w:cs="仿宋"/>
          <w:b/>
          <w:color w:val="auto"/>
          <w:sz w:val="32"/>
          <w:szCs w:val="32"/>
          <w:highlight w:val="none"/>
        </w:rPr>
      </w:pPr>
      <w:bookmarkStart w:id="44" w:name="_Hlt68072998"/>
      <w:bookmarkEnd w:id="44"/>
      <w:bookmarkStart w:id="45" w:name="_Hlt74707468"/>
      <w:bookmarkEnd w:id="45"/>
      <w:bookmarkStart w:id="46" w:name="_Hlt68057669"/>
      <w:bookmarkEnd w:id="46"/>
      <w:bookmarkStart w:id="47" w:name="_Hlt75236101"/>
      <w:bookmarkEnd w:id="47"/>
      <w:bookmarkStart w:id="48" w:name="_Hlt68072990"/>
      <w:bookmarkEnd w:id="48"/>
      <w:bookmarkStart w:id="49" w:name="_Hlt74729768"/>
      <w:bookmarkEnd w:id="49"/>
      <w:bookmarkStart w:id="50" w:name="_Hlt75236011"/>
      <w:bookmarkEnd w:id="50"/>
      <w:bookmarkStart w:id="51" w:name="_Hlt68073093"/>
      <w:bookmarkEnd w:id="51"/>
      <w:bookmarkStart w:id="52" w:name="_Hlt74730295"/>
      <w:bookmarkEnd w:id="52"/>
      <w:bookmarkStart w:id="53" w:name="_Hlt68403820"/>
      <w:bookmarkEnd w:id="53"/>
      <w:bookmarkStart w:id="54" w:name="_Hlt74714665"/>
      <w:bookmarkEnd w:id="54"/>
      <w:bookmarkStart w:id="55" w:name="_Hlt75236290"/>
      <w:bookmarkEnd w:id="55"/>
      <w:bookmarkStart w:id="56" w:name="_Toc164416483"/>
      <w:bookmarkStart w:id="57" w:name="第三部分"/>
      <w:r>
        <w:rPr>
          <w:rFonts w:hint="eastAsia" w:ascii="仿宋" w:hAnsi="仿宋" w:eastAsia="仿宋" w:cs="仿宋"/>
          <w:b/>
          <w:color w:val="auto"/>
          <w:sz w:val="32"/>
          <w:szCs w:val="32"/>
          <w:highlight w:val="none"/>
        </w:rPr>
        <w:t>一、总则</w:t>
      </w:r>
    </w:p>
    <w:p>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 系指适用本项目的要求，“☐” 系指不适用本项目的要求。</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color w:val="auto"/>
          <w:highlight w:val="none"/>
        </w:rPr>
      </w:pPr>
    </w:p>
    <w:p>
      <w:pPr>
        <w:pStyle w:val="131"/>
        <w:snapToGrid w:val="0"/>
        <w:spacing w:before="0" w:line="440" w:lineRule="exact"/>
        <w:ind w:firstLine="640"/>
        <w:rPr>
          <w:rFonts w:ascii="仿宋" w:hAnsi="仿宋" w:eastAsia="仿宋" w:cs="仿宋"/>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58" w:name="OLE_LINK7"/>
      <w:r>
        <w:rPr>
          <w:rFonts w:hint="eastAsia" w:ascii="仿宋" w:hAnsi="仿宋" w:eastAsia="仿宋" w:cs="仿宋"/>
          <w:color w:val="auto"/>
          <w:sz w:val="24"/>
          <w:highlight w:val="none"/>
        </w:rPr>
        <w:t>采购人</w:t>
      </w:r>
      <w:bookmarkEnd w:id="58"/>
      <w:r>
        <w:rPr>
          <w:rFonts w:hint="eastAsia" w:ascii="仿宋" w:hAnsi="仿宋" w:eastAsia="仿宋" w:cs="仿宋"/>
          <w:color w:val="auto"/>
          <w:sz w:val="24"/>
          <w:highlight w:val="none"/>
        </w:rPr>
        <w:t>对上述费用不负任何责任。</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59" w:name="OLE_LINK8"/>
      <w:r>
        <w:rPr>
          <w:rFonts w:hint="eastAsia" w:ascii="仿宋" w:hAnsi="仿宋" w:eastAsia="仿宋" w:cs="仿宋"/>
          <w:color w:val="auto"/>
          <w:sz w:val="24"/>
          <w:highlight w:val="none"/>
        </w:rPr>
        <w:t>“资格文件”、“商务技术文件”、“报价文件”</w:t>
      </w:r>
      <w:bookmarkEnd w:id="59"/>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60" w:name="OLE_LINK9"/>
      <w:r>
        <w:rPr>
          <w:rFonts w:hint="eastAsia" w:ascii="仿宋" w:hAnsi="仿宋" w:eastAsia="仿宋" w:cs="仿宋"/>
          <w:color w:val="auto"/>
          <w:sz w:val="24"/>
          <w:highlight w:val="none"/>
        </w:rPr>
        <w:t>包括售后服务机构及人员情况等。</w:t>
      </w:r>
      <w:bookmarkEnd w:id="60"/>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ascii="仿宋" w:hAnsi="仿宋" w:eastAsia="仿宋" w:cs="仿宋"/>
          <w:color w:val="auto"/>
          <w:sz w:val="24"/>
          <w:highlight w:val="none"/>
        </w:rPr>
      </w:pPr>
      <w:bookmarkStart w:id="61" w:name="OLE_LINK10"/>
      <w:r>
        <w:rPr>
          <w:rFonts w:hint="eastAsia" w:ascii="仿宋" w:hAnsi="仿宋" w:eastAsia="仿宋" w:cs="仿宋"/>
          <w:color w:val="auto"/>
          <w:sz w:val="24"/>
          <w:highlight w:val="none"/>
        </w:rPr>
        <w:t>2.2.12供应商售后服务证明材料：由供应商根据本项目要求提供相应的售后服务证明材料或售后服务承诺；</w:t>
      </w:r>
    </w:p>
    <w:bookmarkEnd w:id="61"/>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pPr>
        <w:pStyle w:val="131"/>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31"/>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highlight w:val="none"/>
        </w:rPr>
      </w:pPr>
      <w:bookmarkStart w:id="62" w:name="_Toc91899903"/>
      <w:r>
        <w:rPr>
          <w:rFonts w:hint="eastAsia" w:ascii="仿宋" w:hAnsi="仿宋" w:eastAsia="仿宋" w:cs="仿宋"/>
          <w:b/>
          <w:color w:val="auto"/>
          <w:sz w:val="32"/>
          <w:szCs w:val="32"/>
          <w:highlight w:val="none"/>
        </w:rPr>
        <w:t>四、开标和评标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ind w:firstLine="480" w:firstLineChars="200"/>
        <w:rPr>
          <w:rFonts w:ascii="仿宋" w:hAnsi="仿宋" w:eastAsia="仿宋" w:cs="仿宋_GB2312"/>
          <w:color w:val="auto"/>
          <w:sz w:val="24"/>
          <w:highlight w:val="none"/>
        </w:rPr>
      </w:pPr>
      <w:r>
        <w:rPr>
          <w:rFonts w:hint="eastAsia" w:ascii="仿宋" w:eastAsia="仿宋" w:cs="仿宋"/>
          <w:color w:val="auto"/>
          <w:sz w:val="24"/>
          <w:highlight w:val="none"/>
        </w:rPr>
        <w:t>1.3</w:t>
      </w:r>
      <w:r>
        <w:rPr>
          <w:rFonts w:hint="eastAsia" w:ascii="仿宋" w:hAnsi="仿宋" w:eastAsia="仿宋" w:cs="仿宋_GB2312"/>
          <w:color w:val="auto"/>
          <w:sz w:val="24"/>
          <w:highlight w:val="none"/>
        </w:rPr>
        <w:t>采购人或采购代理机构对投标人进行资格审查。</w:t>
      </w:r>
    </w:p>
    <w:p>
      <w:pPr>
        <w:widowControl/>
        <w:adjustRightInd/>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rPr>
          <w:rFonts w:ascii="仿宋" w:hAnsi="仿宋" w:eastAsia="仿宋" w:cs="仿宋"/>
          <w:b/>
          <w:color w:val="auto"/>
          <w:sz w:val="24"/>
          <w:highlight w:val="none"/>
        </w:rPr>
      </w:pPr>
      <w:bookmarkStart w:id="63" w:name="OLE_LINK17"/>
      <w:r>
        <w:rPr>
          <w:rFonts w:hint="eastAsia" w:ascii="仿宋" w:hAnsi="仿宋" w:eastAsia="仿宋" w:cs="仿宋"/>
          <w:b/>
          <w:color w:val="auto"/>
          <w:sz w:val="24"/>
          <w:highlight w:val="none"/>
        </w:rPr>
        <w:t>8.25未按招标文件要求提供样品或提供样品不满足采购需求实质性条件的；</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bookmarkEnd w:id="63"/>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62"/>
    <w:p>
      <w:pPr>
        <w:pStyle w:val="33"/>
        <w:spacing w:line="360" w:lineRule="auto"/>
        <w:ind w:firstLine="726"/>
        <w:jc w:val="center"/>
        <w:rPr>
          <w:rFonts w:ascii="仿宋" w:hAnsi="仿宋" w:eastAsia="仿宋" w:cs="仿宋"/>
          <w:b/>
          <w:color w:val="auto"/>
          <w:sz w:val="32"/>
          <w:szCs w:val="32"/>
          <w:highlight w:val="none"/>
        </w:rPr>
      </w:pPr>
      <w:bookmarkStart w:id="64" w:name="_Toc81372776"/>
      <w:bookmarkStart w:id="65" w:name="_Toc81372953"/>
      <w:bookmarkStart w:id="66" w:name="_Toc84325929"/>
      <w:r>
        <w:rPr>
          <w:rFonts w:hint="eastAsia" w:ascii="仿宋" w:hAnsi="仿宋" w:eastAsia="仿宋" w:cs="仿宋"/>
          <w:b/>
          <w:color w:val="auto"/>
          <w:sz w:val="32"/>
          <w:szCs w:val="32"/>
          <w:highlight w:val="none"/>
        </w:rPr>
        <w:t>五、授予合同</w:t>
      </w:r>
    </w:p>
    <w:bookmarkEnd w:id="64"/>
    <w:bookmarkEnd w:id="65"/>
    <w:bookmarkEnd w:id="66"/>
    <w:p>
      <w:pPr>
        <w:pStyle w:val="17"/>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pStyle w:val="5"/>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5"/>
        <w:spacing w:line="360" w:lineRule="auto"/>
        <w:ind w:firstLine="482"/>
        <w:rPr>
          <w:rFonts w:hint="eastAsia" w:ascii="仿宋" w:hAnsi="仿宋" w:eastAsia="仿宋" w:cs="仿宋"/>
          <w:b w:val="0"/>
          <w:color w:val="auto"/>
          <w:highlight w:val="none"/>
        </w:rPr>
      </w:pPr>
      <w:bookmarkStart w:id="67"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7"/>
    <w:p>
      <w:pPr>
        <w:snapToGrid w:val="0"/>
        <w:spacing w:line="440" w:lineRule="exact"/>
        <w:ind w:firstLine="480" w:firstLineChars="200"/>
        <w:rPr>
          <w:rFonts w:ascii="仿宋" w:hAnsi="仿宋" w:eastAsia="仿宋" w:cs="仿宋"/>
          <w:color w:val="auto"/>
          <w:sz w:val="24"/>
          <w:highlight w:val="none"/>
        </w:rPr>
      </w:pP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.1中标人应当在中标通知书发出之日起30天内与采购人签订合同，自采购合同签订之日起2个工作日内，通过电子交易平台进行备案。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.2如中标人为联合体的，由联合体成员各方法定代表人或其授权代表与采购人代表签订合同。</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.3 采购人负责加强对中标人的履约管理，并按照采购合同约定，及时向中标人支付采购资金。对于中标人违反采购合同约定的行为，采购人应当及时处理，依法追究其违约责任。</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2"/>
        <w:spacing w:line="440" w:lineRule="exact"/>
        <w:ind w:firstLine="480" w:firstLineChars="200"/>
        <w:rPr>
          <w:rFonts w:ascii="仿宋" w:hAnsi="仿宋" w:eastAsia="仿宋" w:cs="仿宋"/>
          <w:color w:val="auto"/>
          <w:kern w:val="0"/>
          <w:highlight w:val="none"/>
        </w:rPr>
        <w:sectPr>
          <w:footerReference r:id="rId13" w:type="first"/>
          <w:footerReference r:id="rId12" w:type="default"/>
          <w:pgSz w:w="11906" w:h="16838"/>
          <w:pgMar w:top="1814" w:right="1474" w:bottom="1814" w:left="1474" w:header="851" w:footer="992" w:gutter="0"/>
          <w:pgNumType w:start="1"/>
          <w:cols w:space="720" w:num="1"/>
          <w:docGrid w:linePitch="312" w:charSpace="0"/>
        </w:sectPr>
      </w:pPr>
    </w:p>
    <w:bookmarkEnd w:id="56"/>
    <w:bookmarkEnd w:id="57"/>
    <w:p>
      <w:pPr>
        <w:spacing w:line="360" w:lineRule="auto"/>
        <w:outlineLvl w:val="0"/>
        <w:rPr>
          <w:rFonts w:ascii="仿宋" w:hAnsi="仿宋" w:eastAsia="仿宋" w:cs="仿宋"/>
          <w:b/>
          <w:color w:val="auto"/>
          <w:sz w:val="36"/>
          <w:szCs w:val="36"/>
          <w:highlight w:val="none"/>
        </w:rPr>
      </w:pPr>
      <w:bookmarkStart w:id="68" w:name="_Toc86217003"/>
      <w:bookmarkStart w:id="69" w:name="第五部分"/>
    </w:p>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tbl>
      <w:tblPr>
        <w:tblStyle w:val="62"/>
        <w:tblpPr w:leftFromText="180" w:rightFromText="180" w:vertAnchor="page" w:horzAnchor="page" w:tblpX="1338" w:tblpY="2718"/>
        <w:tblOverlap w:val="never"/>
        <w:tblW w:w="9649" w:type="dxa"/>
        <w:tblInd w:w="0" w:type="dxa"/>
        <w:tblLayout w:type="autofit"/>
        <w:tblCellMar>
          <w:top w:w="0" w:type="dxa"/>
          <w:left w:w="108" w:type="dxa"/>
          <w:bottom w:w="0" w:type="dxa"/>
          <w:right w:w="108" w:type="dxa"/>
        </w:tblCellMar>
      </w:tblPr>
      <w:tblGrid>
        <w:gridCol w:w="456"/>
        <w:gridCol w:w="1227"/>
        <w:gridCol w:w="6726"/>
        <w:gridCol w:w="1240"/>
      </w:tblGrid>
      <w:tr>
        <w:tblPrEx>
          <w:tblCellMar>
            <w:top w:w="0" w:type="dxa"/>
            <w:left w:w="108" w:type="dxa"/>
            <w:bottom w:w="0" w:type="dxa"/>
            <w:right w:w="108" w:type="dxa"/>
          </w:tblCellMar>
        </w:tblPrEx>
        <w:trPr>
          <w:trHeight w:val="624" w:hRule="atLeast"/>
        </w:trPr>
        <w:tc>
          <w:tcPr>
            <w:tcW w:w="9649" w:type="dxa"/>
            <w:gridSpan w:val="4"/>
            <w:tcBorders>
              <w:top w:val="nil"/>
              <w:left w:val="nil"/>
              <w:bottom w:val="single" w:color="auto" w:sz="4" w:space="0"/>
              <w:right w:val="nil"/>
            </w:tcBorders>
            <w:noWrap w:val="0"/>
            <w:vAlign w:val="center"/>
          </w:tcPr>
          <w:p>
            <w:pPr>
              <w:widowControl/>
              <w:snapToGrid w:val="0"/>
              <w:spacing w:line="360" w:lineRule="auto"/>
              <w:rPr>
                <w:rFonts w:hint="eastAsia" w:ascii="宋体" w:hAnsi="宋体" w:eastAsia="宋体" w:cs="宋体"/>
                <w:color w:val="auto"/>
                <w:kern w:val="0"/>
                <w:sz w:val="21"/>
                <w:szCs w:val="21"/>
                <w:highlight w:val="none"/>
                <w:lang w:val="en-US" w:eastAsia="zh-CN"/>
              </w:rPr>
            </w:pPr>
            <w:r>
              <w:rPr>
                <w:rFonts w:hint="eastAsia" w:ascii="仿宋" w:eastAsia="仿宋"/>
                <w:b/>
                <w:bCs/>
                <w:color w:val="auto"/>
                <w:sz w:val="24"/>
                <w:highlight w:val="none"/>
              </w:rPr>
              <w:t>1.1货物清单及要求</w:t>
            </w: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w:t>
            </w:r>
          </w:p>
        </w:tc>
        <w:tc>
          <w:tcPr>
            <w:tcW w:w="122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设备名称</w:t>
            </w:r>
          </w:p>
        </w:tc>
        <w:tc>
          <w:tcPr>
            <w:tcW w:w="7966"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一氧化氮治疗仪</w:t>
            </w: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二</w:t>
            </w:r>
          </w:p>
        </w:tc>
        <w:tc>
          <w:tcPr>
            <w:tcW w:w="122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采购数量</w:t>
            </w:r>
          </w:p>
        </w:tc>
        <w:tc>
          <w:tcPr>
            <w:tcW w:w="7966" w:type="dxa"/>
            <w:gridSpan w:val="2"/>
            <w:tcBorders>
              <w:top w:val="single" w:color="auto" w:sz="4" w:space="0"/>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1台</w:t>
            </w:r>
          </w:p>
        </w:tc>
      </w:tr>
      <w:tr>
        <w:tblPrEx>
          <w:tblCellMar>
            <w:top w:w="0" w:type="dxa"/>
            <w:left w:w="108" w:type="dxa"/>
            <w:bottom w:w="0" w:type="dxa"/>
            <w:right w:w="108" w:type="dxa"/>
          </w:tblCellMar>
        </w:tblPrEx>
        <w:trPr>
          <w:trHeight w:val="642"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三</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适用科室</w:t>
            </w:r>
          </w:p>
        </w:tc>
        <w:tc>
          <w:tcPr>
            <w:tcW w:w="7966" w:type="dxa"/>
            <w:gridSpan w:val="2"/>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NICU</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四</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w:t>
            </w:r>
            <w:r>
              <w:rPr>
                <w:rFonts w:hint="eastAsia" w:ascii="宋体" w:hAnsi="宋体" w:eastAsia="宋体" w:cs="宋体"/>
                <w:color w:val="auto"/>
                <w:kern w:val="0"/>
                <w:sz w:val="21"/>
                <w:szCs w:val="21"/>
                <w:highlight w:val="none"/>
                <w:lang w:val="en-US" w:eastAsia="zh-CN"/>
              </w:rPr>
              <w:t>用途</w:t>
            </w:r>
          </w:p>
        </w:tc>
        <w:tc>
          <w:tcPr>
            <w:tcW w:w="7966" w:type="dxa"/>
            <w:gridSpan w:val="2"/>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主要用于：</w:t>
            </w:r>
            <w:bookmarkStart w:id="70" w:name="OLE_LINK11"/>
            <w:r>
              <w:rPr>
                <w:rFonts w:hint="eastAsia" w:ascii="宋体" w:hAnsi="宋体" w:eastAsia="宋体" w:cs="宋体"/>
                <w:color w:val="auto"/>
                <w:sz w:val="21"/>
                <w:szCs w:val="21"/>
                <w:highlight w:val="none"/>
              </w:rPr>
              <w:t>适用于新生儿的一氧化氮吸入治疗，用于辅助治疗肺动脉高压症等。</w:t>
            </w:r>
            <w:bookmarkEnd w:id="70"/>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五</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主要配置</w:t>
            </w:r>
            <w:r>
              <w:rPr>
                <w:rFonts w:hint="eastAsia" w:ascii="宋体" w:hAnsi="宋体" w:eastAsia="宋体" w:cs="宋体"/>
                <w:color w:val="auto"/>
                <w:kern w:val="0"/>
                <w:sz w:val="21"/>
                <w:szCs w:val="21"/>
                <w:highlight w:val="none"/>
                <w:lang w:val="en-US" w:eastAsia="zh-CN"/>
              </w:rPr>
              <w:t>要求</w:t>
            </w:r>
          </w:p>
        </w:tc>
        <w:tc>
          <w:tcPr>
            <w:tcW w:w="7966" w:type="dxa"/>
            <w:gridSpan w:val="2"/>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主要配置及附件</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主机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1台</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台车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1个</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NO/NO2浓度传感器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套</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O2</w:t>
            </w:r>
            <w:r>
              <w:rPr>
                <w:rFonts w:hint="eastAsia" w:ascii="宋体" w:hAnsi="宋体" w:eastAsia="宋体" w:cs="宋体"/>
                <w:color w:val="auto"/>
                <w:sz w:val="21"/>
                <w:szCs w:val="21"/>
                <w:highlight w:val="none"/>
              </w:rPr>
              <w:t xml:space="preserve">浓度传感器 </w:t>
            </w:r>
            <w:r>
              <w:rPr>
                <w:rFonts w:hint="eastAsia" w:ascii="宋体" w:hAnsi="宋体" w:cs="宋体"/>
                <w:color w:val="auto"/>
                <w:sz w:val="21"/>
                <w:szCs w:val="21"/>
                <w:highlight w:val="none"/>
                <w:lang w:val="en-US" w:eastAsia="zh-CN"/>
              </w:rPr>
              <w:t xml:space="preserve">              1套</w:t>
            </w:r>
            <w:r>
              <w:rPr>
                <w:rFonts w:hint="eastAsia" w:ascii="宋体" w:hAnsi="宋体" w:eastAsia="宋体" w:cs="宋体"/>
                <w:color w:val="auto"/>
                <w:sz w:val="21"/>
                <w:szCs w:val="21"/>
                <w:highlight w:val="none"/>
              </w:rPr>
              <w:t xml:space="preserve"> </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过滤器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1000小时）</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个</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同步流量传感器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1套</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7966" w:type="dxa"/>
            <w:gridSpan w:val="2"/>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可重复使用</w:t>
            </w:r>
            <w:r>
              <w:rPr>
                <w:rFonts w:hint="eastAsia" w:ascii="宋体" w:hAnsi="宋体" w:eastAsia="宋体" w:cs="宋体"/>
                <w:color w:val="auto"/>
                <w:sz w:val="21"/>
                <w:szCs w:val="21"/>
                <w:highlight w:val="none"/>
                <w:lang w:val="en-US" w:eastAsia="zh-CN"/>
              </w:rPr>
              <w:t>混合器（一氧化氮管路</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套</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7966" w:type="dxa"/>
            <w:gridSpan w:val="2"/>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大储水杯（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500ml）         1个</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7966" w:type="dxa"/>
            <w:gridSpan w:val="2"/>
            <w:tcBorders>
              <w:top w:val="nil"/>
              <w:left w:val="nil"/>
              <w:bottom w:val="single" w:color="auto" w:sz="4" w:space="0"/>
              <w:right w:val="single" w:color="auto" w:sz="4" w:space="0"/>
            </w:tcBorders>
            <w:noWrap w:val="0"/>
            <w:vAlign w:val="center"/>
          </w:tcPr>
          <w:p>
            <w:pPr>
              <w:widowControl/>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使用说明书                  1本</w:t>
            </w: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六</w:t>
            </w:r>
          </w:p>
        </w:tc>
        <w:tc>
          <w:tcPr>
            <w:tcW w:w="1227"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技术参数及</w:t>
            </w:r>
          </w:p>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功能要求</w:t>
            </w:r>
          </w:p>
        </w:tc>
        <w:tc>
          <w:tcPr>
            <w:tcW w:w="6726"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4"/>
                <w:szCs w:val="24"/>
                <w:highlight w:val="none"/>
              </w:rPr>
              <w:t>实质性指标用“★”表示，重要参数用“▲”表示</w:t>
            </w:r>
          </w:p>
        </w:tc>
        <w:tc>
          <w:tcPr>
            <w:tcW w:w="124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偏离情况</w:t>
            </w: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w:t>
            </w:r>
          </w:p>
        </w:tc>
        <w:tc>
          <w:tcPr>
            <w:tcW w:w="6726"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一氧化氮气体生成方式：采用脉冲电弧放电法</w:t>
            </w:r>
          </w:p>
        </w:tc>
        <w:tc>
          <w:tcPr>
            <w:tcW w:w="1240" w:type="dxa"/>
            <w:tcBorders>
              <w:top w:val="single" w:color="auto" w:sz="4" w:space="0"/>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w:t>
            </w:r>
          </w:p>
        </w:tc>
        <w:tc>
          <w:tcPr>
            <w:tcW w:w="6726"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一氧化氮气体浓度输出范围：1ppm-80ppm的区间范围</w:t>
            </w:r>
          </w:p>
        </w:tc>
        <w:tc>
          <w:tcPr>
            <w:tcW w:w="1240" w:type="dxa"/>
            <w:tcBorders>
              <w:top w:val="single" w:color="auto" w:sz="4" w:space="0"/>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.3</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一氧化氮浓度监测范围：0ppm—100ppm的区间范围</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.4</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二氧化氮浓度监测范围：0ppm—10ppm的区间范围</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.5</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具备自动</w:t>
            </w:r>
            <w:r>
              <w:rPr>
                <w:rFonts w:hint="eastAsia" w:ascii="宋体" w:hAnsi="宋体" w:cs="宋体"/>
                <w:color w:val="auto"/>
                <w:sz w:val="21"/>
                <w:szCs w:val="21"/>
                <w:highlight w:val="none"/>
                <w:lang w:val="en-US" w:eastAsia="zh-CN"/>
              </w:rPr>
              <w:t>撤</w:t>
            </w:r>
            <w:r>
              <w:rPr>
                <w:rFonts w:hint="eastAsia" w:ascii="宋体" w:hAnsi="宋体" w:eastAsia="宋体" w:cs="宋体"/>
                <w:color w:val="auto"/>
                <w:sz w:val="21"/>
                <w:szCs w:val="21"/>
                <w:highlight w:val="none"/>
              </w:rPr>
              <w:t>机模式，可从当前治疗浓度逐渐下降到1ppm后停止治疗</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提供撤</w:t>
            </w:r>
            <w:r>
              <w:rPr>
                <w:rFonts w:hint="eastAsia" w:ascii="宋体" w:hAnsi="宋体" w:eastAsia="宋体" w:cs="宋体"/>
                <w:color w:val="auto"/>
                <w:sz w:val="21"/>
                <w:szCs w:val="21"/>
                <w:highlight w:val="none"/>
              </w:rPr>
              <w:t>机模式</w:t>
            </w:r>
            <w:r>
              <w:rPr>
                <w:rFonts w:hint="eastAsia" w:ascii="宋体" w:hAnsi="宋体" w:cs="宋体"/>
                <w:color w:val="auto"/>
                <w:sz w:val="21"/>
                <w:szCs w:val="21"/>
                <w:highlight w:val="none"/>
                <w:lang w:val="en-US" w:eastAsia="zh-CN"/>
              </w:rPr>
              <w:t>下设备工作界面照片，并提供投标文件佐证页码）</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.6</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≥10英寸彩色触控屏，中文菜单，具有锁屏功能</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白天黑夜模式。</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.7</w:t>
            </w:r>
          </w:p>
        </w:tc>
        <w:tc>
          <w:tcPr>
            <w:tcW w:w="6726" w:type="dxa"/>
            <w:tcBorders>
              <w:top w:val="single" w:color="auto" w:sz="4" w:space="0"/>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设备可连接</w:t>
            </w:r>
            <w:r>
              <w:rPr>
                <w:rFonts w:hint="eastAsia" w:ascii="宋体" w:hAnsi="宋体" w:eastAsia="宋体" w:cs="宋体"/>
                <w:color w:val="auto"/>
                <w:sz w:val="21"/>
                <w:szCs w:val="21"/>
                <w:highlight w:val="none"/>
                <w:lang w:val="en-US" w:eastAsia="zh-CN"/>
              </w:rPr>
              <w:t>有</w:t>
            </w:r>
            <w:r>
              <w:rPr>
                <w:rFonts w:hint="eastAsia" w:ascii="宋体" w:hAnsi="宋体" w:eastAsia="宋体" w:cs="宋体"/>
                <w:color w:val="auto"/>
                <w:sz w:val="21"/>
                <w:szCs w:val="21"/>
                <w:highlight w:val="none"/>
              </w:rPr>
              <w:t>创呼吸机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无创呼吸机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高频呼吸机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麻醉机使用，屏幕上显示</w:t>
            </w:r>
            <w:r>
              <w:rPr>
                <w:rFonts w:hint="eastAsia" w:ascii="宋体" w:hAnsi="宋体" w:eastAsia="宋体" w:cs="宋体"/>
                <w:color w:val="auto"/>
                <w:sz w:val="21"/>
                <w:szCs w:val="21"/>
                <w:highlight w:val="none"/>
                <w:lang w:val="en-US" w:eastAsia="zh-CN"/>
              </w:rPr>
              <w:t>有</w:t>
            </w:r>
            <w:r>
              <w:rPr>
                <w:rFonts w:hint="eastAsia" w:ascii="宋体" w:hAnsi="宋体" w:eastAsia="宋体" w:cs="宋体"/>
                <w:color w:val="auto"/>
                <w:sz w:val="21"/>
                <w:szCs w:val="21"/>
                <w:highlight w:val="none"/>
              </w:rPr>
              <w:t>创呼吸机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无创呼吸机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高频呼吸机</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麻醉机连接方法</w:t>
            </w:r>
            <w:r>
              <w:rPr>
                <w:rFonts w:hint="eastAsia" w:ascii="宋体" w:hAnsi="宋体" w:eastAsia="宋体" w:cs="宋体"/>
                <w:color w:val="auto"/>
                <w:sz w:val="21"/>
                <w:szCs w:val="21"/>
                <w:highlight w:val="none"/>
                <w:lang w:val="en-US" w:eastAsia="zh-CN"/>
              </w:rPr>
              <w:t>和连接示意图</w:t>
            </w:r>
            <w:r>
              <w:rPr>
                <w:rFonts w:hint="eastAsia" w:ascii="宋体" w:hAnsi="宋体" w:eastAsia="宋体" w:cs="宋体"/>
                <w:color w:val="auto"/>
                <w:sz w:val="21"/>
                <w:szCs w:val="21"/>
                <w:highlight w:val="none"/>
              </w:rPr>
              <w:t>。</w:t>
            </w:r>
          </w:p>
        </w:tc>
        <w:tc>
          <w:tcPr>
            <w:tcW w:w="1240" w:type="dxa"/>
            <w:tcBorders>
              <w:top w:val="single" w:color="auto" w:sz="4" w:space="0"/>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.8</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 xml:space="preserve">设备开机后达到治疗设定NO浓度所需时间≤ </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分钟</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.9</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具备输送和采样一体式</w:t>
            </w:r>
            <w:r>
              <w:rPr>
                <w:rFonts w:hint="eastAsia" w:ascii="宋体" w:hAnsi="宋体" w:eastAsia="宋体" w:cs="宋体"/>
                <w:color w:val="auto"/>
                <w:sz w:val="21"/>
                <w:szCs w:val="21"/>
                <w:highlight w:val="none"/>
                <w:lang w:val="en-US" w:eastAsia="zh-CN"/>
              </w:rPr>
              <w:t>混合器（一氧化氮管路</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方便医护人员快速连接仪器和呼吸机。</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1"/>
                <w:szCs w:val="21"/>
                <w:highlight w:val="none"/>
                <w:lang w:val="en-US" w:eastAsia="zh-CN"/>
              </w:rPr>
              <w:t>.10</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配置可重复消毒混合器（</w:t>
            </w:r>
            <w:r>
              <w:rPr>
                <w:rFonts w:hint="eastAsia" w:ascii="宋体" w:hAnsi="宋体" w:eastAsia="宋体" w:cs="宋体"/>
                <w:color w:val="auto"/>
                <w:sz w:val="21"/>
                <w:szCs w:val="21"/>
                <w:highlight w:val="none"/>
                <w:lang w:val="en-US" w:eastAsia="zh-CN"/>
              </w:rPr>
              <w:t>一氧化氮</w:t>
            </w:r>
            <w:r>
              <w:rPr>
                <w:rFonts w:hint="eastAsia" w:ascii="宋体" w:hAnsi="宋体" w:eastAsia="宋体" w:cs="宋体"/>
                <w:color w:val="auto"/>
                <w:sz w:val="21"/>
                <w:szCs w:val="21"/>
                <w:highlight w:val="none"/>
              </w:rPr>
              <w:t>管路），非一次性使用耗材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降低使用成本。</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提供医疗器械注册证或使用说明书证明文件</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1"/>
                <w:szCs w:val="21"/>
                <w:highlight w:val="none"/>
                <w:lang w:val="en-US" w:eastAsia="zh-CN"/>
              </w:rPr>
              <w:t>.11</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设备具备自动抽排水功能，可将小积水杯内冷凝水自动抽取至大储水杯，无需手动倒水，防止采样气体泄露，配备大储水杯容量≥0.5L</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提供设备</w:t>
            </w:r>
            <w:r>
              <w:rPr>
                <w:rFonts w:hint="eastAsia" w:ascii="宋体" w:hAnsi="宋体" w:eastAsia="宋体" w:cs="宋体"/>
                <w:color w:val="auto"/>
                <w:sz w:val="21"/>
                <w:szCs w:val="21"/>
                <w:highlight w:val="none"/>
                <w:lang w:val="en-US" w:eastAsia="zh-CN"/>
              </w:rPr>
              <w:t>实物照片或</w:t>
            </w:r>
            <w:r>
              <w:rPr>
                <w:rFonts w:hint="eastAsia" w:ascii="宋体" w:hAnsi="宋体" w:eastAsia="宋体" w:cs="宋体"/>
                <w:color w:val="auto"/>
                <w:sz w:val="21"/>
                <w:szCs w:val="21"/>
                <w:highlight w:val="none"/>
              </w:rPr>
              <w:t>使用说明书证明</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eastAsia="zh-CN"/>
              </w:rPr>
              <w:t>）</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1"/>
                <w:szCs w:val="21"/>
                <w:highlight w:val="none"/>
                <w:lang w:val="en-US" w:eastAsia="zh-CN"/>
              </w:rPr>
              <w:t>.12</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设备整机(含过滤器、电池、浓度传感器）重量（不含台车）：≤</w:t>
            </w:r>
            <w:r>
              <w:rPr>
                <w:rFonts w:hint="eastAsia" w:ascii="宋体" w:hAnsi="宋体" w:cs="宋体"/>
                <w:color w:val="auto"/>
                <w:sz w:val="21"/>
                <w:szCs w:val="21"/>
                <w:highlight w:val="none"/>
                <w:lang w:val="en-US" w:eastAsia="zh-CN"/>
              </w:rPr>
              <w:t>7.8</w:t>
            </w:r>
            <w:r>
              <w:rPr>
                <w:rFonts w:hint="eastAsia" w:ascii="宋体" w:hAnsi="宋体" w:eastAsia="宋体" w:cs="宋体"/>
                <w:color w:val="auto"/>
                <w:sz w:val="21"/>
                <w:szCs w:val="21"/>
                <w:highlight w:val="none"/>
              </w:rPr>
              <w:t>kg，便于</w:t>
            </w:r>
            <w:r>
              <w:rPr>
                <w:rFonts w:hint="eastAsia" w:ascii="宋体" w:hAnsi="宋体" w:eastAsia="宋体" w:cs="宋体"/>
                <w:color w:val="auto"/>
                <w:sz w:val="21"/>
                <w:szCs w:val="21"/>
                <w:highlight w:val="none"/>
                <w:lang w:val="en-US" w:eastAsia="zh-CN"/>
              </w:rPr>
              <w:t>急救和</w:t>
            </w:r>
            <w:r>
              <w:rPr>
                <w:rFonts w:hint="eastAsia" w:ascii="宋体" w:hAnsi="宋体" w:eastAsia="宋体" w:cs="宋体"/>
                <w:color w:val="auto"/>
                <w:sz w:val="21"/>
                <w:szCs w:val="21"/>
                <w:highlight w:val="none"/>
              </w:rPr>
              <w:t>转运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提供使用说明书或原厂彩页等证明文件</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                                                                                                                                                                                                                                                                                                                                                                                                                                                                                                                            </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.13</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使用设备内置电池时，运行时间≥90分钟</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.14</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过滤器使用寿命≥1000小时,在设备工作屏幕上实时显示过滤器工作状态及剩余寿命百分比。</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.15</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NO、NO2浓度监测传感器使用寿命≥4000小时，并在设备工作屏幕上实时显示浓度传感器工作状态和剩余寿命百分比（提供设备实物屏幕照片显示传感器工作状态和剩余寿命百分比）</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.16</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设备工作屏幕上</w:t>
            </w:r>
            <w:r>
              <w:rPr>
                <w:rFonts w:hint="eastAsia" w:ascii="宋体" w:hAnsi="宋体" w:eastAsia="宋体" w:cs="宋体"/>
                <w:color w:val="auto"/>
                <w:sz w:val="21"/>
                <w:szCs w:val="21"/>
                <w:highlight w:val="none"/>
                <w:lang w:val="en-US" w:eastAsia="zh-CN"/>
              </w:rPr>
              <w:t>同屏实时</w:t>
            </w:r>
            <w:r>
              <w:rPr>
                <w:rFonts w:hint="eastAsia" w:ascii="宋体" w:hAnsi="宋体" w:eastAsia="宋体" w:cs="宋体"/>
                <w:color w:val="auto"/>
                <w:sz w:val="21"/>
                <w:szCs w:val="21"/>
                <w:highlight w:val="none"/>
              </w:rPr>
              <w:t>显示</w:t>
            </w:r>
            <w:r>
              <w:rPr>
                <w:rFonts w:hint="eastAsia" w:ascii="宋体" w:hAnsi="宋体" w:eastAsia="宋体" w:cs="宋体"/>
                <w:color w:val="auto"/>
                <w:sz w:val="21"/>
                <w:szCs w:val="21"/>
                <w:highlight w:val="none"/>
                <w:lang w:val="en-US" w:eastAsia="zh-CN"/>
              </w:rPr>
              <w:t>过滤器和</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NO2浓度传感器工作状态和剩余寿命百分比</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确保使用安全。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提供设备实物屏幕照片</w:t>
            </w:r>
            <w:r>
              <w:rPr>
                <w:rFonts w:hint="eastAsia" w:ascii="宋体" w:hAnsi="宋体" w:eastAsia="宋体" w:cs="宋体"/>
                <w:color w:val="auto"/>
                <w:sz w:val="21"/>
                <w:szCs w:val="21"/>
                <w:highlight w:val="none"/>
                <w:lang w:val="en-US" w:eastAsia="zh-CN"/>
              </w:rPr>
              <w:t>证明此功能</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eastAsia="zh-CN"/>
              </w:rPr>
              <w:t>）</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.17</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NO/NO2浓度传感器无需定期手工校准</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.18</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sz w:val="21"/>
                <w:szCs w:val="21"/>
                <w:highlight w:val="none"/>
                <w:lang w:val="en-US" w:eastAsia="zh-CN"/>
              </w:rPr>
              <w:t>拥有CMA标识的</w:t>
            </w:r>
            <w:r>
              <w:rPr>
                <w:rFonts w:hint="eastAsia" w:ascii="宋体" w:hAnsi="宋体" w:eastAsia="宋体" w:cs="宋体"/>
                <w:color w:val="auto"/>
                <w:sz w:val="21"/>
                <w:szCs w:val="21"/>
                <w:highlight w:val="none"/>
              </w:rPr>
              <w:t>第三方检测机构气体成份检测报告（NO、NO2、O3、N2</w:t>
            </w:r>
            <w:bookmarkStart w:id="81" w:name="_GoBack"/>
            <w:bookmarkEnd w:id="81"/>
            <w:r>
              <w:rPr>
                <w:rFonts w:hint="eastAsia" w:ascii="宋体" w:hAnsi="宋体" w:eastAsia="宋体" w:cs="宋体"/>
                <w:color w:val="auto"/>
                <w:sz w:val="21"/>
                <w:szCs w:val="21"/>
                <w:highlight w:val="none"/>
              </w:rPr>
              <w:t>0、C02、N2等）</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.19</w:t>
            </w:r>
          </w:p>
        </w:tc>
        <w:tc>
          <w:tcPr>
            <w:tcW w:w="6726" w:type="dxa"/>
            <w:tcBorders>
              <w:top w:val="nil"/>
              <w:left w:val="nil"/>
              <w:bottom w:val="single" w:color="auto" w:sz="4" w:space="0"/>
              <w:right w:val="single" w:color="auto" w:sz="4" w:space="0"/>
            </w:tcBorders>
            <w:noWrap w:val="0"/>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显示界面：NO实时监测浓度及波形、</w:t>
            </w:r>
            <w:r>
              <w:rPr>
                <w:rFonts w:hint="eastAsia" w:ascii="宋体" w:hAnsi="宋体" w:eastAsia="宋体" w:cs="宋体"/>
                <w:color w:val="auto"/>
                <w:sz w:val="21"/>
                <w:szCs w:val="21"/>
                <w:highlight w:val="none"/>
                <w:lang w:val="en-US" w:eastAsia="zh-CN"/>
              </w:rPr>
              <w:t>过滤器和</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NO2浓度传感器工作状态</w:t>
            </w:r>
            <w:r>
              <w:rPr>
                <w:rFonts w:hint="eastAsia" w:ascii="宋体" w:hAnsi="宋体" w:eastAsia="宋体" w:cs="宋体"/>
                <w:color w:val="auto"/>
                <w:sz w:val="21"/>
                <w:szCs w:val="21"/>
                <w:highlight w:val="none"/>
                <w:lang w:val="en-US" w:eastAsia="zh-CN"/>
              </w:rPr>
              <w:t>及</w:t>
            </w:r>
            <w:r>
              <w:rPr>
                <w:rFonts w:hint="eastAsia" w:ascii="宋体" w:hAnsi="宋体" w:eastAsia="宋体" w:cs="宋体"/>
                <w:color w:val="auto"/>
                <w:sz w:val="21"/>
                <w:szCs w:val="21"/>
                <w:highlight w:val="none"/>
              </w:rPr>
              <w:t>剩余寿命百分比</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NO2浓度、02浓度、</w:t>
            </w:r>
            <w:r>
              <w:rPr>
                <w:rFonts w:hint="eastAsia" w:ascii="宋体" w:hAnsi="宋体" w:eastAsia="宋体" w:cs="宋体"/>
                <w:color w:val="auto"/>
                <w:sz w:val="21"/>
                <w:szCs w:val="21"/>
                <w:highlight w:val="none"/>
              </w:rPr>
              <w:t>监测时间设置、监测浓度设置、撤机、呼吸机连接方式、治疗时间等</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nil"/>
              <w:left w:val="single" w:color="auto" w:sz="4" w:space="0"/>
              <w:bottom w:val="single" w:color="auto" w:sz="4" w:space="0"/>
              <w:right w:val="nil"/>
            </w:tcBorders>
            <w:noWrap w:val="0"/>
            <w:vAlign w:val="center"/>
          </w:tcPr>
          <w:p>
            <w:pPr>
              <w:widowControl/>
              <w:jc w:val="center"/>
              <w:rPr>
                <w:rFonts w:hint="eastAsia" w:ascii="宋体" w:hAnsi="宋体" w:eastAsia="宋体" w:cs="宋体"/>
                <w:color w:val="auto"/>
                <w:kern w:val="0"/>
                <w:sz w:val="21"/>
                <w:szCs w:val="21"/>
                <w:highlight w:val="none"/>
              </w:rPr>
            </w:pPr>
          </w:p>
        </w:tc>
        <w:tc>
          <w:tcPr>
            <w:tcW w:w="122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.20</w:t>
            </w:r>
          </w:p>
        </w:tc>
        <w:tc>
          <w:tcPr>
            <w:tcW w:w="6726" w:type="dxa"/>
            <w:tcBorders>
              <w:top w:val="nil"/>
              <w:left w:val="nil"/>
              <w:bottom w:val="single" w:color="auto" w:sz="4" w:space="0"/>
              <w:right w:val="single" w:color="auto" w:sz="4" w:space="0"/>
            </w:tcBorders>
            <w:noWrap w:val="0"/>
            <w:vAlign w:val="center"/>
          </w:tcPr>
          <w:p>
            <w:pP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整机噪音≤45分贝；具有治疗时钟设置显示功能</w:t>
            </w:r>
          </w:p>
        </w:tc>
        <w:tc>
          <w:tcPr>
            <w:tcW w:w="1240" w:type="dxa"/>
            <w:tcBorders>
              <w:top w:val="nil"/>
              <w:left w:val="nil"/>
              <w:bottom w:val="single" w:color="auto" w:sz="4" w:space="0"/>
              <w:right w:val="single" w:color="auto" w:sz="4" w:space="0"/>
            </w:tcBorders>
            <w:noWrap w:val="0"/>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 w:val="21"/>
                <w:szCs w:val="21"/>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.21</w:t>
            </w:r>
          </w:p>
        </w:tc>
        <w:tc>
          <w:tcPr>
            <w:tcW w:w="672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具备灯光报警和声音分级报警</w:t>
            </w:r>
          </w:p>
        </w:tc>
        <w:tc>
          <w:tcPr>
            <w:tcW w:w="1240" w:type="dxa"/>
            <w:tcBorders>
              <w:top w:val="single" w:color="auto" w:sz="4" w:space="0"/>
              <w:left w:val="single" w:color="auto" w:sz="4" w:space="0"/>
              <w:bottom w:val="single" w:color="auto" w:sz="4" w:space="0"/>
              <w:right w:val="single" w:color="auto" w:sz="4" w:space="0"/>
            </w:tcBorders>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 w:val="21"/>
                <w:szCs w:val="21"/>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.22</w:t>
            </w:r>
          </w:p>
        </w:tc>
        <w:tc>
          <w:tcPr>
            <w:tcW w:w="672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具有数据回顾查看功能</w:t>
            </w:r>
          </w:p>
        </w:tc>
        <w:tc>
          <w:tcPr>
            <w:tcW w:w="1240" w:type="dxa"/>
            <w:tcBorders>
              <w:top w:val="single" w:color="auto" w:sz="4" w:space="0"/>
              <w:left w:val="single" w:color="auto" w:sz="4" w:space="0"/>
              <w:bottom w:val="single" w:color="auto" w:sz="4" w:space="0"/>
              <w:right w:val="single" w:color="auto" w:sz="4" w:space="0"/>
            </w:tcBorders>
            <w:vAlign w:val="bottom"/>
          </w:tcPr>
          <w:p>
            <w:pPr>
              <w:widowControl/>
              <w:jc w:val="left"/>
              <w:rPr>
                <w:rFonts w:hint="eastAsia" w:ascii="宋体" w:hAnsi="宋体" w:eastAsia="宋体" w:cs="宋体"/>
                <w:color w:val="auto"/>
                <w:kern w:val="0"/>
                <w:sz w:val="21"/>
                <w:szCs w:val="21"/>
                <w:highlight w:val="none"/>
                <w:lang w:val="en-US" w:eastAsia="zh-CN"/>
              </w:rPr>
            </w:pPr>
          </w:p>
        </w:tc>
      </w:tr>
      <w:tr>
        <w:tblPrEx>
          <w:tblCellMar>
            <w:top w:w="0" w:type="dxa"/>
            <w:left w:w="108" w:type="dxa"/>
            <w:bottom w:w="0" w:type="dxa"/>
            <w:right w:w="108" w:type="dxa"/>
          </w:tblCellMar>
        </w:tblPrEx>
        <w:trPr>
          <w:trHeight w:val="624" w:hRule="atLeast"/>
        </w:trPr>
        <w:tc>
          <w:tcPr>
            <w:tcW w:w="456" w:type="dxa"/>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 w:val="21"/>
                <w:szCs w:val="21"/>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en-US" w:eastAsia="zh-CN"/>
              </w:rPr>
              <w:t>3</w:t>
            </w:r>
          </w:p>
        </w:tc>
        <w:tc>
          <w:tcPr>
            <w:tcW w:w="672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设备使用年限≥8年</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设备铭牌照片或</w:t>
            </w:r>
            <w:r>
              <w:rPr>
                <w:rFonts w:hint="eastAsia" w:ascii="宋体" w:hAnsi="宋体" w:eastAsia="宋体" w:cs="宋体"/>
                <w:color w:val="auto"/>
                <w:sz w:val="21"/>
                <w:szCs w:val="21"/>
                <w:highlight w:val="none"/>
              </w:rPr>
              <w:t>设备使用说明书</w:t>
            </w:r>
            <w:r>
              <w:rPr>
                <w:rFonts w:hint="eastAsia" w:ascii="宋体" w:hAnsi="宋体" w:eastAsia="宋体" w:cs="宋体"/>
                <w:color w:val="auto"/>
                <w:sz w:val="21"/>
                <w:szCs w:val="21"/>
                <w:highlight w:val="none"/>
                <w:lang w:val="en-US" w:eastAsia="zh-CN"/>
              </w:rPr>
              <w:t>证明文件</w:t>
            </w:r>
            <w:r>
              <w:rPr>
                <w:rFonts w:hint="eastAsia" w:ascii="宋体" w:hAnsi="宋体" w:cs="宋体"/>
                <w:color w:val="auto"/>
                <w:sz w:val="21"/>
                <w:szCs w:val="21"/>
                <w:highlight w:val="none"/>
                <w:lang w:val="en-US" w:eastAsia="zh-CN"/>
              </w:rPr>
              <w:t>，并提供投标文件佐证页码</w:t>
            </w:r>
            <w:r>
              <w:rPr>
                <w:rFonts w:hint="eastAsia" w:ascii="宋体" w:hAnsi="宋体" w:eastAsia="宋体" w:cs="宋体"/>
                <w:color w:val="auto"/>
                <w:sz w:val="21"/>
                <w:szCs w:val="21"/>
                <w:highlight w:val="none"/>
                <w:lang w:val="en-US" w:eastAsia="zh-CN"/>
              </w:rPr>
              <w:t>)</w:t>
            </w:r>
          </w:p>
        </w:tc>
        <w:tc>
          <w:tcPr>
            <w:tcW w:w="1240" w:type="dxa"/>
            <w:tcBorders>
              <w:top w:val="single" w:color="auto" w:sz="4" w:space="0"/>
              <w:left w:val="single" w:color="auto" w:sz="4" w:space="0"/>
              <w:bottom w:val="single" w:color="auto" w:sz="4" w:space="0"/>
              <w:right w:val="single" w:color="auto" w:sz="4" w:space="0"/>
            </w:tcBorders>
            <w:vAlign w:val="bottom"/>
          </w:tcPr>
          <w:p>
            <w:pPr>
              <w:widowControl/>
              <w:jc w:val="left"/>
              <w:rPr>
                <w:rFonts w:hint="eastAsia" w:ascii="宋体" w:hAnsi="宋体" w:eastAsia="宋体" w:cs="宋体"/>
                <w:color w:val="auto"/>
                <w:kern w:val="0"/>
                <w:sz w:val="21"/>
                <w:szCs w:val="21"/>
                <w:highlight w:val="none"/>
                <w:lang w:val="en-US" w:eastAsia="zh-CN"/>
              </w:rPr>
            </w:pPr>
          </w:p>
        </w:tc>
      </w:tr>
    </w:tbl>
    <w:p>
      <w:pPr>
        <w:spacing w:line="360" w:lineRule="auto"/>
        <w:outlineLvl w:val="0"/>
        <w:rPr>
          <w:rFonts w:ascii="仿宋" w:hAnsi="仿宋" w:eastAsia="仿宋" w:cs="仿宋"/>
          <w:b/>
          <w:color w:val="auto"/>
          <w:sz w:val="36"/>
          <w:szCs w:val="36"/>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kern w:val="0"/>
          <w:sz w:val="24"/>
          <w:highlight w:val="none"/>
        </w:rPr>
        <w:t>供货期</w:t>
      </w:r>
    </w:p>
    <w:p>
      <w:pPr>
        <w:widowControl/>
        <w:snapToGrid w:val="0"/>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交货期：</w:t>
      </w:r>
      <w:r>
        <w:rPr>
          <w:rFonts w:hint="eastAsia" w:ascii="仿宋" w:hAnsi="仿宋" w:eastAsia="仿宋"/>
          <w:color w:val="auto"/>
          <w:kern w:val="0"/>
          <w:sz w:val="24"/>
          <w:highlight w:val="none"/>
        </w:rPr>
        <w:t>合同签订后30天内完成供货安装调试</w:t>
      </w:r>
      <w:r>
        <w:rPr>
          <w:rFonts w:hint="eastAsia" w:ascii="仿宋" w:hAnsi="仿宋" w:eastAsia="仿宋" w:cs="仿宋"/>
          <w:color w:val="auto"/>
          <w:sz w:val="24"/>
          <w:highlight w:val="none"/>
          <w:lang w:eastAsia="zh-CN"/>
        </w:rPr>
        <w:t>。</w:t>
      </w:r>
    </w:p>
    <w:p>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3.供货地点</w:t>
      </w:r>
    </w:p>
    <w:p>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由中标方负责将货送至医院指定的场地并负责安装。</w:t>
      </w:r>
    </w:p>
    <w:p>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4.质保期</w:t>
      </w:r>
    </w:p>
    <w:p>
      <w:pPr>
        <w:widowControl/>
        <w:snapToGrid w:val="0"/>
        <w:spacing w:line="360" w:lineRule="auto"/>
        <w:ind w:firstLine="480" w:firstLineChars="200"/>
        <w:rPr>
          <w:rFonts w:hint="eastAsia" w:ascii="仿宋" w:hAnsi="仿宋" w:eastAsia="仿宋" w:cs="仿宋"/>
          <w:color w:val="auto"/>
          <w:sz w:val="24"/>
          <w:highlight w:val="none"/>
        </w:rPr>
      </w:pPr>
      <w:r>
        <w:rPr>
          <w:rFonts w:hint="eastAsia" w:ascii="仿宋" w:eastAsia="仿宋"/>
          <w:color w:val="auto"/>
          <w:sz w:val="24"/>
          <w:highlight w:val="none"/>
        </w:rPr>
        <w:t>设备验收合格实际使用开始起整机原厂保修</w:t>
      </w:r>
      <w:r>
        <w:rPr>
          <w:rFonts w:hint="eastAsia" w:ascii="仿宋" w:eastAsia="仿宋"/>
          <w:color w:val="auto"/>
          <w:sz w:val="24"/>
          <w:highlight w:val="none"/>
          <w:lang w:val="en-US" w:eastAsia="zh-CN"/>
        </w:rPr>
        <w:t>5</w:t>
      </w:r>
      <w:r>
        <w:rPr>
          <w:rFonts w:hint="eastAsia" w:ascii="仿宋" w:eastAsia="仿宋"/>
          <w:color w:val="auto"/>
          <w:sz w:val="24"/>
          <w:highlight w:val="none"/>
        </w:rPr>
        <w:t>年（全保所有部件及第三方配套产品），提供终身系统软件升级及参数优化服务，费用不再另行支付。(所有质保承诺在合同签订时需同时提供原厂承诺书，否则采购人有权取消其中标资格并承担一切责任)。过保后维修时人工费不收取，只收取材料费。保证零配件供应10年以上；保修起始时间以医院验收合格之日为准，不得用任何方式将设备到货至安装完毕后验收的该段时间，部分的或全部的计入设备的保修期。每年保质期内故障率不得超过14天，如开机率达不到要求，每超过一天质保期相应延长10天。如保修期内因设备本身缺陷造成各种故障应由卖方</w:t>
      </w:r>
      <w:r>
        <w:rPr>
          <w:rFonts w:hint="eastAsia" w:ascii="仿宋" w:eastAsia="仿宋"/>
          <w:color w:val="auto"/>
          <w:sz w:val="24"/>
          <w:highlight w:val="none"/>
          <w:lang w:eastAsia="zh-CN"/>
        </w:rPr>
        <w:t>提供相应</w:t>
      </w:r>
      <w:r>
        <w:rPr>
          <w:rFonts w:hint="eastAsia" w:ascii="仿宋" w:eastAsia="仿宋"/>
          <w:color w:val="auto"/>
          <w:sz w:val="24"/>
          <w:highlight w:val="none"/>
        </w:rPr>
        <w:t>技术服务和维修，并在投标文件中说明在保修期内提供的服务计划。</w:t>
      </w:r>
    </w:p>
    <w:p>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5.售后服务</w:t>
      </w:r>
    </w:p>
    <w:p>
      <w:pPr>
        <w:widowControl/>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w:t>
      </w:r>
      <w:r>
        <w:rPr>
          <w:rFonts w:ascii="仿宋" w:hAnsi="仿宋" w:eastAsia="仿宋" w:cs="仿宋"/>
          <w:color w:val="auto"/>
          <w:sz w:val="24"/>
          <w:highlight w:val="none"/>
        </w:rPr>
        <w:t>维修及服务响应时间：对用户的售后服务要求应在2小时内响应，工程师于</w:t>
      </w:r>
      <w:r>
        <w:rPr>
          <w:rFonts w:hint="eastAsia" w:ascii="仿宋" w:hAnsi="仿宋" w:eastAsia="仿宋" w:cs="仿宋"/>
          <w:color w:val="auto"/>
          <w:sz w:val="24"/>
          <w:highlight w:val="none"/>
        </w:rPr>
        <w:t>24</w:t>
      </w:r>
      <w:r>
        <w:rPr>
          <w:rFonts w:ascii="仿宋" w:hAnsi="仿宋" w:eastAsia="仿宋" w:cs="仿宋"/>
          <w:color w:val="auto"/>
          <w:sz w:val="24"/>
          <w:highlight w:val="none"/>
        </w:rPr>
        <w:t>小时内到达现场给出解决方案，</w:t>
      </w:r>
      <w:r>
        <w:rPr>
          <w:rFonts w:hint="eastAsia" w:ascii="仿宋" w:hAnsi="仿宋" w:eastAsia="仿宋" w:cs="仿宋"/>
          <w:color w:val="auto"/>
          <w:sz w:val="24"/>
          <w:highlight w:val="none"/>
        </w:rPr>
        <w:t>48</w:t>
      </w:r>
      <w:r>
        <w:rPr>
          <w:rFonts w:ascii="仿宋" w:hAnsi="仿宋" w:eastAsia="仿宋" w:cs="仿宋"/>
          <w:color w:val="auto"/>
          <w:sz w:val="24"/>
          <w:highlight w:val="none"/>
        </w:rPr>
        <w:t>小时未修复提供备品或备件</w:t>
      </w:r>
      <w:r>
        <w:rPr>
          <w:rFonts w:hint="eastAsia" w:ascii="仿宋" w:hAnsi="仿宋" w:eastAsia="仿宋" w:cs="仿宋"/>
          <w:color w:val="auto"/>
          <w:sz w:val="24"/>
          <w:highlight w:val="none"/>
        </w:rPr>
        <w:t>；</w:t>
      </w:r>
    </w:p>
    <w:p>
      <w:pPr>
        <w:widowControl/>
        <w:snapToGrid w:val="0"/>
        <w:spacing w:line="360" w:lineRule="auto"/>
        <w:ind w:firstLine="480" w:firstLineChars="200"/>
        <w:rPr>
          <w:rFonts w:ascii="仿宋" w:eastAsia="仿宋"/>
          <w:color w:val="auto"/>
          <w:sz w:val="24"/>
          <w:highlight w:val="none"/>
        </w:rPr>
      </w:pPr>
      <w:r>
        <w:rPr>
          <w:rFonts w:hint="eastAsia" w:ascii="仿宋" w:hAnsi="仿宋" w:eastAsia="仿宋" w:cs="仿宋"/>
          <w:color w:val="auto"/>
          <w:sz w:val="24"/>
          <w:highlight w:val="none"/>
        </w:rPr>
        <w:t>5.2</w:t>
      </w:r>
      <w:r>
        <w:rPr>
          <w:rFonts w:hint="eastAsia" w:ascii="仿宋" w:eastAsia="仿宋"/>
          <w:color w:val="auto"/>
          <w:sz w:val="24"/>
          <w:highlight w:val="none"/>
        </w:rPr>
        <w:t>注明售后服务及400免费电话；</w:t>
      </w:r>
    </w:p>
    <w:p>
      <w:pPr>
        <w:widowControl/>
        <w:snapToGrid w:val="0"/>
        <w:spacing w:line="360" w:lineRule="auto"/>
        <w:ind w:firstLine="480" w:firstLineChars="200"/>
        <w:rPr>
          <w:rFonts w:ascii="仿宋" w:eastAsia="仿宋"/>
          <w:color w:val="auto"/>
          <w:sz w:val="24"/>
          <w:highlight w:val="none"/>
        </w:rPr>
      </w:pPr>
      <w:r>
        <w:rPr>
          <w:rFonts w:hint="eastAsia" w:ascii="仿宋" w:hAnsi="仿宋" w:eastAsia="仿宋" w:cs="仿宋"/>
          <w:color w:val="auto"/>
          <w:sz w:val="24"/>
          <w:highlight w:val="none"/>
        </w:rPr>
        <w:t>5.3对维修工程师的要求：维修前应将采购人存储的扫描程序备份，维修结束后恢复原状。保修期内每年进行不少于2次的</w:t>
      </w:r>
      <w:r>
        <w:rPr>
          <w:rFonts w:hint="eastAsia" w:ascii="仿宋" w:hAnsi="仿宋" w:eastAsia="仿宋" w:cs="仿宋"/>
          <w:color w:val="auto"/>
          <w:sz w:val="24"/>
          <w:highlight w:val="none"/>
          <w:lang w:eastAsia="zh-CN"/>
        </w:rPr>
        <w:t>上门保养</w:t>
      </w:r>
      <w:r>
        <w:rPr>
          <w:rFonts w:hint="eastAsia" w:ascii="仿宋" w:hAnsi="仿宋" w:eastAsia="仿宋" w:cs="仿宋"/>
          <w:color w:val="auto"/>
          <w:sz w:val="24"/>
          <w:highlight w:val="none"/>
        </w:rPr>
        <w:t>维护（不包括维修）。</w:t>
      </w:r>
    </w:p>
    <w:p>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6.技术培训</w:t>
      </w:r>
    </w:p>
    <w:p>
      <w:pPr>
        <w:widowControl/>
        <w:snapToGrid w:val="0"/>
        <w:spacing w:line="360" w:lineRule="auto"/>
        <w:ind w:firstLine="479"/>
        <w:rPr>
          <w:rFonts w:hint="eastAsia" w:ascii="仿宋" w:eastAsia="仿宋"/>
          <w:color w:val="auto"/>
          <w:kern w:val="0"/>
          <w:sz w:val="24"/>
          <w:highlight w:val="none"/>
          <w:lang w:eastAsia="zh-CN"/>
        </w:rPr>
      </w:pPr>
      <w:r>
        <w:rPr>
          <w:rFonts w:hint="eastAsia" w:ascii="仿宋" w:eastAsia="仿宋"/>
          <w:color w:val="auto"/>
          <w:kern w:val="0"/>
          <w:sz w:val="24"/>
          <w:highlight w:val="none"/>
        </w:rPr>
        <w:t>6.1中标方应在医院现场按操作手册对医院所有的相关操作及使用人员提供详细的临床使用培训和日常保养培训，使其能对设备进行熟练的操作。并提供详细的培训 PPT。培训完后需由中标方提供仪器的培训试题进行考核。提供设备的操作规程</w:t>
      </w:r>
      <w:r>
        <w:rPr>
          <w:rFonts w:hint="eastAsia" w:ascii="仿宋" w:eastAsia="仿宋"/>
          <w:color w:val="auto"/>
          <w:kern w:val="0"/>
          <w:sz w:val="24"/>
          <w:highlight w:val="none"/>
          <w:lang w:eastAsia="zh-CN"/>
        </w:rPr>
        <w:t>；</w:t>
      </w:r>
    </w:p>
    <w:p>
      <w:pPr>
        <w:pStyle w:val="2"/>
        <w:ind w:firstLine="480" w:firstLineChars="200"/>
        <w:rPr>
          <w:rFonts w:hint="eastAsia" w:ascii="仿宋" w:hAnsi="Times New Roman" w:eastAsia="仿宋" w:cs="Times New Roman"/>
          <w:color w:val="auto"/>
          <w:kern w:val="0"/>
          <w:highlight w:val="none"/>
          <w:lang w:val="en-US" w:eastAsia="zh-CN"/>
        </w:rPr>
      </w:pPr>
      <w:r>
        <w:rPr>
          <w:rFonts w:hint="eastAsia" w:ascii="仿宋" w:hAnsi="Times New Roman" w:eastAsia="仿宋" w:cs="Times New Roman"/>
          <w:color w:val="auto"/>
          <w:kern w:val="0"/>
          <w:highlight w:val="none"/>
          <w:lang w:val="en-US"/>
        </w:rPr>
        <w:t>6.2中标人应按维修手册对用户的医学工程人员进行设备预防性维护，质量检测等培训，使用户的医学工程人员能熟练的掌握设备预防性维护，质量检测。必须提供详细的培训记录</w:t>
      </w:r>
      <w:r>
        <w:rPr>
          <w:rFonts w:hint="eastAsia" w:ascii="仿宋" w:hAnsi="Times New Roman" w:eastAsia="仿宋" w:cs="Times New Roman"/>
          <w:color w:val="auto"/>
          <w:kern w:val="0"/>
          <w:highlight w:val="none"/>
          <w:lang w:val="en-US" w:eastAsia="zh-CN"/>
        </w:rPr>
        <w:t>；</w:t>
      </w:r>
    </w:p>
    <w:p>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7.付款方式</w:t>
      </w:r>
    </w:p>
    <w:p>
      <w:pPr>
        <w:widowControl/>
        <w:snapToGrid w:val="0"/>
        <w:spacing w:line="360" w:lineRule="auto"/>
        <w:ind w:firstLine="479"/>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7.1安装验收合格并正常使用3个月内支付产品总金额100%。（涉及中小企业合同的，浙财采监〔2022〕3号）等文件要求执行。</w:t>
      </w:r>
    </w:p>
    <w:p>
      <w:pPr>
        <w:widowControl/>
        <w:snapToGrid w:val="0"/>
        <w:spacing w:line="360" w:lineRule="auto"/>
        <w:ind w:firstLine="479"/>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7.2发票应随付款进度同时提供（按照国家有关规定交纳相应税费）。</w:t>
      </w:r>
    </w:p>
    <w:p>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8.数量调整</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9.验收要求、标准</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9.1 验收标准：设备安装后，应与产品原始样本技术数据及标书技术文件一致，符合我国有关技术规范和技术标准。双方签署验收文件，设备被视为验收通过。</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rPr>
        <w:t>整改完毕且复验合格后将本项目货物交给采购人使用，完成日期以通过复验日期为准。</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w:t>
      </w:r>
      <w:r>
        <w:rPr>
          <w:rFonts w:hint="eastAsia" w:ascii="仿宋" w:eastAsia="仿宋"/>
          <w:color w:val="auto"/>
          <w:kern w:val="0"/>
          <w:sz w:val="24"/>
          <w:highlight w:val="none"/>
          <w:lang w:val="en-US" w:eastAsia="zh-CN"/>
        </w:rPr>
        <w:t>3</w:t>
      </w:r>
      <w:r>
        <w:rPr>
          <w:rFonts w:hint="eastAsia" w:ascii="仿宋" w:eastAsia="仿宋"/>
          <w:color w:val="auto"/>
          <w:kern w:val="0"/>
          <w:sz w:val="24"/>
          <w:highlight w:val="none"/>
        </w:rPr>
        <w:t>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9.</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验收时须提供完整的中文使用、维修手册（包括安装光盘、维修密码等）。验收中发现设备达不到验收标准或合同规定的性能指标，卖方必须一周内 更换设备，不允许现场维修，并且赔偿由此给用户造成的损失。标书中未提及的但属选配的功能、软件及配件等均应无条件提供。</w:t>
      </w:r>
    </w:p>
    <w:p>
      <w:pPr>
        <w:pStyle w:val="2"/>
        <w:ind w:firstLine="480" w:firstLineChars="200"/>
        <w:rPr>
          <w:rFonts w:ascii="仿宋" w:eastAsia="仿宋"/>
          <w:color w:val="auto"/>
          <w:kern w:val="0"/>
          <w:highlight w:val="none"/>
          <w:lang w:val="en-US"/>
        </w:rPr>
      </w:pPr>
      <w:r>
        <w:rPr>
          <w:rFonts w:hint="eastAsia" w:ascii="仿宋" w:eastAsia="仿宋"/>
          <w:color w:val="auto"/>
          <w:kern w:val="0"/>
          <w:highlight w:val="none"/>
          <w:lang w:val="en-US"/>
        </w:rPr>
        <w:t>9.</w:t>
      </w:r>
      <w:r>
        <w:rPr>
          <w:rFonts w:hint="eastAsia" w:ascii="仿宋" w:eastAsia="仿宋"/>
          <w:color w:val="auto"/>
          <w:kern w:val="0"/>
          <w:highlight w:val="none"/>
          <w:lang w:val="en-US" w:eastAsia="zh-CN"/>
        </w:rPr>
        <w:t>5</w:t>
      </w:r>
      <w:r>
        <w:rPr>
          <w:rFonts w:hint="eastAsia" w:ascii="仿宋" w:eastAsia="仿宋"/>
          <w:color w:val="auto"/>
          <w:kern w:val="0"/>
          <w:highlight w:val="none"/>
          <w:lang w:val="en-US"/>
        </w:rPr>
        <w:t>质量保证：卖方按配置清单要求，提供原装全新设备。确保其产品质量、性能及技术参数达到买方要求，如不能满足买方要求，则买方有权向卖方提出退换或索赔的要求。</w:t>
      </w:r>
    </w:p>
    <w:p>
      <w:pPr>
        <w:widowControl/>
        <w:snapToGrid w:val="0"/>
        <w:spacing w:line="360" w:lineRule="auto"/>
        <w:rPr>
          <w:rFonts w:hint="eastAsia" w:ascii="仿宋" w:eastAsia="仿宋"/>
          <w:b/>
          <w:bCs/>
          <w:color w:val="auto"/>
          <w:kern w:val="0"/>
          <w:sz w:val="24"/>
          <w:highlight w:val="none"/>
        </w:rPr>
      </w:pPr>
      <w:r>
        <w:rPr>
          <w:rFonts w:hint="eastAsia" w:ascii="仿宋" w:eastAsia="仿宋"/>
          <w:b/>
          <w:bCs/>
          <w:color w:val="auto"/>
          <w:kern w:val="0"/>
          <w:sz w:val="24"/>
          <w:highlight w:val="none"/>
        </w:rPr>
        <w:t>★10.结算原则</w:t>
      </w:r>
    </w:p>
    <w:p>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10.1采购文件、招标答疑会纪要、中标供应商的中标报价等作为结算依据；</w:t>
      </w:r>
    </w:p>
    <w:p>
      <w:pPr>
        <w:widowControl/>
        <w:snapToGrid w:val="0"/>
        <w:spacing w:line="360" w:lineRule="auto"/>
        <w:ind w:firstLine="480" w:firstLineChars="200"/>
        <w:rPr>
          <w:rFonts w:ascii="仿宋" w:eastAsia="仿宋"/>
          <w:b/>
          <w:bCs/>
          <w:color w:val="auto"/>
          <w:sz w:val="24"/>
          <w:highlight w:val="none"/>
        </w:rPr>
      </w:pPr>
      <w:r>
        <w:rPr>
          <w:rFonts w:hint="eastAsia" w:ascii="仿宋" w:eastAsia="仿宋"/>
          <w:color w:val="auto"/>
          <w:sz w:val="24"/>
          <w:highlight w:val="none"/>
        </w:rPr>
        <w:t>10.2中标单价一次性包死，不再调整，经采购人分级审批认可的数量增减，在结算时按中标单价按实调整。</w:t>
      </w:r>
    </w:p>
    <w:p>
      <w:pPr>
        <w:widowControl/>
        <w:snapToGrid w:val="0"/>
        <w:spacing w:line="360" w:lineRule="auto"/>
        <w:rPr>
          <w:rFonts w:ascii="仿宋" w:eastAsia="仿宋"/>
          <w:b/>
          <w:bCs/>
          <w:color w:val="auto"/>
          <w:sz w:val="24"/>
          <w:highlight w:val="none"/>
          <w:u w:val="single"/>
        </w:rPr>
      </w:pPr>
      <w:r>
        <w:rPr>
          <w:rFonts w:hint="eastAsia" w:ascii="仿宋" w:hAnsi="仿宋" w:eastAsia="仿宋" w:cs="仿宋"/>
          <w:color w:val="auto"/>
          <w:sz w:val="24"/>
          <w:highlight w:val="none"/>
        </w:rPr>
        <w:t>★</w:t>
      </w:r>
      <w:r>
        <w:rPr>
          <w:rFonts w:hint="eastAsia" w:ascii="仿宋" w:eastAsia="仿宋"/>
          <w:b/>
          <w:bCs/>
          <w:color w:val="auto"/>
          <w:sz w:val="24"/>
          <w:highlight w:val="none"/>
        </w:rPr>
        <w:t>11.附加条件</w:t>
      </w:r>
    </w:p>
    <w:p>
      <w:pPr>
        <w:widowControl/>
        <w:snapToGrid w:val="0"/>
        <w:spacing w:line="360" w:lineRule="auto"/>
        <w:ind w:firstLine="480" w:firstLineChars="200"/>
        <w:rPr>
          <w:rFonts w:hint="eastAsia" w:ascii="仿宋" w:hAnsi="仿宋" w:eastAsia="仿宋" w:cs="Arial"/>
          <w:color w:val="auto"/>
          <w:kern w:val="0"/>
          <w:sz w:val="24"/>
          <w:highlight w:val="none"/>
          <w:lang w:val="en-US" w:eastAsia="zh-CN"/>
        </w:rPr>
      </w:pPr>
      <w:r>
        <w:rPr>
          <w:rFonts w:hint="eastAsia" w:ascii="仿宋" w:hAnsi="仿宋" w:eastAsia="仿宋" w:cs="Arial"/>
          <w:color w:val="auto"/>
          <w:kern w:val="0"/>
          <w:sz w:val="24"/>
          <w:highlight w:val="none"/>
        </w:rPr>
        <w:t>11.1提供样本彩页，安装时提供设备外观尺寸图纸和安装参数。提供完整的中、英文用户操作手册(警告事项)和维修手册</w:t>
      </w:r>
      <w:r>
        <w:rPr>
          <w:rFonts w:hint="eastAsia" w:ascii="仿宋" w:hAnsi="仿宋" w:eastAsia="仿宋" w:cs="Arial"/>
          <w:color w:val="auto"/>
          <w:kern w:val="0"/>
          <w:sz w:val="24"/>
          <w:highlight w:val="none"/>
          <w:lang w:eastAsia="zh-CN"/>
        </w:rPr>
        <w:t>。</w:t>
      </w:r>
    </w:p>
    <w:p>
      <w:pPr>
        <w:pStyle w:val="2"/>
        <w:ind w:firstLine="480" w:firstLineChars="200"/>
        <w:rPr>
          <w:rFonts w:hint="eastAsia" w:ascii="仿宋" w:hAnsi="仿宋" w:eastAsia="仿宋"/>
          <w:color w:val="auto"/>
          <w:kern w:val="0"/>
          <w:highlight w:val="none"/>
          <w:lang w:val="en-US" w:eastAsia="zh-CN"/>
        </w:rPr>
      </w:pPr>
      <w:r>
        <w:rPr>
          <w:rFonts w:hint="eastAsia" w:ascii="仿宋" w:hAnsi="仿宋" w:eastAsia="仿宋"/>
          <w:color w:val="auto"/>
          <w:kern w:val="0"/>
          <w:highlight w:val="none"/>
          <w:lang w:val="en-US"/>
        </w:rPr>
        <w:t>11.2所有设备必须是全新的，未曾使用过的原装产品，承诺投标产品到货日期与生产日期(以产品标签、标识为准)间隔≤6个月内</w:t>
      </w:r>
      <w:r>
        <w:rPr>
          <w:rFonts w:hint="eastAsia" w:ascii="仿宋" w:hAnsi="仿宋" w:eastAsia="仿宋"/>
          <w:color w:val="auto"/>
          <w:kern w:val="0"/>
          <w:highlight w:val="none"/>
          <w:lang w:val="en-US" w:eastAsia="zh-CN"/>
        </w:rPr>
        <w:t>；</w:t>
      </w:r>
    </w:p>
    <w:p>
      <w:pPr>
        <w:pStyle w:val="2"/>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val="en-US"/>
        </w:rPr>
        <w:t>11</w:t>
      </w:r>
      <w:r>
        <w:rPr>
          <w:rFonts w:hint="eastAsia" w:ascii="仿宋" w:hAnsi="仿宋" w:eastAsia="仿宋"/>
          <w:color w:val="auto"/>
          <w:highlight w:val="none"/>
        </w:rPr>
        <w:t>.3合同签订时出具原厂对此项目授权，以保证能获取原厂售后服务，否则采购人有权取消其中标资格并承担一切责任</w:t>
      </w:r>
      <w:r>
        <w:rPr>
          <w:rFonts w:hint="eastAsia" w:ascii="仿宋" w:hAnsi="仿宋" w:eastAsia="仿宋"/>
          <w:color w:val="auto"/>
          <w:highlight w:val="none"/>
          <w:lang w:eastAsia="zh-CN"/>
        </w:rPr>
        <w:t>；</w:t>
      </w:r>
    </w:p>
    <w:p>
      <w:pPr>
        <w:pStyle w:val="2"/>
        <w:ind w:firstLine="480" w:firstLineChars="200"/>
        <w:rPr>
          <w:rFonts w:hint="eastAsia" w:ascii="仿宋" w:hAnsi="仿宋" w:eastAsia="仿宋"/>
          <w:color w:val="auto"/>
          <w:highlight w:val="none"/>
        </w:rPr>
      </w:pPr>
      <w:r>
        <w:rPr>
          <w:rFonts w:hint="eastAsia" w:ascii="仿宋" w:hAnsi="仿宋" w:eastAsia="仿宋"/>
          <w:color w:val="auto"/>
          <w:highlight w:val="none"/>
          <w:lang w:val="en-US"/>
        </w:rPr>
        <w:t>11</w:t>
      </w:r>
      <w:r>
        <w:rPr>
          <w:rFonts w:hint="eastAsia" w:ascii="仿宋" w:hAnsi="仿宋" w:eastAsia="仿宋"/>
          <w:color w:val="auto"/>
          <w:highlight w:val="none"/>
        </w:rPr>
        <w:t>.4详细列出配置清单(主要配置必须符合标书)及单价和维修配件、必需的耗材清单及优惠价格，未列出的维修配件将视为终身免费维修及更换内容；维修配件、必需的耗材清单及优惠价格不计入投标报价；</w:t>
      </w:r>
    </w:p>
    <w:p>
      <w:pPr>
        <w:pStyle w:val="2"/>
        <w:ind w:firstLine="480" w:firstLineChars="200"/>
        <w:rPr>
          <w:rFonts w:ascii="仿宋" w:hAnsi="仿宋" w:eastAsia="仿宋" w:cs="仿宋"/>
          <w:b/>
          <w:color w:val="auto"/>
          <w:sz w:val="36"/>
          <w:szCs w:val="36"/>
          <w:highlight w:val="none"/>
        </w:rPr>
      </w:pPr>
      <w:r>
        <w:rPr>
          <w:rFonts w:hint="eastAsia" w:ascii="仿宋" w:hAnsi="仿宋" w:eastAsia="仿宋"/>
          <w:color w:val="auto"/>
          <w:kern w:val="0"/>
          <w:highlight w:val="none"/>
          <w:lang w:val="en-US"/>
        </w:rPr>
        <w:t>11</w:t>
      </w:r>
      <w:r>
        <w:rPr>
          <w:rFonts w:hint="eastAsia" w:ascii="仿宋" w:hAnsi="仿宋" w:eastAsia="仿宋"/>
          <w:color w:val="auto"/>
          <w:kern w:val="0"/>
          <w:highlight w:val="none"/>
        </w:rPr>
        <w:t>.5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pStyle w:val="79"/>
        <w:ind w:firstLine="723"/>
        <w:rPr>
          <w:rFonts w:ascii="仿宋" w:hAnsi="仿宋" w:eastAsia="仿宋" w:cs="仿宋"/>
          <w:b/>
          <w:color w:val="auto"/>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hint="eastAsia" w:ascii="仿宋" w:hAnsi="仿宋" w:eastAsia="仿宋" w:cs="仿宋"/>
          <w:b/>
          <w:color w:val="auto"/>
          <w:kern w:val="0"/>
          <w:sz w:val="36"/>
          <w:szCs w:val="36"/>
          <w:highlight w:val="none"/>
        </w:rPr>
      </w:pPr>
    </w:p>
    <w:p>
      <w:pP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pPr>
        <w:adjustRightInd/>
        <w:snapToGrid w:val="0"/>
        <w:spacing w:line="440" w:lineRule="exact"/>
        <w:outlineLvl w:val="0"/>
        <w:rPr>
          <w:rFonts w:ascii="仿宋" w:hAnsi="仿宋" w:eastAsia="仿宋" w:cs="仿宋"/>
          <w:b/>
          <w:color w:val="auto"/>
          <w:kern w:val="0"/>
          <w:sz w:val="36"/>
          <w:szCs w:val="36"/>
          <w:highlight w:val="none"/>
        </w:rPr>
      </w:pPr>
    </w:p>
    <w:p>
      <w:pPr>
        <w:adjustRightInd/>
        <w:spacing w:line="440" w:lineRule="exact"/>
        <w:jc w:val="center"/>
        <w:rPr>
          <w:rFonts w:ascii="仿宋" w:hAnsi="仿宋" w:eastAsia="仿宋" w:cs="仿宋"/>
          <w:b/>
          <w:color w:val="auto"/>
          <w:kern w:val="0"/>
          <w:sz w:val="28"/>
          <w:szCs w:val="28"/>
          <w:highlight w:val="none"/>
        </w:rPr>
      </w:pPr>
    </w:p>
    <w:p>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pPr>
        <w:spacing w:line="440" w:lineRule="exact"/>
        <w:ind w:left="-420" w:leftChars="-200" w:right="-420" w:rightChars="-200" w:firstLine="480" w:firstLineChars="200"/>
        <w:rPr>
          <w:rFonts w:ascii="仿宋" w:hAnsi="仿宋" w:eastAsia="仿宋" w:cs="仿宋"/>
          <w:color w:val="auto"/>
          <w:sz w:val="24"/>
          <w:highlight w:val="none"/>
        </w:rPr>
        <w:sectPr>
          <w:footerReference r:id="rId14" w:type="default"/>
          <w:pgSz w:w="11906" w:h="16838"/>
          <w:pgMar w:top="1440" w:right="1800" w:bottom="1440" w:left="1800" w:header="851" w:footer="992" w:gutter="0"/>
          <w:cols w:space="720" w:num="1"/>
          <w:docGrid w:type="lines" w:linePitch="312" w:charSpace="0"/>
        </w:sectPr>
      </w:pPr>
    </w:p>
    <w:p>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pPr>
        <w:adjustRightInd/>
        <w:spacing w:line="440" w:lineRule="exact"/>
        <w:ind w:right="-420" w:rightChars="-200"/>
        <w:rPr>
          <w:rFonts w:ascii="仿宋" w:hAnsi="仿宋" w:eastAsia="仿宋" w:cs="仿宋"/>
          <w:color w:val="auto"/>
          <w:kern w:val="0"/>
          <w:sz w:val="24"/>
          <w:szCs w:val="20"/>
          <w:highlight w:val="none"/>
        </w:rPr>
      </w:pPr>
    </w:p>
    <w:p>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采购标的及数量（台/套/个/架/组等）：</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（4）政府采购组织形式：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（8）中标（成交）供应商是否为外商投资企业：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（9）是否涉及进口产品：</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（10）是否涉及节能产品：</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（应明确分期/分项验收的工作安排）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3"/>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r>
        <w:rPr>
          <w:rFonts w:hint="eastAsia" w:ascii="仿宋" w:hAnsi="仿宋" w:eastAsia="仿宋" w:cs="仿宋"/>
          <w:b/>
          <w:bCs/>
          <w:color w:val="auto"/>
          <w:kern w:val="0"/>
          <w:sz w:val="24"/>
          <w:szCs w:val="20"/>
          <w:highlight w:val="none"/>
        </w:rPr>
        <w:t>政府采购合同通用条款</w:t>
      </w:r>
    </w:p>
    <w:p>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合同标的及金额应与中标（成交）结果一致。乙方为履行本合同而发生的所有费用均应包含在合同价款中，甲方不再另行支付其他任何费用。</w:t>
      </w:r>
    </w:p>
    <w:p>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pPr>
              <w:adjustRightInd/>
              <w:spacing w:line="440" w:lineRule="exact"/>
              <w:ind w:right="-420" w:right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pPr>
        <w:spacing w:line="360" w:lineRule="auto"/>
        <w:jc w:val="center"/>
        <w:rPr>
          <w:rFonts w:ascii="仿宋" w:hAnsi="仿宋" w:eastAsia="仿宋" w:cs="仿宋"/>
          <w:b/>
          <w:color w:val="auto"/>
          <w:sz w:val="36"/>
          <w:szCs w:val="36"/>
          <w:highlight w:val="none"/>
        </w:rPr>
      </w:pPr>
    </w:p>
    <w:p>
      <w:pPr>
        <w:spacing w:line="360" w:lineRule="auto"/>
        <w:rPr>
          <w:rFonts w:ascii="仿宋" w:hAnsi="仿宋" w:eastAsia="仿宋" w:cs="仿宋"/>
          <w:b/>
          <w:color w:val="auto"/>
          <w:sz w:val="36"/>
          <w:szCs w:val="36"/>
          <w:highlight w:val="none"/>
        </w:rPr>
      </w:pPr>
    </w:p>
    <w:p>
      <w:pPr>
        <w:pStyle w:val="2"/>
        <w:rPr>
          <w:rFonts w:ascii="仿宋" w:hAnsi="仿宋" w:eastAsia="仿宋" w:cs="仿宋"/>
          <w:b/>
          <w:color w:val="auto"/>
          <w:sz w:val="36"/>
          <w:szCs w:val="36"/>
          <w:highlight w:val="none"/>
        </w:rPr>
      </w:pPr>
    </w:p>
    <w:p>
      <w:pPr>
        <w:pStyle w:val="3"/>
        <w:rPr>
          <w:color w:val="auto"/>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40</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ind w:firstLine="482" w:firstLineChars="200"/>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60</w:t>
      </w:r>
      <w:r>
        <w:rPr>
          <w:rFonts w:hint="eastAsia" w:ascii="仿宋" w:hAnsi="仿宋" w:eastAsia="仿宋" w:cs="仿宋"/>
          <w:b/>
          <w:bCs/>
          <w:iCs/>
          <w:color w:val="auto"/>
          <w:sz w:val="24"/>
          <w:highlight w:val="none"/>
        </w:rPr>
        <w:t>分）</w:t>
      </w:r>
    </w:p>
    <w:tbl>
      <w:tblPr>
        <w:tblStyle w:val="62"/>
        <w:tblW w:w="866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noWrap w:val="0"/>
            <w:vAlign w:val="center"/>
          </w:tcPr>
          <w:p>
            <w:pPr>
              <w:jc w:val="center"/>
              <w:rPr>
                <w:rFonts w:hint="eastAsia" w:ascii="仿宋" w:hAnsi="仿宋" w:eastAsia="仿宋"/>
                <w:b/>
                <w:color w:val="auto"/>
                <w:szCs w:val="21"/>
                <w:highlight w:val="none"/>
              </w:rPr>
            </w:pPr>
            <w:r>
              <w:rPr>
                <w:rFonts w:hint="eastAsia" w:ascii="仿宋" w:hAnsi="仿宋" w:eastAsia="仿宋"/>
                <w:b/>
                <w:color w:val="auto"/>
                <w:szCs w:val="21"/>
                <w:highlight w:val="none"/>
              </w:rPr>
              <w:t>序号</w:t>
            </w:r>
          </w:p>
        </w:tc>
        <w:tc>
          <w:tcPr>
            <w:tcW w:w="7182" w:type="dxa"/>
            <w:noWrap w:val="0"/>
            <w:vAlign w:val="center"/>
          </w:tcPr>
          <w:p>
            <w:pPr>
              <w:jc w:val="center"/>
              <w:rPr>
                <w:rFonts w:hint="eastAsia" w:ascii="仿宋" w:hAnsi="仿宋" w:eastAsia="仿宋"/>
                <w:b/>
                <w:color w:val="auto"/>
                <w:szCs w:val="21"/>
                <w:highlight w:val="none"/>
              </w:rPr>
            </w:pPr>
            <w:r>
              <w:rPr>
                <w:rFonts w:hint="eastAsia" w:ascii="仿宋" w:hAnsi="仿宋" w:eastAsia="仿宋"/>
                <w:b/>
                <w:color w:val="auto"/>
                <w:szCs w:val="21"/>
                <w:highlight w:val="none"/>
              </w:rPr>
              <w:t>评分标准</w:t>
            </w:r>
          </w:p>
        </w:tc>
        <w:tc>
          <w:tcPr>
            <w:tcW w:w="540" w:type="dxa"/>
            <w:noWrap w:val="0"/>
            <w:vAlign w:val="center"/>
          </w:tcPr>
          <w:p>
            <w:pPr>
              <w:ind w:left="-103" w:leftChars="-49" w:right="-113" w:rightChars="-54"/>
              <w:jc w:val="center"/>
              <w:rPr>
                <w:rFonts w:hint="eastAsia" w:ascii="仿宋" w:hAnsi="仿宋" w:eastAsia="仿宋"/>
                <w:b/>
                <w:color w:val="auto"/>
                <w:szCs w:val="21"/>
                <w:highlight w:val="none"/>
              </w:rPr>
            </w:pPr>
            <w:r>
              <w:rPr>
                <w:rFonts w:hint="eastAsia" w:ascii="仿宋" w:hAnsi="仿宋" w:eastAsia="仿宋"/>
                <w:b/>
                <w:color w:val="auto"/>
                <w:szCs w:val="21"/>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943" w:type="dxa"/>
            <w:noWrap w:val="0"/>
            <w:vAlign w:val="center"/>
          </w:tcPr>
          <w:p>
            <w:pPr>
              <w:jc w:val="center"/>
              <w:rPr>
                <w:rFonts w:hint="eastAsia" w:ascii="仿宋" w:hAnsi="仿宋" w:eastAsia="仿宋"/>
                <w:b/>
                <w:color w:val="auto"/>
                <w:szCs w:val="21"/>
                <w:highlight w:val="none"/>
                <w:lang w:val="en-US" w:eastAsia="zh-CN"/>
              </w:rPr>
            </w:pPr>
            <w:r>
              <w:rPr>
                <w:rFonts w:hint="eastAsia" w:ascii="仿宋" w:hAnsi="仿宋" w:eastAsia="仿宋"/>
                <w:b w:val="0"/>
                <w:bCs/>
                <w:color w:val="auto"/>
                <w:szCs w:val="21"/>
                <w:highlight w:val="none"/>
                <w:lang w:val="en-US" w:eastAsia="zh-CN"/>
              </w:rPr>
              <w:t>1</w:t>
            </w:r>
          </w:p>
        </w:tc>
        <w:tc>
          <w:tcPr>
            <w:tcW w:w="7182" w:type="dxa"/>
            <w:noWrap w:val="0"/>
            <w:vAlign w:val="center"/>
          </w:tcPr>
          <w:p>
            <w:pPr>
              <w:jc w:val="left"/>
              <w:rPr>
                <w:rFonts w:hint="eastAsia" w:ascii="仿宋" w:hAnsi="仿宋" w:eastAsia="仿宋"/>
                <w:b/>
                <w:color w:val="auto"/>
                <w:szCs w:val="21"/>
                <w:highlight w:val="none"/>
              </w:rPr>
            </w:pPr>
            <w:r>
              <w:rPr>
                <w:rFonts w:hint="eastAsia" w:ascii="仿宋" w:hAnsi="仿宋" w:eastAsia="仿宋" w:cs="仿宋"/>
                <w:color w:val="auto"/>
                <w:highlight w:val="none"/>
              </w:rPr>
              <w:t>提供自</w:t>
            </w:r>
            <w:r>
              <w:rPr>
                <w:rFonts w:hint="eastAsia" w:ascii="仿宋" w:hAnsi="仿宋" w:eastAsia="仿宋" w:cs="仿宋"/>
                <w:color w:val="auto"/>
                <w:highlight w:val="none"/>
                <w:lang w:val="en-US" w:eastAsia="zh-CN"/>
              </w:rPr>
              <w:t>2022</w:t>
            </w:r>
            <w:r>
              <w:rPr>
                <w:rFonts w:hint="eastAsia" w:ascii="仿宋" w:hAnsi="仿宋" w:eastAsia="仿宋" w:cs="仿宋"/>
                <w:color w:val="auto"/>
                <w:highlight w:val="none"/>
              </w:rPr>
              <w:t>年1月1日（以签订合同时间为准）至今</w:t>
            </w:r>
            <w:r>
              <w:rPr>
                <w:rFonts w:hint="eastAsia" w:ascii="仿宋" w:hAnsi="仿宋" w:eastAsia="仿宋" w:cs="仿宋"/>
                <w:color w:val="auto"/>
                <w:highlight w:val="none"/>
                <w:lang w:eastAsia="zh-CN"/>
              </w:rPr>
              <w:t>投标</w:t>
            </w:r>
            <w:r>
              <w:rPr>
                <w:rFonts w:hint="eastAsia" w:ascii="仿宋" w:hAnsi="仿宋" w:eastAsia="仿宋" w:cs="仿宋"/>
                <w:color w:val="auto"/>
                <w:highlight w:val="none"/>
              </w:rPr>
              <w:t>产品成功销售的合同（提供完整的合同复印件加盖单位公章，复印件能清楚的辨析设备名称、型号，并提供需方名称，否则不得分），每</w:t>
            </w:r>
            <w:r>
              <w:rPr>
                <w:rFonts w:hint="eastAsia" w:ascii="仿宋" w:hAnsi="仿宋" w:eastAsia="仿宋" w:cs="仿宋"/>
                <w:color w:val="auto"/>
                <w:highlight w:val="none"/>
                <w:lang w:eastAsia="zh-CN"/>
              </w:rPr>
              <w:t>份</w:t>
            </w:r>
            <w:r>
              <w:rPr>
                <w:rFonts w:hint="eastAsia" w:ascii="仿宋" w:hAnsi="仿宋" w:eastAsia="仿宋" w:cs="仿宋"/>
                <w:color w:val="auto"/>
                <w:highlight w:val="none"/>
              </w:rPr>
              <w:t>得</w:t>
            </w:r>
            <w:r>
              <w:rPr>
                <w:rFonts w:hint="eastAsia" w:ascii="仿宋" w:hAnsi="仿宋" w:eastAsia="仿宋" w:cs="仿宋"/>
                <w:color w:val="auto"/>
                <w:highlight w:val="none"/>
                <w:u w:val="none"/>
                <w:lang w:val="en-US" w:eastAsia="zh-CN"/>
              </w:rPr>
              <w:t>1</w:t>
            </w:r>
            <w:r>
              <w:rPr>
                <w:rFonts w:hint="eastAsia" w:ascii="仿宋" w:hAnsi="仿宋" w:eastAsia="仿宋" w:cs="仿宋"/>
                <w:color w:val="auto"/>
                <w:highlight w:val="none"/>
              </w:rPr>
              <w:t>分，最多得</w:t>
            </w:r>
            <w:r>
              <w:rPr>
                <w:rFonts w:hint="eastAsia" w:ascii="仿宋" w:hAnsi="仿宋" w:eastAsia="仿宋" w:cs="仿宋"/>
                <w:color w:val="auto"/>
                <w:highlight w:val="none"/>
                <w:u w:val="none"/>
                <w:lang w:val="en-US" w:eastAsia="zh-CN"/>
              </w:rPr>
              <w:t>3</w:t>
            </w:r>
            <w:r>
              <w:rPr>
                <w:rFonts w:hint="eastAsia" w:ascii="仿宋" w:hAnsi="仿宋" w:eastAsia="仿宋" w:cs="仿宋"/>
                <w:color w:val="auto"/>
                <w:highlight w:val="none"/>
              </w:rPr>
              <w:t>分。</w:t>
            </w:r>
          </w:p>
        </w:tc>
        <w:tc>
          <w:tcPr>
            <w:tcW w:w="540" w:type="dxa"/>
            <w:noWrap w:val="0"/>
            <w:vAlign w:val="center"/>
          </w:tcPr>
          <w:p>
            <w:pPr>
              <w:ind w:left="-103" w:leftChars="-49" w:right="-113" w:rightChars="-54"/>
              <w:jc w:val="center"/>
              <w:rPr>
                <w:rFonts w:hint="eastAsia" w:ascii="仿宋" w:hAnsi="仿宋" w:eastAsia="仿宋"/>
                <w:b/>
                <w:color w:val="auto"/>
                <w:szCs w:val="21"/>
                <w:highlight w:val="none"/>
                <w:lang w:val="en-US" w:eastAsia="zh-CN"/>
              </w:rPr>
            </w:pPr>
            <w:r>
              <w:rPr>
                <w:rFonts w:hint="eastAsia" w:ascii="仿宋" w:hAnsi="仿宋" w:eastAsia="仿宋"/>
                <w:color w:val="auto"/>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943" w:type="dxa"/>
            <w:noWrap w:val="0"/>
            <w:vAlign w:val="center"/>
          </w:tcPr>
          <w:p>
            <w:pPr>
              <w:jc w:val="center"/>
              <w:rPr>
                <w:rFonts w:hint="eastAsia" w:ascii="仿宋" w:hAnsi="仿宋" w:eastAsia="仿宋"/>
                <w:b w:val="0"/>
                <w:bCs/>
                <w:color w:val="auto"/>
                <w:szCs w:val="21"/>
                <w:highlight w:val="none"/>
                <w:lang w:val="en-US" w:eastAsia="zh-CN"/>
              </w:rPr>
            </w:pPr>
            <w:r>
              <w:rPr>
                <w:rFonts w:hint="eastAsia" w:ascii="仿宋" w:hAnsi="仿宋" w:eastAsia="仿宋"/>
                <w:color w:val="auto"/>
                <w:szCs w:val="21"/>
                <w:highlight w:val="none"/>
                <w:lang w:val="en-US" w:eastAsia="zh-CN"/>
              </w:rPr>
              <w:t>2</w:t>
            </w:r>
          </w:p>
        </w:tc>
        <w:tc>
          <w:tcPr>
            <w:tcW w:w="7182" w:type="dxa"/>
            <w:noWrap w:val="0"/>
            <w:vAlign w:val="center"/>
          </w:tcPr>
          <w:p>
            <w:pPr>
              <w:jc w:val="left"/>
              <w:rPr>
                <w:rFonts w:hint="eastAsia" w:ascii="仿宋" w:hAnsi="仿宋" w:eastAsia="仿宋" w:cs="仿宋"/>
                <w:color w:val="auto"/>
                <w:highlight w:val="none"/>
              </w:rPr>
            </w:pPr>
            <w:r>
              <w:rPr>
                <w:rFonts w:hint="eastAsia" w:ascii="仿宋" w:hAnsi="仿宋" w:eastAsia="仿宋"/>
                <w:color w:val="auto"/>
                <w:szCs w:val="21"/>
                <w:highlight w:val="none"/>
                <w:u w:val="none"/>
              </w:rPr>
              <w:t>所投产品取得节能产品认证证书的，得0.5分；所投产品取得环境标志产品的，得0.5分</w:t>
            </w:r>
            <w:r>
              <w:rPr>
                <w:rFonts w:hint="eastAsia" w:ascii="仿宋" w:hAnsi="仿宋" w:eastAsia="仿宋"/>
                <w:color w:val="auto"/>
                <w:szCs w:val="21"/>
                <w:highlight w:val="none"/>
                <w:u w:val="none"/>
                <w:lang w:eastAsia="zh-CN"/>
              </w:rPr>
              <w:t>（</w:t>
            </w:r>
            <w:r>
              <w:rPr>
                <w:rFonts w:hint="eastAsia" w:ascii="仿宋" w:hAnsi="仿宋" w:eastAsia="仿宋"/>
                <w:color w:val="auto"/>
                <w:szCs w:val="21"/>
                <w:highlight w:val="none"/>
                <w:u w:val="none"/>
              </w:rPr>
              <w:t>提供国家确定的认证机构出具的、处于有效期之内的节能产品、环境标志产品认证证书复印件</w:t>
            </w:r>
            <w:r>
              <w:rPr>
                <w:rFonts w:hint="eastAsia" w:ascii="仿宋" w:hAnsi="仿宋" w:eastAsia="仿宋"/>
                <w:color w:val="auto"/>
                <w:szCs w:val="21"/>
                <w:highlight w:val="none"/>
                <w:u w:val="none"/>
                <w:lang w:eastAsia="zh-CN"/>
              </w:rPr>
              <w:t>，否则不得分）。</w:t>
            </w:r>
          </w:p>
        </w:tc>
        <w:tc>
          <w:tcPr>
            <w:tcW w:w="540" w:type="dxa"/>
            <w:noWrap w:val="0"/>
            <w:vAlign w:val="center"/>
          </w:tcPr>
          <w:p>
            <w:pPr>
              <w:ind w:left="-103" w:leftChars="-49" w:right="-113" w:rightChars="-54"/>
              <w:jc w:val="center"/>
              <w:rPr>
                <w:rFonts w:hint="default" w:ascii="仿宋" w:hAnsi="仿宋" w:eastAsia="仿宋"/>
                <w:color w:val="auto"/>
                <w:szCs w:val="21"/>
                <w:highlight w:val="none"/>
                <w:u w:val="none"/>
                <w:lang w:val="en-US" w:eastAsia="zh-CN"/>
              </w:rPr>
            </w:pPr>
            <w:r>
              <w:rPr>
                <w:rFonts w:hint="eastAsia" w:ascii="仿宋" w:hAnsi="仿宋" w:eastAsia="仿宋"/>
                <w:color w:val="auto"/>
                <w:szCs w:val="21"/>
                <w:highlight w:val="none"/>
                <w:u w:val="singl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943" w:type="dxa"/>
            <w:noWrap w:val="0"/>
            <w:vAlign w:val="center"/>
          </w:tcPr>
          <w:p>
            <w:pPr>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3</w:t>
            </w:r>
          </w:p>
        </w:tc>
        <w:tc>
          <w:tcPr>
            <w:tcW w:w="7182" w:type="dxa"/>
            <w:noWrap w:val="0"/>
            <w:vAlign w:val="center"/>
          </w:tcPr>
          <w:p>
            <w:pPr>
              <w:rPr>
                <w:rFonts w:hint="eastAsia" w:ascii="仿宋" w:hAnsi="仿宋" w:eastAsia="仿宋"/>
                <w:color w:val="auto"/>
                <w:szCs w:val="21"/>
                <w:highlight w:val="none"/>
                <w:lang w:eastAsia="zh-CN"/>
              </w:rPr>
            </w:pPr>
            <w:r>
              <w:rPr>
                <w:rFonts w:hint="eastAsia" w:ascii="仿宋" w:hAnsi="仿宋" w:eastAsia="仿宋"/>
                <w:color w:val="auto"/>
                <w:szCs w:val="21"/>
                <w:highlight w:val="none"/>
              </w:rPr>
              <w:t>完全满足招标文件要求的得</w:t>
            </w:r>
            <w:r>
              <w:rPr>
                <w:rFonts w:hint="eastAsia" w:ascii="仿宋" w:hAnsi="仿宋" w:eastAsia="仿宋"/>
                <w:color w:val="auto"/>
                <w:szCs w:val="21"/>
                <w:highlight w:val="none"/>
                <w:u w:val="none"/>
                <w:lang w:val="en-US" w:eastAsia="zh-CN"/>
              </w:rPr>
              <w:t>40</w:t>
            </w:r>
            <w:r>
              <w:rPr>
                <w:rFonts w:hint="eastAsia" w:ascii="仿宋" w:hAnsi="仿宋" w:eastAsia="仿宋"/>
                <w:color w:val="auto"/>
                <w:szCs w:val="21"/>
                <w:highlight w:val="none"/>
              </w:rPr>
              <w:t>分；打</w:t>
            </w:r>
            <w:r>
              <w:rPr>
                <w:rFonts w:hint="eastAsia" w:ascii="仿宋" w:hAnsi="仿宋" w:eastAsia="仿宋"/>
                <w:color w:val="auto"/>
                <w:sz w:val="24"/>
                <w:highlight w:val="none"/>
              </w:rPr>
              <w:t>★</w:t>
            </w:r>
            <w:r>
              <w:rPr>
                <w:rFonts w:hint="eastAsia" w:ascii="仿宋" w:hAnsi="仿宋" w:eastAsia="仿宋"/>
                <w:color w:val="auto"/>
                <w:szCs w:val="21"/>
                <w:highlight w:val="none"/>
              </w:rPr>
              <w:t>指标负偏离的无效投标处理</w:t>
            </w:r>
            <w:r>
              <w:rPr>
                <w:rFonts w:hint="eastAsia" w:ascii="仿宋" w:hAnsi="仿宋" w:eastAsia="仿宋"/>
                <w:color w:val="auto"/>
                <w:szCs w:val="21"/>
                <w:highlight w:val="none"/>
                <w:u w:val="none"/>
                <w:lang w:eastAsia="zh-CN"/>
              </w:rPr>
              <w:t>；</w:t>
            </w:r>
            <w:r>
              <w:rPr>
                <w:rFonts w:hint="eastAsia" w:ascii="仿宋" w:hAnsi="仿宋" w:eastAsia="仿宋"/>
                <w:color w:val="auto"/>
                <w:szCs w:val="21"/>
                <w:highlight w:val="none"/>
                <w:u w:val="none"/>
              </w:rPr>
              <w:t>打</w:t>
            </w:r>
            <w:r>
              <w:rPr>
                <w:rFonts w:hint="eastAsia" w:ascii="仿宋" w:hAnsi="仿宋" w:eastAsia="仿宋" w:cs="Arial"/>
                <w:snapToGrid w:val="0"/>
                <w:szCs w:val="21"/>
                <w:highlight w:val="none"/>
                <w:u w:val="none"/>
                <w:lang w:val="zh-CN"/>
              </w:rPr>
              <w:t>▲</w:t>
            </w:r>
            <w:r>
              <w:rPr>
                <w:rFonts w:hint="eastAsia" w:ascii="仿宋" w:hAnsi="仿宋" w:eastAsia="仿宋"/>
                <w:color w:val="auto"/>
                <w:szCs w:val="21"/>
                <w:highlight w:val="none"/>
                <w:u w:val="none"/>
              </w:rPr>
              <w:t>的重要技术参数指标</w:t>
            </w:r>
            <w:r>
              <w:rPr>
                <w:rFonts w:hint="eastAsia" w:ascii="仿宋" w:hAnsi="仿宋" w:eastAsia="仿宋"/>
                <w:color w:val="auto"/>
                <w:szCs w:val="21"/>
                <w:highlight w:val="none"/>
                <w:u w:val="none"/>
                <w:lang w:eastAsia="zh-CN"/>
              </w:rPr>
              <w:t>出现</w:t>
            </w:r>
            <w:r>
              <w:rPr>
                <w:rFonts w:hint="eastAsia" w:ascii="仿宋" w:hAnsi="仿宋" w:eastAsia="仿宋"/>
                <w:color w:val="auto"/>
                <w:szCs w:val="21"/>
                <w:highlight w:val="none"/>
                <w:u w:val="none"/>
              </w:rPr>
              <w:t>负偏离</w:t>
            </w:r>
            <w:r>
              <w:rPr>
                <w:rFonts w:hint="eastAsia" w:ascii="仿宋" w:hAnsi="仿宋" w:eastAsia="仿宋"/>
                <w:color w:val="auto"/>
                <w:szCs w:val="21"/>
                <w:highlight w:val="none"/>
                <w:u w:val="none"/>
                <w:lang w:eastAsia="zh-CN"/>
              </w:rPr>
              <w:t>每项扣</w:t>
            </w:r>
            <w:r>
              <w:rPr>
                <w:rFonts w:hint="eastAsia" w:ascii="仿宋" w:hAnsi="仿宋" w:eastAsia="仿宋"/>
                <w:color w:val="auto"/>
                <w:szCs w:val="21"/>
                <w:highlight w:val="none"/>
                <w:u w:val="none"/>
                <w:lang w:val="en-US" w:eastAsia="zh-CN"/>
              </w:rPr>
              <w:t>4分</w:t>
            </w:r>
            <w:r>
              <w:rPr>
                <w:rFonts w:hint="eastAsia" w:ascii="仿宋" w:hAnsi="仿宋" w:eastAsia="仿宋"/>
                <w:color w:val="auto"/>
                <w:szCs w:val="21"/>
                <w:highlight w:val="none"/>
                <w:u w:val="none"/>
                <w:lang w:eastAsia="zh-CN"/>
              </w:rPr>
              <w:t>；</w:t>
            </w:r>
            <w:r>
              <w:rPr>
                <w:rFonts w:hint="eastAsia" w:ascii="仿宋" w:hAnsi="仿宋" w:eastAsia="仿宋" w:cs="仿宋"/>
                <w:color w:val="auto"/>
                <w:highlight w:val="none"/>
              </w:rPr>
              <w:t>一般性指标出现负偏离每项扣</w:t>
            </w:r>
            <w:r>
              <w:rPr>
                <w:rFonts w:hint="eastAsia" w:ascii="仿宋" w:hAnsi="仿宋" w:eastAsia="仿宋" w:cs="仿宋"/>
                <w:color w:val="auto"/>
                <w:highlight w:val="none"/>
                <w:lang w:val="en-US" w:eastAsia="zh-CN"/>
              </w:rPr>
              <w:t>1.8</w:t>
            </w:r>
            <w:r>
              <w:rPr>
                <w:rFonts w:hint="eastAsia" w:ascii="仿宋" w:hAnsi="仿宋" w:eastAsia="仿宋" w:cs="仿宋"/>
                <w:color w:val="auto"/>
                <w:highlight w:val="none"/>
                <w:u w:val="none"/>
                <w:lang w:val="en-US" w:eastAsia="zh-CN"/>
              </w:rPr>
              <w:t>分</w:t>
            </w:r>
            <w:r>
              <w:rPr>
                <w:rFonts w:hint="eastAsia" w:ascii="仿宋" w:hAnsi="仿宋" w:eastAsia="仿宋"/>
                <w:color w:val="auto"/>
                <w:highlight w:val="none"/>
                <w:u w:val="none"/>
              </w:rPr>
              <w:t>，扣完为止</w:t>
            </w:r>
            <w:r>
              <w:rPr>
                <w:rFonts w:hint="eastAsia" w:ascii="仿宋" w:hAnsi="仿宋" w:eastAsia="仿宋"/>
                <w:color w:val="auto"/>
                <w:highlight w:val="none"/>
              </w:rPr>
              <w:t>（涉及到需提供相关证明材料的内容，需提供相应的证明材料，不提供视为不响应）</w:t>
            </w:r>
            <w:r>
              <w:rPr>
                <w:rFonts w:hint="eastAsia" w:ascii="仿宋" w:hAnsi="仿宋" w:eastAsia="仿宋"/>
                <w:color w:val="auto"/>
                <w:highlight w:val="none"/>
                <w:lang w:eastAsia="zh-CN"/>
              </w:rPr>
              <w:t>。非量化类的，若是功能一样，表述方式不一样则为符合。</w:t>
            </w:r>
          </w:p>
        </w:tc>
        <w:tc>
          <w:tcPr>
            <w:tcW w:w="540" w:type="dxa"/>
            <w:noWrap w:val="0"/>
            <w:vAlign w:val="center"/>
          </w:tcPr>
          <w:p>
            <w:pPr>
              <w:ind w:left="-107" w:leftChars="-51" w:right="-113" w:rightChars="-54"/>
              <w:jc w:val="center"/>
              <w:rPr>
                <w:rFonts w:hint="default" w:ascii="仿宋" w:hAnsi="仿宋" w:eastAsia="仿宋"/>
                <w:color w:val="auto"/>
                <w:szCs w:val="21"/>
                <w:highlight w:val="none"/>
                <w:lang w:val="en-US" w:eastAsia="zh-CN"/>
              </w:rPr>
            </w:pPr>
            <w:r>
              <w:rPr>
                <w:rFonts w:hint="eastAsia" w:ascii="仿宋" w:hAnsi="仿宋" w:eastAsia="仿宋"/>
                <w:color w:val="auto"/>
                <w:szCs w:val="21"/>
                <w:highlight w:val="none"/>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943" w:type="dxa"/>
            <w:noWrap w:val="0"/>
            <w:vAlign w:val="center"/>
          </w:tcPr>
          <w:p>
            <w:pPr>
              <w:jc w:val="center"/>
              <w:rPr>
                <w:rFonts w:hint="default"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4</w:t>
            </w:r>
          </w:p>
        </w:tc>
        <w:tc>
          <w:tcPr>
            <w:tcW w:w="7182" w:type="dxa"/>
            <w:noWrap w:val="0"/>
            <w:vAlign w:val="center"/>
          </w:tcPr>
          <w:p>
            <w:pPr>
              <w:rPr>
                <w:rFonts w:hint="eastAsia" w:ascii="仿宋" w:hAnsi="仿宋" w:eastAsia="仿宋" w:cs="Times New Roman"/>
                <w:color w:val="auto"/>
                <w:kern w:val="2"/>
                <w:sz w:val="21"/>
                <w:szCs w:val="21"/>
                <w:highlight w:val="none"/>
                <w:lang w:val="en-US" w:eastAsia="zh-CN" w:bidi="ar-SA"/>
              </w:rPr>
            </w:pPr>
            <w:r>
              <w:rPr>
                <w:rFonts w:hint="eastAsia" w:ascii="仿宋" w:hAnsi="仿宋" w:eastAsia="仿宋"/>
                <w:color w:val="auto"/>
                <w:szCs w:val="21"/>
                <w:highlight w:val="none"/>
                <w:u w:val="none"/>
              </w:rPr>
              <w:t>在满足招标文件免费质保年限要求的基础上，每延长免费</w:t>
            </w:r>
            <w:r>
              <w:rPr>
                <w:rFonts w:hint="eastAsia" w:ascii="仿宋" w:hAnsi="仿宋" w:eastAsia="仿宋"/>
                <w:color w:val="auto"/>
                <w:szCs w:val="21"/>
                <w:highlight w:val="none"/>
                <w:u w:val="none"/>
                <w:lang w:eastAsia="zh-CN"/>
              </w:rPr>
              <w:t>原厂</w:t>
            </w:r>
            <w:r>
              <w:rPr>
                <w:rFonts w:hint="eastAsia" w:ascii="仿宋" w:hAnsi="仿宋" w:eastAsia="仿宋"/>
                <w:color w:val="auto"/>
                <w:szCs w:val="21"/>
                <w:highlight w:val="none"/>
                <w:u w:val="none"/>
              </w:rPr>
              <w:t>质保期半年得1分，最高得</w:t>
            </w:r>
            <w:r>
              <w:rPr>
                <w:rFonts w:hint="eastAsia" w:ascii="仿宋" w:hAnsi="仿宋" w:eastAsia="仿宋"/>
                <w:color w:val="auto"/>
                <w:szCs w:val="21"/>
                <w:highlight w:val="none"/>
                <w:u w:val="none"/>
                <w:lang w:val="en-US" w:eastAsia="zh-CN"/>
              </w:rPr>
              <w:t>4</w:t>
            </w:r>
            <w:r>
              <w:rPr>
                <w:rFonts w:hint="eastAsia" w:ascii="仿宋" w:hAnsi="仿宋" w:eastAsia="仿宋"/>
                <w:color w:val="auto"/>
                <w:szCs w:val="21"/>
                <w:highlight w:val="none"/>
                <w:u w:val="none"/>
              </w:rPr>
              <w:t>分（不足半年的不计分）。</w:t>
            </w:r>
          </w:p>
        </w:tc>
        <w:tc>
          <w:tcPr>
            <w:tcW w:w="540" w:type="dxa"/>
            <w:noWrap w:val="0"/>
            <w:vAlign w:val="center"/>
          </w:tcPr>
          <w:p>
            <w:pPr>
              <w:ind w:left="-107" w:leftChars="-51" w:right="-113" w:rightChars="-54"/>
              <w:jc w:val="center"/>
              <w:rPr>
                <w:rFonts w:hint="eastAsia" w:ascii="仿宋" w:hAnsi="仿宋" w:eastAsia="仿宋" w:cs="Times New Roman"/>
                <w:color w:val="auto"/>
                <w:kern w:val="2"/>
                <w:sz w:val="21"/>
                <w:szCs w:val="21"/>
                <w:highlight w:val="none"/>
                <w:lang w:val="en-US" w:eastAsia="zh-CN" w:bidi="ar-SA"/>
              </w:rPr>
            </w:pPr>
            <w:r>
              <w:rPr>
                <w:rFonts w:hint="eastAsia" w:ascii="仿宋" w:hAnsi="仿宋" w:eastAsia="仿宋"/>
                <w:color w:val="auto"/>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943" w:type="dxa"/>
            <w:noWrap w:val="0"/>
            <w:vAlign w:val="center"/>
          </w:tcPr>
          <w:p>
            <w:pPr>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5</w:t>
            </w:r>
          </w:p>
        </w:tc>
        <w:tc>
          <w:tcPr>
            <w:tcW w:w="7182" w:type="dxa"/>
            <w:noWrap w:val="0"/>
            <w:vAlign w:val="center"/>
          </w:tcPr>
          <w:p>
            <w:pPr>
              <w:rPr>
                <w:rFonts w:hint="eastAsia" w:ascii="仿宋" w:hAnsi="仿宋" w:eastAsia="仿宋"/>
                <w:color w:val="auto"/>
                <w:szCs w:val="21"/>
                <w:highlight w:val="none"/>
              </w:rPr>
            </w:pPr>
            <w:r>
              <w:rPr>
                <w:rFonts w:hint="eastAsia" w:ascii="仿宋" w:hAnsi="仿宋" w:eastAsia="仿宋"/>
                <w:color w:val="auto"/>
                <w:szCs w:val="21"/>
                <w:highlight w:val="none"/>
              </w:rPr>
              <w:t>根据所投产品的功能完善、功能使用等方面进行打分。所投产品功能完善度好、功能使用便利、优于项目需求得</w:t>
            </w:r>
            <w:r>
              <w:rPr>
                <w:rFonts w:hint="eastAsia" w:ascii="仿宋" w:hAnsi="仿宋" w:eastAsia="仿宋"/>
                <w:color w:val="auto"/>
                <w:szCs w:val="21"/>
                <w:highlight w:val="none"/>
                <w:lang w:val="en-US" w:eastAsia="zh-CN"/>
              </w:rPr>
              <w:t>6</w:t>
            </w:r>
            <w:r>
              <w:rPr>
                <w:rFonts w:hint="eastAsia" w:ascii="仿宋" w:hAnsi="仿宋" w:eastAsia="仿宋"/>
                <w:color w:val="auto"/>
                <w:szCs w:val="21"/>
                <w:highlight w:val="none"/>
              </w:rPr>
              <w:t>分；所投产品功能完善度好、功能使用便利、满足项目需求的得</w:t>
            </w:r>
            <w:r>
              <w:rPr>
                <w:rFonts w:hint="eastAsia" w:ascii="仿宋" w:hAnsi="仿宋" w:eastAsia="仿宋"/>
                <w:color w:val="auto"/>
                <w:szCs w:val="21"/>
                <w:highlight w:val="none"/>
                <w:lang w:val="en-US" w:eastAsia="zh-CN"/>
              </w:rPr>
              <w:t>4</w:t>
            </w:r>
            <w:r>
              <w:rPr>
                <w:rFonts w:hint="eastAsia" w:ascii="仿宋" w:hAnsi="仿宋" w:eastAsia="仿宋"/>
                <w:color w:val="auto"/>
                <w:szCs w:val="21"/>
                <w:highlight w:val="none"/>
              </w:rPr>
              <w:t>分；所投产品功能完善度一般、功能使用</w:t>
            </w:r>
            <w:r>
              <w:rPr>
                <w:rFonts w:hint="eastAsia" w:ascii="仿宋" w:hAnsi="仿宋" w:eastAsia="仿宋"/>
                <w:color w:val="auto"/>
                <w:szCs w:val="21"/>
                <w:highlight w:val="none"/>
                <w:lang w:eastAsia="zh-CN"/>
              </w:rPr>
              <w:t>一般</w:t>
            </w:r>
            <w:r>
              <w:rPr>
                <w:rFonts w:hint="eastAsia" w:ascii="仿宋" w:hAnsi="仿宋" w:eastAsia="仿宋"/>
                <w:color w:val="auto"/>
                <w:szCs w:val="21"/>
                <w:highlight w:val="none"/>
              </w:rPr>
              <w:t>且不太满足项目需求的得</w:t>
            </w:r>
            <w:r>
              <w:rPr>
                <w:rFonts w:hint="eastAsia" w:ascii="仿宋" w:hAnsi="仿宋" w:eastAsia="仿宋"/>
                <w:color w:val="auto"/>
                <w:szCs w:val="21"/>
                <w:highlight w:val="none"/>
                <w:lang w:val="en-US" w:eastAsia="zh-CN"/>
              </w:rPr>
              <w:t>2</w:t>
            </w:r>
            <w:r>
              <w:rPr>
                <w:rFonts w:hint="eastAsia" w:ascii="仿宋" w:hAnsi="仿宋" w:eastAsia="仿宋"/>
                <w:color w:val="auto"/>
                <w:szCs w:val="21"/>
                <w:highlight w:val="none"/>
              </w:rPr>
              <w:t>分；未提供不得分。</w:t>
            </w:r>
          </w:p>
        </w:tc>
        <w:tc>
          <w:tcPr>
            <w:tcW w:w="540" w:type="dxa"/>
            <w:noWrap w:val="0"/>
            <w:vAlign w:val="center"/>
          </w:tcPr>
          <w:p>
            <w:pPr>
              <w:ind w:left="-107" w:leftChars="-51" w:right="-113" w:rightChars="-54"/>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943" w:type="dxa"/>
            <w:noWrap w:val="0"/>
            <w:vAlign w:val="center"/>
          </w:tcPr>
          <w:p>
            <w:pPr>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6</w:t>
            </w:r>
          </w:p>
        </w:tc>
        <w:tc>
          <w:tcPr>
            <w:tcW w:w="7182" w:type="dxa"/>
            <w:noWrap w:val="0"/>
            <w:vAlign w:val="center"/>
          </w:tcPr>
          <w:p>
            <w:pPr>
              <w:rPr>
                <w:rFonts w:hint="eastAsia" w:ascii="仿宋" w:hAnsi="仿宋" w:eastAsia="仿宋"/>
                <w:color w:val="auto"/>
                <w:szCs w:val="21"/>
                <w:highlight w:val="none"/>
              </w:rPr>
            </w:pPr>
            <w:r>
              <w:rPr>
                <w:rFonts w:hint="eastAsia" w:ascii="仿宋" w:hAnsi="仿宋" w:eastAsia="仿宋"/>
                <w:color w:val="auto"/>
                <w:szCs w:val="21"/>
                <w:highlight w:val="none"/>
              </w:rPr>
              <w:t>根据</w:t>
            </w:r>
            <w:r>
              <w:rPr>
                <w:rFonts w:hint="eastAsia" w:ascii="仿宋" w:hAnsi="仿宋" w:eastAsia="仿宋"/>
                <w:color w:val="auto"/>
                <w:szCs w:val="21"/>
                <w:highlight w:val="none"/>
                <w:lang w:eastAsia="zh-CN"/>
              </w:rPr>
              <w:t>投标人针对投标产品</w:t>
            </w:r>
            <w:r>
              <w:rPr>
                <w:rFonts w:hint="eastAsia" w:ascii="仿宋" w:hAnsi="仿宋" w:eastAsia="仿宋"/>
                <w:color w:val="auto"/>
                <w:szCs w:val="21"/>
                <w:highlight w:val="none"/>
              </w:rPr>
              <w:t>提供的培训方案</w:t>
            </w:r>
            <w:r>
              <w:rPr>
                <w:rFonts w:hint="eastAsia" w:ascii="仿宋" w:hAnsi="仿宋" w:eastAsia="仿宋"/>
                <w:color w:val="auto"/>
                <w:szCs w:val="21"/>
                <w:highlight w:val="none"/>
                <w:lang w:eastAsia="zh-CN"/>
              </w:rPr>
              <w:t>进行</w:t>
            </w:r>
            <w:r>
              <w:rPr>
                <w:rFonts w:hint="eastAsia" w:ascii="仿宋" w:hAnsi="仿宋" w:eastAsia="仿宋"/>
                <w:color w:val="auto"/>
                <w:szCs w:val="21"/>
                <w:highlight w:val="none"/>
              </w:rPr>
              <w:t>打分</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培训方案和内容针对性强、培训地点和时间合理、完全满足需求得</w:t>
            </w:r>
            <w:r>
              <w:rPr>
                <w:rFonts w:hint="eastAsia" w:ascii="仿宋" w:hAnsi="仿宋" w:eastAsia="仿宋"/>
                <w:color w:val="auto"/>
                <w:szCs w:val="21"/>
                <w:highlight w:val="none"/>
                <w:lang w:val="en-US" w:eastAsia="zh-CN"/>
              </w:rPr>
              <w:t>3</w:t>
            </w:r>
            <w:r>
              <w:rPr>
                <w:rFonts w:hint="eastAsia" w:ascii="仿宋" w:hAnsi="仿宋" w:eastAsia="仿宋"/>
                <w:color w:val="auto"/>
                <w:szCs w:val="21"/>
                <w:highlight w:val="none"/>
              </w:rPr>
              <w:t>分；培训方案和内容较合理、培训地点和时间较合理、基本满足需求得2分；培训方案和内容不切合实际得1分；未提供不得分。</w:t>
            </w:r>
          </w:p>
        </w:tc>
        <w:tc>
          <w:tcPr>
            <w:tcW w:w="540" w:type="dxa"/>
            <w:noWrap w:val="0"/>
            <w:vAlign w:val="center"/>
          </w:tcPr>
          <w:p>
            <w:pPr>
              <w:ind w:left="-107" w:leftChars="-51" w:right="-113" w:rightChars="-54"/>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43" w:type="dxa"/>
            <w:noWrap w:val="0"/>
            <w:vAlign w:val="center"/>
          </w:tcPr>
          <w:p>
            <w:pPr>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7</w:t>
            </w:r>
          </w:p>
        </w:tc>
        <w:tc>
          <w:tcPr>
            <w:tcW w:w="7182" w:type="dxa"/>
            <w:noWrap w:val="0"/>
            <w:vAlign w:val="center"/>
          </w:tcPr>
          <w:p>
            <w:pPr>
              <w:rPr>
                <w:rFonts w:hint="eastAsia" w:ascii="仿宋" w:hAnsi="仿宋" w:eastAsia="仿宋"/>
                <w:color w:val="auto"/>
                <w:szCs w:val="21"/>
                <w:highlight w:val="none"/>
              </w:rPr>
            </w:pPr>
            <w:r>
              <w:rPr>
                <w:rFonts w:hint="eastAsia" w:ascii="仿宋" w:hAnsi="仿宋" w:eastAsia="仿宋"/>
                <w:color w:val="auto"/>
                <w:szCs w:val="21"/>
                <w:highlight w:val="none"/>
                <w:lang w:eastAsia="zh-CN"/>
              </w:rPr>
              <w:t>根据投标人</w:t>
            </w:r>
            <w:r>
              <w:rPr>
                <w:rFonts w:hint="eastAsia" w:ascii="仿宋" w:hAnsi="仿宋" w:eastAsia="仿宋"/>
                <w:color w:val="auto"/>
                <w:szCs w:val="21"/>
                <w:highlight w:val="none"/>
              </w:rPr>
              <w:t>提供的售后服务</w:t>
            </w:r>
            <w:r>
              <w:rPr>
                <w:rFonts w:hint="eastAsia" w:ascii="仿宋" w:hAnsi="仿宋" w:eastAsia="仿宋"/>
                <w:color w:val="auto"/>
                <w:szCs w:val="21"/>
                <w:highlight w:val="none"/>
                <w:lang w:eastAsia="zh-CN"/>
              </w:rPr>
              <w:t>机构</w:t>
            </w:r>
            <w:r>
              <w:rPr>
                <w:rFonts w:hint="eastAsia" w:ascii="仿宋" w:hAnsi="仿宋" w:eastAsia="仿宋"/>
                <w:color w:val="auto"/>
                <w:szCs w:val="21"/>
                <w:highlight w:val="none"/>
              </w:rPr>
              <w:t>、</w:t>
            </w:r>
            <w:r>
              <w:rPr>
                <w:rFonts w:hint="eastAsia" w:ascii="仿宋" w:hAnsi="仿宋" w:eastAsia="仿宋"/>
                <w:color w:val="auto"/>
                <w:szCs w:val="21"/>
                <w:highlight w:val="none"/>
                <w:lang w:eastAsia="zh-CN"/>
              </w:rPr>
              <w:t>人员设置、售后服务计划、配送服务、退换服务、</w:t>
            </w:r>
            <w:r>
              <w:rPr>
                <w:rFonts w:hint="eastAsia" w:ascii="仿宋" w:hAnsi="仿宋" w:eastAsia="仿宋"/>
                <w:color w:val="auto"/>
                <w:szCs w:val="21"/>
                <w:highlight w:val="none"/>
              </w:rPr>
              <w:t>故障响应修复时间等</w:t>
            </w:r>
            <w:r>
              <w:rPr>
                <w:rFonts w:hint="eastAsia" w:ascii="仿宋" w:hAnsi="仿宋" w:eastAsia="仿宋"/>
                <w:color w:val="auto"/>
                <w:szCs w:val="21"/>
                <w:highlight w:val="none"/>
                <w:lang w:eastAsia="zh-CN"/>
              </w:rPr>
              <w:t>方面进行</w:t>
            </w:r>
            <w:r>
              <w:rPr>
                <w:rFonts w:hint="eastAsia" w:ascii="仿宋" w:hAnsi="仿宋" w:eastAsia="仿宋"/>
                <w:color w:val="auto"/>
                <w:szCs w:val="21"/>
                <w:highlight w:val="none"/>
              </w:rPr>
              <w:t>打分</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拟投入售后服务技术人员实际操作经验丰富、技术人员专业性强、故障修复及时</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措施保障能满足需求得</w:t>
            </w:r>
            <w:r>
              <w:rPr>
                <w:rFonts w:hint="eastAsia" w:ascii="仿宋" w:hAnsi="仿宋" w:eastAsia="仿宋"/>
                <w:color w:val="auto"/>
                <w:szCs w:val="21"/>
                <w:highlight w:val="none"/>
                <w:lang w:val="en-US" w:eastAsia="zh-CN"/>
              </w:rPr>
              <w:t>3</w:t>
            </w:r>
            <w:r>
              <w:rPr>
                <w:rFonts w:hint="eastAsia" w:ascii="仿宋" w:hAnsi="仿宋" w:eastAsia="仿宋"/>
                <w:color w:val="auto"/>
                <w:szCs w:val="21"/>
                <w:highlight w:val="none"/>
              </w:rPr>
              <w:t>分；技术人员实际操作经验</w:t>
            </w:r>
            <w:r>
              <w:rPr>
                <w:rFonts w:hint="eastAsia" w:ascii="仿宋" w:hAnsi="仿宋" w:eastAsia="仿宋"/>
                <w:color w:val="auto"/>
                <w:szCs w:val="21"/>
                <w:highlight w:val="none"/>
                <w:lang w:eastAsia="zh-CN"/>
              </w:rPr>
              <w:t>较</w:t>
            </w:r>
            <w:r>
              <w:rPr>
                <w:rFonts w:hint="eastAsia" w:ascii="仿宋" w:hAnsi="仿宋" w:eastAsia="仿宋"/>
                <w:color w:val="auto"/>
                <w:szCs w:val="21"/>
                <w:highlight w:val="none"/>
              </w:rPr>
              <w:t>丰富、技术人员专业性</w:t>
            </w:r>
            <w:r>
              <w:rPr>
                <w:rFonts w:hint="eastAsia" w:ascii="仿宋" w:hAnsi="仿宋" w:eastAsia="仿宋"/>
                <w:color w:val="auto"/>
                <w:szCs w:val="21"/>
                <w:highlight w:val="none"/>
                <w:lang w:eastAsia="zh-CN"/>
              </w:rPr>
              <w:t>较</w:t>
            </w:r>
            <w:r>
              <w:rPr>
                <w:rFonts w:hint="eastAsia" w:ascii="仿宋" w:hAnsi="仿宋" w:eastAsia="仿宋"/>
                <w:color w:val="auto"/>
                <w:szCs w:val="21"/>
                <w:highlight w:val="none"/>
              </w:rPr>
              <w:t>强、故障修复较及时</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措施保障能基本满足需求得</w:t>
            </w:r>
            <w:r>
              <w:rPr>
                <w:rFonts w:hint="eastAsia" w:ascii="仿宋" w:hAnsi="仿宋" w:eastAsia="仿宋"/>
                <w:color w:val="auto"/>
                <w:szCs w:val="21"/>
                <w:highlight w:val="none"/>
                <w:lang w:val="en-US" w:eastAsia="zh-CN"/>
              </w:rPr>
              <w:t>2</w:t>
            </w:r>
            <w:r>
              <w:rPr>
                <w:rFonts w:hint="eastAsia" w:ascii="仿宋" w:hAnsi="仿宋" w:eastAsia="仿宋"/>
                <w:color w:val="auto"/>
                <w:szCs w:val="21"/>
                <w:highlight w:val="none"/>
              </w:rPr>
              <w:t>分；技术人员配置不齐或措施保障有欠缺，设备维修经验不足、故障修复不到位得</w:t>
            </w:r>
            <w:r>
              <w:rPr>
                <w:rFonts w:hint="eastAsia" w:ascii="仿宋" w:hAnsi="仿宋" w:eastAsia="仿宋"/>
                <w:color w:val="auto"/>
                <w:szCs w:val="21"/>
                <w:highlight w:val="none"/>
                <w:lang w:val="en-US" w:eastAsia="zh-CN"/>
              </w:rPr>
              <w:t>1</w:t>
            </w:r>
            <w:r>
              <w:rPr>
                <w:rFonts w:hint="eastAsia" w:ascii="仿宋" w:hAnsi="仿宋" w:eastAsia="仿宋"/>
                <w:color w:val="auto"/>
                <w:szCs w:val="21"/>
                <w:highlight w:val="none"/>
              </w:rPr>
              <w:t>分；未提供不得分。</w:t>
            </w:r>
          </w:p>
        </w:tc>
        <w:tc>
          <w:tcPr>
            <w:tcW w:w="540" w:type="dxa"/>
            <w:noWrap w:val="0"/>
            <w:vAlign w:val="center"/>
          </w:tcPr>
          <w:p>
            <w:pPr>
              <w:ind w:left="-107" w:leftChars="-51" w:right="-113" w:rightChars="-54"/>
              <w:jc w:val="center"/>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3</w:t>
            </w:r>
          </w:p>
        </w:tc>
      </w:tr>
    </w:tbl>
    <w:p>
      <w:pPr>
        <w:pStyle w:val="131"/>
        <w:snapToGrid w:val="0"/>
        <w:spacing w:before="0" w:line="440" w:lineRule="exact"/>
        <w:ind w:firstLine="400"/>
        <w:rPr>
          <w:rFonts w:ascii="仿宋" w:hAnsi="仿宋" w:eastAsia="仿宋"/>
          <w:b/>
          <w:bCs/>
          <w:color w:val="auto"/>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商务技术分低于36分的，</w:t>
      </w:r>
      <w:r>
        <w:rPr>
          <w:rFonts w:hint="eastAsia" w:ascii="仿宋" w:hAnsi="仿宋" w:eastAsia="仿宋"/>
          <w:b/>
          <w:bCs/>
          <w:color w:val="auto"/>
          <w:highlight w:val="none"/>
        </w:rPr>
        <w:t>视为采购人不能接受的附加条件。</w:t>
      </w:r>
    </w:p>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40</w:t>
      </w:r>
      <w:r>
        <w:rPr>
          <w:rFonts w:hint="eastAsia" w:ascii="仿宋" w:hAnsi="仿宋" w:eastAsia="仿宋" w:cs="仿宋"/>
          <w:b/>
          <w:bCs/>
          <w:iCs/>
          <w:color w:val="auto"/>
          <w:sz w:val="24"/>
          <w:highlight w:val="none"/>
        </w:rPr>
        <w:t>分）</w:t>
      </w:r>
    </w:p>
    <w:p>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40</w:t>
      </w:r>
    </w:p>
    <w:p>
      <w:pPr>
        <w:spacing w:line="360" w:lineRule="auto"/>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p>
      <w:pPr>
        <w:spacing w:line="360" w:lineRule="auto"/>
        <w:ind w:left="720" w:firstLine="723" w:firstLineChars="200"/>
        <w:outlineLvl w:val="0"/>
        <w:rPr>
          <w:rFonts w:ascii="仿宋" w:hAnsi="仿宋" w:eastAsia="仿宋" w:cs="仿宋"/>
          <w:b/>
          <w:color w:val="auto"/>
          <w:sz w:val="36"/>
          <w:szCs w:val="20"/>
          <w:highlight w:val="none"/>
        </w:rPr>
      </w:pPr>
    </w:p>
    <w:bookmarkEnd w:id="68"/>
    <w:bookmarkEnd w:id="69"/>
    <w:p>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rPr>
          <w:color w:val="auto"/>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pPr>
        <w:pStyle w:val="905"/>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spacing w:line="360" w:lineRule="auto"/>
        <w:ind w:right="-368" w:rightChars="-175"/>
        <w:rPr>
          <w:rFonts w:ascii="仿宋" w:hAnsi="仿宋" w:eastAsia="仿宋" w:cs="仿宋"/>
          <w:b/>
          <w:color w:val="auto"/>
          <w:kern w:val="0"/>
          <w:sz w:val="32"/>
          <w:szCs w:val="32"/>
          <w:highlight w:val="none"/>
          <w:lang w:val="zh-CN"/>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pPr>
        <w:pageBreakBefore/>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ascii="仿宋" w:hAnsi="仿宋" w:eastAsia="仿宋" w:cs="仿宋"/>
          <w:b/>
          <w:color w:val="auto"/>
          <w:kern w:val="0"/>
          <w:sz w:val="32"/>
          <w:szCs w:val="32"/>
          <w:highlight w:val="none"/>
        </w:rPr>
      </w:pPr>
    </w:p>
    <w:p>
      <w:pPr>
        <w:snapToGrid w:val="0"/>
        <w:spacing w:line="360" w:lineRule="auto"/>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5"/>
        <w:rPr>
          <w:rFonts w:hAnsi="宋体"/>
          <w:color w:val="auto"/>
          <w:sz w:val="24"/>
          <w:highlight w:val="none"/>
          <w:u w:val="wave"/>
        </w:rPr>
      </w:pPr>
    </w:p>
    <w:p>
      <w:pPr>
        <w:rPr>
          <w:rFonts w:ascii="仿宋_GB2312" w:hAnsi="宋体" w:eastAsia="仿宋_GB2312"/>
          <w:color w:val="auto"/>
          <w:sz w:val="24"/>
          <w:highlight w:val="none"/>
          <w:u w:val="wave"/>
        </w:rPr>
      </w:pPr>
    </w:p>
    <w:p>
      <w:pPr>
        <w:pStyle w:val="5"/>
        <w:rPr>
          <w:color w:val="auto"/>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ascii="仿宋" w:hAnsi="仿宋" w:eastAsia="仿宋" w:cs="仿宋"/>
          <w:b/>
          <w:bCs/>
          <w:color w:val="auto"/>
          <w:sz w:val="32"/>
          <w:szCs w:val="32"/>
          <w:highlight w:val="none"/>
        </w:rPr>
      </w:pPr>
    </w:p>
    <w:p>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80"/>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80"/>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color w:val="auto"/>
          <w:highlight w:val="none"/>
        </w:rPr>
        <w:sectPr>
          <w:footerReference r:id="rId16" w:type="firs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43"/>
        <w:gridCol w:w="1455"/>
        <w:gridCol w:w="1335"/>
        <w:gridCol w:w="825"/>
        <w:gridCol w:w="1035"/>
        <w:gridCol w:w="114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143"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55"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33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82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03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1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1650"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143" w:type="dxa"/>
            <w:vAlign w:val="center"/>
          </w:tcPr>
          <w:p>
            <w:pPr>
              <w:snapToGrid w:val="0"/>
              <w:spacing w:line="360" w:lineRule="auto"/>
              <w:jc w:val="center"/>
              <w:rPr>
                <w:rFonts w:hint="eastAsia" w:ascii="仿宋" w:hAnsi="仿宋" w:eastAsia="仿宋" w:cs="仿宋"/>
                <w:color w:val="auto"/>
                <w:sz w:val="24"/>
                <w:highlight w:val="none"/>
              </w:rPr>
            </w:pPr>
          </w:p>
        </w:tc>
        <w:tc>
          <w:tcPr>
            <w:tcW w:w="1455" w:type="dxa"/>
            <w:vAlign w:val="center"/>
          </w:tcPr>
          <w:p>
            <w:pPr>
              <w:snapToGrid w:val="0"/>
              <w:spacing w:line="360" w:lineRule="auto"/>
              <w:jc w:val="center"/>
              <w:rPr>
                <w:rFonts w:hint="eastAsia" w:ascii="仿宋" w:hAnsi="仿宋" w:eastAsia="仿宋" w:cs="仿宋"/>
                <w:color w:val="auto"/>
                <w:sz w:val="24"/>
                <w:highlight w:val="none"/>
              </w:rPr>
            </w:pPr>
          </w:p>
        </w:tc>
        <w:tc>
          <w:tcPr>
            <w:tcW w:w="1335" w:type="dxa"/>
            <w:vAlign w:val="center"/>
          </w:tcPr>
          <w:p>
            <w:pPr>
              <w:snapToGrid w:val="0"/>
              <w:spacing w:line="360" w:lineRule="auto"/>
              <w:jc w:val="center"/>
              <w:rPr>
                <w:rFonts w:hint="eastAsia" w:ascii="仿宋" w:hAnsi="仿宋" w:eastAsia="仿宋" w:cs="仿宋"/>
                <w:color w:val="auto"/>
                <w:sz w:val="24"/>
                <w:highlight w:val="none"/>
              </w:rPr>
            </w:pPr>
          </w:p>
        </w:tc>
        <w:tc>
          <w:tcPr>
            <w:tcW w:w="825" w:type="dxa"/>
            <w:vAlign w:val="center"/>
          </w:tcPr>
          <w:p>
            <w:pPr>
              <w:snapToGrid w:val="0"/>
              <w:spacing w:line="360" w:lineRule="auto"/>
              <w:jc w:val="center"/>
              <w:rPr>
                <w:rFonts w:hint="eastAsia" w:ascii="仿宋" w:hAnsi="仿宋" w:eastAsia="仿宋" w:cs="仿宋"/>
                <w:color w:val="auto"/>
                <w:sz w:val="24"/>
                <w:highlight w:val="none"/>
              </w:rPr>
            </w:pPr>
          </w:p>
        </w:tc>
        <w:tc>
          <w:tcPr>
            <w:tcW w:w="1035" w:type="dxa"/>
            <w:vAlign w:val="center"/>
          </w:tcPr>
          <w:p>
            <w:pPr>
              <w:spacing w:line="360" w:lineRule="auto"/>
              <w:jc w:val="center"/>
              <w:rPr>
                <w:rFonts w:hint="eastAsia" w:ascii="仿宋" w:hAnsi="仿宋" w:eastAsia="仿宋" w:cs="仿宋"/>
                <w:color w:val="auto"/>
                <w:sz w:val="24"/>
                <w:highlight w:val="none"/>
              </w:rPr>
            </w:pPr>
          </w:p>
        </w:tc>
        <w:tc>
          <w:tcPr>
            <w:tcW w:w="1140" w:type="dxa"/>
            <w:vAlign w:val="center"/>
          </w:tcPr>
          <w:p>
            <w:pPr>
              <w:spacing w:line="360" w:lineRule="auto"/>
              <w:jc w:val="center"/>
              <w:rPr>
                <w:rFonts w:hint="eastAsia" w:ascii="仿宋" w:hAnsi="仿宋" w:eastAsia="仿宋" w:cs="仿宋"/>
                <w:color w:val="auto"/>
                <w:sz w:val="24"/>
                <w:highlight w:val="none"/>
              </w:rPr>
            </w:pPr>
          </w:p>
        </w:tc>
        <w:tc>
          <w:tcPr>
            <w:tcW w:w="1650"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143" w:type="dxa"/>
            <w:vAlign w:val="center"/>
          </w:tcPr>
          <w:p>
            <w:pPr>
              <w:snapToGrid w:val="0"/>
              <w:spacing w:line="360" w:lineRule="auto"/>
              <w:jc w:val="center"/>
              <w:rPr>
                <w:rFonts w:hint="eastAsia" w:ascii="仿宋" w:hAnsi="仿宋" w:eastAsia="仿宋" w:cs="仿宋"/>
                <w:color w:val="auto"/>
                <w:sz w:val="24"/>
                <w:highlight w:val="none"/>
              </w:rPr>
            </w:pPr>
          </w:p>
        </w:tc>
        <w:tc>
          <w:tcPr>
            <w:tcW w:w="1455" w:type="dxa"/>
            <w:vAlign w:val="center"/>
          </w:tcPr>
          <w:p>
            <w:pPr>
              <w:snapToGrid w:val="0"/>
              <w:spacing w:line="360" w:lineRule="auto"/>
              <w:jc w:val="center"/>
              <w:rPr>
                <w:rFonts w:hint="eastAsia" w:ascii="仿宋" w:hAnsi="仿宋" w:eastAsia="仿宋" w:cs="仿宋"/>
                <w:color w:val="auto"/>
                <w:sz w:val="24"/>
                <w:highlight w:val="none"/>
              </w:rPr>
            </w:pPr>
          </w:p>
        </w:tc>
        <w:tc>
          <w:tcPr>
            <w:tcW w:w="1335" w:type="dxa"/>
            <w:vAlign w:val="center"/>
          </w:tcPr>
          <w:p>
            <w:pPr>
              <w:snapToGrid w:val="0"/>
              <w:spacing w:line="360" w:lineRule="auto"/>
              <w:jc w:val="center"/>
              <w:rPr>
                <w:rFonts w:hint="eastAsia" w:ascii="仿宋" w:hAnsi="仿宋" w:eastAsia="仿宋" w:cs="仿宋"/>
                <w:color w:val="auto"/>
                <w:sz w:val="24"/>
                <w:highlight w:val="none"/>
              </w:rPr>
            </w:pPr>
          </w:p>
        </w:tc>
        <w:tc>
          <w:tcPr>
            <w:tcW w:w="825" w:type="dxa"/>
            <w:vAlign w:val="center"/>
          </w:tcPr>
          <w:p>
            <w:pPr>
              <w:snapToGrid w:val="0"/>
              <w:spacing w:line="360" w:lineRule="auto"/>
              <w:jc w:val="center"/>
              <w:rPr>
                <w:rFonts w:hint="eastAsia" w:ascii="仿宋" w:hAnsi="仿宋" w:eastAsia="仿宋" w:cs="仿宋"/>
                <w:color w:val="auto"/>
                <w:sz w:val="24"/>
                <w:highlight w:val="none"/>
              </w:rPr>
            </w:pPr>
          </w:p>
        </w:tc>
        <w:tc>
          <w:tcPr>
            <w:tcW w:w="1035" w:type="dxa"/>
            <w:vAlign w:val="center"/>
          </w:tcPr>
          <w:p>
            <w:pPr>
              <w:spacing w:line="360" w:lineRule="auto"/>
              <w:jc w:val="center"/>
              <w:rPr>
                <w:rFonts w:hint="eastAsia" w:ascii="仿宋" w:hAnsi="仿宋" w:eastAsia="仿宋" w:cs="仿宋"/>
                <w:color w:val="auto"/>
                <w:sz w:val="24"/>
                <w:highlight w:val="none"/>
              </w:rPr>
            </w:pPr>
          </w:p>
        </w:tc>
        <w:tc>
          <w:tcPr>
            <w:tcW w:w="1140" w:type="dxa"/>
            <w:vAlign w:val="center"/>
          </w:tcPr>
          <w:p>
            <w:pPr>
              <w:spacing w:line="360" w:lineRule="auto"/>
              <w:jc w:val="center"/>
              <w:rPr>
                <w:rFonts w:hint="eastAsia" w:ascii="仿宋" w:hAnsi="仿宋" w:eastAsia="仿宋" w:cs="仿宋"/>
                <w:color w:val="auto"/>
                <w:sz w:val="24"/>
                <w:highlight w:val="none"/>
              </w:rPr>
            </w:pPr>
          </w:p>
        </w:tc>
        <w:tc>
          <w:tcPr>
            <w:tcW w:w="1650"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143" w:type="dxa"/>
            <w:vAlign w:val="center"/>
          </w:tcPr>
          <w:p>
            <w:pPr>
              <w:snapToGrid w:val="0"/>
              <w:spacing w:line="360" w:lineRule="auto"/>
              <w:jc w:val="center"/>
              <w:rPr>
                <w:rFonts w:hint="eastAsia" w:ascii="仿宋" w:hAnsi="仿宋" w:eastAsia="仿宋" w:cs="仿宋"/>
                <w:color w:val="auto"/>
                <w:sz w:val="24"/>
                <w:highlight w:val="none"/>
              </w:rPr>
            </w:pPr>
          </w:p>
        </w:tc>
        <w:tc>
          <w:tcPr>
            <w:tcW w:w="1455" w:type="dxa"/>
            <w:vAlign w:val="center"/>
          </w:tcPr>
          <w:p>
            <w:pPr>
              <w:snapToGrid w:val="0"/>
              <w:spacing w:line="360" w:lineRule="auto"/>
              <w:jc w:val="center"/>
              <w:rPr>
                <w:rFonts w:hint="eastAsia" w:ascii="仿宋" w:hAnsi="仿宋" w:eastAsia="仿宋" w:cs="仿宋"/>
                <w:color w:val="auto"/>
                <w:sz w:val="24"/>
                <w:highlight w:val="none"/>
              </w:rPr>
            </w:pPr>
          </w:p>
        </w:tc>
        <w:tc>
          <w:tcPr>
            <w:tcW w:w="1335" w:type="dxa"/>
            <w:vAlign w:val="center"/>
          </w:tcPr>
          <w:p>
            <w:pPr>
              <w:snapToGrid w:val="0"/>
              <w:spacing w:line="360" w:lineRule="auto"/>
              <w:jc w:val="center"/>
              <w:rPr>
                <w:rFonts w:hint="eastAsia" w:ascii="仿宋" w:hAnsi="仿宋" w:eastAsia="仿宋" w:cs="仿宋"/>
                <w:color w:val="auto"/>
                <w:sz w:val="24"/>
                <w:highlight w:val="none"/>
              </w:rPr>
            </w:pPr>
          </w:p>
        </w:tc>
        <w:tc>
          <w:tcPr>
            <w:tcW w:w="825" w:type="dxa"/>
            <w:vAlign w:val="center"/>
          </w:tcPr>
          <w:p>
            <w:pPr>
              <w:snapToGrid w:val="0"/>
              <w:spacing w:line="360" w:lineRule="auto"/>
              <w:jc w:val="center"/>
              <w:rPr>
                <w:rFonts w:hint="eastAsia" w:ascii="仿宋" w:hAnsi="仿宋" w:eastAsia="仿宋" w:cs="仿宋"/>
                <w:color w:val="auto"/>
                <w:sz w:val="24"/>
                <w:highlight w:val="none"/>
              </w:rPr>
            </w:pPr>
          </w:p>
        </w:tc>
        <w:tc>
          <w:tcPr>
            <w:tcW w:w="1035" w:type="dxa"/>
            <w:vAlign w:val="center"/>
          </w:tcPr>
          <w:p>
            <w:pPr>
              <w:spacing w:line="360" w:lineRule="auto"/>
              <w:jc w:val="center"/>
              <w:rPr>
                <w:rFonts w:hint="eastAsia" w:ascii="仿宋" w:hAnsi="仿宋" w:eastAsia="仿宋" w:cs="仿宋"/>
                <w:color w:val="auto"/>
                <w:sz w:val="24"/>
                <w:highlight w:val="none"/>
              </w:rPr>
            </w:pPr>
          </w:p>
        </w:tc>
        <w:tc>
          <w:tcPr>
            <w:tcW w:w="1140" w:type="dxa"/>
            <w:vAlign w:val="center"/>
          </w:tcPr>
          <w:p>
            <w:pPr>
              <w:spacing w:line="360" w:lineRule="auto"/>
              <w:jc w:val="center"/>
              <w:rPr>
                <w:rFonts w:hint="eastAsia" w:ascii="仿宋" w:hAnsi="仿宋" w:eastAsia="仿宋" w:cs="仿宋"/>
                <w:color w:val="auto"/>
                <w:sz w:val="24"/>
                <w:highlight w:val="none"/>
              </w:rPr>
            </w:pPr>
          </w:p>
        </w:tc>
        <w:tc>
          <w:tcPr>
            <w:tcW w:w="1650"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pPr>
              <w:spacing w:line="360" w:lineRule="auto"/>
              <w:jc w:val="center"/>
              <w:rPr>
                <w:rFonts w:hint="eastAsia" w:ascii="仿宋" w:hAnsi="仿宋" w:eastAsia="仿宋" w:cs="仿宋"/>
                <w:color w:val="auto"/>
                <w:sz w:val="24"/>
                <w:highlight w:val="none"/>
              </w:rPr>
            </w:pPr>
          </w:p>
        </w:tc>
        <w:tc>
          <w:tcPr>
            <w:tcW w:w="1143" w:type="dxa"/>
            <w:vAlign w:val="center"/>
          </w:tcPr>
          <w:p>
            <w:pPr>
              <w:snapToGrid w:val="0"/>
              <w:spacing w:line="360" w:lineRule="auto"/>
              <w:jc w:val="center"/>
              <w:rPr>
                <w:rFonts w:hint="eastAsia" w:ascii="仿宋" w:hAnsi="仿宋" w:eastAsia="仿宋" w:cs="仿宋"/>
                <w:color w:val="auto"/>
                <w:sz w:val="24"/>
                <w:highlight w:val="none"/>
              </w:rPr>
            </w:pPr>
          </w:p>
        </w:tc>
        <w:tc>
          <w:tcPr>
            <w:tcW w:w="1455" w:type="dxa"/>
            <w:vAlign w:val="center"/>
          </w:tcPr>
          <w:p>
            <w:pPr>
              <w:snapToGrid w:val="0"/>
              <w:spacing w:line="360" w:lineRule="auto"/>
              <w:jc w:val="center"/>
              <w:rPr>
                <w:rFonts w:hint="eastAsia" w:ascii="仿宋" w:hAnsi="仿宋" w:eastAsia="仿宋" w:cs="仿宋"/>
                <w:color w:val="auto"/>
                <w:sz w:val="24"/>
                <w:highlight w:val="none"/>
              </w:rPr>
            </w:pPr>
          </w:p>
        </w:tc>
        <w:tc>
          <w:tcPr>
            <w:tcW w:w="1335" w:type="dxa"/>
            <w:vAlign w:val="center"/>
          </w:tcPr>
          <w:p>
            <w:pPr>
              <w:snapToGrid w:val="0"/>
              <w:spacing w:line="360" w:lineRule="auto"/>
              <w:jc w:val="center"/>
              <w:rPr>
                <w:rFonts w:hint="eastAsia" w:ascii="仿宋" w:hAnsi="仿宋" w:eastAsia="仿宋" w:cs="仿宋"/>
                <w:color w:val="auto"/>
                <w:sz w:val="24"/>
                <w:highlight w:val="none"/>
              </w:rPr>
            </w:pPr>
          </w:p>
        </w:tc>
        <w:tc>
          <w:tcPr>
            <w:tcW w:w="825" w:type="dxa"/>
            <w:vAlign w:val="center"/>
          </w:tcPr>
          <w:p>
            <w:pPr>
              <w:snapToGrid w:val="0"/>
              <w:spacing w:line="360" w:lineRule="auto"/>
              <w:jc w:val="center"/>
              <w:rPr>
                <w:rFonts w:hint="eastAsia" w:ascii="仿宋" w:hAnsi="仿宋" w:eastAsia="仿宋" w:cs="仿宋"/>
                <w:color w:val="auto"/>
                <w:sz w:val="24"/>
                <w:highlight w:val="none"/>
              </w:rPr>
            </w:pPr>
          </w:p>
        </w:tc>
        <w:tc>
          <w:tcPr>
            <w:tcW w:w="1035" w:type="dxa"/>
            <w:vAlign w:val="center"/>
          </w:tcPr>
          <w:p>
            <w:pPr>
              <w:spacing w:line="360" w:lineRule="auto"/>
              <w:jc w:val="center"/>
              <w:rPr>
                <w:rFonts w:hint="eastAsia" w:ascii="仿宋" w:hAnsi="仿宋" w:eastAsia="仿宋" w:cs="仿宋"/>
                <w:color w:val="auto"/>
                <w:sz w:val="24"/>
                <w:highlight w:val="none"/>
              </w:rPr>
            </w:pPr>
          </w:p>
        </w:tc>
        <w:tc>
          <w:tcPr>
            <w:tcW w:w="1140" w:type="dxa"/>
            <w:vAlign w:val="center"/>
          </w:tcPr>
          <w:p>
            <w:pPr>
              <w:spacing w:line="360" w:lineRule="auto"/>
              <w:jc w:val="center"/>
              <w:rPr>
                <w:rFonts w:hint="eastAsia" w:ascii="仿宋" w:hAnsi="仿宋" w:eastAsia="仿宋" w:cs="仿宋"/>
                <w:color w:val="auto"/>
                <w:sz w:val="24"/>
                <w:highlight w:val="none"/>
              </w:rPr>
            </w:pPr>
          </w:p>
        </w:tc>
        <w:tc>
          <w:tcPr>
            <w:tcW w:w="1650"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132" w:type="dxa"/>
            <w:gridSpan w:val="3"/>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5985" w:type="dxa"/>
            <w:gridSpan w:val="5"/>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132" w:type="dxa"/>
            <w:gridSpan w:val="3"/>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5985" w:type="dxa"/>
            <w:gridSpan w:val="5"/>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pPr>
        <w:pStyle w:val="80"/>
        <w:rPr>
          <w:color w:val="auto"/>
          <w:highlight w:val="none"/>
          <w:lang w:val="zh-CN"/>
        </w:rPr>
      </w:pPr>
      <w:r>
        <w:rPr>
          <w:rFonts w:hint="eastAsia" w:ascii="仿宋" w:hAnsi="仿宋" w:eastAsia="仿宋" w:cs="仿宋"/>
          <w:color w:val="auto"/>
          <w:highlight w:val="none"/>
        </w:rPr>
        <w:t>日期：  年   月   日</w:t>
      </w: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474" w:right="1814" w:bottom="1474" w:left="181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71" w:name="_Hlk101259491"/>
      <w:r>
        <w:rPr>
          <w:rFonts w:hint="eastAsia" w:ascii="仿宋" w:hAnsi="仿宋" w:eastAsia="仿宋" w:cs="仿宋"/>
          <w:color w:val="auto"/>
          <w:sz w:val="32"/>
          <w:szCs w:val="32"/>
          <w:highlight w:val="none"/>
        </w:rPr>
        <w:t>（如有）</w:t>
      </w:r>
      <w:bookmarkEnd w:id="71"/>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highlight w:val="none"/>
        </w:rPr>
      </w:pPr>
    </w:p>
    <w:p>
      <w:pPr>
        <w:pStyle w:val="81"/>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80"/>
        <w:rPr>
          <w:rFonts w:ascii="仿宋" w:hAnsi="仿宋" w:eastAsia="仿宋" w:cs="仿宋"/>
          <w:b/>
          <w:color w:val="auto"/>
          <w:highlight w:val="none"/>
        </w:rPr>
      </w:pPr>
    </w:p>
    <w:p>
      <w:pPr>
        <w:pStyle w:val="81"/>
        <w:rPr>
          <w:color w:val="auto"/>
          <w:highlight w:val="none"/>
        </w:rPr>
      </w:pPr>
    </w:p>
    <w:p>
      <w:pPr>
        <w:pStyle w:val="81"/>
        <w:rPr>
          <w:color w:val="auto"/>
          <w:highlight w:val="none"/>
        </w:rPr>
      </w:pPr>
    </w:p>
    <w:p>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80"/>
        <w:widowControl/>
        <w:spacing w:line="360" w:lineRule="auto"/>
        <w:ind w:firstLine="120" w:firstLineChars="50"/>
        <w:rPr>
          <w:rFonts w:ascii="仿宋" w:hAnsi="仿宋" w:eastAsia="仿宋" w:cs="仿宋"/>
          <w:b/>
          <w:color w:val="auto"/>
          <w:highlight w:val="none"/>
        </w:rPr>
      </w:pPr>
    </w:p>
    <w:p>
      <w:pPr>
        <w:pStyle w:val="81"/>
        <w:spacing w:line="360" w:lineRule="auto"/>
        <w:ind w:left="0" w:firstLine="120" w:firstLineChars="50"/>
        <w:jc w:val="left"/>
        <w:rPr>
          <w:rFonts w:ascii="仿宋" w:hAnsi="仿宋" w:eastAsia="仿宋" w:cs="仿宋"/>
          <w:b/>
          <w:color w:val="auto"/>
          <w:sz w:val="24"/>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4"/>
        <w:keepNext w:val="0"/>
        <w:keepLines w:val="0"/>
        <w:pageBreakBefore/>
        <w:widowControl/>
        <w:spacing w:before="100" w:beforeAutospacing="1" w:after="100" w:afterAutospacing="1" w:line="360" w:lineRule="auto"/>
        <w:ind w:left="0" w:firstLine="0"/>
        <w:rPr>
          <w:rFonts w:ascii="仿宋" w:hAnsi="仿宋" w:eastAsia="仿宋" w:cs="仿宋"/>
          <w:color w:val="auto"/>
          <w:sz w:val="24"/>
          <w:highlight w:val="none"/>
        </w:rPr>
      </w:pPr>
      <w:bookmarkStart w:id="72" w:name="_Toc465665161"/>
      <w:r>
        <w:rPr>
          <w:rFonts w:hint="eastAsia" w:ascii="仿宋" w:hAnsi="仿宋" w:eastAsia="仿宋" w:cs="仿宋"/>
          <w:color w:val="auto"/>
          <w:highlight w:val="none"/>
        </w:rPr>
        <w:t>附件</w:t>
      </w:r>
      <w:bookmarkEnd w:id="72"/>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pP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ascii="仿宋" w:hAnsi="仿宋" w:eastAsia="仿宋" w:cs="仿宋"/>
          <w:color w:val="auto"/>
          <w:kern w:val="0"/>
          <w:sz w:val="24"/>
          <w:highlight w:val="none"/>
          <w:lang w:val="zh-CN"/>
        </w:rPr>
      </w:pPr>
      <w:bookmarkStart w:id="73"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73"/>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74"/>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bookmarkStart w:id="75" w:name="OLE_LINK13"/>
      <w:bookmarkStart w:id="76" w:name="OLE_LINK14"/>
      <w:r>
        <w:rPr>
          <w:rFonts w:hint="eastAsia" w:ascii="仿宋" w:hAnsi="仿宋" w:eastAsia="仿宋" w:cs="仿宋"/>
          <w:b/>
          <w:color w:val="auto"/>
          <w:spacing w:val="6"/>
          <w:sz w:val="32"/>
          <w:szCs w:val="32"/>
          <w:highlight w:val="none"/>
        </w:rPr>
        <w:t>附件6：</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75"/>
    <w:bookmarkEnd w:id="76"/>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pPr>
        <w:snapToGrid w:val="0"/>
        <w:spacing w:line="360" w:lineRule="auto"/>
        <w:ind w:firstLine="560" w:firstLineChars="200"/>
        <w:jc w:val="left"/>
        <w:rPr>
          <w:rFonts w:hint="eastAsia" w:ascii="仿宋" w:hAnsi="仿宋" w:eastAsia="仿宋"/>
          <w:color w:val="auto"/>
          <w:sz w:val="28"/>
          <w:szCs w:val="28"/>
          <w:highlight w:val="none"/>
        </w:rPr>
      </w:pPr>
    </w:p>
    <w:p>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pPr>
        <w:pStyle w:val="33"/>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pStyle w:val="33"/>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sz w:val="24"/>
        </w:rPr>
      </w:pPr>
    </w:p>
    <w:sectPr>
      <w:footerReference r:id="rId23" w:type="first"/>
      <w:footerReference r:id="rId21" w:type="default"/>
      <w:footerReference r:id="rId22"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Courier New"/>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77" w:name="_Toc131845147"/>
    <w:bookmarkStart w:id="78" w:name="_Toc36110187"/>
    <w:bookmarkStart w:id="79" w:name="_Toc91899912"/>
    <w:bookmarkStart w:id="80" w:name="_Toc164085800"/>
    <w:r>
      <w:rPr>
        <w:rFonts w:hint="eastAsia" w:ascii="仿宋_GB2312" w:eastAsia="仿宋_GB2312"/>
        <w:kern w:val="0"/>
        <w:szCs w:val="21"/>
      </w:rPr>
      <w:t xml:space="preserve"> 页</w:t>
    </w:r>
    <w:bookmarkEnd w:id="77"/>
    <w:bookmarkEnd w:id="78"/>
    <w:bookmarkEnd w:id="79"/>
    <w:bookmarkEnd w:id="8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r>
      <w:rPr>
        <w:rFonts w:hint="eastAsia" w:ascii="仿宋" w:hAnsi="仿宋" w:eastAsia="仿宋" w:cs="仿宋"/>
      </w:rPr>
      <w:t xml:space="preserve">浙江建诚工程管理咨询有限公司                                          </w:t>
    </w:r>
    <w:r>
      <w:rPr>
        <w:rFonts w:hint="eastAsia" w:ascii="仿宋" w:hAnsi="仿宋" w:eastAsia="仿宋" w:cs="仿宋"/>
        <w:lang w:eastAsia="zh-CN"/>
      </w:rPr>
      <w:t xml:space="preserve">文件编号: </w:t>
    </w:r>
    <w:r>
      <w:rPr>
        <w:rFonts w:hint="eastAsia" w:ascii="仿宋" w:hAnsi="仿宋" w:eastAsia="仿宋" w:cs="仿宋"/>
      </w:rPr>
      <w:t>绍柯采[2025]1089号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rPr>
    </w:pPr>
    <w:r>
      <w:rPr>
        <w:rFonts w:hint="eastAsia" w:ascii="仿宋" w:hAnsi="仿宋" w:eastAsia="仿宋" w:cs="仿宋"/>
      </w:rPr>
      <w:t xml:space="preserve">浙江建诚工程管理咨询有限公司                                   </w:t>
    </w:r>
    <w:r>
      <w:rPr>
        <w:rFonts w:hint="eastAsia" w:ascii="仿宋" w:hAnsi="仿宋" w:eastAsia="仿宋" w:cs="仿宋"/>
        <w:lang w:eastAsia="zh-CN"/>
      </w:rPr>
      <w:t>文件编号：</w:t>
    </w:r>
    <w:r>
      <w:rPr>
        <w:rFonts w:hint="eastAsia" w:ascii="仿宋" w:hAnsi="仿宋" w:eastAsia="仿宋" w:cs="仿宋"/>
      </w:rPr>
      <w:t>绍柯采[2025]1089号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浙江建诚工程管理咨询有限公司                                         </w:t>
    </w:r>
    <w:r>
      <w:rPr>
        <w:rFonts w:hint="eastAsia" w:ascii="仿宋" w:hAnsi="仿宋" w:eastAsia="仿宋" w:cs="仿宋"/>
        <w:lang w:eastAsia="zh-CN"/>
      </w:rPr>
      <w:t xml:space="preserve">文件编号: </w:t>
    </w:r>
    <w:r>
      <w:rPr>
        <w:rFonts w:hint="eastAsia" w:ascii="仿宋" w:hAnsi="仿宋" w:eastAsia="仿宋" w:cs="仿宋"/>
      </w:rPr>
      <w:t>绍柯采[2025]1089号</w:t>
    </w:r>
  </w:p>
  <w:p>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lang w:eastAsia="zh-CN"/>
      </w:rPr>
    </w:pPr>
    <w:r>
      <w:rPr>
        <w:rFonts w:hint="eastAsia" w:ascii="仿宋" w:hAnsi="仿宋" w:eastAsia="仿宋" w:cs="仿宋"/>
      </w:rPr>
      <w:t xml:space="preserve">浙江建诚工程管理咨询有限公司                                          </w:t>
    </w:r>
    <w:r>
      <w:rPr>
        <w:rFonts w:hint="eastAsia" w:ascii="仿宋" w:hAnsi="仿宋" w:eastAsia="仿宋" w:cs="仿宋"/>
        <w:lang w:eastAsia="zh-CN"/>
      </w:rPr>
      <w:t>文件编号: 绍柯采[2025]1089号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pPr>
    <w:r>
      <w:rPr>
        <w:rFonts w:hint="eastAsia" w:ascii="仿宋" w:hAnsi="仿宋" w:eastAsia="仿宋" w:cs="仿宋"/>
        <w:u w:val="single"/>
      </w:rPr>
      <w:t xml:space="preserve">浙江建诚工程管理咨询有限公司                                    </w:t>
    </w:r>
    <w:r>
      <w:rPr>
        <w:rFonts w:hint="eastAsia" w:ascii="仿宋" w:hAnsi="仿宋" w:eastAsia="仿宋" w:cs="仿宋"/>
        <w:u w:val="single"/>
        <w:lang w:eastAsia="zh-CN"/>
      </w:rPr>
      <w:t>文件编号: 绍柯采[2025]    号</w:t>
    </w:r>
    <w:r>
      <w:rPr>
        <w:rFonts w:hint="eastAsia" w:ascii="仿宋" w:hAnsi="仿宋" w:eastAsia="仿宋" w:cs="仿宋"/>
        <w:u w:val="single"/>
      </w:rP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62D70DC2"/>
    <w:multiLevelType w:val="singleLevel"/>
    <w:tmpl w:val="62D70DC2"/>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3MTY3NzgzY2IyNGYyYjdlMjVjOGUxZGIwYWVmNjcifQ=="/>
  </w:docVars>
  <w:rsids>
    <w:rsidRoot w:val="00BB313D"/>
    <w:rsid w:val="000F2D06"/>
    <w:rsid w:val="00117B8A"/>
    <w:rsid w:val="003464C0"/>
    <w:rsid w:val="0039360E"/>
    <w:rsid w:val="003C080D"/>
    <w:rsid w:val="003D59F4"/>
    <w:rsid w:val="00483D5C"/>
    <w:rsid w:val="00567AE7"/>
    <w:rsid w:val="005C0042"/>
    <w:rsid w:val="005C5173"/>
    <w:rsid w:val="005F05A6"/>
    <w:rsid w:val="00625BAB"/>
    <w:rsid w:val="00726B20"/>
    <w:rsid w:val="009517CB"/>
    <w:rsid w:val="009A5E9E"/>
    <w:rsid w:val="00A22922"/>
    <w:rsid w:val="00A91F21"/>
    <w:rsid w:val="00AB15B3"/>
    <w:rsid w:val="00B65BDD"/>
    <w:rsid w:val="00BA1605"/>
    <w:rsid w:val="00BB313D"/>
    <w:rsid w:val="00BB4708"/>
    <w:rsid w:val="00C515F6"/>
    <w:rsid w:val="00C9510D"/>
    <w:rsid w:val="00CA238E"/>
    <w:rsid w:val="00D7616E"/>
    <w:rsid w:val="00D97406"/>
    <w:rsid w:val="00E97F5F"/>
    <w:rsid w:val="00EA3D97"/>
    <w:rsid w:val="00EA674F"/>
    <w:rsid w:val="00EE4640"/>
    <w:rsid w:val="033E089E"/>
    <w:rsid w:val="063127B9"/>
    <w:rsid w:val="06D74677"/>
    <w:rsid w:val="082A3A50"/>
    <w:rsid w:val="08AF0BCB"/>
    <w:rsid w:val="0983157E"/>
    <w:rsid w:val="0B564765"/>
    <w:rsid w:val="0C2030B4"/>
    <w:rsid w:val="0CCE7160"/>
    <w:rsid w:val="0D921D8F"/>
    <w:rsid w:val="0FA0239A"/>
    <w:rsid w:val="12B7492F"/>
    <w:rsid w:val="12D7672C"/>
    <w:rsid w:val="138C7281"/>
    <w:rsid w:val="14127BE9"/>
    <w:rsid w:val="169E17AF"/>
    <w:rsid w:val="1786700D"/>
    <w:rsid w:val="187B3C3B"/>
    <w:rsid w:val="19422164"/>
    <w:rsid w:val="1AF0D45A"/>
    <w:rsid w:val="1CCA5E18"/>
    <w:rsid w:val="1DB65A00"/>
    <w:rsid w:val="1FBF3881"/>
    <w:rsid w:val="1FCBC4A9"/>
    <w:rsid w:val="1FDF64A5"/>
    <w:rsid w:val="22FF2E07"/>
    <w:rsid w:val="2551263E"/>
    <w:rsid w:val="26866A58"/>
    <w:rsid w:val="288D78CB"/>
    <w:rsid w:val="29A5376F"/>
    <w:rsid w:val="2A8B549F"/>
    <w:rsid w:val="2CDA6E57"/>
    <w:rsid w:val="2F3A3BDD"/>
    <w:rsid w:val="303B5E5F"/>
    <w:rsid w:val="30550CCF"/>
    <w:rsid w:val="328B3676"/>
    <w:rsid w:val="33B95A18"/>
    <w:rsid w:val="3498562E"/>
    <w:rsid w:val="351364DB"/>
    <w:rsid w:val="363B447A"/>
    <w:rsid w:val="363C4B1A"/>
    <w:rsid w:val="370E5D48"/>
    <w:rsid w:val="373D69A3"/>
    <w:rsid w:val="37445ABA"/>
    <w:rsid w:val="37D80F43"/>
    <w:rsid w:val="3B1F7869"/>
    <w:rsid w:val="3D6C3AFB"/>
    <w:rsid w:val="3DF3849B"/>
    <w:rsid w:val="3F326AC0"/>
    <w:rsid w:val="3F6D7804"/>
    <w:rsid w:val="3FEFF7E8"/>
    <w:rsid w:val="3FF7BB55"/>
    <w:rsid w:val="3FFCE84F"/>
    <w:rsid w:val="3FFE25DA"/>
    <w:rsid w:val="3FFF5138"/>
    <w:rsid w:val="41016491"/>
    <w:rsid w:val="414F3518"/>
    <w:rsid w:val="44C91629"/>
    <w:rsid w:val="45FF8421"/>
    <w:rsid w:val="474C6BAF"/>
    <w:rsid w:val="476A5071"/>
    <w:rsid w:val="485D29BF"/>
    <w:rsid w:val="49072873"/>
    <w:rsid w:val="49141074"/>
    <w:rsid w:val="49D62A28"/>
    <w:rsid w:val="4C1B2975"/>
    <w:rsid w:val="4DE4148C"/>
    <w:rsid w:val="4E173610"/>
    <w:rsid w:val="4E5D1316"/>
    <w:rsid w:val="4EB93929"/>
    <w:rsid w:val="4F3FEEA3"/>
    <w:rsid w:val="4FAE554B"/>
    <w:rsid w:val="4FEEF1CF"/>
    <w:rsid w:val="50566671"/>
    <w:rsid w:val="50C301CB"/>
    <w:rsid w:val="50FC7F98"/>
    <w:rsid w:val="51FF5751"/>
    <w:rsid w:val="55165C4F"/>
    <w:rsid w:val="55526763"/>
    <w:rsid w:val="55E64D6A"/>
    <w:rsid w:val="566FF3A5"/>
    <w:rsid w:val="57831D16"/>
    <w:rsid w:val="57DAE6E1"/>
    <w:rsid w:val="58D308C4"/>
    <w:rsid w:val="5A558E99"/>
    <w:rsid w:val="5AF94DED"/>
    <w:rsid w:val="5B026E9E"/>
    <w:rsid w:val="5BDF3378"/>
    <w:rsid w:val="5C3449CD"/>
    <w:rsid w:val="5CFEE2CC"/>
    <w:rsid w:val="5D7F1DB6"/>
    <w:rsid w:val="5F665FB3"/>
    <w:rsid w:val="63DF1C65"/>
    <w:rsid w:val="642152E2"/>
    <w:rsid w:val="65077AE2"/>
    <w:rsid w:val="653528A1"/>
    <w:rsid w:val="67FC8C85"/>
    <w:rsid w:val="69627A24"/>
    <w:rsid w:val="6AEF1016"/>
    <w:rsid w:val="6BBFC6AF"/>
    <w:rsid w:val="6BEFF7E4"/>
    <w:rsid w:val="6EF654D7"/>
    <w:rsid w:val="6F5778B8"/>
    <w:rsid w:val="70DE203F"/>
    <w:rsid w:val="719E17CE"/>
    <w:rsid w:val="71BB4D6E"/>
    <w:rsid w:val="729E74BD"/>
    <w:rsid w:val="76FBAFF1"/>
    <w:rsid w:val="776E0A3D"/>
    <w:rsid w:val="77C33BE9"/>
    <w:rsid w:val="77FE5760"/>
    <w:rsid w:val="77FF1645"/>
    <w:rsid w:val="78D46D24"/>
    <w:rsid w:val="7A146AD1"/>
    <w:rsid w:val="7B231D03"/>
    <w:rsid w:val="7B34AC69"/>
    <w:rsid w:val="7BFDEE39"/>
    <w:rsid w:val="7BFF9D14"/>
    <w:rsid w:val="7CCA791B"/>
    <w:rsid w:val="7D470F6C"/>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9"/>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0"/>
    <w:qFormat/>
    <w:uiPriority w:val="0"/>
    <w:pPr>
      <w:ind w:firstLine="420"/>
    </w:pPr>
    <w:rPr>
      <w:rFonts w:hAnsi="Calibri" w:cs="Times New Roman"/>
      <w:snapToGrid/>
      <w:szCs w:val="20"/>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3"/>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5">
    <w:name w:val="List Paragraph"/>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20897</Words>
  <Characters>22246</Characters>
  <Lines>446</Lines>
  <Paragraphs>125</Paragraphs>
  <TotalTime>0</TotalTime>
  <ScaleCrop>false</ScaleCrop>
  <LinksUpToDate>false</LinksUpToDate>
  <CharactersWithSpaces>23966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WANG</cp:lastModifiedBy>
  <cp:lastPrinted>2025-05-22T00:54:00Z</cp:lastPrinted>
  <dcterms:modified xsi:type="dcterms:W3CDTF">2025-07-10T03:26:42Z</dcterms:modified>
  <dc:title>杭州市市民卡扩大发卡工程</dc:title>
  <cp:revision>373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F6B9C914DD8C4489B7DDF10E5A76A4E6</vt:lpwstr>
  </property>
  <property fmtid="{D5CDD505-2E9C-101B-9397-08002B2CF9AE}" pid="5" name="KSOTemplateDocerSaveRecord">
    <vt:lpwstr>eyJoZGlkIjoiOGU4MDc3ZmQ2YmM4M2FjMjA2ODA2Y2Y4ODdkNDg5NTciLCJ1c2VySWQiOiI0MDY0MjUyNjQifQ==</vt:lpwstr>
  </property>
</Properties>
</file>