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600"/>
        <w:jc w:val="center"/>
        <w:rPr>
          <w:rFonts w:hint="eastAsia" w:ascii="仿宋" w:hAnsi="仿宋" w:eastAsia="仿宋" w:cs="仿宋"/>
          <w:b w:val="0"/>
          <w:bCs w:val="0"/>
        </w:rPr>
      </w:pPr>
      <w:r>
        <w:rPr>
          <w:rFonts w:hint="eastAsia" w:ascii="仿宋" w:hAnsi="仿宋" w:eastAsia="仿宋" w:cs="仿宋"/>
          <w:b w:val="0"/>
          <w:bCs w:val="0"/>
        </w:rPr>
        <w:t>中标人公告内容</w:t>
      </w:r>
    </w:p>
    <w:p>
      <w:pPr>
        <w:spacing w:line="360" w:lineRule="auto"/>
        <w:outlineLvl w:val="0"/>
        <w:rPr>
          <w:rFonts w:hint="eastAsia" w:ascii="仿宋" w:hAnsi="仿宋" w:eastAsia="仿宋" w:cs="仿宋"/>
          <w:spacing w:val="20"/>
          <w:sz w:val="24"/>
        </w:rPr>
      </w:pPr>
      <w:r>
        <w:rPr>
          <w:rFonts w:hint="eastAsia" w:ascii="仿宋" w:hAnsi="仿宋" w:eastAsia="仿宋" w:cs="仿宋"/>
          <w:spacing w:val="20"/>
          <w:sz w:val="24"/>
        </w:rPr>
        <w:t>采购项目：莲都区危旧房安全动态监控报警服务</w:t>
      </w:r>
    </w:p>
    <w:p>
      <w:pPr>
        <w:spacing w:line="360" w:lineRule="auto"/>
        <w:rPr>
          <w:rFonts w:hint="eastAsia" w:ascii="仿宋" w:hAnsi="仿宋" w:eastAsia="仿宋" w:cs="仿宋"/>
          <w:spacing w:val="20"/>
          <w:sz w:val="24"/>
        </w:rPr>
      </w:pPr>
      <w:r>
        <w:rPr>
          <w:rFonts w:hint="eastAsia" w:ascii="仿宋" w:hAnsi="仿宋" w:eastAsia="仿宋" w:cs="仿宋"/>
          <w:spacing w:val="20"/>
          <w:sz w:val="24"/>
        </w:rPr>
        <w:t>采购编号</w:t>
      </w:r>
      <w:r>
        <w:rPr>
          <w:rFonts w:hint="eastAsia" w:ascii="仿宋" w:hAnsi="仿宋" w:eastAsia="仿宋" w:cs="仿宋"/>
          <w:sz w:val="24"/>
          <w:szCs w:val="28"/>
        </w:rPr>
        <w:t>：</w:t>
      </w:r>
      <w:r>
        <w:rPr>
          <w:rFonts w:hint="eastAsia" w:ascii="仿宋" w:hAnsi="仿宋" w:eastAsia="仿宋" w:cs="仿宋"/>
          <w:spacing w:val="20"/>
          <w:sz w:val="24"/>
        </w:rPr>
        <w:t>浙明丽采2023021号</w:t>
      </w:r>
    </w:p>
    <w:tbl>
      <w:tblPr>
        <w:tblStyle w:val="10"/>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2284"/>
        <w:gridCol w:w="218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pacing w:val="20"/>
                <w:sz w:val="24"/>
              </w:rPr>
            </w:pPr>
            <w:r>
              <w:rPr>
                <w:rFonts w:hint="eastAsia" w:ascii="仿宋" w:hAnsi="仿宋" w:eastAsia="仿宋"/>
                <w:spacing w:val="20"/>
                <w:sz w:val="24"/>
              </w:rPr>
              <w:t>成交人名称</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lang w:val="en-US" w:eastAsia="zh-CN"/>
              </w:rPr>
              <w:t>中国移动通信集团浙江有限公司丽水分公司</w:t>
            </w:r>
          </w:p>
        </w:tc>
        <w:tc>
          <w:tcPr>
            <w:tcW w:w="21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pacing w:val="20"/>
                <w:sz w:val="24"/>
              </w:rPr>
            </w:pPr>
            <w:r>
              <w:rPr>
                <w:rFonts w:hint="eastAsia" w:ascii="仿宋" w:hAnsi="仿宋" w:eastAsia="仿宋"/>
                <w:spacing w:val="20"/>
                <w:sz w:val="24"/>
              </w:rPr>
              <w:t>成交人负责人</w:t>
            </w:r>
          </w:p>
        </w:tc>
        <w:tc>
          <w:tcPr>
            <w:tcW w:w="1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lang w:val="en-US" w:eastAsia="zh-CN"/>
              </w:rPr>
              <w:t>胡志勇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pacing w:val="20"/>
                <w:sz w:val="24"/>
              </w:rPr>
            </w:pPr>
            <w:r>
              <w:rPr>
                <w:rFonts w:hint="eastAsia" w:ascii="仿宋" w:hAnsi="仿宋" w:eastAsia="仿宋"/>
                <w:spacing w:val="20"/>
                <w:sz w:val="24"/>
              </w:rPr>
              <w:t>成交人地址</w:t>
            </w:r>
          </w:p>
        </w:tc>
        <w:tc>
          <w:tcPr>
            <w:tcW w:w="629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spacing w:val="20"/>
                <w:sz w:val="24"/>
                <w:lang w:val="en-US" w:eastAsia="zh-CN"/>
              </w:rPr>
            </w:pPr>
            <w:r>
              <w:rPr>
                <w:rFonts w:hint="eastAsia" w:ascii="仿宋" w:hAnsi="仿宋" w:eastAsia="仿宋"/>
                <w:spacing w:val="20"/>
                <w:sz w:val="24"/>
                <w:lang w:eastAsia="zh-CN"/>
              </w:rPr>
              <w:t>丽水市莲都区中山街</w:t>
            </w:r>
            <w:r>
              <w:rPr>
                <w:rFonts w:hint="default" w:ascii="仿宋" w:hAnsi="仿宋" w:eastAsia="仿宋"/>
                <w:spacing w:val="20"/>
                <w:sz w:val="24"/>
                <w:lang w:val="en-US" w:eastAsia="zh-CN"/>
              </w:rPr>
              <w:t>2</w:t>
            </w:r>
            <w:r>
              <w:rPr>
                <w:rFonts w:hint="eastAsia" w:ascii="仿宋" w:hAnsi="仿宋" w:eastAsia="仿宋"/>
                <w:spacing w:val="20"/>
                <w:sz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pacing w:val="20"/>
                <w:sz w:val="24"/>
              </w:rPr>
            </w:pPr>
            <w:r>
              <w:rPr>
                <w:rFonts w:hint="eastAsia" w:ascii="仿宋" w:hAnsi="仿宋" w:eastAsia="仿宋"/>
                <w:spacing w:val="20"/>
                <w:sz w:val="24"/>
              </w:rPr>
              <w:t xml:space="preserve"> 成交标的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pacing w:val="20"/>
                <w:sz w:val="24"/>
              </w:rPr>
            </w:pPr>
            <w:r>
              <w:rPr>
                <w:rFonts w:hint="eastAsia" w:ascii="仿宋" w:hAnsi="仿宋" w:eastAsia="仿宋"/>
                <w:spacing w:val="20"/>
                <w:sz w:val="24"/>
              </w:rPr>
              <w:t>服务</w:t>
            </w:r>
            <w:r>
              <w:rPr>
                <w:rFonts w:ascii="仿宋" w:hAnsi="仿宋" w:eastAsia="仿宋"/>
                <w:spacing w:val="20"/>
                <w:sz w:val="24"/>
              </w:rPr>
              <w:t>内容</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pacing w:val="20"/>
                <w:sz w:val="24"/>
              </w:rPr>
            </w:pPr>
            <w:r>
              <w:rPr>
                <w:rFonts w:hint="eastAsia" w:ascii="仿宋" w:hAnsi="仿宋" w:eastAsia="仿宋"/>
                <w:spacing w:val="20"/>
                <w:sz w:val="24"/>
              </w:rPr>
              <w:t>单位</w:t>
            </w:r>
          </w:p>
        </w:tc>
        <w:tc>
          <w:tcPr>
            <w:tcW w:w="21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pacing w:val="20"/>
                <w:sz w:val="24"/>
              </w:rPr>
            </w:pPr>
            <w:r>
              <w:rPr>
                <w:rFonts w:hint="eastAsia" w:ascii="仿宋" w:hAnsi="仿宋" w:eastAsia="仿宋"/>
                <w:spacing w:val="20"/>
                <w:sz w:val="24"/>
              </w:rPr>
              <w:t>数量</w:t>
            </w:r>
          </w:p>
        </w:tc>
        <w:tc>
          <w:tcPr>
            <w:tcW w:w="1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eastAsia="zh-CN"/>
              </w:rPr>
            </w:pPr>
            <w:r>
              <w:rPr>
                <w:rFonts w:hint="eastAsia" w:ascii="仿宋" w:hAnsi="仿宋" w:eastAsia="仿宋"/>
                <w:spacing w:val="20"/>
                <w:sz w:val="24"/>
              </w:rPr>
              <w:t>单价</w:t>
            </w:r>
            <w:r>
              <w:rPr>
                <w:rFonts w:hint="eastAsia" w:ascii="仿宋" w:hAnsi="仿宋" w:eastAsia="仿宋"/>
                <w:spacing w:val="20"/>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建筑物倾斜监测服务</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月/个</w:t>
            </w:r>
          </w:p>
        </w:tc>
        <w:tc>
          <w:tcPr>
            <w:tcW w:w="21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eastAsia="zh-CN"/>
              </w:rPr>
            </w:pPr>
            <w:r>
              <w:rPr>
                <w:rFonts w:hint="eastAsia" w:ascii="仿宋" w:hAnsi="仿宋" w:eastAsia="仿宋"/>
                <w:spacing w:val="20"/>
                <w:sz w:val="24"/>
                <w:lang w:eastAsia="zh-CN"/>
              </w:rPr>
              <w:t>按实计取</w:t>
            </w:r>
          </w:p>
        </w:tc>
        <w:tc>
          <w:tcPr>
            <w:tcW w:w="1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spacing w:val="20"/>
                <w:sz w:val="24"/>
                <w:lang w:val="en-US" w:eastAsia="zh-CN"/>
              </w:rPr>
            </w:pPr>
            <w:r>
              <w:rPr>
                <w:rFonts w:hint="default" w:ascii="仿宋" w:hAnsi="仿宋" w:eastAsia="仿宋"/>
                <w:spacing w:val="20"/>
                <w:sz w:val="24"/>
                <w:lang w:val="en-US"/>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建筑物沉降监测服务</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月/个</w:t>
            </w:r>
          </w:p>
        </w:tc>
        <w:tc>
          <w:tcPr>
            <w:tcW w:w="218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spacing w:val="20"/>
                <w:sz w:val="24"/>
                <w:lang w:eastAsia="zh-CN"/>
              </w:rPr>
            </w:pPr>
            <w:r>
              <w:rPr>
                <w:rFonts w:hint="eastAsia" w:ascii="仿宋" w:hAnsi="仿宋" w:eastAsia="仿宋"/>
                <w:spacing w:val="20"/>
                <w:sz w:val="24"/>
                <w:lang w:eastAsia="zh-CN"/>
              </w:rPr>
              <w:t>按实计取</w:t>
            </w:r>
          </w:p>
        </w:tc>
        <w:tc>
          <w:tcPr>
            <w:tcW w:w="1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spacing w:val="20"/>
                <w:sz w:val="24"/>
                <w:lang w:val="en-US" w:eastAsia="zh-CN"/>
              </w:rPr>
            </w:pPr>
            <w:r>
              <w:rPr>
                <w:rFonts w:hint="default" w:ascii="仿宋" w:hAnsi="仿宋" w:eastAsia="仿宋"/>
                <w:spacing w:val="20"/>
                <w:sz w:val="24"/>
                <w:lang w:val="en-US"/>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建筑物裂缝监测服务</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月/个</w:t>
            </w:r>
          </w:p>
        </w:tc>
        <w:tc>
          <w:tcPr>
            <w:tcW w:w="218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spacing w:val="20"/>
                <w:sz w:val="24"/>
                <w:lang w:eastAsia="zh-CN"/>
              </w:rPr>
            </w:pPr>
            <w:r>
              <w:rPr>
                <w:rFonts w:hint="eastAsia" w:ascii="仿宋" w:hAnsi="仿宋" w:eastAsia="仿宋"/>
                <w:spacing w:val="20"/>
                <w:sz w:val="24"/>
                <w:lang w:eastAsia="zh-CN"/>
              </w:rPr>
              <w:t>按实计取</w:t>
            </w:r>
          </w:p>
        </w:tc>
        <w:tc>
          <w:tcPr>
            <w:tcW w:w="1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spacing w:val="20"/>
                <w:sz w:val="24"/>
                <w:lang w:val="en-US" w:eastAsia="zh-CN"/>
              </w:rPr>
            </w:pPr>
            <w:r>
              <w:rPr>
                <w:rFonts w:hint="default" w:ascii="仿宋" w:hAnsi="仿宋" w:eastAsia="仿宋"/>
                <w:spacing w:val="20"/>
                <w:sz w:val="24"/>
                <w:lang w:val="en-US"/>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实时视频监测服务</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val="en-US" w:eastAsia="zh-CN"/>
              </w:rPr>
            </w:pPr>
            <w:r>
              <w:rPr>
                <w:rFonts w:hint="eastAsia" w:ascii="仿宋" w:hAnsi="仿宋" w:eastAsia="仿宋"/>
                <w:spacing w:val="20"/>
                <w:sz w:val="24"/>
              </w:rPr>
              <w:t>月/个</w:t>
            </w:r>
          </w:p>
        </w:tc>
        <w:tc>
          <w:tcPr>
            <w:tcW w:w="218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spacing w:val="20"/>
                <w:sz w:val="24"/>
                <w:lang w:eastAsia="zh-CN"/>
              </w:rPr>
            </w:pPr>
            <w:r>
              <w:rPr>
                <w:rFonts w:hint="eastAsia" w:ascii="仿宋" w:hAnsi="仿宋" w:eastAsia="仿宋"/>
                <w:spacing w:val="20"/>
                <w:sz w:val="24"/>
                <w:lang w:eastAsia="zh-CN"/>
              </w:rPr>
              <w:t>按实计取</w:t>
            </w:r>
          </w:p>
        </w:tc>
        <w:tc>
          <w:tcPr>
            <w:tcW w:w="1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spacing w:val="20"/>
                <w:sz w:val="24"/>
                <w:lang w:val="en-US" w:eastAsia="zh-CN"/>
              </w:rPr>
            </w:pPr>
            <w:r>
              <w:rPr>
                <w:rFonts w:hint="default" w:ascii="仿宋" w:hAnsi="仿宋" w:eastAsia="仿宋"/>
                <w:spacing w:val="20"/>
                <w:sz w:val="24"/>
                <w:lang w:val="en-US"/>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pacing w:val="20"/>
                <w:sz w:val="24"/>
                <w:lang w:eastAsia="zh-CN"/>
              </w:rPr>
            </w:pPr>
            <w:r>
              <w:rPr>
                <w:rFonts w:hint="eastAsia" w:ascii="仿宋" w:hAnsi="仿宋" w:eastAsia="仿宋"/>
                <w:spacing w:val="20"/>
                <w:sz w:val="24"/>
                <w:lang w:eastAsia="zh-CN"/>
              </w:rPr>
              <w:t>最高限价：</w:t>
            </w:r>
          </w:p>
        </w:tc>
        <w:tc>
          <w:tcPr>
            <w:tcW w:w="1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仿宋" w:hAnsi="仿宋" w:eastAsia="仿宋"/>
                <w:spacing w:val="20"/>
                <w:sz w:val="24"/>
                <w:lang w:val="en-US"/>
              </w:rPr>
            </w:pPr>
            <w:r>
              <w:rPr>
                <w:rFonts w:hint="default" w:ascii="仿宋" w:hAnsi="仿宋" w:eastAsia="仿宋"/>
                <w:spacing w:val="20"/>
                <w:sz w:val="24"/>
                <w:lang w:val="en-US"/>
              </w:rPr>
              <w:t>6266100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242"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spacing w:val="20"/>
                <w:sz w:val="24"/>
              </w:rPr>
            </w:pPr>
            <w:r>
              <w:rPr>
                <w:rFonts w:hint="eastAsia" w:ascii="仿宋" w:hAnsi="仿宋" w:eastAsia="仿宋"/>
                <w:spacing w:val="20"/>
                <w:sz w:val="24"/>
              </w:rPr>
              <w:t>服务要求：</w:t>
            </w:r>
          </w:p>
          <w:p>
            <w:pPr>
              <w:spacing w:line="360" w:lineRule="auto"/>
              <w:rPr>
                <w:rFonts w:hint="eastAsia" w:ascii="仿宋" w:hAnsi="仿宋" w:eastAsia="仿宋" w:cs="宋体"/>
                <w:kern w:val="0"/>
                <w:sz w:val="24"/>
                <w:lang w:eastAsia="zh-CN"/>
              </w:rPr>
            </w:pPr>
            <w:r>
              <w:rPr>
                <w:rFonts w:hint="eastAsia" w:ascii="仿宋" w:hAnsi="仿宋" w:eastAsia="仿宋" w:cs="宋体"/>
                <w:b/>
                <w:bCs/>
                <w:kern w:val="0"/>
                <w:sz w:val="24"/>
              </w:rPr>
              <w:t>建筑物倾斜监测服务</w:t>
            </w:r>
            <w:r>
              <w:rPr>
                <w:rFonts w:hint="eastAsia" w:ascii="仿宋" w:hAnsi="仿宋" w:eastAsia="仿宋" w:cs="宋体"/>
                <w:kern w:val="0"/>
                <w:sz w:val="24"/>
                <w:lang w:eastAsia="zh-CN"/>
              </w:rPr>
              <w:t>：</w:t>
            </w:r>
            <w:bookmarkStart w:id="0" w:name="_GoBack"/>
            <w:bookmarkEnd w:id="0"/>
          </w:p>
          <w:p>
            <w:pPr>
              <w:spacing w:line="360" w:lineRule="auto"/>
              <w:ind w:firstLine="480" w:firstLineChars="200"/>
              <w:rPr>
                <w:rFonts w:hint="eastAsia" w:ascii="仿宋" w:hAnsi="仿宋" w:eastAsia="仿宋" w:cs="仿宋"/>
                <w:color w:val="FF0000"/>
                <w:kern w:val="0"/>
                <w:sz w:val="24"/>
              </w:rPr>
            </w:pPr>
            <w:r>
              <w:rPr>
                <w:rFonts w:hint="eastAsia" w:ascii="仿宋" w:hAnsi="仿宋" w:eastAsia="仿宋" w:cs="仿宋"/>
                <w:kern w:val="0"/>
                <w:sz w:val="24"/>
              </w:rPr>
              <w:t>1)</w:t>
            </w:r>
            <w:r>
              <w:rPr>
                <w:rFonts w:hint="eastAsia" w:ascii="仿宋" w:hAnsi="仿宋" w:eastAsia="仿宋" w:cs="仿宋"/>
                <w:kern w:val="0"/>
                <w:sz w:val="24"/>
              </w:rPr>
              <w:tab/>
            </w:r>
            <w:r>
              <w:rPr>
                <w:rFonts w:hint="eastAsia" w:ascii="仿宋" w:hAnsi="仿宋" w:eastAsia="仿宋" w:cs="仿宋"/>
                <w:kern w:val="0"/>
                <w:sz w:val="24"/>
              </w:rPr>
              <w:t>包括不均匀沉降和承重结构压缩破坏引起的倾斜。每幢房屋倾斜测量点应根据房屋体型复杂程度、原有倾斜状况、原有沉降情况现场确定。</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rPr>
              <w:tab/>
            </w:r>
            <w:r>
              <w:rPr>
                <w:rFonts w:hint="eastAsia" w:ascii="仿宋" w:hAnsi="仿宋" w:eastAsia="仿宋" w:cs="仿宋"/>
                <w:kern w:val="0"/>
                <w:sz w:val="24"/>
              </w:rPr>
              <w:t>按相关技术标准布设观测点和测站点，倾斜精度要求</w:t>
            </w:r>
            <w:r>
              <w:rPr>
                <w:rFonts w:hint="eastAsia" w:ascii="仿宋" w:hAnsi="仿宋" w:eastAsia="仿宋" w:cs="宋体"/>
                <w:kern w:val="0"/>
                <w:sz w:val="24"/>
              </w:rPr>
              <w:t>0.01°</w:t>
            </w:r>
            <w:r>
              <w:rPr>
                <w:rFonts w:hint="eastAsia" w:ascii="仿宋" w:hAnsi="仿宋" w:eastAsia="仿宋" w:cs="仿宋"/>
                <w:kern w:val="0"/>
                <w:sz w:val="24"/>
              </w:rPr>
              <w:t>；</w:t>
            </w:r>
          </w:p>
          <w:p>
            <w:pPr>
              <w:pStyle w:val="2"/>
              <w:spacing w:line="360" w:lineRule="auto"/>
              <w:ind w:left="0" w:leftChars="0" w:firstLine="480" w:firstLineChars="200"/>
              <w:rPr>
                <w:rFonts w:hint="eastAsia" w:ascii="仿宋" w:hAnsi="仿宋" w:eastAsia="仿宋" w:cs="仿宋"/>
                <w:b w:val="0"/>
                <w:kern w:val="0"/>
                <w:sz w:val="24"/>
                <w:szCs w:val="22"/>
                <w:lang w:val="en-US" w:eastAsia="zh-CN" w:bidi="ar-SA"/>
              </w:rPr>
            </w:pPr>
            <w:r>
              <w:rPr>
                <w:rFonts w:hint="eastAsia" w:ascii="仿宋" w:hAnsi="仿宋" w:eastAsia="仿宋" w:cs="仿宋"/>
                <w:b w:val="0"/>
                <w:kern w:val="0"/>
                <w:sz w:val="24"/>
                <w:szCs w:val="22"/>
                <w:lang w:val="en-US" w:eastAsia="zh-CN" w:bidi="ar-SA"/>
              </w:rPr>
              <w:t>3)</w:t>
            </w:r>
            <w:r>
              <w:rPr>
                <w:rFonts w:hint="eastAsia" w:ascii="仿宋" w:hAnsi="仿宋" w:eastAsia="仿宋" w:cs="仿宋"/>
                <w:b w:val="0"/>
                <w:kern w:val="0"/>
                <w:sz w:val="24"/>
                <w:szCs w:val="22"/>
                <w:lang w:val="en-US" w:eastAsia="zh-CN" w:bidi="ar-SA"/>
              </w:rPr>
              <w:tab/>
            </w:r>
            <w:r>
              <w:rPr>
                <w:rFonts w:hint="eastAsia" w:ascii="仿宋" w:hAnsi="仿宋" w:eastAsia="仿宋" w:cs="仿宋"/>
                <w:b w:val="0"/>
                <w:kern w:val="0"/>
                <w:sz w:val="24"/>
                <w:szCs w:val="22"/>
                <w:lang w:val="en-US" w:eastAsia="zh-CN" w:bidi="ar-SA"/>
              </w:rPr>
              <w:t>当遇基础附近因大量堆载或卸载、场地降雨长期积水等而导致倾斜速度加快时，应及时增加人工观测次数。当建筑倾斜已严重影响居民居住安全时，应立即报告当地乡镇街道及建设主管部门，并协助做好居民解释工作。</w:t>
            </w:r>
          </w:p>
          <w:p>
            <w:pPr>
              <w:pStyle w:val="2"/>
              <w:spacing w:line="360" w:lineRule="auto"/>
              <w:ind w:left="0" w:leftChars="0" w:firstLine="0" w:firstLineChars="0"/>
              <w:rPr>
                <w:rFonts w:hint="eastAsia" w:ascii="仿宋" w:hAnsi="仿宋" w:eastAsia="仿宋" w:cs="宋体"/>
                <w:b/>
                <w:bCs/>
                <w:kern w:val="0"/>
                <w:sz w:val="24"/>
                <w:szCs w:val="22"/>
                <w:lang w:val="en-US" w:eastAsia="zh-CN" w:bidi="ar-SA"/>
              </w:rPr>
            </w:pPr>
            <w:r>
              <w:rPr>
                <w:rFonts w:hint="eastAsia" w:ascii="仿宋" w:hAnsi="仿宋" w:eastAsia="仿宋" w:cs="宋体"/>
                <w:b/>
                <w:bCs/>
                <w:kern w:val="0"/>
                <w:sz w:val="24"/>
                <w:szCs w:val="22"/>
                <w:lang w:val="en-US" w:eastAsia="zh-CN" w:bidi="ar-SA"/>
              </w:rPr>
              <w:t>建筑物沉降监测服务：</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rPr>
              <w:tab/>
            </w:r>
            <w:r>
              <w:rPr>
                <w:rFonts w:hint="eastAsia" w:ascii="仿宋" w:hAnsi="仿宋" w:eastAsia="仿宋" w:cs="仿宋"/>
                <w:kern w:val="0"/>
                <w:sz w:val="24"/>
              </w:rPr>
              <w:t>建筑物沉降观测精度要求为0.1mm；</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rPr>
              <w:tab/>
            </w:r>
            <w:r>
              <w:rPr>
                <w:rFonts w:hint="eastAsia" w:ascii="仿宋" w:hAnsi="仿宋" w:eastAsia="仿宋" w:cs="仿宋"/>
                <w:kern w:val="0"/>
                <w:sz w:val="24"/>
              </w:rPr>
              <w:t>按要求设置观测点、基准点，观测点数布置不能低于国家规范；</w:t>
            </w:r>
          </w:p>
          <w:p>
            <w:pPr>
              <w:spacing w:line="360" w:lineRule="auto"/>
              <w:ind w:firstLine="480" w:firstLineChars="200"/>
              <w:rPr>
                <w:rFonts w:hint="eastAsia"/>
                <w:lang w:eastAsia="zh-CN"/>
              </w:rPr>
            </w:pPr>
            <w:r>
              <w:rPr>
                <w:rFonts w:hint="eastAsia" w:ascii="仿宋" w:hAnsi="仿宋" w:eastAsia="仿宋" w:cs="仿宋"/>
                <w:kern w:val="0"/>
                <w:sz w:val="24"/>
              </w:rPr>
              <w:t>3)</w:t>
            </w:r>
            <w:r>
              <w:rPr>
                <w:rFonts w:hint="eastAsia" w:ascii="仿宋" w:hAnsi="仿宋" w:eastAsia="仿宋" w:cs="仿宋"/>
                <w:kern w:val="0"/>
                <w:sz w:val="24"/>
              </w:rPr>
              <w:tab/>
            </w:r>
            <w:r>
              <w:rPr>
                <w:rFonts w:hint="eastAsia" w:ascii="仿宋" w:hAnsi="仿宋" w:eastAsia="仿宋" w:cs="仿宋"/>
                <w:kern w:val="0"/>
                <w:sz w:val="24"/>
              </w:rPr>
              <w:t>在观测过程中，若有基础附近地面荷载突然增减、基础四周大量积水、长时间连续降雨等情况，均应及时增加人工观测次数。当建筑突然发生明显沉降、不均匀沉降或严重裂缝时，应立即报告当地乡镇街道及建设主管部门，并协助做好解释工作。</w:t>
            </w:r>
          </w:p>
          <w:p>
            <w:pPr>
              <w:spacing w:line="360" w:lineRule="auto"/>
              <w:ind w:firstLine="482" w:firstLineChars="200"/>
              <w:rPr>
                <w:rFonts w:hint="eastAsia" w:ascii="仿宋" w:hAnsi="仿宋" w:eastAsia="仿宋" w:cs="仿宋"/>
                <w:kern w:val="0"/>
                <w:sz w:val="24"/>
              </w:rPr>
            </w:pPr>
            <w:r>
              <w:rPr>
                <w:rFonts w:hint="eastAsia" w:ascii="仿宋" w:hAnsi="仿宋" w:eastAsia="仿宋" w:cs="宋体"/>
                <w:b/>
                <w:bCs/>
                <w:kern w:val="0"/>
                <w:sz w:val="24"/>
                <w:szCs w:val="22"/>
                <w:lang w:val="en-US" w:eastAsia="zh-CN" w:bidi="ar-SA"/>
              </w:rPr>
              <w:t>建筑物裂缝监测服务：</w:t>
            </w:r>
            <w:r>
              <w:rPr>
                <w:rFonts w:hint="eastAsia" w:ascii="仿宋" w:hAnsi="仿宋" w:eastAsia="仿宋" w:cs="仿宋"/>
                <w:kern w:val="0"/>
                <w:sz w:val="24"/>
              </w:rPr>
              <w:t>1)</w:t>
            </w:r>
            <w:r>
              <w:rPr>
                <w:rFonts w:hint="eastAsia" w:ascii="仿宋" w:hAnsi="仿宋" w:eastAsia="仿宋" w:cs="仿宋"/>
                <w:kern w:val="0"/>
                <w:sz w:val="24"/>
              </w:rPr>
              <w:tab/>
            </w:r>
            <w:r>
              <w:rPr>
                <w:rFonts w:hint="eastAsia" w:ascii="仿宋" w:hAnsi="仿宋" w:eastAsia="仿宋" w:cs="仿宋"/>
                <w:kern w:val="0"/>
                <w:sz w:val="24"/>
              </w:rPr>
              <w:t>建筑物沉降观测精度要求为0.1mm；</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rPr>
              <w:tab/>
            </w:r>
            <w:r>
              <w:rPr>
                <w:rFonts w:hint="eastAsia" w:ascii="仿宋" w:hAnsi="仿宋" w:eastAsia="仿宋" w:cs="仿宋"/>
                <w:kern w:val="0"/>
                <w:sz w:val="24"/>
              </w:rPr>
              <w:t>按要求设置观测点、基准点，观测点数布置不能低于国家规范；</w:t>
            </w:r>
          </w:p>
          <w:p>
            <w:pPr>
              <w:spacing w:line="360" w:lineRule="auto"/>
              <w:ind w:firstLine="480" w:firstLineChars="200"/>
              <w:rPr>
                <w:rFonts w:hint="eastAsia"/>
                <w:lang w:eastAsia="zh-CN"/>
              </w:rPr>
            </w:pPr>
            <w:r>
              <w:rPr>
                <w:rFonts w:hint="eastAsia" w:ascii="仿宋" w:hAnsi="仿宋" w:eastAsia="仿宋" w:cs="仿宋"/>
                <w:kern w:val="0"/>
                <w:sz w:val="24"/>
              </w:rPr>
              <w:t>3)</w:t>
            </w:r>
            <w:r>
              <w:rPr>
                <w:rFonts w:hint="eastAsia" w:ascii="仿宋" w:hAnsi="仿宋" w:eastAsia="仿宋" w:cs="仿宋"/>
                <w:kern w:val="0"/>
                <w:sz w:val="24"/>
              </w:rPr>
              <w:tab/>
            </w:r>
            <w:r>
              <w:rPr>
                <w:rFonts w:hint="eastAsia" w:ascii="仿宋" w:hAnsi="仿宋" w:eastAsia="仿宋" w:cs="仿宋"/>
                <w:kern w:val="0"/>
                <w:sz w:val="24"/>
              </w:rPr>
              <w:t>在观测过程中，若有基础附近地面荷载突然增减、基础四周大量积水、长时间连续降雨等情况，均应及时增加人工观测次数。当建筑突然发生明显沉降、不均匀沉降或严重裂缝时，应立即报告当地乡镇街道及建设主管部门，并协助做好解释工作。</w:t>
            </w:r>
          </w:p>
          <w:p>
            <w:pPr>
              <w:pStyle w:val="4"/>
              <w:spacing w:line="360" w:lineRule="auto"/>
              <w:ind w:left="0" w:leftChars="0" w:firstLine="0" w:firstLineChars="0"/>
              <w:rPr>
                <w:rFonts w:hint="eastAsia" w:ascii="仿宋" w:hAnsi="仿宋" w:eastAsia="仿宋" w:cs="宋体"/>
                <w:b/>
                <w:bCs/>
                <w:kern w:val="0"/>
                <w:sz w:val="24"/>
                <w:szCs w:val="22"/>
                <w:lang w:val="en-US" w:eastAsia="zh-CN" w:bidi="ar-SA"/>
              </w:rPr>
            </w:pPr>
          </w:p>
          <w:p>
            <w:pPr>
              <w:widowControl/>
              <w:spacing w:line="360" w:lineRule="auto"/>
              <w:ind w:firstLine="482" w:firstLineChars="200"/>
              <w:textAlignment w:val="baseline"/>
              <w:rPr>
                <w:rFonts w:hint="eastAsia" w:ascii="仿宋" w:hAnsi="仿宋" w:eastAsia="仿宋" w:cs="宋体"/>
                <w:b/>
                <w:bCs/>
                <w:kern w:val="0"/>
                <w:sz w:val="24"/>
                <w:szCs w:val="22"/>
                <w:lang w:val="en-US" w:eastAsia="zh-CN" w:bidi="ar-SA"/>
              </w:rPr>
            </w:pPr>
            <w:r>
              <w:rPr>
                <w:rFonts w:hint="eastAsia" w:ascii="仿宋" w:hAnsi="仿宋" w:eastAsia="仿宋" w:cs="宋体"/>
                <w:b/>
                <w:bCs/>
                <w:kern w:val="0"/>
                <w:sz w:val="24"/>
                <w:szCs w:val="22"/>
                <w:lang w:val="en-US" w:eastAsia="zh-CN" w:bidi="ar-SA"/>
              </w:rPr>
              <w:t>实时视频监测服务：</w:t>
            </w:r>
          </w:p>
          <w:p>
            <w:pPr>
              <w:widowControl/>
              <w:spacing w:line="360" w:lineRule="auto"/>
              <w:ind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在建筑物上安装传感器, 如倾斜、沉降、裂缝宽度测量等传感器对房屋结构进行24小时不间断远程监测，来监测建筑物沉降、倾斜变形、裂缝等变量，实时收集建筑物结构安全变化数据，其中数据采集频率不小于每小时1次，可输出参考性数据及报告。</w:t>
            </w:r>
          </w:p>
          <w:p>
            <w:pPr>
              <w:spacing w:line="360" w:lineRule="auto"/>
              <w:ind w:firstLine="480" w:firstLineChars="200"/>
              <w:rPr>
                <w:rFonts w:hint="eastAsia" w:ascii="仿宋" w:hAnsi="仿宋" w:eastAsia="仿宋" w:cs="宋体"/>
                <w:b/>
                <w:bCs/>
                <w:kern w:val="0"/>
                <w:sz w:val="24"/>
                <w:szCs w:val="22"/>
                <w:lang w:val="en-US" w:eastAsia="zh-CN" w:bidi="ar-SA"/>
              </w:rPr>
            </w:pPr>
            <w:r>
              <w:rPr>
                <w:rFonts w:hint="eastAsia" w:ascii="仿宋" w:hAnsi="仿宋" w:eastAsia="仿宋" w:cs="仿宋"/>
                <w:kern w:val="0"/>
                <w:sz w:val="24"/>
              </w:rPr>
              <w:t>将采集信号通过无线方式传输到云端数据库，监控中心实时同步云端数据，在监控中心通过相应的专业软件来实时观察建筑物变形状况；通过专业软件自动发送警报信号，提示工作人员及时查看并确定报警类型，及时对房屋进行处理，避免人员和财产的损失。真正做到实时监控。</w:t>
            </w:r>
          </w:p>
          <w:p>
            <w:pPr>
              <w:spacing w:line="360" w:lineRule="auto"/>
              <w:rPr>
                <w:rFonts w:ascii="仿宋" w:hAnsi="仿宋" w:eastAsia="仿宋"/>
                <w:spacing w:val="20"/>
                <w:sz w:val="24"/>
              </w:rPr>
            </w:pPr>
          </w:p>
        </w:tc>
      </w:tr>
    </w:tbl>
    <w:p>
      <w:pPr>
        <w:spacing w:line="360" w:lineRule="auto"/>
        <w:rPr>
          <w:rFonts w:hint="eastAsia" w:ascii="仿宋" w:hAnsi="仿宋" w:eastAsia="仿宋" w:cs="仿宋"/>
          <w:spacing w:val="20"/>
          <w:szCs w:val="21"/>
        </w:rPr>
      </w:pPr>
      <w:r>
        <w:rPr>
          <w:rFonts w:hint="eastAsia" w:ascii="仿宋" w:hAnsi="仿宋" w:eastAsia="仿宋" w:cs="仿宋"/>
          <w:spacing w:val="20"/>
          <w:szCs w:val="21"/>
        </w:rPr>
        <w:t>注：1、中标人应根据其投标情况填写该表，并保证其与投标文件内容的一致性、正确性和真实性；</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2、填写该表不代表中标人已具有中标人资格。本表只作为中标结果公告内容的一部分，进行公告使用；</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3、本表内容涉及较多，中标人可以适当增减表格行数，以保证表格内容的完整；</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4、评审结果排名第一的中标人在评审结束后</w:t>
      </w:r>
      <w:r>
        <w:rPr>
          <w:rFonts w:hint="eastAsia" w:ascii="仿宋" w:hAnsi="仿宋" w:eastAsia="仿宋" w:cs="仿宋"/>
          <w:b/>
          <w:spacing w:val="20"/>
          <w:szCs w:val="21"/>
        </w:rPr>
        <w:t>2个工作日内</w:t>
      </w:r>
      <w:r>
        <w:rPr>
          <w:rFonts w:hint="eastAsia" w:ascii="仿宋" w:hAnsi="仿宋" w:eastAsia="仿宋" w:cs="仿宋"/>
          <w:spacing w:val="20"/>
          <w:szCs w:val="21"/>
        </w:rPr>
        <w:t>将该表格以电子文档的形式提交给代理机构的项目负责人。未按时提交规定内容造成后果由中标人自行承担。</w:t>
      </w:r>
    </w:p>
    <w:p>
      <w:pPr>
        <w:ind w:firstLine="490" w:firstLineChars="196"/>
        <w:rPr>
          <w:rFonts w:hint="eastAsia" w:ascii="仿宋" w:hAnsi="仿宋" w:eastAsia="仿宋" w:cs="仿宋"/>
          <w:spacing w:val="20"/>
          <w:szCs w:val="21"/>
        </w:rPr>
      </w:pPr>
      <w:r>
        <w:rPr>
          <w:rFonts w:hint="eastAsia" w:ascii="仿宋" w:hAnsi="仿宋" w:eastAsia="仿宋" w:cs="仿宋"/>
          <w:spacing w:val="20"/>
          <w:szCs w:val="21"/>
        </w:rPr>
        <w:t>5、中标结果公告内容如涉及中标人的商业秘密等法律法规规定可以不予公告的情形，中标人应另附书面说明，如未事前书面说明造成的后果由中标人自行承担。</w:t>
      </w:r>
    </w:p>
    <w:p>
      <w:pPr>
        <w:rPr>
          <w:rFonts w:hint="eastAsia" w:ascii="仿宋" w:hAnsi="仿宋" w:eastAsia="仿宋" w:cs="仿宋"/>
          <w:spacing w:val="2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B4"/>
    <w:rsid w:val="00475FB4"/>
    <w:rsid w:val="0077534C"/>
    <w:rsid w:val="38677789"/>
    <w:rsid w:val="54BD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3"/>
    <w:basedOn w:val="1"/>
    <w:next w:val="7"/>
    <w:link w:val="14"/>
    <w:qFormat/>
    <w:uiPriority w:val="9"/>
    <w:pPr>
      <w:keepNext/>
      <w:keepLines/>
      <w:spacing w:before="260" w:after="260" w:line="360" w:lineRule="auto"/>
      <w:ind w:firstLine="602" w:firstLineChars="200"/>
      <w:outlineLvl w:val="2"/>
    </w:pPr>
    <w:rPr>
      <w:rFonts w:ascii="仿宋_GB2312" w:hAnsi="Times New Roman" w:eastAsia="仿宋_GB2312" w:cs="Times New Roman"/>
      <w:b/>
      <w:bCs/>
      <w:sz w:val="30"/>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iPriority w:val="0"/>
    <w:pPr>
      <w:ind w:firstLine="420" w:firstLineChars="200"/>
      <w:jc w:val="left"/>
    </w:pPr>
    <w:rPr>
      <w:rFonts w:ascii="Calibri" w:hAnsi="Calibri"/>
      <w:b/>
      <w:kern w:val="1"/>
      <w:szCs w:val="24"/>
    </w:rPr>
  </w:style>
  <w:style w:type="paragraph" w:styleId="3">
    <w:name w:val="Body Text Indent"/>
    <w:basedOn w:val="1"/>
    <w:next w:val="2"/>
    <w:qFormat/>
    <w:uiPriority w:val="0"/>
    <w:pPr>
      <w:ind w:firstLine="540"/>
    </w:pPr>
    <w:rPr>
      <w:sz w:val="28"/>
      <w:szCs w:val="20"/>
    </w:rPr>
  </w:style>
  <w:style w:type="paragraph" w:styleId="4">
    <w:name w:val="Body Text First Indent"/>
    <w:basedOn w:val="5"/>
    <w:next w:val="1"/>
    <w:unhideWhenUsed/>
    <w:qFormat/>
    <w:uiPriority w:val="99"/>
    <w:pPr>
      <w:widowControl/>
      <w:spacing w:line="312" w:lineRule="auto"/>
      <w:ind w:firstLine="420" w:firstLineChars="100"/>
      <w:jc w:val="left"/>
    </w:pPr>
    <w:rPr>
      <w:rFonts w:ascii="Times New Roman" w:hAnsi="Times New Roman"/>
      <w:kern w:val="0"/>
      <w:sz w:val="20"/>
      <w:szCs w:val="20"/>
    </w:rPr>
  </w:style>
  <w:style w:type="paragraph" w:styleId="5">
    <w:name w:val="Body Text"/>
    <w:basedOn w:val="1"/>
    <w:next w:val="4"/>
    <w:unhideWhenUsed/>
    <w:qFormat/>
    <w:uiPriority w:val="0"/>
    <w:pPr>
      <w:spacing w:after="120"/>
    </w:pPr>
  </w:style>
  <w:style w:type="paragraph" w:styleId="7">
    <w:name w:val="Normal Indent"/>
    <w:basedOn w:val="1"/>
    <w:semiHidden/>
    <w:unhideWhenUsed/>
    <w:uiPriority w:val="99"/>
    <w:pPr>
      <w:ind w:firstLine="420" w:firstLineChars="200"/>
    </w:pPr>
  </w:style>
  <w:style w:type="paragraph" w:styleId="8">
    <w:name w:val="footer"/>
    <w:basedOn w:val="1"/>
    <w:link w:val="13"/>
    <w:semiHidden/>
    <w:unhideWhenUsed/>
    <w:uiPriority w:val="99"/>
    <w:pPr>
      <w:tabs>
        <w:tab w:val="center" w:pos="4153"/>
        <w:tab w:val="right" w:pos="8306"/>
      </w:tabs>
      <w:snapToGrid w:val="0"/>
      <w:jc w:val="left"/>
    </w:pPr>
    <w:rPr>
      <w:sz w:val="18"/>
      <w:szCs w:val="18"/>
    </w:rPr>
  </w:style>
  <w:style w:type="paragraph" w:styleId="9">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semiHidden/>
    <w:uiPriority w:val="99"/>
    <w:rPr>
      <w:sz w:val="18"/>
      <w:szCs w:val="18"/>
    </w:rPr>
  </w:style>
  <w:style w:type="character" w:customStyle="1" w:styleId="13">
    <w:name w:val="页脚 Char"/>
    <w:basedOn w:val="11"/>
    <w:link w:val="8"/>
    <w:semiHidden/>
    <w:uiPriority w:val="99"/>
    <w:rPr>
      <w:sz w:val="18"/>
      <w:szCs w:val="18"/>
    </w:rPr>
  </w:style>
  <w:style w:type="character" w:customStyle="1" w:styleId="14">
    <w:name w:val="标题 3 Char"/>
    <w:basedOn w:val="11"/>
    <w:link w:val="6"/>
    <w:qFormat/>
    <w:uiPriority w:val="9"/>
    <w:rPr>
      <w:rFonts w:ascii="仿宋_GB2312" w:hAnsi="Times New Roman" w:eastAsia="仿宋_GB2312" w:cs="Times New Roman"/>
      <w:b/>
      <w:bCs/>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58</Words>
  <Characters>334</Characters>
  <Lines>2</Lines>
  <Paragraphs>1</Paragraphs>
  <TotalTime>16</TotalTime>
  <ScaleCrop>false</ScaleCrop>
  <LinksUpToDate>false</LinksUpToDate>
  <CharactersWithSpaces>391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2023-07-25T09:41:00Z</dcterms:created>
  <dc:creator>Windows User</dc:creator>
  <cp:lastModifiedBy>梁斌|liangb</cp:lastModifiedBy>
  <dcterms:modified xsi:type="dcterms:W3CDTF">2023-07-26T01:21:49Z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C064183032AC485E820160F127EF6687</vt:lpwstr>
  </property>
</Properties>
</file>