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rPr>
      </w:pPr>
      <w:bookmarkStart w:id="0" w:name="_Toc109126345"/>
      <w:r>
        <w:rPr>
          <w:rFonts w:hint="eastAsia" w:ascii="仿宋" w:hAnsi="仿宋" w:eastAsia="仿宋" w:cs="仿宋"/>
        </w:rPr>
        <w:t>中标人公告内容</w:t>
      </w:r>
      <w:bookmarkEnd w:id="0"/>
    </w:p>
    <w:p>
      <w:pPr>
        <w:spacing w:line="360" w:lineRule="auto"/>
        <w:rPr>
          <w:rFonts w:hint="eastAsia" w:ascii="仿宋" w:hAnsi="仿宋" w:eastAsia="仿宋" w:cs="仿宋"/>
          <w:spacing w:val="20"/>
          <w:sz w:val="24"/>
        </w:rPr>
      </w:pPr>
      <w:r>
        <w:rPr>
          <w:rFonts w:hint="eastAsia" w:ascii="仿宋" w:hAnsi="仿宋" w:eastAsia="仿宋" w:cs="仿宋"/>
          <w:spacing w:val="20"/>
          <w:sz w:val="24"/>
        </w:rPr>
        <w:t xml:space="preserve">采购项目：碧湖智能停车系统项目                            </w:t>
      </w:r>
    </w:p>
    <w:p>
      <w:pPr>
        <w:spacing w:line="360" w:lineRule="auto"/>
        <w:rPr>
          <w:rFonts w:hint="eastAsia" w:ascii="仿宋" w:hAnsi="仿宋" w:eastAsia="仿宋" w:cs="仿宋"/>
          <w:sz w:val="24"/>
          <w:szCs w:val="28"/>
        </w:rPr>
      </w:pPr>
      <w:r>
        <w:rPr>
          <w:rFonts w:hint="eastAsia" w:ascii="仿宋" w:hAnsi="仿宋" w:eastAsia="仿宋" w:cs="仿宋"/>
          <w:spacing w:val="20"/>
          <w:sz w:val="24"/>
        </w:rPr>
        <w:t>采购编号</w:t>
      </w:r>
      <w:r>
        <w:rPr>
          <w:rFonts w:hint="eastAsia" w:ascii="仿宋" w:hAnsi="仿宋" w:eastAsia="仿宋" w:cs="仿宋"/>
          <w:sz w:val="24"/>
          <w:szCs w:val="28"/>
        </w:rPr>
        <w:t>：浙明丽采2022050号</w:t>
      </w:r>
    </w:p>
    <w:p>
      <w:pPr>
        <w:spacing w:line="360" w:lineRule="auto"/>
        <w:rPr>
          <w:rFonts w:hint="eastAsia" w:ascii="仿宋" w:hAnsi="仿宋" w:eastAsia="仿宋" w:cs="仿宋"/>
          <w:spacing w:val="20"/>
          <w:sz w:val="24"/>
        </w:rPr>
      </w:pPr>
      <w:r>
        <w:rPr>
          <w:rFonts w:hint="eastAsia" w:ascii="仿宋" w:hAnsi="仿宋" w:eastAsia="仿宋" w:cs="仿宋"/>
          <w:sz w:val="24"/>
          <w:szCs w:val="28"/>
        </w:rPr>
        <w:t>标段：</w:t>
      </w:r>
      <w:bookmarkStart w:id="1" w:name="_GoBack"/>
      <w:bookmarkEnd w:id="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1985"/>
        <w:gridCol w:w="30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中标人名称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浙江移动信息系统集成有限公司</w:t>
            </w: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中标人负责人</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pacing w:val="20"/>
                <w:sz w:val="24"/>
                <w:lang w:val="en-US" w:eastAsia="zh-CN"/>
              </w:rPr>
            </w:pPr>
            <w:r>
              <w:rPr>
                <w:rFonts w:hint="eastAsia" w:ascii="仿宋" w:hAnsi="仿宋" w:eastAsia="仿宋" w:cs="仿宋"/>
                <w:spacing w:val="20"/>
                <w:sz w:val="24"/>
                <w:lang w:val="en-US" w:eastAsia="zh-CN"/>
              </w:rPr>
              <w:t>钱军波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中标人地址</w:t>
            </w:r>
          </w:p>
        </w:tc>
        <w:tc>
          <w:tcPr>
            <w:tcW w:w="616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杭州市萧山经济技术开发区市心北路99号411室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 xml:space="preserve">  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内容</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单位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数量</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★800W AI 智能车位管理枪机（远枪）</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77</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★800W AI 智能车位管理枪机（近枪）</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68</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摄像头支架</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145</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单目视频桩</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2</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双目视频桩</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管理员 POS 机</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2</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交换机 8 口</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65</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智能浪涌保护器</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65</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立杆（L6-4）</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65</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立杆基础及套件</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65</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接地桩</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65</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抱杆机箱</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65</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落地机箱</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3</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停车告示牌</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45</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超五类室外网线</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米</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1736</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监控电源线</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米</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1736</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强电电源线缆</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米</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4216</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PVC 管</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米</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492</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镀锌钢管</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米</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945</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PE 管</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米</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2150</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电力接入及电表安装</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点</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23</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辅材</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批</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65</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立杆吊装</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项</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65</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绿化带（设备、线缆安装施工）</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米</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521</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步行砖（设备、线缆安装施工）</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米</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1604</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混凝土路面（设备、线缆安装施工）</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米</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144</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沥青路面（设备、线缆安装施工）</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米</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136</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花岗岩路面（设备、线缆安装施工）</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米</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832</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车位喷码</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568</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车位画线</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38</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手井制作</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个</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65</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车位相机安装调试</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145</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视频桩设备安装调试费</w:t>
            </w:r>
          </w:p>
        </w:tc>
        <w:tc>
          <w:tcPr>
            <w:tcW w:w="2334"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个</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8</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核心交换机</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2</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监控中心全千兆交换机</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视频云存储软件</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云存储管理节点</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2</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视频云存储</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3</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云存储运维软件</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云存储运维节点</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下一代防火墙</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日志审计系统</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终端检测响应平台</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数据库审计与风险控制系统</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44500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计算机终端审计工具</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边缘云容器硬件</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3</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边缘云计算平台</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城市停车运营管理平台</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2769000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视频管理平台</w:t>
            </w: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1</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pacing w:val="20"/>
                <w:sz w:val="24"/>
              </w:rPr>
            </w:pPr>
            <w:r>
              <w:rPr>
                <w:rFonts w:hint="eastAsia" w:ascii="仿宋" w:hAnsi="仿宋" w:eastAsia="仿宋" w:cs="仿宋"/>
                <w:i w:val="0"/>
                <w:iCs w:val="0"/>
                <w:color w:val="000000"/>
                <w:kern w:val="0"/>
                <w:sz w:val="22"/>
                <w:szCs w:val="22"/>
                <w:u w:val="none"/>
                <w:lang w:val="en-US" w:eastAsia="zh-CN" w:bidi="ar"/>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中标金额合计</w:t>
            </w: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spacing w:val="20"/>
                <w:sz w:val="24"/>
                <w:lang w:val="en-US" w:eastAsia="zh-CN"/>
              </w:rPr>
            </w:pPr>
            <w:r>
              <w:rPr>
                <w:rFonts w:hint="eastAsia" w:ascii="仿宋" w:hAnsi="仿宋" w:eastAsia="仿宋" w:cs="仿宋"/>
                <w:spacing w:val="20"/>
                <w:sz w:val="24"/>
                <w:lang w:val="en-US" w:eastAsia="zh-CN"/>
              </w:rPr>
              <w:t>6488800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472"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pacing w:val="20"/>
                <w:sz w:val="24"/>
              </w:rPr>
            </w:pPr>
            <w:r>
              <w:rPr>
                <w:rFonts w:hint="eastAsia" w:ascii="仿宋" w:hAnsi="仿宋" w:eastAsia="仿宋" w:cs="仿宋"/>
                <w:spacing w:val="20"/>
                <w:sz w:val="24"/>
              </w:rPr>
              <w:t>服务要求：</w:t>
            </w:r>
          </w:p>
          <w:p>
            <w:pPr>
              <w:spacing w:line="360" w:lineRule="auto"/>
              <w:rPr>
                <w:rFonts w:hint="eastAsia" w:ascii="仿宋" w:hAnsi="仿宋" w:eastAsia="仿宋" w:cs="仿宋"/>
                <w:spacing w:val="20"/>
                <w:sz w:val="24"/>
              </w:rPr>
            </w:pPr>
            <w:r>
              <w:rPr>
                <w:rFonts w:hint="eastAsia" w:ascii="仿宋" w:hAnsi="仿宋" w:eastAsia="仿宋" w:cs="仿宋"/>
                <w:spacing w:val="20"/>
                <w:sz w:val="24"/>
              </w:rPr>
              <w:t>1、质量保修期从竣工验收合格之日开始计算,除非采购人另有要求，在质量保修期内的服务均为免费上门服务。整体系统质量保修期（免费维修期）为60个月。</w:t>
            </w:r>
          </w:p>
          <w:p>
            <w:pPr>
              <w:spacing w:line="360" w:lineRule="auto"/>
              <w:rPr>
                <w:rFonts w:hint="eastAsia" w:ascii="仿宋" w:hAnsi="仿宋" w:eastAsia="仿宋" w:cs="仿宋"/>
                <w:spacing w:val="20"/>
                <w:sz w:val="24"/>
              </w:rPr>
            </w:pPr>
            <w:r>
              <w:rPr>
                <w:rFonts w:hint="eastAsia" w:ascii="仿宋" w:hAnsi="仿宋" w:eastAsia="仿宋" w:cs="仿宋"/>
                <w:spacing w:val="20"/>
                <w:sz w:val="24"/>
              </w:rPr>
              <w:t>2、维护人员：驻点人员不少于1名，时间不少于1年；具有系统集成维护经验；有良好的组织和沟通协调能力；计算机、网络、信息化相关专业。</w:t>
            </w:r>
          </w:p>
          <w:p>
            <w:pPr>
              <w:spacing w:line="360" w:lineRule="auto"/>
              <w:rPr>
                <w:rFonts w:hint="eastAsia" w:ascii="仿宋" w:hAnsi="仿宋" w:eastAsia="仿宋" w:cs="仿宋"/>
                <w:spacing w:val="20"/>
                <w:sz w:val="24"/>
              </w:rPr>
            </w:pPr>
            <w:r>
              <w:rPr>
                <w:rFonts w:hint="eastAsia" w:ascii="仿宋" w:hAnsi="仿宋" w:eastAsia="仿宋" w:cs="仿宋"/>
                <w:spacing w:val="20"/>
                <w:sz w:val="24"/>
              </w:rPr>
              <w:t>3、在质量保修期内，采购人有故障申报，投标人须在10分钟内电话响应，在1小时内赶到现场，12小时内解决。若不能解决，须提供同等性能、同等配置的设备替换，以确保采购人的系统不中断运行。</w:t>
            </w:r>
          </w:p>
          <w:p>
            <w:pPr>
              <w:spacing w:line="360" w:lineRule="auto"/>
              <w:rPr>
                <w:rFonts w:hint="eastAsia" w:ascii="仿宋" w:hAnsi="仿宋" w:eastAsia="仿宋" w:cs="仿宋"/>
                <w:spacing w:val="20"/>
                <w:sz w:val="24"/>
              </w:rPr>
            </w:pPr>
          </w:p>
        </w:tc>
      </w:tr>
    </w:tbl>
    <w:p>
      <w:pPr>
        <w:rPr>
          <w:rFonts w:hint="eastAsia" w:ascii="仿宋" w:hAnsi="仿宋" w:eastAsia="仿宋" w:cs="仿宋"/>
          <w:spacing w:val="20"/>
          <w:szCs w:val="21"/>
        </w:rPr>
      </w:pPr>
      <w:r>
        <w:rPr>
          <w:rFonts w:hint="eastAsia" w:ascii="仿宋" w:hAnsi="仿宋" w:eastAsia="仿宋" w:cs="仿宋"/>
          <w:spacing w:val="20"/>
          <w:szCs w:val="21"/>
        </w:rPr>
        <w:t>注：1、中标人应根据其投标情况填写该表，并保证其与投标文件内容的一致性、正确性和真实性；</w:t>
      </w:r>
    </w:p>
    <w:p>
      <w:pPr>
        <w:ind w:firstLine="490" w:firstLineChars="196"/>
        <w:rPr>
          <w:rFonts w:hint="eastAsia" w:ascii="仿宋" w:hAnsi="仿宋" w:eastAsia="仿宋" w:cs="仿宋"/>
          <w:spacing w:val="20"/>
          <w:szCs w:val="21"/>
        </w:rPr>
      </w:pPr>
      <w:r>
        <w:rPr>
          <w:rFonts w:hint="eastAsia" w:ascii="仿宋" w:hAnsi="仿宋" w:eastAsia="仿宋" w:cs="仿宋"/>
          <w:spacing w:val="20"/>
          <w:szCs w:val="21"/>
        </w:rPr>
        <w:t>2、填写该表不代表中标人已具有中标人资格。本表只作为中标结果公告内容的一部分，进行公告使用；</w:t>
      </w:r>
    </w:p>
    <w:p>
      <w:pPr>
        <w:ind w:firstLine="490" w:firstLineChars="196"/>
        <w:rPr>
          <w:rFonts w:hint="eastAsia" w:ascii="仿宋" w:hAnsi="仿宋" w:eastAsia="仿宋" w:cs="仿宋"/>
          <w:spacing w:val="20"/>
          <w:szCs w:val="21"/>
        </w:rPr>
      </w:pPr>
      <w:r>
        <w:rPr>
          <w:rFonts w:hint="eastAsia" w:ascii="仿宋" w:hAnsi="仿宋" w:eastAsia="仿宋" w:cs="仿宋"/>
          <w:spacing w:val="20"/>
          <w:szCs w:val="21"/>
        </w:rPr>
        <w:t>3、本表内容涉及较多，中标人可以适当增减表格行数，以保证表格内容的完整；</w:t>
      </w:r>
    </w:p>
    <w:p>
      <w:pPr>
        <w:ind w:firstLine="490" w:firstLineChars="196"/>
        <w:rPr>
          <w:rFonts w:hint="eastAsia" w:ascii="仿宋" w:hAnsi="仿宋" w:eastAsia="仿宋" w:cs="仿宋"/>
          <w:spacing w:val="20"/>
          <w:szCs w:val="21"/>
        </w:rPr>
      </w:pPr>
      <w:r>
        <w:rPr>
          <w:rFonts w:hint="eastAsia" w:ascii="仿宋" w:hAnsi="仿宋" w:eastAsia="仿宋" w:cs="仿宋"/>
          <w:spacing w:val="20"/>
          <w:szCs w:val="21"/>
        </w:rPr>
        <w:t>4、评审结果排名第一的中标人在评审结束后</w:t>
      </w:r>
      <w:r>
        <w:rPr>
          <w:rFonts w:hint="eastAsia" w:ascii="仿宋" w:hAnsi="仿宋" w:eastAsia="仿宋" w:cs="仿宋"/>
          <w:b/>
          <w:spacing w:val="20"/>
          <w:szCs w:val="21"/>
        </w:rPr>
        <w:t>2个工作日内</w:t>
      </w:r>
      <w:r>
        <w:rPr>
          <w:rFonts w:hint="eastAsia" w:ascii="仿宋" w:hAnsi="仿宋" w:eastAsia="仿宋" w:cs="仿宋"/>
          <w:spacing w:val="20"/>
          <w:szCs w:val="21"/>
        </w:rPr>
        <w:t>将该表格及项目投标文件电子文档刻录成光盘或将电子文档提交给代理机构的项目负责人。未按时提交规定内容造成后果由中标人自行承担。</w:t>
      </w:r>
    </w:p>
    <w:p>
      <w:pPr>
        <w:ind w:firstLine="490" w:firstLineChars="196"/>
        <w:rPr>
          <w:rFonts w:hint="eastAsia" w:ascii="仿宋" w:hAnsi="仿宋" w:eastAsia="仿宋" w:cs="仿宋"/>
          <w:spacing w:val="20"/>
          <w:szCs w:val="21"/>
        </w:rPr>
      </w:pPr>
      <w:r>
        <w:rPr>
          <w:rFonts w:hint="eastAsia" w:ascii="仿宋" w:hAnsi="仿宋" w:eastAsia="仿宋" w:cs="仿宋"/>
          <w:spacing w:val="20"/>
          <w:szCs w:val="21"/>
        </w:rPr>
        <w:t>5、中标结果公告内容如涉及中标人的商业秘密等法律法规规定可以不予公告的情形，中标人应另附书面说明，如未事前书面说明造成的后果由中标人自行承担。</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17F8F"/>
    <w:rsid w:val="09436EC0"/>
    <w:rsid w:val="1C1C3D2F"/>
    <w:rsid w:val="37817F8F"/>
    <w:rsid w:val="46293CBC"/>
    <w:rsid w:val="5BA31564"/>
    <w:rsid w:val="5E24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浙江有限公司</Company>
  <Pages>1</Pages>
  <Words>0</Words>
  <Characters>0</Characters>
  <Lines>0</Lines>
  <Paragraphs>0</Paragraphs>
  <TotalTime>5</TotalTime>
  <ScaleCrop>false</ScaleCrop>
  <LinksUpToDate>false</LinksUpToDate>
  <CharactersWithSpaces>0</CharactersWithSpaces>
  <Application>WPS Office_11.8.2.11483_F1E327BC-269C-435d-A152-05C5408002CA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2022-09-15T09:13:00Z</dcterms:created>
  <dc:creator>wb_chengaofeng6</dc:creator>
  <cp:lastModifiedBy>wb_chengaofeng6</cp:lastModifiedBy>
  <dcterms:modified xsi:type="dcterms:W3CDTF">2022-09-15T09:27:40Z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2052-11.8.2.11483</vt:lpwstr>
  </property>
  <property fmtid="{D5CDD505-2E9C-101B-9397-08002B2CF9AE}" pid="3" name="ICV">
    <vt:lpwstr>A5A144290FA6472AB5570C36A3D5F24E</vt:lpwstr>
  </property>
</Properties>
</file>