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E1C8D">
      <w:pPr>
        <w:jc w:val="center"/>
        <w:outlineLvl w:val="0"/>
        <w:rPr>
          <w:rFonts w:hint="eastAsia" w:ascii="仿宋" w:hAnsi="仿宋" w:eastAsia="仿宋" w:cs="仿宋"/>
          <w:b/>
          <w:color w:val="auto"/>
          <w:sz w:val="72"/>
          <w:szCs w:val="72"/>
          <w:highlight w:val="none"/>
        </w:rPr>
      </w:pPr>
      <w:r>
        <w:rPr>
          <w:rFonts w:hint="eastAsia" w:ascii="仿宋" w:hAnsi="仿宋" w:eastAsia="仿宋" w:cs="仿宋_GB2312"/>
          <w:b/>
          <w:color w:val="auto"/>
          <w:sz w:val="36"/>
          <w:szCs w:val="36"/>
          <w:highlight w:val="none"/>
          <w:lang w:val="zh-CN"/>
        </w:rPr>
        <w:t>绍兴市柯桥区妇幼保健院HIS一体化集成平台（软件）项目（第二次）</w:t>
      </w:r>
    </w:p>
    <w:p w14:paraId="4ED84245">
      <w:pPr>
        <w:jc w:val="center"/>
        <w:outlineLvl w:val="0"/>
        <w:rPr>
          <w:rFonts w:hint="eastAsia" w:ascii="仿宋" w:hAnsi="仿宋" w:eastAsia="仿宋" w:cs="仿宋"/>
          <w:b/>
          <w:color w:val="auto"/>
          <w:sz w:val="72"/>
          <w:szCs w:val="72"/>
          <w:highlight w:val="none"/>
        </w:rPr>
      </w:pPr>
    </w:p>
    <w:p w14:paraId="0AC7365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bookmarkStart w:id="191" w:name="_GoBack"/>
      <w:bookmarkEnd w:id="191"/>
    </w:p>
    <w:p w14:paraId="1395BD78">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2FD0176F">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532C754C">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66213F2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4279BE27">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2F5A42F0">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4711CDBE">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ACC982C">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rPr>
        <w:fldChar w:fldCharType="begin"/>
      </w:r>
      <w:r>
        <w:rPr>
          <w:rFonts w:hint="eastAsia" w:ascii="仿宋" w:hAnsi="仿宋" w:eastAsia="仿宋" w:cs="仿宋"/>
          <w:b/>
          <w:color w:val="auto"/>
          <w:sz w:val="28"/>
          <w:szCs w:val="28"/>
          <w:highlight w:val="none"/>
        </w:rPr>
        <w:instrText xml:space="preserve"> HYPERLINK "https://pay.zcygov.cn/purchaseplan_front/" \l "/plan/list/view?id=1000000000015585040&amp;_app_=zcy.procurement" \t "https://www.zcygov.cn/project-center/_procurement_/purchasePlans/_blank" </w:instrText>
      </w:r>
      <w:r>
        <w:rPr>
          <w:rFonts w:hint="eastAsia" w:ascii="仿宋" w:hAnsi="仿宋" w:eastAsia="仿宋" w:cs="仿宋"/>
          <w:b/>
          <w:color w:val="auto"/>
          <w:sz w:val="28"/>
          <w:szCs w:val="28"/>
          <w:highlight w:val="none"/>
        </w:rPr>
        <w:fldChar w:fldCharType="separate"/>
      </w:r>
      <w:r>
        <w:rPr>
          <w:rFonts w:hint="eastAsia" w:ascii="仿宋" w:hAnsi="仿宋" w:eastAsia="仿宋" w:cs="仿宋"/>
          <w:b/>
          <w:color w:val="auto"/>
          <w:sz w:val="28"/>
          <w:szCs w:val="28"/>
          <w:highlight w:val="none"/>
          <w:lang w:eastAsia="zh-CN"/>
        </w:rPr>
        <w:t>绍柯采[2025]</w:t>
      </w:r>
      <w:r>
        <w:rPr>
          <w:rFonts w:hint="eastAsia" w:ascii="仿宋" w:hAnsi="仿宋" w:eastAsia="仿宋" w:cs="仿宋"/>
          <w:b/>
          <w:color w:val="auto"/>
          <w:sz w:val="28"/>
          <w:szCs w:val="28"/>
          <w:highlight w:val="none"/>
          <w:lang w:val="en-US" w:eastAsia="zh-CN"/>
        </w:rPr>
        <w:t>222</w:t>
      </w:r>
      <w:r>
        <w:rPr>
          <w:rFonts w:hint="eastAsia" w:ascii="仿宋" w:hAnsi="仿宋" w:eastAsia="仿宋" w:cs="仿宋"/>
          <w:b/>
          <w:color w:val="auto"/>
          <w:sz w:val="28"/>
          <w:szCs w:val="28"/>
          <w:highlight w:val="none"/>
          <w:lang w:eastAsia="zh-CN"/>
        </w:rPr>
        <w:t>号-1</w:t>
      </w:r>
      <w:r>
        <w:rPr>
          <w:rFonts w:hint="eastAsia" w:ascii="仿宋" w:hAnsi="仿宋" w:eastAsia="仿宋" w:cs="仿宋"/>
          <w:b/>
          <w:color w:val="auto"/>
          <w:sz w:val="28"/>
          <w:szCs w:val="28"/>
          <w:highlight w:val="none"/>
        </w:rPr>
        <w:fldChar w:fldCharType="end"/>
      </w:r>
    </w:p>
    <w:tbl>
      <w:tblPr>
        <w:tblStyle w:val="63"/>
        <w:tblW w:w="7801" w:type="dxa"/>
        <w:jc w:val="center"/>
        <w:tblLayout w:type="fixed"/>
        <w:tblCellMar>
          <w:top w:w="0" w:type="dxa"/>
          <w:left w:w="108" w:type="dxa"/>
          <w:bottom w:w="0" w:type="dxa"/>
          <w:right w:w="108" w:type="dxa"/>
        </w:tblCellMar>
      </w:tblPr>
      <w:tblGrid>
        <w:gridCol w:w="2356"/>
        <w:gridCol w:w="5445"/>
      </w:tblGrid>
      <w:tr w14:paraId="169FD570">
        <w:tblPrEx>
          <w:tblCellMar>
            <w:top w:w="0" w:type="dxa"/>
            <w:left w:w="108" w:type="dxa"/>
            <w:bottom w:w="0" w:type="dxa"/>
            <w:right w:w="108" w:type="dxa"/>
          </w:tblCellMar>
        </w:tblPrEx>
        <w:trPr>
          <w:trHeight w:val="443" w:hRule="atLeast"/>
          <w:jc w:val="center"/>
        </w:trPr>
        <w:tc>
          <w:tcPr>
            <w:tcW w:w="2356" w:type="dxa"/>
          </w:tcPr>
          <w:p w14:paraId="527215E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93E2A37">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绍兴市柯桥区妇幼保健院</w:t>
            </w:r>
          </w:p>
        </w:tc>
      </w:tr>
      <w:tr w14:paraId="2E993468">
        <w:tblPrEx>
          <w:tblCellMar>
            <w:top w:w="0" w:type="dxa"/>
            <w:left w:w="108" w:type="dxa"/>
            <w:bottom w:w="0" w:type="dxa"/>
            <w:right w:w="108" w:type="dxa"/>
          </w:tblCellMar>
        </w:tblPrEx>
        <w:trPr>
          <w:trHeight w:val="494" w:hRule="atLeast"/>
          <w:jc w:val="center"/>
        </w:trPr>
        <w:tc>
          <w:tcPr>
            <w:tcW w:w="2356" w:type="dxa"/>
          </w:tcPr>
          <w:p w14:paraId="3AF20B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49492D2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浙江建诚工程管理咨询有限公司</w:t>
            </w:r>
          </w:p>
        </w:tc>
      </w:tr>
      <w:tr w14:paraId="4071BB7F">
        <w:tblPrEx>
          <w:tblCellMar>
            <w:top w:w="0" w:type="dxa"/>
            <w:left w:w="108" w:type="dxa"/>
            <w:bottom w:w="0" w:type="dxa"/>
            <w:right w:w="108" w:type="dxa"/>
          </w:tblCellMar>
        </w:tblPrEx>
        <w:trPr>
          <w:trHeight w:val="397" w:hRule="atLeast"/>
          <w:jc w:val="center"/>
        </w:trPr>
        <w:tc>
          <w:tcPr>
            <w:tcW w:w="2356" w:type="dxa"/>
            <w:vAlign w:val="center"/>
          </w:tcPr>
          <w:p w14:paraId="33B1AB1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0234D73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6A1D1AD9">
        <w:tblPrEx>
          <w:tblCellMar>
            <w:top w:w="0" w:type="dxa"/>
            <w:left w:w="108" w:type="dxa"/>
            <w:bottom w:w="0" w:type="dxa"/>
            <w:right w:w="108" w:type="dxa"/>
          </w:tblCellMar>
        </w:tblPrEx>
        <w:trPr>
          <w:trHeight w:val="333" w:hRule="atLeast"/>
          <w:jc w:val="center"/>
        </w:trPr>
        <w:tc>
          <w:tcPr>
            <w:tcW w:w="7801" w:type="dxa"/>
            <w:gridSpan w:val="2"/>
          </w:tcPr>
          <w:p w14:paraId="580D835D">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06C6048B">
      <w:pPr>
        <w:pStyle w:val="636"/>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14B662A9">
      <w:pPr>
        <w:pStyle w:val="636"/>
        <w:pageBreakBefore w:val="0"/>
        <w:widowControl w:val="0"/>
        <w:numPr>
          <w:ilvl w:val="1"/>
          <w:numId w:val="0"/>
        </w:numPr>
        <w:kinsoku/>
        <w:wordWrap/>
        <w:overflowPunct/>
        <w:topLinePunct w:val="0"/>
        <w:autoSpaceDE/>
        <w:autoSpaceDN/>
        <w:bidi w:val="0"/>
        <w:spacing w:before="0" w:after="0" w:line="360" w:lineRule="auto"/>
        <w:ind w:leftChars="0"/>
        <w:textAlignment w:val="auto"/>
        <w:rPr>
          <w:rFonts w:hint="eastAsia" w:ascii="仿宋" w:hAnsi="仿宋" w:eastAsia="仿宋" w:cs="仿宋"/>
          <w:color w:val="auto"/>
          <w:highlight w:val="none"/>
        </w:rPr>
      </w:pPr>
    </w:p>
    <w:p w14:paraId="73889B2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51AD9BA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6C875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547E68A">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66F04D6">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D26D565">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6562C6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2CAEFE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FBE7CB7">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A288AD3">
      <w:pPr>
        <w:spacing w:line="360" w:lineRule="auto"/>
        <w:ind w:firstLine="549" w:firstLineChars="229"/>
        <w:rPr>
          <w:rFonts w:hint="eastAsia" w:ascii="仿宋" w:hAnsi="仿宋" w:eastAsia="仿宋" w:cs="仿宋"/>
          <w:color w:val="auto"/>
          <w:sz w:val="24"/>
          <w:highlight w:val="none"/>
        </w:rPr>
      </w:pPr>
    </w:p>
    <w:p w14:paraId="61A89914">
      <w:pPr>
        <w:spacing w:line="360" w:lineRule="auto"/>
        <w:ind w:firstLine="549" w:firstLineChars="229"/>
        <w:rPr>
          <w:rFonts w:hint="eastAsia" w:ascii="仿宋" w:hAnsi="仿宋" w:eastAsia="仿宋" w:cs="仿宋"/>
          <w:color w:val="auto"/>
          <w:sz w:val="24"/>
          <w:highlight w:val="none"/>
        </w:rPr>
      </w:pPr>
    </w:p>
    <w:p w14:paraId="10637CBE">
      <w:pPr>
        <w:spacing w:line="360" w:lineRule="auto"/>
        <w:ind w:firstLine="549" w:firstLineChars="229"/>
        <w:rPr>
          <w:rFonts w:hint="eastAsia" w:ascii="仿宋" w:hAnsi="仿宋" w:eastAsia="仿宋" w:cs="仿宋"/>
          <w:color w:val="auto"/>
          <w:sz w:val="24"/>
          <w:highlight w:val="none"/>
        </w:rPr>
      </w:pPr>
    </w:p>
    <w:p w14:paraId="2A732347">
      <w:pPr>
        <w:spacing w:line="360" w:lineRule="auto"/>
        <w:ind w:firstLine="549" w:firstLineChars="229"/>
        <w:rPr>
          <w:rFonts w:hint="eastAsia" w:ascii="仿宋" w:hAnsi="仿宋" w:eastAsia="仿宋" w:cs="仿宋"/>
          <w:color w:val="auto"/>
          <w:sz w:val="24"/>
          <w:highlight w:val="none"/>
        </w:rPr>
      </w:pPr>
    </w:p>
    <w:p w14:paraId="3FDF40B0">
      <w:pPr>
        <w:spacing w:line="360" w:lineRule="auto"/>
        <w:ind w:firstLine="549" w:firstLineChars="229"/>
        <w:rPr>
          <w:rFonts w:hint="eastAsia" w:ascii="仿宋" w:hAnsi="仿宋" w:eastAsia="仿宋" w:cs="仿宋"/>
          <w:color w:val="auto"/>
          <w:sz w:val="24"/>
          <w:highlight w:val="none"/>
        </w:rPr>
      </w:pPr>
    </w:p>
    <w:p w14:paraId="48383268">
      <w:pPr>
        <w:spacing w:line="360" w:lineRule="auto"/>
        <w:ind w:firstLine="549" w:firstLineChars="229"/>
        <w:rPr>
          <w:rFonts w:hint="eastAsia" w:ascii="仿宋" w:hAnsi="仿宋" w:eastAsia="仿宋" w:cs="仿宋"/>
          <w:color w:val="auto"/>
          <w:sz w:val="24"/>
          <w:highlight w:val="none"/>
        </w:rPr>
      </w:pPr>
    </w:p>
    <w:p w14:paraId="5F0692BD">
      <w:pPr>
        <w:spacing w:line="360" w:lineRule="auto"/>
        <w:ind w:firstLine="549" w:firstLineChars="229"/>
        <w:rPr>
          <w:rFonts w:hint="eastAsia" w:ascii="仿宋" w:hAnsi="仿宋" w:eastAsia="仿宋" w:cs="仿宋"/>
          <w:color w:val="auto"/>
          <w:sz w:val="24"/>
          <w:highlight w:val="none"/>
        </w:rPr>
      </w:pPr>
    </w:p>
    <w:bookmarkEnd w:id="1"/>
    <w:p w14:paraId="05C0EB2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8"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569687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D70BF7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47F55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绍兴市柯桥区妇幼保健院HIS一体化集成平台（软件）项目（第二次）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4BCC76D">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019084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Times New Roman"/>
          <w:b w:val="0"/>
          <w:bCs/>
          <w:color w:val="auto"/>
          <w:sz w:val="24"/>
          <w:szCs w:val="28"/>
          <w:highlight w:val="none"/>
        </w:rPr>
        <w:fldChar w:fldCharType="begin"/>
      </w:r>
      <w:r>
        <w:rPr>
          <w:rFonts w:hint="eastAsia" w:ascii="仿宋" w:hAnsi="仿宋" w:eastAsia="仿宋" w:cs="Times New Roman"/>
          <w:b w:val="0"/>
          <w:bCs/>
          <w:color w:val="auto"/>
          <w:sz w:val="24"/>
          <w:szCs w:val="28"/>
          <w:highlight w:val="none"/>
        </w:rPr>
        <w:instrText xml:space="preserve"> HYPERLINK "https://pay.zcygov.cn/purchaseplan_front/" \l "/plan/list/view?id=1000000000015207543&amp;_app_=zcy.procurement" \t "https://www.zcygov.cn/project-center/_procurement_/purchasePlans/_blank" </w:instrText>
      </w:r>
      <w:r>
        <w:rPr>
          <w:rFonts w:hint="eastAsia" w:ascii="仿宋" w:hAnsi="仿宋" w:eastAsia="仿宋" w:cs="Times New Roman"/>
          <w:b w:val="0"/>
          <w:bCs/>
          <w:color w:val="auto"/>
          <w:sz w:val="24"/>
          <w:szCs w:val="28"/>
          <w:highlight w:val="none"/>
        </w:rPr>
        <w:fldChar w:fldCharType="separate"/>
      </w:r>
      <w:r>
        <w:rPr>
          <w:rFonts w:hint="eastAsia" w:ascii="仿宋" w:hAnsi="仿宋" w:eastAsia="仿宋" w:cs="Times New Roman"/>
          <w:b w:val="0"/>
          <w:bCs/>
          <w:color w:val="auto"/>
          <w:sz w:val="24"/>
          <w:szCs w:val="28"/>
          <w:highlight w:val="none"/>
          <w:lang w:eastAsia="zh-CN"/>
        </w:rPr>
        <w:t>绍柯采[2025]</w:t>
      </w:r>
      <w:r>
        <w:rPr>
          <w:rFonts w:hint="eastAsia" w:ascii="仿宋" w:hAnsi="仿宋" w:eastAsia="仿宋" w:cs="Times New Roman"/>
          <w:b w:val="0"/>
          <w:bCs/>
          <w:color w:val="auto"/>
          <w:sz w:val="24"/>
          <w:szCs w:val="28"/>
          <w:highlight w:val="none"/>
          <w:lang w:val="en-US" w:eastAsia="zh-CN"/>
        </w:rPr>
        <w:t>222</w:t>
      </w:r>
      <w:r>
        <w:rPr>
          <w:rFonts w:hint="eastAsia" w:ascii="仿宋" w:hAnsi="仿宋" w:eastAsia="仿宋" w:cs="Times New Roman"/>
          <w:b w:val="0"/>
          <w:bCs/>
          <w:color w:val="auto"/>
          <w:sz w:val="24"/>
          <w:szCs w:val="28"/>
          <w:highlight w:val="none"/>
          <w:lang w:eastAsia="zh-CN"/>
        </w:rPr>
        <w:t>号-1</w:t>
      </w:r>
      <w:r>
        <w:rPr>
          <w:rFonts w:hint="eastAsia" w:ascii="仿宋" w:hAnsi="仿宋" w:eastAsia="仿宋" w:cs="Times New Roman"/>
          <w:b w:val="0"/>
          <w:bCs/>
          <w:color w:val="auto"/>
          <w:sz w:val="24"/>
          <w:szCs w:val="28"/>
          <w:highlight w:val="none"/>
        </w:rPr>
        <w:fldChar w:fldCharType="end"/>
      </w:r>
    </w:p>
    <w:p w14:paraId="4A6B37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绍兴市柯桥区妇幼保健院HIS一体化集成平台（软件）项目（第二次）</w:t>
      </w:r>
    </w:p>
    <w:p w14:paraId="1F2D3D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olor w:val="auto"/>
          <w:sz w:val="24"/>
          <w:szCs w:val="28"/>
          <w:highlight w:val="none"/>
        </w:rPr>
        <w:t xml:space="preserve">8390000 </w:t>
      </w:r>
    </w:p>
    <w:p w14:paraId="77D59353">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olor w:val="auto"/>
          <w:sz w:val="24"/>
          <w:szCs w:val="28"/>
          <w:highlight w:val="none"/>
        </w:rPr>
        <w:t>8390000</w:t>
      </w:r>
    </w:p>
    <w:p w14:paraId="713CC3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5EA611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962AB9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绍兴市柯桥区妇幼保健院HIS一体化集成平台（软件）项目（第二次）</w:t>
      </w:r>
    </w:p>
    <w:p w14:paraId="62BAF8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1</w:t>
      </w:r>
      <w:r>
        <w:rPr>
          <w:rFonts w:hint="eastAsia" w:ascii="仿宋" w:hAnsi="仿宋" w:eastAsia="仿宋"/>
          <w:color w:val="auto"/>
          <w:sz w:val="24"/>
          <w:szCs w:val="28"/>
          <w:highlight w:val="none"/>
          <w:lang w:eastAsia="zh-CN"/>
        </w:rPr>
        <w:t>项</w:t>
      </w:r>
    </w:p>
    <w:p w14:paraId="127525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预算金额（元）：</w:t>
      </w:r>
      <w:r>
        <w:rPr>
          <w:rFonts w:hint="eastAsia" w:ascii="仿宋" w:hAnsi="仿宋" w:eastAsia="仿宋"/>
          <w:color w:val="auto"/>
          <w:sz w:val="24"/>
          <w:szCs w:val="28"/>
          <w:highlight w:val="none"/>
        </w:rPr>
        <w:t>8390000</w:t>
      </w:r>
    </w:p>
    <w:p w14:paraId="1BA366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绍兴市柯桥区妇幼保健院HIS一体化集成平台（软件）项目。具体详见采购文件第三部分。</w:t>
      </w:r>
    </w:p>
    <w:p w14:paraId="10C46086">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olor w:val="auto"/>
          <w:sz w:val="24"/>
          <w:szCs w:val="28"/>
          <w:highlight w:val="none"/>
          <w:lang w:eastAsia="zh-CN"/>
        </w:rPr>
        <w:t>在合同签订后3个月内完成核心系统上线，总体工期在3年左右，质保服务期限详见产品功能清单。</w:t>
      </w:r>
    </w:p>
    <w:p w14:paraId="4377A4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w:t>
      </w: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highlight w:val="none"/>
        </w:rPr>
        <w:t>否。</w:t>
      </w:r>
    </w:p>
    <w:p w14:paraId="29461BFC">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415370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67565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w:t>
      </w:r>
    </w:p>
    <w:p w14:paraId="6844ED4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2D5A1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B6C0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专门面向中小企业</w:t>
      </w:r>
    </w:p>
    <w:p w14:paraId="4E8D70E5">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162756BB">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68AE2093">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21F9C538">
      <w:pPr>
        <w:pageBreakBefore w:val="0"/>
        <w:widowControl w:val="0"/>
        <w:kinsoku/>
        <w:wordWrap/>
        <w:overflowPunct/>
        <w:topLinePunct w:val="0"/>
        <w:autoSpaceDE/>
        <w:autoSpaceDN/>
        <w:bidi w:val="0"/>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☐服务全部由符合政策要求的小微企业承接，提供中小企业声明函；</w:t>
      </w:r>
    </w:p>
    <w:p w14:paraId="1852AC5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C81994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17054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02B51172">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DA58892">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3A546F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592B46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244322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2F9DB9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075B494A">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00409E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522A75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7EADCC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54CB7C90">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s="仿宋"/>
          <w:b w:val="0"/>
          <w:bCs/>
          <w:color w:val="auto"/>
          <w:sz w:val="24"/>
          <w:highlight w:val="none"/>
        </w:rPr>
        <w:t>绍兴市柯桥区公共资源交易中心三楼</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cs="仿宋"/>
          <w:b w:val="0"/>
          <w:bCs/>
          <w:color w:val="auto"/>
          <w:sz w:val="24"/>
          <w:highlight w:val="none"/>
        </w:rPr>
        <w:t>号交易室（绍兴市柯桥区纺都路1066号）通过政府采购云平台（https://www.zcygov.cn）在线开标</w:t>
      </w:r>
    </w:p>
    <w:p w14:paraId="28860C84">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2FC91E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C0F9BE6">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5B74C6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FF50B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DAAC9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53D51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6CA05E">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4582E9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5" w:name="_Toc28359096"/>
      <w:bookmarkStart w:id="6" w:name="_Toc35393806"/>
      <w:bookmarkStart w:id="7" w:name="_Toc35393637"/>
      <w:bookmarkStart w:id="8" w:name="_Toc28359019"/>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采购人信息</w:t>
      </w:r>
      <w:bookmarkEnd w:id="5"/>
      <w:bookmarkEnd w:id="6"/>
      <w:bookmarkEnd w:id="7"/>
      <w:bookmarkEnd w:id="8"/>
      <w:r>
        <w:rPr>
          <w:rFonts w:hint="eastAsia" w:ascii="仿宋" w:hAnsi="仿宋" w:eastAsia="仿宋" w:cs="仿宋"/>
          <w:b/>
          <w:color w:val="auto"/>
          <w:sz w:val="24"/>
          <w:highlight w:val="none"/>
        </w:rPr>
        <w:t>：</w:t>
      </w:r>
    </w:p>
    <w:p w14:paraId="77A6B7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绍兴市柯桥区妇幼保健院</w:t>
      </w:r>
    </w:p>
    <w:p w14:paraId="156886E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地    址： </w:t>
      </w:r>
      <w:r>
        <w:rPr>
          <w:rFonts w:ascii="仿宋" w:hAnsi="仿宋" w:eastAsia="仿宋"/>
          <w:color w:val="auto"/>
          <w:sz w:val="24"/>
          <w:szCs w:val="28"/>
          <w:highlight w:val="none"/>
        </w:rPr>
        <w:t>绍兴市</w:t>
      </w:r>
      <w:r>
        <w:rPr>
          <w:rFonts w:hint="eastAsia" w:ascii="仿宋" w:hAnsi="仿宋" w:eastAsia="仿宋"/>
          <w:color w:val="auto"/>
          <w:sz w:val="24"/>
          <w:szCs w:val="28"/>
          <w:highlight w:val="none"/>
          <w:lang w:eastAsia="zh-CN"/>
        </w:rPr>
        <w:t>柯桥</w:t>
      </w:r>
      <w:r>
        <w:rPr>
          <w:rFonts w:ascii="仿宋" w:hAnsi="仿宋" w:eastAsia="仿宋"/>
          <w:color w:val="auto"/>
          <w:sz w:val="24"/>
          <w:szCs w:val="28"/>
          <w:highlight w:val="none"/>
        </w:rPr>
        <w:t>区</w:t>
      </w:r>
      <w:r>
        <w:rPr>
          <w:rFonts w:hint="eastAsia" w:ascii="仿宋" w:hAnsi="仿宋" w:eastAsia="仿宋"/>
          <w:color w:val="auto"/>
          <w:sz w:val="24"/>
          <w:szCs w:val="28"/>
          <w:highlight w:val="none"/>
          <w:lang w:eastAsia="zh-CN"/>
        </w:rPr>
        <w:t>柯岩大道</w:t>
      </w:r>
      <w:r>
        <w:rPr>
          <w:rFonts w:hint="eastAsia" w:ascii="仿宋" w:hAnsi="仿宋" w:eastAsia="仿宋"/>
          <w:color w:val="auto"/>
          <w:sz w:val="24"/>
          <w:szCs w:val="28"/>
          <w:highlight w:val="none"/>
          <w:lang w:val="en-US" w:eastAsia="zh-CN"/>
        </w:rPr>
        <w:t>778号</w:t>
      </w:r>
    </w:p>
    <w:p w14:paraId="2458A8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426F55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ascii="仿宋" w:hAnsi="仿宋" w:eastAsia="仿宋"/>
          <w:color w:val="auto"/>
          <w:sz w:val="24"/>
          <w:szCs w:val="28"/>
          <w:highlight w:val="none"/>
        </w:rPr>
        <w:t>沈</w:t>
      </w:r>
      <w:r>
        <w:rPr>
          <w:rFonts w:hint="eastAsia" w:ascii="仿宋" w:hAnsi="仿宋" w:eastAsia="仿宋"/>
          <w:color w:val="auto"/>
          <w:sz w:val="24"/>
          <w:szCs w:val="28"/>
          <w:highlight w:val="none"/>
          <w:lang w:eastAsia="zh-CN"/>
        </w:rPr>
        <w:t>老师</w:t>
      </w:r>
    </w:p>
    <w:p w14:paraId="3939219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18405751225</w:t>
      </w:r>
    </w:p>
    <w:p w14:paraId="282480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毛老师</w:t>
      </w:r>
      <w:r>
        <w:rPr>
          <w:rFonts w:hint="eastAsia" w:ascii="仿宋" w:hAnsi="仿宋" w:eastAsia="仿宋" w:cs="仿宋"/>
          <w:color w:val="auto"/>
          <w:sz w:val="24"/>
          <w:highlight w:val="none"/>
        </w:rPr>
        <w:t xml:space="preserve"> </w:t>
      </w:r>
    </w:p>
    <w:p w14:paraId="44962FF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w:t>
      </w:r>
      <w:r>
        <w:rPr>
          <w:rFonts w:hint="eastAsia" w:ascii="仿宋" w:hAnsi="仿宋" w:eastAsia="仿宋" w:cs="仿宋"/>
          <w:color w:val="auto"/>
          <w:sz w:val="24"/>
          <w:highlight w:val="none"/>
          <w:lang w:val="en-US" w:eastAsia="zh-CN"/>
        </w:rPr>
        <w:t>85028627</w:t>
      </w:r>
    </w:p>
    <w:p w14:paraId="05A171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9" w:name="_Toc35393807"/>
      <w:bookmarkStart w:id="10" w:name="_Toc35393638"/>
      <w:bookmarkStart w:id="11" w:name="_Toc28359097"/>
      <w:bookmarkStart w:id="12" w:name="_Toc28359020"/>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采购代理机构信息</w:t>
      </w:r>
      <w:bookmarkEnd w:id="9"/>
      <w:bookmarkEnd w:id="10"/>
      <w:bookmarkEnd w:id="11"/>
      <w:bookmarkEnd w:id="12"/>
      <w:r>
        <w:rPr>
          <w:rFonts w:hint="eastAsia" w:ascii="仿宋" w:hAnsi="仿宋" w:eastAsia="仿宋" w:cs="仿宋"/>
          <w:b/>
          <w:color w:val="auto"/>
          <w:sz w:val="24"/>
          <w:highlight w:val="none"/>
        </w:rPr>
        <w:t>：</w:t>
      </w:r>
    </w:p>
    <w:p w14:paraId="7ADE0C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浙江建诚工程管理咨询有限公司</w:t>
      </w:r>
      <w:r>
        <w:rPr>
          <w:rFonts w:hint="eastAsia" w:ascii="仿宋" w:hAnsi="仿宋" w:eastAsia="仿宋" w:cs="仿宋"/>
          <w:color w:val="auto"/>
          <w:sz w:val="24"/>
          <w:highlight w:val="none"/>
        </w:rPr>
        <w:t xml:space="preserve">             </w:t>
      </w:r>
    </w:p>
    <w:p w14:paraId="5B739D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绍兴市越城区平江路龙湖大厦14楼</w:t>
      </w:r>
      <w:r>
        <w:rPr>
          <w:rFonts w:hint="eastAsia" w:ascii="仿宋" w:hAnsi="仿宋" w:eastAsia="仿宋" w:cs="仿宋"/>
          <w:color w:val="auto"/>
          <w:sz w:val="24"/>
          <w:highlight w:val="none"/>
        </w:rPr>
        <w:t xml:space="preserve"> </w:t>
      </w:r>
    </w:p>
    <w:p w14:paraId="73D3A1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真：0575-88658182             </w:t>
      </w:r>
    </w:p>
    <w:p w14:paraId="3B6704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项目联系人（询问）：来蒙恩</w:t>
      </w:r>
    </w:p>
    <w:p w14:paraId="3E3EE1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w:t>
      </w:r>
      <w:r>
        <w:rPr>
          <w:rFonts w:hint="eastAsia" w:ascii="仿宋" w:hAnsi="仿宋" w:eastAsia="仿宋" w:cs="仿宋"/>
          <w:color w:val="auto"/>
          <w:sz w:val="24"/>
          <w:highlight w:val="none"/>
        </w:rPr>
        <w:t xml:space="preserve">15068998061 </w:t>
      </w:r>
    </w:p>
    <w:p w14:paraId="3A63DE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质疑联系人：徐平阳             </w:t>
      </w:r>
    </w:p>
    <w:p w14:paraId="09D028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质疑联系方式：18157591508</w:t>
      </w:r>
    </w:p>
    <w:p w14:paraId="0025A2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10265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550BB4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4D1A4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429D24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77995B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0575-85672135</w:t>
      </w:r>
      <w:r>
        <w:rPr>
          <w:rFonts w:hint="eastAsia" w:ascii="仿宋" w:hAnsi="仿宋" w:eastAsia="仿宋" w:cs="仿宋"/>
          <w:color w:val="auto"/>
          <w:sz w:val="24"/>
          <w:highlight w:val="none"/>
        </w:rPr>
        <w:t xml:space="preserve">    </w:t>
      </w:r>
    </w:p>
    <w:p w14:paraId="7CC84D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D87029">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7EF7A5B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65264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B1437D2">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F49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FB23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D28E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EAE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40AB5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A7982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9DFBEA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F4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8F943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0DAED2A2">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A7A37B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w:t>
            </w:r>
            <w:r>
              <w:rPr>
                <w:rFonts w:hint="eastAsia" w:ascii="仿宋" w:hAnsi="仿宋" w:eastAsia="仿宋"/>
                <w:color w:val="auto"/>
                <w:sz w:val="24"/>
                <w:szCs w:val="28"/>
                <w:highlight w:val="none"/>
                <w:lang w:eastAsia="zh-CN"/>
              </w:rPr>
              <w:t>维保、人员、工具</w:t>
            </w:r>
            <w:r>
              <w:rPr>
                <w:rFonts w:hint="eastAsia" w:ascii="仿宋" w:hAnsi="仿宋" w:eastAsia="仿宋"/>
                <w:color w:val="auto"/>
                <w:sz w:val="24"/>
                <w:szCs w:val="28"/>
                <w:highlight w:val="none"/>
              </w:rPr>
              <w:t>等费用均计入报价。</w:t>
            </w:r>
            <w:bookmarkStart w:id="17"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29DB24C1">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2726B9A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8" w:name="OLE_LINK21"/>
            <w:r>
              <w:rPr>
                <w:rFonts w:hint="eastAsia" w:ascii="宋体" w:hAnsi="宋体" w:eastAsia="宋体" w:cs="宋体"/>
                <w:b/>
                <w:bCs/>
                <w:color w:val="auto"/>
                <w:sz w:val="24"/>
                <w:highlight w:val="none"/>
                <w:lang w:val="zh-CN"/>
              </w:rPr>
              <w:t>件出现不是唯一的</w:t>
            </w:r>
            <w:bookmarkEnd w:id="18"/>
            <w:r>
              <w:rPr>
                <w:rFonts w:hint="eastAsia" w:ascii="宋体" w:hAnsi="宋体" w:eastAsia="宋体" w:cs="宋体"/>
                <w:b/>
                <w:bCs/>
                <w:color w:val="auto"/>
                <w:sz w:val="24"/>
                <w:highlight w:val="none"/>
                <w:lang w:val="zh-CN"/>
              </w:rPr>
              <w:t>、有选择性投标报价的；</w:t>
            </w:r>
          </w:p>
          <w:p w14:paraId="1969AFB9">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9" w:name="OLE_LINK1"/>
            <w:r>
              <w:rPr>
                <w:rFonts w:hint="eastAsia" w:ascii="宋体" w:hAnsi="宋体" w:eastAsia="宋体" w:cs="宋体"/>
                <w:b/>
                <w:bCs/>
                <w:color w:val="auto"/>
                <w:sz w:val="24"/>
                <w:highlight w:val="none"/>
                <w:lang w:val="zh-CN"/>
              </w:rPr>
              <w:t>规定的预算金额或最高限价</w:t>
            </w:r>
            <w:bookmarkEnd w:id="19"/>
            <w:r>
              <w:rPr>
                <w:rFonts w:hint="eastAsia" w:ascii="宋体" w:hAnsi="宋体" w:eastAsia="宋体" w:cs="宋体"/>
                <w:b/>
                <w:bCs/>
                <w:color w:val="auto"/>
                <w:sz w:val="24"/>
                <w:highlight w:val="none"/>
                <w:lang w:val="zh-CN"/>
              </w:rPr>
              <w:t>的;</w:t>
            </w:r>
          </w:p>
          <w:p w14:paraId="7CFD6B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20" w:name="OLE_LINK2"/>
            <w:r>
              <w:rPr>
                <w:rFonts w:hint="eastAsia" w:ascii="宋体" w:hAnsi="宋体" w:eastAsia="宋体" w:cs="宋体"/>
                <w:b/>
                <w:bCs/>
                <w:color w:val="auto"/>
                <w:sz w:val="24"/>
                <w:highlight w:val="none"/>
                <w:lang w:val="zh-CN"/>
              </w:rPr>
              <w:t>低于其他通过符合性审查投</w:t>
            </w:r>
            <w:bookmarkEnd w:id="20"/>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color w:val="auto"/>
                <w:sz w:val="24"/>
                <w:highlight w:val="none"/>
                <w:lang w:val="zh-CN"/>
              </w:rPr>
              <w:t>能证明其报价合理性的</w:t>
            </w:r>
            <w:bookmarkEnd w:id="21"/>
            <w:r>
              <w:rPr>
                <w:rFonts w:hint="eastAsia" w:ascii="宋体" w:hAnsi="宋体" w:eastAsia="宋体" w:cs="宋体"/>
                <w:b/>
                <w:bCs/>
                <w:color w:val="auto"/>
                <w:sz w:val="24"/>
                <w:highlight w:val="none"/>
                <w:lang w:val="zh-CN"/>
              </w:rPr>
              <w:t>;</w:t>
            </w:r>
          </w:p>
          <w:p w14:paraId="42056F6A">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22"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22"/>
          <w:p w14:paraId="76854C73">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eastAsia="宋体" w:cs="宋体"/>
                <w:b/>
                <w:bCs/>
                <w:color w:val="auto"/>
                <w:sz w:val="24"/>
                <w:highlight w:val="none"/>
              </w:rPr>
              <w:t>重大偏差</w:t>
            </w:r>
            <w:bookmarkEnd w:id="23"/>
            <w:r>
              <w:rPr>
                <w:rFonts w:hint="eastAsia" w:ascii="宋体" w:hAnsi="宋体" w:eastAsia="宋体" w:cs="宋体"/>
                <w:b/>
                <w:bCs/>
                <w:color w:val="auto"/>
                <w:sz w:val="24"/>
                <w:highlight w:val="none"/>
              </w:rPr>
              <w:t>的；</w:t>
            </w:r>
          </w:p>
          <w:p w14:paraId="0B778D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4" w:name="OLE_LINK30"/>
            <w:r>
              <w:rPr>
                <w:rFonts w:hint="eastAsia" w:ascii="宋体" w:hAnsi="宋体" w:eastAsia="宋体" w:cs="宋体"/>
                <w:b/>
                <w:bCs/>
                <w:color w:val="auto"/>
                <w:sz w:val="24"/>
                <w:highlight w:val="none"/>
              </w:rPr>
              <w:t>正后的报价不</w:t>
            </w:r>
            <w:bookmarkEnd w:id="24"/>
            <w:r>
              <w:rPr>
                <w:rFonts w:hint="eastAsia" w:ascii="宋体" w:hAnsi="宋体" w:eastAsia="宋体" w:cs="宋体"/>
                <w:b/>
                <w:bCs/>
                <w:color w:val="auto"/>
                <w:sz w:val="24"/>
                <w:highlight w:val="none"/>
              </w:rPr>
              <w:t>确认的。</w:t>
            </w:r>
          </w:p>
        </w:tc>
      </w:tr>
      <w:tr w14:paraId="11DC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07D9FE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0FA64A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3CC5F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9941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0C9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6DB3B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399FD7A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55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C74F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C1C919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D14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33A9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0576CD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E48C4C3">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69E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48F58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D3F9D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21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B00D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438C822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EFCC9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8D5E3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442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19E6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5A99C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B4528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08EC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9247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BAFE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6258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F5163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38CB9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1A82C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5DEBC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8DFB3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A6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B69A7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3ACBA5D1">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9B0A03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356789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3F3230B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sz w:val="24"/>
                <w:szCs w:val="24"/>
                <w:highlight w:val="none"/>
                <w:lang w:val="zh-CN"/>
              </w:rPr>
              <w:t>若</w:t>
            </w:r>
            <w:r>
              <w:rPr>
                <w:rFonts w:hint="eastAsia" w:ascii="仿宋" w:hAnsi="仿宋" w:eastAsia="仿宋" w:cs="仿宋"/>
                <w:color w:val="auto"/>
                <w:sz w:val="24"/>
                <w:szCs w:val="24"/>
                <w:highlight w:val="none"/>
                <w:lang w:val="en-US" w:eastAsia="zh-CN"/>
              </w:rPr>
              <w:t>20分钟内演示未完成，则未演示部分将不再进行评审</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475E2E64">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9F850A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7D2122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kern w:val="0"/>
                <w:sz w:val="24"/>
                <w:highlight w:val="none"/>
                <w:u w:val="single"/>
                <w:lang w:val="zh-CN"/>
              </w:rPr>
              <w:t>绍兴市柯桥区纺都路1066号柯桥区公共资源交易中心三楼1号开标室</w:t>
            </w:r>
            <w:r>
              <w:rPr>
                <w:rFonts w:hint="eastAsia" w:ascii="仿宋" w:hAnsi="仿宋" w:eastAsia="仿宋" w:cs="仿宋"/>
                <w:color w:val="auto"/>
                <w:sz w:val="24"/>
                <w:szCs w:val="24"/>
                <w:highlight w:val="none"/>
                <w:lang w:val="zh-CN"/>
              </w:rPr>
              <w:t>，现场讲解演示人员到场截止时间：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分00秒</w:t>
            </w:r>
            <w:r>
              <w:rPr>
                <w:rFonts w:hint="eastAsia" w:ascii="仿宋" w:hAnsi="仿宋" w:eastAsia="仿宋" w:cs="仿宋"/>
                <w:b w:val="0"/>
                <w:bCs/>
                <w:color w:val="auto"/>
                <w:sz w:val="24"/>
                <w:highlight w:val="none"/>
                <w:u w:val="single"/>
                <w:lang w:eastAsia="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BAB8B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23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16B8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0FC0A8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63AE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574BC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38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C79E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8CB79F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2D9FC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82BE2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9F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DEBE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3AB3ED4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EA58F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绍兴市柯桥区妇幼保健院HIS一体化集成平台（软件）项目（第二次）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7B3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A436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67756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2A95E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143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B8FC5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2958B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5913B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8CB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A12F6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E367C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7CA2A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193E82B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61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E16B6A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7419EA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333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DF104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14F141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55A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9071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1E479D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627A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607F2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FE8C1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4CD49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5E227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89966F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3FC11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2BD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446C0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F3D11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B0EB0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924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E64C2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C03A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2D68F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113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670A032">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010C0471">
            <w:pPr>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不收取履约保证金。</w:t>
            </w:r>
          </w:p>
        </w:tc>
      </w:tr>
      <w:tr w14:paraId="248F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C67329">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480D74A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0CC7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2EE2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C0C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CD16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CB80F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5" w:name="第三部分"/>
      <w:bookmarkStart w:id="26" w:name="_Toc164416483"/>
      <w:r>
        <w:rPr>
          <w:rFonts w:hint="eastAsia" w:ascii="仿宋" w:hAnsi="仿宋" w:eastAsia="仿宋" w:cs="仿宋"/>
          <w:b/>
          <w:color w:val="auto"/>
          <w:sz w:val="32"/>
          <w:szCs w:val="32"/>
          <w:highlight w:val="none"/>
        </w:rPr>
        <w:t>一、总则</w:t>
      </w:r>
    </w:p>
    <w:p w14:paraId="4ADFFD7B">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99EB9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0BB4B0C">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39CB3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0C012C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29C87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20509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D2F80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05E9D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DFD2B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F29E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B7EF25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0C4BDC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1D35C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7B91BF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5F066A4">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B67E5B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3B3923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12068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55E536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11B9DA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5D5BC1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3B2A95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9E84B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4E7BD9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CCBB2A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1CEC0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FED96A5">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C465D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E619FC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DEE1A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03E9D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E9058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6D1BF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08E6D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5E464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A92CB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B9A176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24DC8C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0B8B9E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8DD3BB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EBF3E7E">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902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817FA7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9FB667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39F5D6C">
      <w:pPr>
        <w:pStyle w:val="25"/>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D4D95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6E866C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015BD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04646369">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3A009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6478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28D9D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C36E5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5C92B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36E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07D9E0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51CE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B44AD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2970B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F0CC0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36D6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24EC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557D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D375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07F2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5CFD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03E9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ADB18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DDC127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BE788A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B60D3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C7A9A8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00EAAD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F1E9F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C5FF3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C2899A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C0DA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7B27D9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30083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90B782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01A412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390B4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5BE7E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148E1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645042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4EA1D64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25366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EF451A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6F68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5F776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F472D3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1C69A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8292C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4C781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92265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C731D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D0C24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26842905">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07E8A87A">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089C98F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75CB36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FE596D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73550D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AAF264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D816EA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3BDD318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8BBBC4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2074D9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4F425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5DF38F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DDB69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9B6BDF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A1FC0A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FC48CB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671D67">
      <w:pPr>
        <w:pStyle w:val="131"/>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0B9A2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93FB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542306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CD6239F">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1625F1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97D6EAC">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9DA34C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08502F1">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D1160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114A5F5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36B2D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BF997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0CD8B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4FAF5D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35F5F7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7A42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07BA2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808E8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0D2AAF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C7F707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ABF8D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52D48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8AF1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90BFC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1BF5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9AC0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0D6427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EB430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D0A67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C6E28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42D3A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25B9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1A58C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6320B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533C60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434D17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055A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7C0D0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09ACE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37E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2F56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E32009E">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5D2B7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97D1C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08B56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0D0218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FFC8A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833E194">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A9E96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D1C3A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692B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5455A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96E12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91992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8FC8E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7CD51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C30A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1C866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048F6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3F239DC">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CE3AA3C">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D767458">
      <w:pPr>
        <w:pStyle w:val="34"/>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E07488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0B88F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66AFB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2663D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4990A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5E803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AE7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9F92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71DA7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5BBFA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3F73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107AF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2D77DE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F301C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B26E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26237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958A2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0FAD10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CAD2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6B6DC9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CD14C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07E22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2D57C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2DFF6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D76C0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0B1D2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76BC0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D5600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2F911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C8FC0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4556C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11C1D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C59B7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C0E0C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AFB50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80AA5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BED52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59698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D7D17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AF60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19B80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B9DF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24DC6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C972418">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ECA4F87">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29C6708">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9990F66">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6664C39">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74DBD40">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52298B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59CED2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CFEF9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B0A8E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1E304E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27"/>
    <w:p w14:paraId="5E2D4ECD">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8" w:name="_Hlt68073093"/>
      <w:bookmarkEnd w:id="28"/>
      <w:bookmarkStart w:id="29" w:name="_Hlt75236101"/>
      <w:bookmarkEnd w:id="29"/>
      <w:bookmarkStart w:id="30" w:name="_Hlt75236290"/>
      <w:bookmarkEnd w:id="30"/>
      <w:bookmarkStart w:id="31" w:name="_Hlt68072990"/>
      <w:bookmarkEnd w:id="31"/>
      <w:bookmarkStart w:id="32" w:name="_Hlt68403820"/>
      <w:bookmarkEnd w:id="32"/>
      <w:bookmarkStart w:id="33" w:name="_Hlt68072998"/>
      <w:bookmarkEnd w:id="33"/>
      <w:bookmarkStart w:id="34" w:name="_Hlt74707468"/>
      <w:bookmarkEnd w:id="34"/>
      <w:bookmarkStart w:id="35" w:name="_Hlt74730295"/>
      <w:bookmarkEnd w:id="35"/>
      <w:bookmarkStart w:id="36" w:name="_Hlt74714665"/>
      <w:bookmarkEnd w:id="36"/>
      <w:bookmarkStart w:id="37" w:name="_Hlt74729768"/>
      <w:bookmarkEnd w:id="37"/>
      <w:bookmarkStart w:id="38" w:name="_Hlt75236011"/>
      <w:bookmarkEnd w:id="38"/>
      <w:bookmarkStart w:id="39" w:name="_Hlt68057669"/>
      <w:bookmarkEnd w:id="39"/>
      <w:bookmarkStart w:id="40" w:name="_Toc81372776"/>
      <w:bookmarkStart w:id="41" w:name="_Toc84325929"/>
      <w:bookmarkStart w:id="42" w:name="_Toc81372953"/>
      <w:r>
        <w:rPr>
          <w:rFonts w:hint="eastAsia" w:ascii="仿宋" w:hAnsi="仿宋" w:eastAsia="仿宋" w:cs="仿宋"/>
          <w:b/>
          <w:color w:val="auto"/>
          <w:sz w:val="32"/>
          <w:szCs w:val="32"/>
          <w:highlight w:val="none"/>
        </w:rPr>
        <w:t>五、授予合同</w:t>
      </w:r>
    </w:p>
    <w:bookmarkEnd w:id="40"/>
    <w:bookmarkEnd w:id="41"/>
    <w:bookmarkEnd w:id="42"/>
    <w:p w14:paraId="49AE61AD">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B582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2F5F6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DA72E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4A7C8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70EA0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6C009C20">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23A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A00C9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9B77C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6C2E56">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65EE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525E8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B158E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523E42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3A5C867">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39D55569">
      <w:pPr>
        <w:tabs>
          <w:tab w:val="left" w:pos="0"/>
        </w:tabs>
        <w:spacing w:line="360" w:lineRule="auto"/>
        <w:ind w:firstLine="482"/>
        <w:rPr>
          <w:rFonts w:hint="eastAsia" w:ascii="仿宋" w:hAnsi="仿宋" w:eastAsia="仿宋" w:cs="宋体"/>
          <w:color w:val="auto"/>
          <w:sz w:val="24"/>
          <w:highlight w:val="none"/>
        </w:rPr>
      </w:pPr>
      <w:r>
        <w:rPr>
          <w:rFonts w:hint="eastAsia" w:ascii="仿宋" w:hAnsi="仿宋" w:eastAsia="仿宋" w:cs="宋体"/>
          <w:color w:val="auto"/>
          <w:sz w:val="24"/>
          <w:highlight w:val="none"/>
        </w:rPr>
        <w:t>供应商</w:t>
      </w:r>
      <w:r>
        <w:rPr>
          <w:rFonts w:hint="eastAsia" w:ascii="仿宋" w:hAnsi="仿宋" w:eastAsia="仿宋" w:cs="宋体"/>
          <w:color w:val="auto"/>
          <w:sz w:val="24"/>
          <w:highlight w:val="none"/>
          <w:lang w:val="en-US"/>
        </w:rPr>
        <w:t>可</w:t>
      </w:r>
      <w:r>
        <w:rPr>
          <w:rFonts w:hint="eastAsia" w:ascii="仿宋" w:hAnsi="仿宋" w:eastAsia="仿宋" w:cs="宋体"/>
          <w:color w:val="auto"/>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85E80D5">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32502750">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F53EBA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EB464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29A4E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3F7A4F0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6B50AA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E96F7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218594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3431E03">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6813EE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1B6D99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4EC358F">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74D263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F30F88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CF24AA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16E0F0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16C44CB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7C365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12F30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0C9DDD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3CD270">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8C353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44DBE2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DA895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ED320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A3115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08E207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13159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72F0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ACBE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FEEE6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15620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59EF5A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044FD4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3E86E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DFA68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B178A8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76FE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3B94D9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B2A0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1B4B37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9"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25"/>
    <w:bookmarkEnd w:id="26"/>
    <w:p w14:paraId="5510D2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3" w:name="第四部分"/>
      <w:r>
        <w:rPr>
          <w:rFonts w:hint="eastAsia" w:ascii="仿宋" w:hAnsi="仿宋" w:eastAsia="仿宋" w:cs="仿宋"/>
          <w:b/>
          <w:color w:val="auto"/>
          <w:sz w:val="36"/>
          <w:szCs w:val="36"/>
          <w:highlight w:val="none"/>
        </w:rPr>
        <w:t>第三部分   招标项目范围及要求</w:t>
      </w:r>
    </w:p>
    <w:bookmarkEnd w:id="43"/>
    <w:p w14:paraId="4534B152">
      <w:pPr>
        <w:jc w:val="center"/>
        <w:rPr>
          <w:rFonts w:hint="eastAsia"/>
          <w:b/>
          <w:bCs/>
          <w:color w:val="auto"/>
          <w:sz w:val="40"/>
          <w:szCs w:val="48"/>
          <w:highlight w:val="none"/>
        </w:rPr>
      </w:pPr>
      <w:bookmarkStart w:id="44" w:name="第五部分"/>
      <w:bookmarkStart w:id="45" w:name="_Toc86217003"/>
      <w:r>
        <w:rPr>
          <w:rFonts w:hint="eastAsia"/>
          <w:b/>
          <w:bCs/>
          <w:color w:val="auto"/>
          <w:sz w:val="40"/>
          <w:szCs w:val="48"/>
          <w:highlight w:val="none"/>
          <w:lang w:eastAsia="zh-CN"/>
        </w:rPr>
        <w:t>一、</w:t>
      </w:r>
      <w:r>
        <w:rPr>
          <w:rFonts w:hint="eastAsia"/>
          <w:b/>
          <w:bCs/>
          <w:color w:val="auto"/>
          <w:sz w:val="40"/>
          <w:szCs w:val="48"/>
          <w:highlight w:val="none"/>
        </w:rPr>
        <w:t>服务清单及要求</w:t>
      </w:r>
    </w:p>
    <w:p w14:paraId="16394295">
      <w:pPr>
        <w:pStyle w:val="3"/>
        <w:numPr>
          <w:ilvl w:val="1"/>
          <w:numId w:val="2"/>
        </w:numPr>
        <w:bidi w:val="0"/>
        <w:rPr>
          <w:color w:val="auto"/>
          <w:highlight w:val="none"/>
        </w:rPr>
      </w:pPr>
      <w:bookmarkStart w:id="46" w:name="_Toc187691845"/>
      <w:r>
        <w:rPr>
          <w:rFonts w:hint="eastAsia"/>
          <w:color w:val="auto"/>
          <w:highlight w:val="none"/>
        </w:rPr>
        <w:t>建设</w:t>
      </w:r>
      <w:r>
        <w:rPr>
          <w:color w:val="auto"/>
          <w:highlight w:val="none"/>
        </w:rPr>
        <w:t>目标</w:t>
      </w:r>
      <w:bookmarkEnd w:id="46"/>
    </w:p>
    <w:p w14:paraId="1D376DAB">
      <w:pPr>
        <w:adjustRightInd w:val="0"/>
        <w:snapToGrid w:val="0"/>
        <w:spacing w:line="360" w:lineRule="auto"/>
        <w:ind w:firstLine="420" w:firstLineChars="200"/>
        <w:rPr>
          <w:rFonts w:hint="eastAsia" w:ascii="宋体" w:hAnsi="宋体" w:eastAsia="宋体" w:cs="Times New Roman"/>
          <w:color w:val="auto"/>
          <w:highlight w:val="none"/>
        </w:rPr>
      </w:pPr>
      <w:r>
        <w:rPr>
          <w:rFonts w:ascii="宋体" w:hAnsi="宋体" w:eastAsia="宋体" w:cs="Times New Roman"/>
          <w:color w:val="auto"/>
          <w:highlight w:val="none"/>
        </w:rPr>
        <w:t>根据</w:t>
      </w:r>
      <w:r>
        <w:rPr>
          <w:rFonts w:hint="eastAsia" w:ascii="宋体" w:hAnsi="宋体" w:eastAsia="宋体" w:cs="Times New Roman"/>
          <w:color w:val="auto"/>
          <w:highlight w:val="none"/>
        </w:rPr>
        <w:t>医院</w:t>
      </w:r>
      <w:r>
        <w:rPr>
          <w:rFonts w:ascii="宋体" w:hAnsi="宋体" w:eastAsia="宋体" w:cs="Times New Roman"/>
          <w:color w:val="auto"/>
          <w:highlight w:val="none"/>
        </w:rPr>
        <w:t>的总体战略目标，遵循《全国医院信息化建设标准与规范（试行）》、《医院信息互联互通标准化成熟度测评》建设规范，紧密结合经济社会发展规划以及卫生事业发展布局，围绕</w:t>
      </w:r>
      <w:r>
        <w:rPr>
          <w:rFonts w:hint="eastAsia" w:ascii="宋体" w:hAnsi="宋体" w:eastAsia="宋体" w:cs="Times New Roman"/>
          <w:color w:val="auto"/>
          <w:highlight w:val="none"/>
        </w:rPr>
        <w:t>“</w:t>
      </w:r>
      <w:r>
        <w:rPr>
          <w:rFonts w:ascii="宋体" w:hAnsi="宋体" w:eastAsia="宋体" w:cs="Times New Roman"/>
          <w:color w:val="auto"/>
          <w:highlight w:val="none"/>
        </w:rPr>
        <w:t>加快医疗卫生事业发展</w:t>
      </w:r>
      <w:r>
        <w:rPr>
          <w:rFonts w:hint="eastAsia" w:ascii="宋体" w:hAnsi="宋体" w:eastAsia="宋体" w:cs="Times New Roman"/>
          <w:color w:val="auto"/>
          <w:highlight w:val="none"/>
        </w:rPr>
        <w:t>”</w:t>
      </w:r>
      <w:r>
        <w:rPr>
          <w:rFonts w:ascii="宋体" w:hAnsi="宋体" w:eastAsia="宋体" w:cs="Times New Roman"/>
          <w:color w:val="auto"/>
          <w:highlight w:val="none"/>
        </w:rPr>
        <w:t>这一主线，稳步推动医院发展战略不断外延，医疗管理方式从传统管理向科学化、专业化、精细化管理转变，积极发挥</w:t>
      </w:r>
      <w:r>
        <w:rPr>
          <w:rFonts w:hint="eastAsia" w:ascii="宋体" w:hAnsi="宋体" w:eastAsia="宋体" w:cs="Times New Roman"/>
          <w:color w:val="auto"/>
          <w:highlight w:val="none"/>
        </w:rPr>
        <w:t>医院</w:t>
      </w:r>
      <w:r>
        <w:rPr>
          <w:rFonts w:ascii="宋体" w:hAnsi="宋体" w:eastAsia="宋体" w:cs="Times New Roman"/>
          <w:color w:val="auto"/>
          <w:highlight w:val="none"/>
        </w:rPr>
        <w:t>的技术和业务在所属地区的辐射功能，打造集医疗、预防、康复、科研、教育为一体，省内知名、全国具有一定影响力的现代化智慧型医院。</w:t>
      </w:r>
    </w:p>
    <w:p w14:paraId="67F1EDA3">
      <w:pPr>
        <w:adjustRightInd w:val="0"/>
        <w:snapToGrid w:val="0"/>
        <w:spacing w:line="360" w:lineRule="auto"/>
        <w:ind w:firstLine="420" w:firstLineChars="200"/>
        <w:rPr>
          <w:rFonts w:ascii="宋体" w:hAnsi="宋体" w:eastAsia="宋体" w:cs="Times New Roman"/>
          <w:color w:val="auto"/>
          <w:highlight w:val="none"/>
        </w:rPr>
      </w:pPr>
      <w:r>
        <w:rPr>
          <w:rFonts w:hint="eastAsia" w:ascii="宋体" w:hAnsi="宋体" w:eastAsia="宋体" w:cs="Times New Roman"/>
          <w:color w:val="auto"/>
          <w:highlight w:val="none"/>
        </w:rPr>
        <w:t>医院</w:t>
      </w:r>
      <w:r>
        <w:rPr>
          <w:rFonts w:ascii="宋体" w:hAnsi="宋体" w:eastAsia="宋体" w:cs="Times New Roman"/>
          <w:color w:val="auto"/>
          <w:highlight w:val="none"/>
        </w:rPr>
        <w:t>未来的高质量发展需要良好的信息化支撑，需要高水平产品（技术）和专业HIT服务的双轮驱动。此次智慧医院建设应遵循</w:t>
      </w:r>
      <w:r>
        <w:rPr>
          <w:rFonts w:hint="eastAsia" w:ascii="宋体" w:hAnsi="宋体" w:eastAsia="宋体" w:cs="Times New Roman"/>
          <w:color w:val="auto"/>
          <w:highlight w:val="none"/>
        </w:rPr>
        <w:t>“</w:t>
      </w:r>
      <w:r>
        <w:rPr>
          <w:rFonts w:ascii="宋体" w:hAnsi="宋体" w:eastAsia="宋体" w:cs="Times New Roman"/>
          <w:color w:val="auto"/>
          <w:highlight w:val="none"/>
        </w:rPr>
        <w:t>顶层设计、逐步实施</w:t>
      </w:r>
      <w:r>
        <w:rPr>
          <w:rFonts w:hint="eastAsia" w:ascii="宋体" w:hAnsi="宋体" w:eastAsia="宋体" w:cs="Times New Roman"/>
          <w:color w:val="auto"/>
          <w:highlight w:val="none"/>
        </w:rPr>
        <w:t>”</w:t>
      </w:r>
      <w:r>
        <w:rPr>
          <w:rFonts w:ascii="宋体" w:hAnsi="宋体" w:eastAsia="宋体" w:cs="Times New Roman"/>
          <w:color w:val="auto"/>
          <w:highlight w:val="none"/>
        </w:rPr>
        <w:t>原则，按照智慧医院建设理念，从功能实用、信息共享、服务智能的方向，建设智慧医院信息系统，帮助</w:t>
      </w:r>
      <w:r>
        <w:rPr>
          <w:rFonts w:hint="eastAsia" w:ascii="宋体" w:hAnsi="宋体" w:eastAsia="宋体" w:cs="Times New Roman"/>
          <w:color w:val="auto"/>
          <w:highlight w:val="none"/>
        </w:rPr>
        <w:t>医院</w:t>
      </w:r>
      <w:r>
        <w:rPr>
          <w:rFonts w:ascii="宋体" w:hAnsi="宋体" w:eastAsia="宋体" w:cs="Times New Roman"/>
          <w:color w:val="auto"/>
          <w:highlight w:val="none"/>
        </w:rPr>
        <w:t>改善患者就医体验、开展全生命周期健康管理。以问题和需求为导向持续加强信息化建设，满足医院未来5-10年高水平的医疗管理需求。最终达到互联互通四级甲等评级要求。</w:t>
      </w:r>
      <w:bookmarkStart w:id="47" w:name="_Toc494358419"/>
    </w:p>
    <w:p w14:paraId="4789E460">
      <w:pPr>
        <w:adjustRightInd w:val="0"/>
        <w:snapToGrid w:val="0"/>
        <w:spacing w:line="360" w:lineRule="auto"/>
        <w:ind w:firstLine="420" w:firstLineChars="200"/>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医院信息系统要求B/S架构，数据库要求ORACLE，支持各类操作系统的跨平台应用，可在各类浏览器下直接运行。</w:t>
      </w:r>
    </w:p>
    <w:p w14:paraId="7CCCECAB">
      <w:pPr>
        <w:pStyle w:val="3"/>
        <w:numPr>
          <w:ilvl w:val="1"/>
          <w:numId w:val="2"/>
        </w:numPr>
        <w:bidi w:val="0"/>
        <w:rPr>
          <w:color w:val="auto"/>
          <w:highlight w:val="none"/>
        </w:rPr>
      </w:pPr>
      <w:bookmarkStart w:id="48" w:name="_Toc187691846"/>
      <w:r>
        <w:rPr>
          <w:rFonts w:hint="eastAsia"/>
          <w:color w:val="auto"/>
          <w:highlight w:val="none"/>
        </w:rPr>
        <w:t>建设清单</w:t>
      </w:r>
      <w:bookmarkEnd w:id="48"/>
    </w:p>
    <w:tbl>
      <w:tblPr>
        <w:tblStyle w:val="63"/>
        <w:tblW w:w="4997" w:type="pct"/>
        <w:tblInd w:w="0" w:type="dxa"/>
        <w:tblLayout w:type="autofit"/>
        <w:tblCellMar>
          <w:top w:w="0" w:type="dxa"/>
          <w:left w:w="108" w:type="dxa"/>
          <w:bottom w:w="0" w:type="dxa"/>
          <w:right w:w="108" w:type="dxa"/>
        </w:tblCellMar>
      </w:tblPr>
      <w:tblGrid>
        <w:gridCol w:w="919"/>
        <w:gridCol w:w="1338"/>
        <w:gridCol w:w="4717"/>
        <w:gridCol w:w="1516"/>
      </w:tblGrid>
      <w:tr w14:paraId="69FFFAAB">
        <w:tblPrEx>
          <w:tblCellMar>
            <w:top w:w="0" w:type="dxa"/>
            <w:left w:w="108" w:type="dxa"/>
            <w:bottom w:w="0" w:type="dxa"/>
            <w:right w:w="108" w:type="dxa"/>
          </w:tblCellMar>
        </w:tblPrEx>
        <w:trPr>
          <w:trHeight w:val="66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15B9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C92E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系统</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06C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子系统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1E3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06EA0A8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1382">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right w:val="single" w:color="000000" w:sz="4" w:space="0"/>
            </w:tcBorders>
            <w:shd w:val="clear" w:color="auto" w:fill="auto"/>
            <w:vAlign w:val="center"/>
          </w:tcPr>
          <w:p w14:paraId="63F9853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医院信息系统</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2D66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基础业务平台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1CE67">
            <w:pPr>
              <w:jc w:val="center"/>
              <w:textAlignment w:val="center"/>
              <w:rPr>
                <w:rFonts w:hint="eastAsia" w:ascii="宋体" w:hAnsi="宋体" w:eastAsia="宋体" w:cs="宋体"/>
                <w:color w:val="auto"/>
                <w:highlight w:val="none"/>
              </w:rPr>
            </w:pPr>
          </w:p>
        </w:tc>
      </w:tr>
      <w:tr w14:paraId="7C81BC1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B5A4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C10EE9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AE6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门诊业务系统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78FD">
            <w:pPr>
              <w:jc w:val="center"/>
              <w:textAlignment w:val="center"/>
              <w:rPr>
                <w:rFonts w:hint="eastAsia" w:ascii="宋体" w:hAnsi="宋体" w:eastAsia="宋体" w:cs="宋体"/>
                <w:color w:val="auto"/>
                <w:highlight w:val="none"/>
              </w:rPr>
            </w:pPr>
          </w:p>
        </w:tc>
      </w:tr>
      <w:tr w14:paraId="7AB680F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BA2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5F8B8BF">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CF1E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急诊业务系统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9EE2D">
            <w:pPr>
              <w:jc w:val="center"/>
              <w:textAlignment w:val="center"/>
              <w:rPr>
                <w:rFonts w:hint="eastAsia" w:ascii="宋体" w:hAnsi="宋体" w:eastAsia="宋体" w:cs="宋体"/>
                <w:color w:val="auto"/>
                <w:highlight w:val="none"/>
              </w:rPr>
            </w:pPr>
          </w:p>
        </w:tc>
      </w:tr>
      <w:tr w14:paraId="3984699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74E0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C240010">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24D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妇幼专科系统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4386">
            <w:pPr>
              <w:jc w:val="center"/>
              <w:textAlignment w:val="center"/>
              <w:rPr>
                <w:rFonts w:hint="eastAsia" w:ascii="宋体" w:hAnsi="宋体" w:eastAsia="宋体" w:cs="宋体"/>
                <w:color w:val="auto"/>
                <w:highlight w:val="none"/>
              </w:rPr>
            </w:pPr>
          </w:p>
        </w:tc>
      </w:tr>
      <w:tr w14:paraId="1DFE196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0D1D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48DFD8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FE0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住院业务系统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B913E">
            <w:pPr>
              <w:jc w:val="center"/>
              <w:textAlignment w:val="center"/>
              <w:rPr>
                <w:rFonts w:hint="eastAsia" w:ascii="宋体" w:hAnsi="宋体" w:eastAsia="宋体" w:cs="宋体"/>
                <w:color w:val="auto"/>
                <w:highlight w:val="none"/>
              </w:rPr>
            </w:pPr>
          </w:p>
        </w:tc>
      </w:tr>
      <w:tr w14:paraId="09BE457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DBE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EC3BABD">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435B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药事业务系统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4641">
            <w:pPr>
              <w:jc w:val="center"/>
              <w:textAlignment w:val="center"/>
              <w:rPr>
                <w:rFonts w:hint="eastAsia" w:ascii="宋体" w:hAnsi="宋体" w:eastAsia="宋体" w:cs="宋体"/>
                <w:color w:val="auto"/>
                <w:highlight w:val="none"/>
              </w:rPr>
            </w:pPr>
          </w:p>
        </w:tc>
      </w:tr>
      <w:tr w14:paraId="5088ABB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B2A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520B6AD">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92AB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医保管理系统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867D">
            <w:pPr>
              <w:jc w:val="center"/>
              <w:textAlignment w:val="center"/>
              <w:rPr>
                <w:rFonts w:hint="eastAsia" w:ascii="宋体" w:hAnsi="宋体" w:eastAsia="宋体" w:cs="宋体"/>
                <w:color w:val="auto"/>
                <w:highlight w:val="none"/>
              </w:rPr>
            </w:pPr>
          </w:p>
        </w:tc>
      </w:tr>
      <w:tr w14:paraId="0362550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54E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BF2FAD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355A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手术分级管理系统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27B38">
            <w:pPr>
              <w:jc w:val="center"/>
              <w:textAlignment w:val="center"/>
              <w:rPr>
                <w:rFonts w:hint="eastAsia" w:ascii="宋体" w:hAnsi="宋体" w:eastAsia="宋体" w:cs="宋体"/>
                <w:color w:val="auto"/>
                <w:highlight w:val="none"/>
              </w:rPr>
            </w:pPr>
          </w:p>
        </w:tc>
      </w:tr>
      <w:tr w14:paraId="11276C9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AF8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A4D7A2B">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4D8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危急值管理系统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E0986">
            <w:pPr>
              <w:jc w:val="center"/>
              <w:textAlignment w:val="center"/>
              <w:rPr>
                <w:rFonts w:hint="eastAsia" w:ascii="宋体" w:hAnsi="宋体" w:eastAsia="宋体" w:cs="宋体"/>
                <w:color w:val="auto"/>
                <w:highlight w:val="none"/>
              </w:rPr>
            </w:pPr>
          </w:p>
        </w:tc>
      </w:tr>
      <w:tr w14:paraId="2A2CCA6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9284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9C5E246">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1075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疾病</w:t>
            </w:r>
            <w:r>
              <w:rPr>
                <w:rFonts w:hint="eastAsia" w:ascii="宋体" w:hAnsi="宋体" w:cs="宋体"/>
                <w:color w:val="auto"/>
                <w:highlight w:val="none"/>
                <w:lang w:val="en-US" w:eastAsia="zh-CN"/>
              </w:rPr>
              <w:t>报</w:t>
            </w:r>
            <w:r>
              <w:rPr>
                <w:rFonts w:hint="eastAsia" w:ascii="宋体" w:hAnsi="宋体" w:eastAsia="宋体" w:cs="宋体"/>
                <w:color w:val="auto"/>
                <w:highlight w:val="none"/>
              </w:rPr>
              <w:t>卡系统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35B0">
            <w:pPr>
              <w:jc w:val="center"/>
              <w:textAlignment w:val="center"/>
              <w:rPr>
                <w:rFonts w:hint="eastAsia" w:ascii="宋体" w:hAnsi="宋体" w:eastAsia="宋体" w:cs="宋体"/>
                <w:color w:val="auto"/>
                <w:highlight w:val="none"/>
              </w:rPr>
            </w:pPr>
          </w:p>
        </w:tc>
      </w:tr>
      <w:tr w14:paraId="548C8D5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3DFE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1A1BE55">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0FD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医生临床路径管理系统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B09E">
            <w:pPr>
              <w:jc w:val="center"/>
              <w:textAlignment w:val="center"/>
              <w:rPr>
                <w:rFonts w:hint="eastAsia" w:ascii="宋体" w:hAnsi="宋体" w:eastAsia="宋体" w:cs="宋体"/>
                <w:color w:val="auto"/>
                <w:highlight w:val="none"/>
              </w:rPr>
            </w:pPr>
          </w:p>
        </w:tc>
      </w:tr>
      <w:tr w14:paraId="4B000E9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971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BD9D02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235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护士临床路径管理系统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3609D">
            <w:pPr>
              <w:jc w:val="center"/>
              <w:textAlignment w:val="center"/>
              <w:rPr>
                <w:rFonts w:hint="eastAsia" w:ascii="宋体" w:hAnsi="宋体" w:eastAsia="宋体" w:cs="宋体"/>
                <w:color w:val="auto"/>
                <w:highlight w:val="none"/>
              </w:rPr>
            </w:pPr>
          </w:p>
        </w:tc>
      </w:tr>
      <w:tr w14:paraId="04823BB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C72F1">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D3FCCA3">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297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会诊管理系统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A6F8B">
            <w:pPr>
              <w:jc w:val="center"/>
              <w:textAlignment w:val="center"/>
              <w:rPr>
                <w:rFonts w:hint="eastAsia" w:ascii="宋体" w:hAnsi="宋体" w:eastAsia="宋体" w:cs="宋体"/>
                <w:color w:val="auto"/>
                <w:highlight w:val="none"/>
              </w:rPr>
            </w:pPr>
          </w:p>
        </w:tc>
      </w:tr>
      <w:tr w14:paraId="073AEEF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D6E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DB7783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B41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医疗质量管理系统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C0C2">
            <w:pPr>
              <w:jc w:val="center"/>
              <w:textAlignment w:val="center"/>
              <w:rPr>
                <w:rFonts w:hint="eastAsia" w:ascii="宋体" w:hAnsi="宋体" w:eastAsia="宋体" w:cs="宋体"/>
                <w:color w:val="auto"/>
                <w:highlight w:val="none"/>
              </w:rPr>
            </w:pPr>
          </w:p>
        </w:tc>
      </w:tr>
      <w:tr w14:paraId="08A4CC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57D15">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685BCF1">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4BD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医疗研究电子病历系统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7F6F">
            <w:pPr>
              <w:jc w:val="center"/>
              <w:textAlignment w:val="center"/>
              <w:rPr>
                <w:rFonts w:hint="eastAsia" w:ascii="宋体" w:hAnsi="宋体" w:eastAsia="宋体" w:cs="宋体"/>
                <w:color w:val="auto"/>
                <w:highlight w:val="none"/>
              </w:rPr>
            </w:pPr>
          </w:p>
        </w:tc>
      </w:tr>
      <w:tr w14:paraId="3DB6A3E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0C67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4A385AA">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D9F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闭环追溯管理系统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1375">
            <w:pPr>
              <w:jc w:val="center"/>
              <w:textAlignment w:val="center"/>
              <w:rPr>
                <w:rFonts w:hint="eastAsia" w:ascii="宋体" w:hAnsi="宋体" w:eastAsia="宋体" w:cs="宋体"/>
                <w:color w:val="auto"/>
                <w:highlight w:val="none"/>
              </w:rPr>
            </w:pPr>
          </w:p>
        </w:tc>
      </w:tr>
      <w:tr w14:paraId="6CF657AA">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93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A63274">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C72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数据上报系统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D486B">
            <w:pPr>
              <w:jc w:val="center"/>
              <w:textAlignment w:val="center"/>
              <w:rPr>
                <w:rFonts w:hint="eastAsia" w:ascii="宋体" w:hAnsi="宋体" w:eastAsia="宋体" w:cs="宋体"/>
                <w:color w:val="auto"/>
                <w:highlight w:val="none"/>
              </w:rPr>
            </w:pPr>
          </w:p>
        </w:tc>
      </w:tr>
      <w:tr w14:paraId="168105F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203E">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C1C7F4E">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A320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统一支付平台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2F967">
            <w:pPr>
              <w:jc w:val="center"/>
              <w:textAlignment w:val="center"/>
              <w:rPr>
                <w:rFonts w:hint="eastAsia" w:ascii="宋体" w:hAnsi="宋体" w:eastAsia="宋体" w:cs="宋体"/>
                <w:color w:val="auto"/>
                <w:highlight w:val="none"/>
              </w:rPr>
            </w:pPr>
          </w:p>
        </w:tc>
      </w:tr>
      <w:tr w14:paraId="4EF9C61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B248">
            <w:pPr>
              <w:pStyle w:val="257"/>
              <w:numPr>
                <w:ilvl w:val="0"/>
                <w:numId w:val="3"/>
              </w:numPr>
              <w:jc w:val="center"/>
              <w:textAlignment w:val="center"/>
              <w:rPr>
                <w:rFonts w:hint="eastAsia" w:ascii="宋体" w:hAnsi="宋体" w:eastAsia="宋体" w:cs="宋体"/>
                <w:color w:val="auto"/>
                <w:highlight w:val="none"/>
              </w:rPr>
            </w:pPr>
            <w:bookmarkStart w:id="49" w:name="_Hlk198903590"/>
          </w:p>
        </w:tc>
        <w:tc>
          <w:tcPr>
            <w:tcW w:w="788" w:type="pct"/>
            <w:vMerge w:val="continue"/>
            <w:tcBorders>
              <w:left w:val="single" w:color="000000" w:sz="4" w:space="0"/>
              <w:right w:val="single" w:color="000000" w:sz="4" w:space="0"/>
            </w:tcBorders>
            <w:shd w:val="clear" w:color="auto" w:fill="auto"/>
            <w:vAlign w:val="center"/>
          </w:tcPr>
          <w:p w14:paraId="30C72734">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14AC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移动医生系统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4AD6F">
            <w:pPr>
              <w:jc w:val="center"/>
              <w:textAlignment w:val="center"/>
              <w:rPr>
                <w:rFonts w:hint="eastAsia" w:ascii="宋体" w:hAnsi="宋体" w:eastAsia="宋体" w:cs="宋体"/>
                <w:color w:val="auto"/>
                <w:highlight w:val="none"/>
              </w:rPr>
            </w:pPr>
          </w:p>
        </w:tc>
      </w:tr>
      <w:tr w14:paraId="44C60A7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C672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79AFBD6">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D10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移动患者系统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70BEC">
            <w:pPr>
              <w:jc w:val="center"/>
              <w:textAlignment w:val="center"/>
              <w:rPr>
                <w:rFonts w:hint="eastAsia" w:ascii="宋体" w:hAnsi="宋体" w:eastAsia="宋体" w:cs="宋体"/>
                <w:color w:val="auto"/>
                <w:highlight w:val="none"/>
              </w:rPr>
            </w:pPr>
          </w:p>
        </w:tc>
      </w:tr>
      <w:tr w14:paraId="42A353F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B49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388FE52">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5CA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互联网医院</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29D0">
            <w:pPr>
              <w:jc w:val="center"/>
              <w:textAlignment w:val="center"/>
              <w:rPr>
                <w:rFonts w:hint="eastAsia" w:ascii="宋体" w:hAnsi="宋体" w:eastAsia="宋体" w:cs="宋体"/>
                <w:color w:val="auto"/>
                <w:highlight w:val="none"/>
              </w:rPr>
            </w:pPr>
          </w:p>
        </w:tc>
      </w:tr>
      <w:tr w14:paraId="34CFD64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CD9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bottom w:val="single" w:color="000000" w:sz="4" w:space="0"/>
              <w:right w:val="single" w:color="000000" w:sz="4" w:space="0"/>
            </w:tcBorders>
            <w:shd w:val="clear" w:color="auto" w:fill="auto"/>
            <w:vAlign w:val="center"/>
          </w:tcPr>
          <w:p w14:paraId="3F6D6369">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AD0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消息平台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1791">
            <w:pPr>
              <w:jc w:val="center"/>
              <w:textAlignment w:val="center"/>
              <w:rPr>
                <w:rFonts w:hint="eastAsia" w:ascii="宋体" w:hAnsi="宋体" w:eastAsia="宋体" w:cs="宋体"/>
                <w:color w:val="auto"/>
                <w:highlight w:val="none"/>
              </w:rPr>
            </w:pPr>
          </w:p>
        </w:tc>
      </w:tr>
      <w:bookmarkEnd w:id="49"/>
      <w:tr w14:paraId="4519010B">
        <w:tblPrEx>
          <w:tblCellMar>
            <w:top w:w="0" w:type="dxa"/>
            <w:left w:w="108" w:type="dxa"/>
            <w:bottom w:w="0" w:type="dxa"/>
            <w:right w:w="108" w:type="dxa"/>
          </w:tblCellMar>
        </w:tblPrEx>
        <w:trPr>
          <w:trHeight w:val="9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8817">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right w:val="single" w:color="000000" w:sz="4" w:space="0"/>
            </w:tcBorders>
            <w:shd w:val="clear" w:color="auto" w:fill="auto"/>
            <w:vAlign w:val="center"/>
          </w:tcPr>
          <w:p w14:paraId="7B6D02E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信息集成平台</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F5C0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信息集成引擎</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DE00">
            <w:pPr>
              <w:jc w:val="center"/>
              <w:rPr>
                <w:rFonts w:hint="eastAsia" w:ascii="宋体" w:hAnsi="宋体" w:eastAsia="宋体" w:cs="宋体"/>
                <w:color w:val="auto"/>
                <w:highlight w:val="none"/>
              </w:rPr>
            </w:pPr>
          </w:p>
        </w:tc>
      </w:tr>
      <w:tr w14:paraId="1C807AB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DB5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965782F">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B8BA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信息集成标准与规范服务</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5F2B9">
            <w:pPr>
              <w:jc w:val="center"/>
              <w:rPr>
                <w:rFonts w:hint="eastAsia" w:ascii="宋体" w:hAnsi="宋体" w:eastAsia="宋体" w:cs="宋体"/>
                <w:color w:val="auto"/>
                <w:highlight w:val="none"/>
              </w:rPr>
            </w:pPr>
          </w:p>
        </w:tc>
      </w:tr>
      <w:tr w14:paraId="502D260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8EA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375C18A5">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DC6CD">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异常服务处理平台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B723">
            <w:pPr>
              <w:jc w:val="center"/>
              <w:rPr>
                <w:rFonts w:hint="eastAsia" w:ascii="宋体" w:hAnsi="宋体" w:eastAsia="宋体" w:cs="宋体"/>
                <w:color w:val="auto"/>
                <w:highlight w:val="none"/>
              </w:rPr>
            </w:pPr>
          </w:p>
        </w:tc>
      </w:tr>
      <w:tr w14:paraId="04A1110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99D6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D1685E0">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304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消息检索平台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8770">
            <w:pPr>
              <w:jc w:val="center"/>
              <w:rPr>
                <w:rFonts w:hint="eastAsia" w:ascii="宋体" w:hAnsi="宋体" w:eastAsia="宋体" w:cs="宋体"/>
                <w:color w:val="auto"/>
                <w:highlight w:val="none"/>
              </w:rPr>
            </w:pPr>
          </w:p>
        </w:tc>
      </w:tr>
      <w:tr w14:paraId="20DEBE2A">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455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9FC199">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B9D41">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主数据管理系统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48A65">
            <w:pPr>
              <w:jc w:val="center"/>
              <w:rPr>
                <w:rFonts w:hint="eastAsia" w:ascii="宋体" w:hAnsi="宋体" w:eastAsia="宋体" w:cs="宋体"/>
                <w:color w:val="auto"/>
                <w:highlight w:val="none"/>
              </w:rPr>
            </w:pPr>
          </w:p>
        </w:tc>
      </w:tr>
      <w:tr w14:paraId="2A448A5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D5C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3680F38">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5CD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一体化监控平台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C1AC">
            <w:pPr>
              <w:jc w:val="center"/>
              <w:rPr>
                <w:rFonts w:hint="eastAsia" w:ascii="宋体" w:hAnsi="宋体" w:eastAsia="宋体" w:cs="宋体"/>
                <w:color w:val="auto"/>
                <w:highlight w:val="none"/>
              </w:rPr>
            </w:pPr>
          </w:p>
        </w:tc>
      </w:tr>
      <w:tr w14:paraId="3A8DEB8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806E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58602F71">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1607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服务、消息分析平台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C8B3">
            <w:pPr>
              <w:jc w:val="center"/>
              <w:rPr>
                <w:rFonts w:hint="eastAsia" w:ascii="宋体" w:hAnsi="宋体" w:eastAsia="宋体" w:cs="宋体"/>
                <w:color w:val="auto"/>
                <w:highlight w:val="none"/>
              </w:rPr>
            </w:pPr>
          </w:p>
        </w:tc>
      </w:tr>
      <w:tr w14:paraId="1138186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EF2D">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0EDE3ED4">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EF0D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互联互通定量</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C24C">
            <w:pPr>
              <w:jc w:val="center"/>
              <w:rPr>
                <w:rFonts w:hint="eastAsia" w:ascii="宋体" w:hAnsi="宋体" w:eastAsia="宋体" w:cs="宋体"/>
                <w:color w:val="auto"/>
                <w:highlight w:val="none"/>
              </w:rPr>
            </w:pPr>
          </w:p>
        </w:tc>
      </w:tr>
      <w:tr w14:paraId="5049886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B55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AC3847D">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3AC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互联互通定性</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BC5B">
            <w:pPr>
              <w:jc w:val="center"/>
              <w:rPr>
                <w:rFonts w:hint="eastAsia" w:ascii="宋体" w:hAnsi="宋体" w:eastAsia="宋体" w:cs="宋体"/>
                <w:color w:val="auto"/>
                <w:highlight w:val="none"/>
              </w:rPr>
            </w:pPr>
          </w:p>
        </w:tc>
      </w:tr>
      <w:tr w14:paraId="3F0E1C8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9BED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9923C5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FD239">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互联互通消息检索</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D771">
            <w:pPr>
              <w:jc w:val="center"/>
              <w:rPr>
                <w:rFonts w:hint="eastAsia" w:ascii="宋体" w:hAnsi="宋体" w:eastAsia="宋体" w:cs="宋体"/>
                <w:color w:val="auto"/>
                <w:highlight w:val="none"/>
              </w:rPr>
            </w:pPr>
          </w:p>
        </w:tc>
      </w:tr>
      <w:tr w14:paraId="26B1AA1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742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87C0518">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9FBF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数据接入平台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1C55">
            <w:pPr>
              <w:jc w:val="center"/>
              <w:rPr>
                <w:rFonts w:hint="eastAsia" w:ascii="宋体" w:hAnsi="宋体" w:eastAsia="宋体" w:cs="宋体"/>
                <w:color w:val="auto"/>
                <w:highlight w:val="none"/>
              </w:rPr>
            </w:pPr>
          </w:p>
        </w:tc>
      </w:tr>
      <w:tr w14:paraId="3D0D4B5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69CA">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1DE9E33C">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4DC3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前置业务存储数据库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64EC">
            <w:pPr>
              <w:jc w:val="center"/>
              <w:rPr>
                <w:rFonts w:hint="eastAsia" w:ascii="宋体" w:hAnsi="宋体" w:eastAsia="宋体" w:cs="宋体"/>
                <w:color w:val="auto"/>
                <w:highlight w:val="none"/>
              </w:rPr>
            </w:pPr>
          </w:p>
        </w:tc>
      </w:tr>
      <w:tr w14:paraId="7128C18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3AB3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1FF4EF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D00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临床数据资源平台</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518E">
            <w:pPr>
              <w:jc w:val="center"/>
              <w:rPr>
                <w:rFonts w:hint="eastAsia" w:ascii="宋体" w:hAnsi="宋体" w:eastAsia="宋体" w:cs="宋体"/>
                <w:color w:val="auto"/>
                <w:highlight w:val="none"/>
              </w:rPr>
            </w:pPr>
          </w:p>
        </w:tc>
      </w:tr>
      <w:tr w14:paraId="19EEFA8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F6B9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4CACF46">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D32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运营数据库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403C">
            <w:pPr>
              <w:jc w:val="center"/>
              <w:rPr>
                <w:rFonts w:hint="eastAsia" w:ascii="宋体" w:hAnsi="宋体" w:eastAsia="宋体" w:cs="宋体"/>
                <w:color w:val="auto"/>
                <w:highlight w:val="none"/>
              </w:rPr>
            </w:pPr>
          </w:p>
        </w:tc>
      </w:tr>
      <w:tr w14:paraId="4032C22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B93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2264968">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125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患者360全息视图</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50B3">
            <w:pPr>
              <w:jc w:val="center"/>
              <w:rPr>
                <w:rFonts w:hint="eastAsia" w:ascii="宋体" w:hAnsi="宋体" w:eastAsia="宋体" w:cs="宋体"/>
                <w:color w:val="auto"/>
                <w:highlight w:val="none"/>
              </w:rPr>
            </w:pPr>
          </w:p>
        </w:tc>
      </w:tr>
      <w:tr w14:paraId="33CB662D">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B7CB7">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34093E4E">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1D03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闭环流程追溯管理系统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BCA6">
            <w:pPr>
              <w:jc w:val="center"/>
              <w:rPr>
                <w:rFonts w:hint="eastAsia" w:ascii="宋体" w:hAnsi="宋体" w:eastAsia="宋体" w:cs="宋体"/>
                <w:color w:val="auto"/>
                <w:highlight w:val="none"/>
              </w:rPr>
            </w:pPr>
          </w:p>
        </w:tc>
      </w:tr>
      <w:tr w14:paraId="04189F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114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219BE1BB">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BD63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元数据管理系统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AAAE">
            <w:pPr>
              <w:jc w:val="center"/>
              <w:rPr>
                <w:rFonts w:hint="eastAsia" w:ascii="宋体" w:hAnsi="宋体" w:eastAsia="宋体" w:cs="宋体"/>
                <w:color w:val="auto"/>
                <w:highlight w:val="none"/>
              </w:rPr>
            </w:pPr>
          </w:p>
        </w:tc>
      </w:tr>
      <w:tr w14:paraId="1502C6E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7D4E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65C322BC">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4313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主索引管理系统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16BD">
            <w:pPr>
              <w:jc w:val="center"/>
              <w:rPr>
                <w:rFonts w:hint="eastAsia" w:ascii="宋体" w:hAnsi="宋体" w:eastAsia="宋体" w:cs="宋体"/>
                <w:color w:val="auto"/>
                <w:highlight w:val="none"/>
              </w:rPr>
            </w:pPr>
          </w:p>
        </w:tc>
      </w:tr>
      <w:tr w14:paraId="075B5B9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B4416">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AA347BA">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506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共享文档库</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E500">
            <w:pPr>
              <w:jc w:val="center"/>
              <w:rPr>
                <w:rFonts w:hint="eastAsia" w:ascii="宋体" w:hAnsi="宋体" w:eastAsia="宋体" w:cs="宋体"/>
                <w:color w:val="auto"/>
                <w:highlight w:val="none"/>
              </w:rPr>
            </w:pPr>
          </w:p>
        </w:tc>
      </w:tr>
      <w:tr w14:paraId="7833BC2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990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437362A0">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F39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共享文档管理系统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B57C">
            <w:pPr>
              <w:jc w:val="center"/>
              <w:rPr>
                <w:rFonts w:hint="eastAsia" w:ascii="宋体" w:hAnsi="宋体" w:eastAsia="宋体" w:cs="宋体"/>
                <w:color w:val="auto"/>
                <w:highlight w:val="none"/>
              </w:rPr>
            </w:pPr>
          </w:p>
        </w:tc>
      </w:tr>
      <w:tr w14:paraId="73AFF3D2">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3DC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left w:val="single" w:color="000000" w:sz="4" w:space="0"/>
              <w:right w:val="single" w:color="000000" w:sz="4" w:space="0"/>
            </w:tcBorders>
            <w:shd w:val="clear" w:color="auto" w:fill="auto"/>
            <w:vAlign w:val="center"/>
          </w:tcPr>
          <w:p w14:paraId="7AA612E3">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FB0E">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历史数据迁移</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B4257">
            <w:pPr>
              <w:jc w:val="center"/>
              <w:rPr>
                <w:rFonts w:hint="eastAsia" w:ascii="宋体" w:hAnsi="宋体" w:eastAsia="宋体" w:cs="宋体"/>
                <w:color w:val="auto"/>
                <w:highlight w:val="none"/>
              </w:rPr>
            </w:pPr>
          </w:p>
        </w:tc>
      </w:tr>
      <w:tr w14:paraId="3C9E0C9F">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B9F04">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08F6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医院系统应用统一管理</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7374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单点登录系统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6D64">
            <w:pPr>
              <w:jc w:val="center"/>
              <w:rPr>
                <w:rFonts w:hint="eastAsia" w:ascii="宋体" w:hAnsi="宋体" w:eastAsia="宋体" w:cs="宋体"/>
                <w:color w:val="auto"/>
                <w:highlight w:val="none"/>
              </w:rPr>
            </w:pPr>
          </w:p>
        </w:tc>
      </w:tr>
      <w:tr w14:paraId="20DC61C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4D34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ED5B1">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261E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后台管理系统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12B3">
            <w:pPr>
              <w:jc w:val="center"/>
              <w:rPr>
                <w:rFonts w:hint="eastAsia" w:ascii="宋体" w:hAnsi="宋体" w:eastAsia="宋体" w:cs="宋体"/>
                <w:color w:val="auto"/>
                <w:highlight w:val="none"/>
              </w:rPr>
            </w:pPr>
          </w:p>
        </w:tc>
      </w:tr>
      <w:tr w14:paraId="042D571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899C3">
            <w:pPr>
              <w:pStyle w:val="257"/>
              <w:numPr>
                <w:ilvl w:val="0"/>
                <w:numId w:val="3"/>
              </w:numPr>
              <w:jc w:val="center"/>
              <w:textAlignment w:val="center"/>
              <w:rPr>
                <w:rFonts w:hint="eastAsia" w:ascii="宋体" w:hAnsi="宋体" w:eastAsia="宋体" w:cs="宋体"/>
                <w:color w:val="auto"/>
                <w:highlight w:val="none"/>
              </w:rPr>
            </w:pP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B15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电子病历四级</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925E">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评审时提供数据填报和截图服务</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E7E3C">
            <w:pPr>
              <w:jc w:val="center"/>
              <w:rPr>
                <w:rFonts w:hint="eastAsia" w:ascii="宋体" w:hAnsi="宋体" w:eastAsia="宋体" w:cs="宋体"/>
                <w:color w:val="auto"/>
                <w:highlight w:val="none"/>
              </w:rPr>
            </w:pPr>
          </w:p>
        </w:tc>
      </w:tr>
      <w:tr w14:paraId="72E3C5FC">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513E">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CC306">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互联互通四甲测评贴身服务</w:t>
            </w: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7C6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互联互通四甲报名及自评材料准备及提交</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C776D">
            <w:pPr>
              <w:jc w:val="center"/>
              <w:rPr>
                <w:rFonts w:hint="eastAsia" w:ascii="宋体" w:hAnsi="宋体" w:eastAsia="宋体" w:cs="宋体"/>
                <w:color w:val="auto"/>
                <w:highlight w:val="none"/>
              </w:rPr>
            </w:pPr>
          </w:p>
        </w:tc>
      </w:tr>
      <w:tr w14:paraId="4F2CD18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B9C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8AFA2">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72ED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互联互通四甲省预评估材料准备及提交</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F4455">
            <w:pPr>
              <w:jc w:val="center"/>
              <w:rPr>
                <w:rFonts w:hint="eastAsia" w:ascii="宋体" w:hAnsi="宋体" w:eastAsia="宋体" w:cs="宋体"/>
                <w:color w:val="auto"/>
                <w:highlight w:val="none"/>
              </w:rPr>
            </w:pPr>
          </w:p>
        </w:tc>
      </w:tr>
      <w:tr w14:paraId="0F2BBA26">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EC3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58877">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7C645">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互联互通四甲测评服务数据准备</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24E2">
            <w:pPr>
              <w:jc w:val="center"/>
              <w:rPr>
                <w:rFonts w:hint="eastAsia" w:ascii="宋体" w:hAnsi="宋体" w:eastAsia="宋体" w:cs="宋体"/>
                <w:color w:val="auto"/>
                <w:highlight w:val="none"/>
              </w:rPr>
            </w:pPr>
          </w:p>
        </w:tc>
      </w:tr>
      <w:tr w14:paraId="6EBDA833">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AE5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689BB">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D88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互联互通四甲现场查验-定量查验</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3C14">
            <w:pPr>
              <w:jc w:val="center"/>
              <w:rPr>
                <w:rFonts w:hint="eastAsia" w:ascii="宋体" w:hAnsi="宋体" w:eastAsia="宋体" w:cs="宋体"/>
                <w:color w:val="auto"/>
                <w:highlight w:val="none"/>
              </w:rPr>
            </w:pPr>
          </w:p>
        </w:tc>
      </w:tr>
      <w:tr w14:paraId="73115C7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C7F1">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FA422B4">
            <w:pPr>
              <w:jc w:val="center"/>
              <w:rPr>
                <w:rFonts w:hint="eastAsia" w:ascii="宋体" w:hAnsi="宋体" w:eastAsia="宋体" w:cs="宋体"/>
                <w:color w:val="auto"/>
                <w:highlight w:val="none"/>
              </w:rPr>
            </w:pPr>
          </w:p>
        </w:tc>
        <w:tc>
          <w:tcPr>
            <w:tcW w:w="27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BBFA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互联互通四甲现场查验-定性查验</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C40B">
            <w:pPr>
              <w:jc w:val="center"/>
              <w:rPr>
                <w:rFonts w:hint="eastAsia" w:ascii="宋体" w:hAnsi="宋体" w:eastAsia="宋体" w:cs="宋体"/>
                <w:color w:val="auto"/>
                <w:highlight w:val="none"/>
              </w:rPr>
            </w:pPr>
          </w:p>
        </w:tc>
      </w:tr>
      <w:tr w14:paraId="0B6BE80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03ED0C6">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518966">
            <w:pPr>
              <w:pStyle w:val="19"/>
              <w:jc w:val="center"/>
              <w:rPr>
                <w:rFonts w:hint="default" w:eastAsia="宋体"/>
                <w:color w:val="auto"/>
                <w:highlight w:val="none"/>
                <w:lang w:val="en-US" w:eastAsia="zh-CN"/>
              </w:rPr>
            </w:pPr>
            <w:r>
              <w:rPr>
                <w:rFonts w:hint="eastAsia"/>
                <w:color w:val="auto"/>
                <w:highlight w:val="none"/>
                <w:lang w:val="en-US" w:eastAsia="zh-CN"/>
              </w:rPr>
              <w:t>系统集成与升级</w:t>
            </w:r>
          </w:p>
          <w:p w14:paraId="52DB12CA">
            <w:pPr>
              <w:jc w:val="center"/>
              <w:textAlignment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3E3BB30">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RBRVS绩效考核系统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F8C5">
            <w:pPr>
              <w:jc w:val="center"/>
              <w:rPr>
                <w:rFonts w:hint="eastAsia" w:ascii="宋体" w:hAnsi="宋体" w:eastAsia="宋体" w:cs="宋体"/>
                <w:color w:val="auto"/>
                <w:highlight w:val="none"/>
              </w:rPr>
            </w:pPr>
          </w:p>
        </w:tc>
      </w:tr>
      <w:tr w14:paraId="747AF67B">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B997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85767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037453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排队叫号系统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81DC">
            <w:pPr>
              <w:jc w:val="center"/>
              <w:rPr>
                <w:rFonts w:hint="eastAsia" w:ascii="宋体" w:hAnsi="宋体" w:eastAsia="宋体" w:cs="宋体"/>
                <w:color w:val="auto"/>
                <w:highlight w:val="none"/>
              </w:rPr>
            </w:pPr>
          </w:p>
        </w:tc>
      </w:tr>
      <w:tr w14:paraId="760775B9">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472094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57C3FB">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6BABE4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病案系统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ADA8D">
            <w:pPr>
              <w:jc w:val="center"/>
              <w:rPr>
                <w:rFonts w:hint="eastAsia" w:ascii="宋体" w:hAnsi="宋体" w:eastAsia="宋体" w:cs="宋体"/>
                <w:color w:val="auto"/>
                <w:highlight w:val="none"/>
              </w:rPr>
            </w:pPr>
          </w:p>
        </w:tc>
      </w:tr>
      <w:tr w14:paraId="1BB87D07">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EAD767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A9D70">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92623B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LIS系统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89FD">
            <w:pPr>
              <w:jc w:val="center"/>
              <w:rPr>
                <w:rFonts w:hint="eastAsia" w:ascii="宋体" w:hAnsi="宋体" w:eastAsia="宋体" w:cs="宋体"/>
                <w:color w:val="auto"/>
                <w:highlight w:val="none"/>
              </w:rPr>
            </w:pPr>
          </w:p>
        </w:tc>
      </w:tr>
      <w:tr w14:paraId="2699EEFD">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4F97DAF">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950716">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180B6D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PACS</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8D08">
            <w:pPr>
              <w:jc w:val="center"/>
              <w:rPr>
                <w:rFonts w:hint="eastAsia" w:ascii="宋体" w:hAnsi="宋体" w:eastAsia="宋体" w:cs="宋体"/>
                <w:color w:val="auto"/>
                <w:highlight w:val="none"/>
              </w:rPr>
            </w:pPr>
          </w:p>
        </w:tc>
      </w:tr>
      <w:tr w14:paraId="06A32BE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070A5829">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F3F6A">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AD130B8">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DRGS管理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7CEAE">
            <w:pPr>
              <w:jc w:val="center"/>
              <w:rPr>
                <w:rFonts w:hint="eastAsia" w:ascii="宋体" w:hAnsi="宋体" w:eastAsia="宋体" w:cs="宋体"/>
                <w:color w:val="auto"/>
                <w:highlight w:val="none"/>
              </w:rPr>
            </w:pPr>
          </w:p>
        </w:tc>
      </w:tr>
      <w:tr w14:paraId="10CC026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30CB204">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F307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3A1AA7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HRP</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1053">
            <w:pPr>
              <w:jc w:val="center"/>
              <w:rPr>
                <w:rFonts w:hint="eastAsia" w:ascii="宋体" w:hAnsi="宋体" w:eastAsia="宋体" w:cs="宋体"/>
                <w:color w:val="auto"/>
                <w:highlight w:val="none"/>
              </w:rPr>
            </w:pPr>
          </w:p>
        </w:tc>
      </w:tr>
      <w:tr w14:paraId="66B4999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215581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5761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3C7C3401">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不良事件上报</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9693C">
            <w:pPr>
              <w:jc w:val="center"/>
              <w:rPr>
                <w:rFonts w:hint="eastAsia" w:ascii="宋体" w:hAnsi="宋体" w:eastAsia="宋体" w:cs="宋体"/>
                <w:color w:val="auto"/>
                <w:highlight w:val="none"/>
              </w:rPr>
            </w:pPr>
          </w:p>
        </w:tc>
      </w:tr>
      <w:tr w14:paraId="6AA9767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C292D9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297F9">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F4C83F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院感系统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E4F46">
            <w:pPr>
              <w:jc w:val="center"/>
              <w:rPr>
                <w:rFonts w:hint="eastAsia" w:ascii="宋体" w:hAnsi="宋体" w:eastAsia="宋体" w:cs="宋体"/>
                <w:color w:val="auto"/>
                <w:highlight w:val="none"/>
              </w:rPr>
            </w:pPr>
          </w:p>
        </w:tc>
      </w:tr>
      <w:tr w14:paraId="034A932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0A78F565">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27D95">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3960B394">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供应室追溯系统、内镜追溯系统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717E">
            <w:pPr>
              <w:jc w:val="center"/>
              <w:rPr>
                <w:rFonts w:hint="eastAsia" w:ascii="宋体" w:hAnsi="宋体" w:eastAsia="宋体" w:cs="宋体"/>
                <w:color w:val="auto"/>
                <w:highlight w:val="none"/>
              </w:rPr>
            </w:pPr>
          </w:p>
        </w:tc>
      </w:tr>
      <w:tr w14:paraId="739F0554">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C2FE3E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9E5AD2">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7E8CB6CC">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产科电子病历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0AD76">
            <w:pPr>
              <w:jc w:val="center"/>
              <w:rPr>
                <w:rFonts w:hint="eastAsia" w:ascii="宋体" w:hAnsi="宋体" w:eastAsia="宋体" w:cs="宋体"/>
                <w:color w:val="auto"/>
                <w:highlight w:val="none"/>
              </w:rPr>
            </w:pPr>
          </w:p>
        </w:tc>
      </w:tr>
      <w:tr w14:paraId="2A71BB0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35895B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BB394">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2B00D41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审方系统合理用药处方点评</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0C824">
            <w:pPr>
              <w:jc w:val="center"/>
              <w:rPr>
                <w:rFonts w:hint="eastAsia" w:ascii="宋体" w:hAnsi="宋体" w:eastAsia="宋体" w:cs="宋体"/>
                <w:color w:val="auto"/>
                <w:highlight w:val="none"/>
              </w:rPr>
            </w:pPr>
          </w:p>
        </w:tc>
      </w:tr>
      <w:tr w14:paraId="765BE92B">
        <w:tblPrEx>
          <w:tblCellMar>
            <w:top w:w="0" w:type="dxa"/>
            <w:left w:w="108" w:type="dxa"/>
            <w:bottom w:w="0" w:type="dxa"/>
            <w:right w:w="108" w:type="dxa"/>
          </w:tblCellMar>
        </w:tblPrEx>
        <w:trPr>
          <w:trHeight w:val="90"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ED2793B">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0FEAE">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29D4B32">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随访系统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CA5D">
            <w:pPr>
              <w:jc w:val="center"/>
              <w:rPr>
                <w:rFonts w:hint="eastAsia" w:ascii="宋体" w:hAnsi="宋体" w:eastAsia="宋体" w:cs="宋体"/>
                <w:color w:val="auto"/>
                <w:highlight w:val="none"/>
              </w:rPr>
            </w:pPr>
          </w:p>
        </w:tc>
      </w:tr>
      <w:tr w14:paraId="267CC06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39C00B8">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C1833">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651614E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自助机接口（门诊、住院、自助开单）</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9554">
            <w:pPr>
              <w:jc w:val="center"/>
              <w:rPr>
                <w:rFonts w:hint="eastAsia" w:ascii="宋体" w:hAnsi="宋体" w:eastAsia="宋体" w:cs="宋体"/>
                <w:color w:val="auto"/>
                <w:highlight w:val="none"/>
              </w:rPr>
            </w:pPr>
          </w:p>
        </w:tc>
      </w:tr>
      <w:tr w14:paraId="7E81D2A8">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E240D6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938402">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1664C0F">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微信预约，挂号</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2BD0">
            <w:pPr>
              <w:jc w:val="center"/>
              <w:rPr>
                <w:rFonts w:hint="eastAsia" w:ascii="宋体" w:hAnsi="宋体" w:eastAsia="宋体" w:cs="宋体"/>
                <w:color w:val="auto"/>
                <w:highlight w:val="none"/>
              </w:rPr>
            </w:pPr>
          </w:p>
        </w:tc>
      </w:tr>
      <w:tr w14:paraId="416363E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29A89880">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48F56">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09CA0773">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输血管理</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1D590">
            <w:pPr>
              <w:jc w:val="center"/>
              <w:rPr>
                <w:rFonts w:hint="eastAsia" w:ascii="宋体" w:hAnsi="宋体" w:eastAsia="宋体" w:cs="宋体"/>
                <w:color w:val="auto"/>
                <w:highlight w:val="none"/>
              </w:rPr>
            </w:pPr>
          </w:p>
        </w:tc>
      </w:tr>
      <w:tr w14:paraId="0BEE9C40">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3F00DAAC">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5AC0C8">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43A8725A">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抖音预约小程序</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2DD25">
            <w:pPr>
              <w:jc w:val="center"/>
              <w:rPr>
                <w:rFonts w:hint="eastAsia" w:ascii="宋体" w:hAnsi="宋体" w:eastAsia="宋体" w:cs="宋体"/>
                <w:color w:val="auto"/>
                <w:highlight w:val="none"/>
              </w:rPr>
            </w:pPr>
          </w:p>
        </w:tc>
      </w:tr>
      <w:tr w14:paraId="0D07BCCE">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5F98BC64">
            <w:pPr>
              <w:pStyle w:val="257"/>
              <w:numPr>
                <w:ilvl w:val="0"/>
                <w:numId w:val="3"/>
              </w:numPr>
              <w:jc w:val="center"/>
              <w:textAlignment w:val="center"/>
              <w:rPr>
                <w:rFonts w:hint="eastAsia" w:ascii="宋体" w:hAnsi="宋体" w:eastAsia="宋体" w:cs="宋体"/>
                <w:color w:val="auto"/>
                <w:highlight w:val="none"/>
              </w:rPr>
            </w:pPr>
          </w:p>
        </w:tc>
        <w:tc>
          <w:tcPr>
            <w:tcW w:w="7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C3CF37">
            <w:pPr>
              <w:pStyle w:val="19"/>
              <w:rPr>
                <w:rFonts w:hint="eastAsia" w:ascii="宋体" w:hAnsi="宋体" w:eastAsia="宋体" w:cs="宋体"/>
                <w:color w:val="auto"/>
                <w:highlight w:val="none"/>
              </w:rPr>
            </w:pPr>
            <w:r>
              <w:rPr>
                <w:rFonts w:hint="eastAsia"/>
                <w:color w:val="auto"/>
                <w:highlight w:val="none"/>
              </w:rPr>
              <w:t>其他系统</w:t>
            </w: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286806A7">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体检系统（智能导诊）</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66F89">
            <w:pPr>
              <w:jc w:val="center"/>
              <w:rPr>
                <w:rFonts w:hint="eastAsia" w:ascii="宋体" w:hAnsi="宋体" w:eastAsia="宋体" w:cs="宋体"/>
                <w:color w:val="auto"/>
                <w:highlight w:val="none"/>
              </w:rPr>
            </w:pPr>
          </w:p>
        </w:tc>
      </w:tr>
      <w:tr w14:paraId="641743F5">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1BD867A2">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0321A7">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E3C349B">
            <w:pPr>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手术麻醉系统</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D4912">
            <w:pPr>
              <w:jc w:val="center"/>
              <w:rPr>
                <w:rFonts w:hint="eastAsia" w:ascii="宋体" w:hAnsi="宋体" w:eastAsia="宋体" w:cs="宋体"/>
                <w:color w:val="auto"/>
                <w:highlight w:val="none"/>
              </w:rPr>
            </w:pPr>
          </w:p>
        </w:tc>
      </w:tr>
      <w:tr w14:paraId="54119761">
        <w:tblPrEx>
          <w:tblCellMar>
            <w:top w:w="0" w:type="dxa"/>
            <w:left w:w="108" w:type="dxa"/>
            <w:bottom w:w="0" w:type="dxa"/>
            <w:right w:w="108" w:type="dxa"/>
          </w:tblCellMar>
        </w:tblPrEx>
        <w:trPr>
          <w:trHeight w:val="311" w:hRule="atLeast"/>
        </w:trPr>
        <w:tc>
          <w:tcPr>
            <w:tcW w:w="541" w:type="pct"/>
            <w:tcBorders>
              <w:top w:val="single" w:color="000000" w:sz="4" w:space="0"/>
              <w:left w:val="single" w:color="000000" w:sz="4" w:space="0"/>
              <w:bottom w:val="single" w:color="000000" w:sz="4" w:space="0"/>
              <w:right w:val="single" w:color="auto" w:sz="4" w:space="0"/>
            </w:tcBorders>
            <w:shd w:val="clear" w:color="auto" w:fill="auto"/>
            <w:vAlign w:val="center"/>
          </w:tcPr>
          <w:p w14:paraId="67D484C3">
            <w:pPr>
              <w:pStyle w:val="257"/>
              <w:numPr>
                <w:ilvl w:val="0"/>
                <w:numId w:val="3"/>
              </w:numPr>
              <w:jc w:val="center"/>
              <w:textAlignment w:val="center"/>
              <w:rPr>
                <w:rFonts w:hint="eastAsia" w:ascii="宋体" w:hAnsi="宋体" w:eastAsia="宋体" w:cs="宋体"/>
                <w:color w:val="auto"/>
                <w:highlight w:val="none"/>
              </w:rPr>
            </w:pPr>
          </w:p>
        </w:tc>
        <w:tc>
          <w:tcPr>
            <w:tcW w:w="7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1C92CE">
            <w:pPr>
              <w:jc w:val="center"/>
              <w:rPr>
                <w:rFonts w:hint="eastAsia" w:ascii="宋体" w:hAnsi="宋体" w:eastAsia="宋体" w:cs="宋体"/>
                <w:color w:val="auto"/>
                <w:highlight w:val="none"/>
              </w:rPr>
            </w:pPr>
          </w:p>
        </w:tc>
        <w:tc>
          <w:tcPr>
            <w:tcW w:w="2778" w:type="pct"/>
            <w:tcBorders>
              <w:top w:val="single" w:color="000000" w:sz="4" w:space="0"/>
              <w:left w:val="single" w:color="auto" w:sz="4" w:space="0"/>
              <w:bottom w:val="single" w:color="000000" w:sz="4" w:space="0"/>
              <w:right w:val="single" w:color="000000" w:sz="4" w:space="0"/>
            </w:tcBorders>
            <w:shd w:val="clear" w:color="auto" w:fill="auto"/>
            <w:vAlign w:val="center"/>
          </w:tcPr>
          <w:p w14:paraId="516540C7">
            <w:pPr>
              <w:jc w:val="center"/>
              <w:textAlignment w:val="center"/>
              <w:rPr>
                <w:rFonts w:hint="eastAsia" w:ascii="宋体" w:hAnsi="宋体" w:eastAsia="宋体" w:cs="宋体"/>
                <w:color w:val="auto"/>
                <w:highlight w:val="none"/>
              </w:rPr>
            </w:pPr>
            <w:r>
              <w:rPr>
                <w:rFonts w:hint="eastAsia"/>
                <w:color w:val="auto"/>
                <w:highlight w:val="none"/>
              </w:rPr>
              <w:t>病理系统及标本管理扩展项目</w:t>
            </w:r>
          </w:p>
        </w:tc>
        <w:tc>
          <w:tcPr>
            <w:tcW w:w="8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5092">
            <w:pPr>
              <w:jc w:val="center"/>
              <w:rPr>
                <w:rFonts w:hint="eastAsia" w:ascii="宋体" w:hAnsi="宋体" w:eastAsia="宋体" w:cs="宋体"/>
                <w:color w:val="auto"/>
                <w:highlight w:val="none"/>
              </w:rPr>
            </w:pPr>
          </w:p>
        </w:tc>
      </w:tr>
    </w:tbl>
    <w:p w14:paraId="4B817757">
      <w:pPr>
        <w:pStyle w:val="3"/>
        <w:numPr>
          <w:ilvl w:val="1"/>
          <w:numId w:val="2"/>
        </w:numPr>
        <w:bidi w:val="0"/>
        <w:rPr>
          <w:rFonts w:hint="eastAsia"/>
          <w:color w:val="auto"/>
          <w:highlight w:val="none"/>
        </w:rPr>
      </w:pPr>
      <w:bookmarkStart w:id="50" w:name="_Toc187691847"/>
      <w:r>
        <w:rPr>
          <w:rFonts w:hint="eastAsia"/>
          <w:color w:val="auto"/>
          <w:highlight w:val="none"/>
        </w:rPr>
        <w:t>医院信息系统</w:t>
      </w:r>
      <w:bookmarkEnd w:id="50"/>
    </w:p>
    <w:p w14:paraId="6DCF37CD">
      <w:pPr>
        <w:pStyle w:val="4"/>
        <w:numPr>
          <w:ilvl w:val="2"/>
          <w:numId w:val="2"/>
        </w:numPr>
        <w:spacing w:line="360" w:lineRule="auto"/>
        <w:rPr>
          <w:rFonts w:hint="eastAsia" w:ascii="宋体" w:hAnsi="宋体" w:eastAsia="宋体"/>
          <w:color w:val="auto"/>
          <w:highlight w:val="none"/>
        </w:rPr>
      </w:pPr>
      <w:r>
        <w:rPr>
          <w:rFonts w:ascii="宋体" w:hAnsi="宋体" w:eastAsia="宋体" w:cs="宋体"/>
          <w:color w:val="auto"/>
          <w:highlight w:val="none"/>
        </w:rPr>
        <w:t>基础业务平台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54"/>
        <w:gridCol w:w="6941"/>
      </w:tblGrid>
      <w:tr w14:paraId="34F3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4" w:hRule="atLeast"/>
          <w:jc w:val="center"/>
        </w:trPr>
        <w:tc>
          <w:tcPr>
            <w:tcW w:w="0" w:type="auto"/>
            <w:shd w:val="clear" w:color="auto" w:fill="FFFFFF"/>
            <w:noWrap/>
            <w:vAlign w:val="bottom"/>
          </w:tcPr>
          <w:p w14:paraId="62A12DE3">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系统名称</w:t>
            </w:r>
          </w:p>
        </w:tc>
        <w:tc>
          <w:tcPr>
            <w:tcW w:w="0" w:type="auto"/>
            <w:shd w:val="clear" w:color="auto" w:fill="FFFFFF"/>
            <w:noWrap/>
            <w:vAlign w:val="bottom"/>
          </w:tcPr>
          <w:p w14:paraId="76A9CD30">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技术参数要求</w:t>
            </w:r>
          </w:p>
        </w:tc>
      </w:tr>
      <w:tr w14:paraId="0D26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52B1444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业务服务组件管理系统</w:t>
            </w:r>
          </w:p>
        </w:tc>
        <w:tc>
          <w:tcPr>
            <w:tcW w:w="0" w:type="auto"/>
            <w:shd w:val="clear" w:color="auto" w:fill="FFFFFF"/>
            <w:noWrap/>
            <w:vAlign w:val="center"/>
          </w:tcPr>
          <w:p w14:paraId="4D95A12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业务组件是一个可以独立运行的系统或者模块，业务组件的目的是以方便业务组件独立升级和减少不必要的组件之间的交互为基本原则，通过一定程度的分离，实现软件重用。</w:t>
            </w:r>
          </w:p>
          <w:p w14:paraId="6545F8C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1、支持用户管理、用户角色、数据权限的定义；</w:t>
            </w:r>
          </w:p>
          <w:p w14:paraId="7001245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2、支持主数据、元数据的模型管理，实现各个组件间公用基础数据的管理；</w:t>
            </w:r>
          </w:p>
          <w:p w14:paraId="31243BF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3、支持流程管理，实现流程与业务的分离；</w:t>
            </w:r>
          </w:p>
          <w:p w14:paraId="72B1DB2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4、支持SOAP或REST接口服务；</w:t>
            </w:r>
          </w:p>
          <w:p w14:paraId="05E6233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5、支持基于API的接口调用；</w:t>
            </w:r>
          </w:p>
          <w:p w14:paraId="39E154F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6、支持容器部署；</w:t>
            </w:r>
          </w:p>
          <w:p w14:paraId="57B8B4F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7、支持负载均衡和流量控制、限流等设置；</w:t>
            </w:r>
          </w:p>
          <w:p w14:paraId="006294D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8、支持服务灰度发布。</w:t>
            </w:r>
          </w:p>
        </w:tc>
      </w:tr>
      <w:tr w14:paraId="79B5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FA0F8C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模块工作站配置系统（提供系统功能截图）</w:t>
            </w:r>
          </w:p>
        </w:tc>
        <w:tc>
          <w:tcPr>
            <w:tcW w:w="0" w:type="auto"/>
            <w:shd w:val="clear" w:color="auto" w:fill="FFFFFF"/>
            <w:noWrap/>
            <w:vAlign w:val="center"/>
          </w:tcPr>
          <w:p w14:paraId="09D7004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模块工作站配置是根据不同的组件和业务流程，根据不同角色，组装成相关的工作站模块。</w:t>
            </w:r>
          </w:p>
          <w:p w14:paraId="4CFEE81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1、支持模块工作站的自定义配置；</w:t>
            </w:r>
          </w:p>
          <w:p w14:paraId="6BBDC02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2、支持模块顺序号的可配置调整。</w:t>
            </w:r>
          </w:p>
        </w:tc>
      </w:tr>
      <w:tr w14:paraId="5B6B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48468274">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业务工作站配置系统</w:t>
            </w:r>
          </w:p>
        </w:tc>
        <w:tc>
          <w:tcPr>
            <w:tcW w:w="0" w:type="auto"/>
            <w:shd w:val="clear" w:color="auto" w:fill="FFFFFF"/>
            <w:noWrap/>
            <w:vAlign w:val="center"/>
          </w:tcPr>
          <w:p w14:paraId="1DDC990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业务工作站配置是根据具体业务，基于模块工作站基础之上，根据实际应用场景配置而成、适应专科化管理的业务工作站，支持工作站灵活组装和自定义权限分配。</w:t>
            </w:r>
          </w:p>
          <w:p w14:paraId="33B1CF5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业务工作站基于模块工作站的自定义配置，工作站可按照各科室个性化需求做到灵活组装，按需配置，做到自由配置每一个科室甚至每一个用户的工作站权限，无需修改程序，信息中心工作人员即可独立完成；</w:t>
            </w:r>
          </w:p>
          <w:p w14:paraId="219EC07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2、支持模块顺序号的可配置调整。</w:t>
            </w:r>
          </w:p>
        </w:tc>
      </w:tr>
      <w:tr w14:paraId="78D4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427E27F5">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业务规则支撑系统</w:t>
            </w:r>
          </w:p>
        </w:tc>
        <w:tc>
          <w:tcPr>
            <w:tcW w:w="0" w:type="auto"/>
            <w:shd w:val="clear" w:color="auto" w:fill="FFFFFF"/>
            <w:noWrap/>
            <w:vAlign w:val="center"/>
          </w:tcPr>
          <w:p w14:paraId="070BAA9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业务规则支撑系统能根据医院精细化、专科化管理要求，灵活设置不同规则，通过规则引擎与业务系统进行数据交互和规则适配，从而达到精细化管理目的。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1、支持业务规则复杂条件下的可视化配置；</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2、支持规则的触发权限控制；</w:t>
            </w:r>
            <w:r>
              <w:rPr>
                <w:rFonts w:hint="eastAsia" w:ascii="宋体" w:hAnsi="宋体" w:eastAsia="宋体" w:cs="宋体"/>
                <w:color w:val="auto"/>
                <w:highlight w:val="none"/>
              </w:rPr>
              <w:br w:type="textWrapping"/>
            </w:r>
            <w:r>
              <w:rPr>
                <w:rFonts w:hint="eastAsia" w:ascii="宋体" w:hAnsi="宋体" w:eastAsia="宋体" w:cs="宋体"/>
                <w:color w:val="auto"/>
                <w:highlight w:val="none"/>
              </w:rPr>
              <w:t>3、规则引擎支持通过字典引用定义规则。</w:t>
            </w:r>
          </w:p>
        </w:tc>
      </w:tr>
      <w:tr w14:paraId="6B7C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906334D">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基础数据维护系统</w:t>
            </w:r>
          </w:p>
        </w:tc>
        <w:tc>
          <w:tcPr>
            <w:tcW w:w="0" w:type="auto"/>
            <w:shd w:val="clear" w:color="auto" w:fill="FFFFFF"/>
            <w:noWrap/>
            <w:vAlign w:val="center"/>
          </w:tcPr>
          <w:p w14:paraId="4E940C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基础字典管理是统一管理系统内部的多个基础字典。系统将字典表分为“公共字典”和“初始化部分”。提供统一的增删改维护工具。</w:t>
            </w:r>
          </w:p>
          <w:p w14:paraId="1928734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主要包括：码表字典、手术字典、科室字典、检查检验字典。</w:t>
            </w:r>
          </w:p>
          <w:p w14:paraId="2A6A51C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（一）码表字典</w:t>
            </w:r>
          </w:p>
          <w:p w14:paraId="6C32CF4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1、系统数据字典，包括机构管理、人员管理、知识管理、配置管理、计划管理及统计管理字典。</w:t>
            </w:r>
          </w:p>
          <w:p w14:paraId="5F89503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2、患者数据字典，包括患者类、住院患者及门诊患者字典。</w:t>
            </w:r>
          </w:p>
          <w:p w14:paraId="5AD9C2B1">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3、医疗数据字典，包括门诊医疗、住院医疗、手术管理、日间病房、麻醉管理、单病种管理、传染病报卡管理、临床路径等医疗业务字典管理。</w:t>
            </w:r>
          </w:p>
          <w:p w14:paraId="288F271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4、后勤数据字典，包括后勤字典、药品字典、物资字典及血液字典等。</w:t>
            </w:r>
          </w:p>
          <w:p w14:paraId="58DF9F6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5、财务数据字典，包括收入字典、成本字典、支出字典、费用字典、结算字典及相关其他字典。</w:t>
            </w:r>
          </w:p>
          <w:p w14:paraId="4F094E5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6、基础字典数据，包括国家、地区、单位及其属性，疾病诊断与医疗操作，人员管理及版本管理。</w:t>
            </w:r>
          </w:p>
          <w:p w14:paraId="50FAFC5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（二）手术字典</w:t>
            </w:r>
          </w:p>
          <w:p w14:paraId="5F625C1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各类各项手术名称、编码、等级、操作类别等信息。</w:t>
            </w:r>
          </w:p>
          <w:p w14:paraId="3FF8EF6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科室字典</w:t>
            </w:r>
          </w:p>
          <w:p w14:paraId="3F3A46B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1、科室人员字典，包括医院各行政科室及所属人员。</w:t>
            </w:r>
          </w:p>
          <w:p w14:paraId="38AB0DC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2、医疗机构字典，包括分院、集团医院及下辖医疗机构等。</w:t>
            </w:r>
          </w:p>
          <w:p w14:paraId="1705A68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3、科室字典，包括分院科室及其他医院科室等。</w:t>
            </w:r>
          </w:p>
          <w:p w14:paraId="576B4E0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4、科室关系字典，包括各科室关系管理及开药权限字典等。</w:t>
            </w:r>
          </w:p>
          <w:p w14:paraId="5AA42D2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5、主诊断组字典，包括各临床科室的人员维护及主诊断组维护。</w:t>
            </w:r>
          </w:p>
          <w:p w14:paraId="0965616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6、医生个人信息字典，包括医生个人信息及档案维护。</w:t>
            </w:r>
          </w:p>
          <w:p w14:paraId="4E9A86B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7、人员签名维护，对系统电子签名进行统一维护管理。</w:t>
            </w:r>
          </w:p>
          <w:p w14:paraId="7B0D4CF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8、减免规则字典，对需要挂号优惠减免类型、优惠范围等进行维护，支持特殊人群优惠挂号就诊。</w:t>
            </w:r>
          </w:p>
          <w:p w14:paraId="582EEEF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（四）检查检验字典</w:t>
            </w:r>
          </w:p>
          <w:p w14:paraId="4E5C06C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1、检查类别字典，支持对影像、超声、病理、内镜、功能检查、专科检查等各项检查项目进行字典配置，包括类别名称、类型编码、类型输入码、预约方式、知情同意书等配置。</w:t>
            </w:r>
          </w:p>
          <w:p w14:paraId="7C58F26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2、检查部位字典，支持对影像、超声、病理、内镜、功能检查、专科检查等各项检查项目的检查部位进行字典配置，包括编码I</w:t>
            </w:r>
            <w:r>
              <w:rPr>
                <w:rFonts w:ascii="宋体" w:hAnsi="宋体" w:eastAsia="宋体" w:cs="宋体"/>
                <w:color w:val="auto"/>
                <w:highlight w:val="none"/>
              </w:rPr>
              <w:t>D</w:t>
            </w:r>
            <w:r>
              <w:rPr>
                <w:rFonts w:hint="eastAsia" w:ascii="宋体" w:hAnsi="宋体" w:eastAsia="宋体" w:cs="宋体"/>
                <w:color w:val="auto"/>
                <w:highlight w:val="none"/>
              </w:rPr>
              <w:t>、编码名称、输入码等配置。</w:t>
            </w:r>
          </w:p>
          <w:p w14:paraId="2D0C85F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3、检查方法字典，支持对影像、超声、病理、内镜、功能检查、专科检查等各项检查项目的检查方法进行字典配置，包括方法编号、方法名称、输入码等配置。</w:t>
            </w:r>
          </w:p>
          <w:p w14:paraId="23EFBAED">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4、检查项目字典，支持对影像、超声、病理、内镜、功能检查、专科检查等各项检查项目的检查项目进行字典配置，包括项目序号、检查大类、检查子类、检查小类、检查项目等配置。</w:t>
            </w:r>
          </w:p>
          <w:p w14:paraId="41755FF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5、检查带药字典，支持对检查带药的模板维护，包括类别、医嘱、剂量、用量、途径、频次、用法、天数、数量、执行科室等配置。</w:t>
            </w:r>
          </w:p>
          <w:p w14:paraId="6E3ADED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6、检查科室关系字典，支持对当前检查项目的关系配置。包括对跨院区、各科室明细信息的选择及详细对照关系的优先级等配置。</w:t>
            </w:r>
          </w:p>
          <w:p w14:paraId="390BBCE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7、检验标本字典，支持维护标本字典，包括标本代码、标本名称、输入码、计费模板等配置。</w:t>
            </w:r>
          </w:p>
          <w:p w14:paraId="2D66B4F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8、检验类别字典，支持对免疫、临检、生化、微生物、P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、分子诊断、血液检验等检验类型的检验代码、检验名称等进行配置。</w:t>
            </w:r>
          </w:p>
          <w:p w14:paraId="7D20AD2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9、检验分组字典，支持对免疫、临检、生化、微生物、P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、分子诊断、血液检验等检验类型的检验子类维护，包括序号、分组名称、上级检验类别等进行配置。</w:t>
            </w:r>
          </w:p>
          <w:p w14:paraId="032C8DB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10、检验类别与科室对照字典，支持对免疫、临检、生化、微生物、P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、分子诊断、血液检验等检验类型的详细科室对照配置，包括对跨院区、各科室明细信息的选择及详细对照关系的优先级等配置。</w:t>
            </w:r>
          </w:p>
          <w:p w14:paraId="008A639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11、检验类别与项目对照字典，支持对免疫、临检、生化、微生物、P</w:t>
            </w:r>
            <w:r>
              <w:rPr>
                <w:rFonts w:ascii="宋体" w:hAnsi="宋体" w:eastAsia="宋体" w:cs="宋体"/>
                <w:color w:val="auto"/>
                <w:highlight w:val="none"/>
              </w:rPr>
              <w:t>OCT</w:t>
            </w:r>
            <w:r>
              <w:rPr>
                <w:rFonts w:hint="eastAsia" w:ascii="宋体" w:hAnsi="宋体" w:eastAsia="宋体" w:cs="宋体"/>
                <w:color w:val="auto"/>
                <w:highlight w:val="none"/>
              </w:rPr>
              <w:t>、分子诊断、血液检验等检验类型的检验类别、项目名称、检验标本、执行科室等进行配置。</w:t>
            </w:r>
          </w:p>
        </w:tc>
      </w:tr>
      <w:tr w14:paraId="50BC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500F398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用户及人员管理系统</w:t>
            </w:r>
          </w:p>
        </w:tc>
        <w:tc>
          <w:tcPr>
            <w:tcW w:w="0" w:type="auto"/>
            <w:shd w:val="clear" w:color="auto" w:fill="FFFFFF"/>
            <w:noWrap/>
            <w:vAlign w:val="center"/>
          </w:tcPr>
          <w:p w14:paraId="5F8E336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用户与人员管理用于整个系统的用户及分配相关应用权限。包含创建用户、创建角色、分配角色、分配权限等。</w:t>
            </w:r>
          </w:p>
          <w:p w14:paraId="00BD2D9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整个系统使用统一登录界面，根据用户权限登录相应的工作站；</w:t>
            </w:r>
          </w:p>
          <w:p w14:paraId="68BAB3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权限与角色相关联，用户通过被赋予适当角色而得到这些角色对应的所有功能权限。这样可以简化权限的管理，不需要对每个具体用户分别设置功能权限。</w:t>
            </w:r>
          </w:p>
          <w:p w14:paraId="4A9CAD4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系统主要包括：权限管理、角色管理、人员管理。</w:t>
            </w:r>
          </w:p>
          <w:p w14:paraId="0BDB21E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（一）权限管理</w:t>
            </w:r>
          </w:p>
          <w:p w14:paraId="2DACC8C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权限分类管理（增、删、改），权限点管理（增、删、改）。</w:t>
            </w:r>
          </w:p>
          <w:p w14:paraId="6AAFBE0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1、支持权限分类名自定义，且遵循唯一约束。分类名命名原则上遵循子系统或者功能模块的命名规则；</w:t>
            </w:r>
          </w:p>
          <w:p w14:paraId="39E2055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2、支持是否有效设置：默认”有效“。如选择”无效“，则控制当前权限分类不可用；</w:t>
            </w:r>
          </w:p>
          <w:p w14:paraId="2E6562C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3、支持编辑或删除权限分类，可编辑内容为权限分类名、权限分类code、是否有效；</w:t>
            </w:r>
          </w:p>
          <w:p w14:paraId="35230A1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4、支持新增、删除、修改权限点。</w:t>
            </w:r>
          </w:p>
          <w:p w14:paraId="32B8DE2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（二）角色管理</w:t>
            </w:r>
          </w:p>
          <w:p w14:paraId="1F0AEA0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角色分类管理（增、删、改）；角色分类对应角色明细管理（增、删、改）；角色对应权限配置。</w:t>
            </w:r>
          </w:p>
          <w:p w14:paraId="284E0BA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1、支持角色分类的新增、删除、修改；</w:t>
            </w:r>
          </w:p>
          <w:p w14:paraId="68F02B6F">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2、支持设置角色分类的有效IP范围、是否有效；</w:t>
            </w:r>
          </w:p>
          <w:p w14:paraId="4CD9D92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3、支持角色的新增、删除、修改及角色拥有的权限点配置。</w:t>
            </w:r>
          </w:p>
          <w:p w14:paraId="0D8DE02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（三）人员管理（提供系统功能截图）</w:t>
            </w:r>
          </w:p>
          <w:p w14:paraId="2964FFF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线下人员管理（增、删、改）、线上用户账户管理（增、删、改、角色配置）。</w:t>
            </w:r>
          </w:p>
          <w:p w14:paraId="265B39D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1、支持新增、删除、修改人员；</w:t>
            </w:r>
          </w:p>
          <w:p w14:paraId="6A94896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2、支持设置人员的科室、工作、职称、状态等信息；</w:t>
            </w:r>
          </w:p>
          <w:p w14:paraId="79F3A47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3、支持对人员的角色配置；</w:t>
            </w:r>
          </w:p>
          <w:p w14:paraId="03941FD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4、支持对某个用户重置密码。</w:t>
            </w:r>
          </w:p>
        </w:tc>
      </w:tr>
      <w:tr w14:paraId="2CDF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761E0629">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统一授权管理系统</w:t>
            </w:r>
          </w:p>
        </w:tc>
        <w:tc>
          <w:tcPr>
            <w:tcW w:w="0" w:type="auto"/>
            <w:shd w:val="clear" w:color="auto" w:fill="FFFFFF"/>
            <w:noWrap/>
            <w:vAlign w:val="center"/>
          </w:tcPr>
          <w:p w14:paraId="2062B81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通过统一用户身份认证和权限管理，解决用户重复登陆、系统管理员繁琐的账号管理、权限分配和系统设置等工作。</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1、支持统一身份认证；</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2、支持多种身份认证方式；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3、支持访问日志查询和审计日志查询管理；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4、支持实习、规培、进修授权，支持设置某一时间段内授权有效期，超过规定时间自动作废，也可支持手动作废授权。</w:t>
            </w:r>
          </w:p>
          <w:p w14:paraId="1D67669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5、支持医疗授权，授权类型包括普通授权、医疗组授权、科室授权、胰岛素泵治疗等授权，支持设置某一时段内授权有效，超过规定时间授权自动取消</w:t>
            </w:r>
          </w:p>
        </w:tc>
      </w:tr>
      <w:tr w14:paraId="0457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BEAFD5A">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系统参数管理系统</w:t>
            </w:r>
          </w:p>
        </w:tc>
        <w:tc>
          <w:tcPr>
            <w:tcW w:w="0" w:type="auto"/>
            <w:shd w:val="clear" w:color="auto" w:fill="FFFFFF"/>
            <w:noWrap/>
            <w:vAlign w:val="center"/>
          </w:tcPr>
          <w:p w14:paraId="0CAEC614">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通过对系统参数的设置，满足个性化功能需求。</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1、支持系统参数的统一授权设置；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2、支持本地参数的个性化设置；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3、支持对参数设置的权限控制。</w:t>
            </w:r>
          </w:p>
        </w:tc>
      </w:tr>
      <w:tr w14:paraId="62F7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08CDE06F">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版本发布管理系统</w:t>
            </w:r>
          </w:p>
        </w:tc>
        <w:tc>
          <w:tcPr>
            <w:tcW w:w="0" w:type="auto"/>
            <w:shd w:val="clear" w:color="auto" w:fill="FFFFFF"/>
            <w:noWrap/>
            <w:vAlign w:val="center"/>
          </w:tcPr>
          <w:p w14:paraId="2815ABA1">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提供系统版本管理。</w:t>
            </w:r>
          </w:p>
          <w:p w14:paraId="2E9288C7">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系统支持自动升级；</w:t>
            </w:r>
          </w:p>
          <w:p w14:paraId="74322510">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支持组件式（动态库）升级方式，实现细粒度自动升级；</w:t>
            </w:r>
          </w:p>
          <w:p w14:paraId="0132A39E">
            <w:pPr>
              <w:numPr>
                <w:ilvl w:val="0"/>
                <w:numId w:val="4"/>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提示升级内容。</w:t>
            </w:r>
          </w:p>
        </w:tc>
      </w:tr>
      <w:tr w14:paraId="610D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0" w:type="auto"/>
            <w:shd w:val="clear" w:color="auto" w:fill="FFFFFF"/>
            <w:noWrap/>
            <w:vAlign w:val="center"/>
          </w:tcPr>
          <w:p w14:paraId="69104A0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开放服务平台</w:t>
            </w:r>
          </w:p>
        </w:tc>
        <w:tc>
          <w:tcPr>
            <w:tcW w:w="0" w:type="auto"/>
            <w:shd w:val="clear" w:color="auto" w:fill="FFFFFF"/>
            <w:noWrap/>
            <w:vAlign w:val="center"/>
          </w:tcPr>
          <w:p w14:paraId="203C4450">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系统提供开放平台，通过开放平台，在不更改医院核心业务系统的源代码的情况下，使外部的程序可以增加医院核心业务系统的功能或使用医院核心业务系统的资源。</w:t>
            </w:r>
          </w:p>
          <w:p w14:paraId="5F0E586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1、可配置化接口参数对照；</w:t>
            </w:r>
          </w:p>
          <w:p w14:paraId="53E854E7">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2、可配置化数据库视图维护；</w:t>
            </w:r>
          </w:p>
          <w:p w14:paraId="10EFDF5A">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3、接口参数支持XML或JSON序列化；</w:t>
            </w:r>
          </w:p>
          <w:p w14:paraId="3925729E">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4、在线接口文档，支持在线API测试；</w:t>
            </w:r>
          </w:p>
          <w:p w14:paraId="3BF09F05">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5、支持一键Word文档导出功能；</w:t>
            </w:r>
          </w:p>
          <w:p w14:paraId="091C0E78">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6、支持开放服务接口列表维护，允许用户自主管理开放服务接口；</w:t>
            </w:r>
          </w:p>
          <w:p w14:paraId="1A66524B">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7、支持开放服务分组，支持以服务分组的形式授权给第三方系统；</w:t>
            </w:r>
          </w:p>
          <w:p w14:paraId="5FD6C746">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8、支持开放功能注册和授权，管理第三方访问权限</w:t>
            </w:r>
          </w:p>
        </w:tc>
      </w:tr>
    </w:tbl>
    <w:p w14:paraId="7854F8D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门诊业务系统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962"/>
        <w:gridCol w:w="7324"/>
      </w:tblGrid>
      <w:tr w14:paraId="0940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0" w:hRule="atLeast"/>
          <w:jc w:val="center"/>
        </w:trPr>
        <w:tc>
          <w:tcPr>
            <w:tcW w:w="1962" w:type="dxa"/>
            <w:shd w:val="clear" w:color="auto" w:fill="FFFFFF"/>
            <w:noWrap/>
            <w:vAlign w:val="bottom"/>
          </w:tcPr>
          <w:p w14:paraId="54606F75">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系统名称</w:t>
            </w:r>
          </w:p>
        </w:tc>
        <w:tc>
          <w:tcPr>
            <w:tcW w:w="7324" w:type="dxa"/>
            <w:shd w:val="clear" w:color="auto" w:fill="FFFFFF"/>
            <w:noWrap/>
            <w:vAlign w:val="bottom"/>
          </w:tcPr>
          <w:p w14:paraId="59248C68">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技术参数要求</w:t>
            </w:r>
          </w:p>
        </w:tc>
      </w:tr>
      <w:tr w14:paraId="6CD9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07C62ED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门诊预约挂号系统</w:t>
            </w:r>
          </w:p>
        </w:tc>
        <w:tc>
          <w:tcPr>
            <w:tcW w:w="7324" w:type="dxa"/>
            <w:shd w:val="clear" w:color="auto" w:fill="FFFFFF"/>
            <w:noWrap/>
            <w:vAlign w:val="center"/>
          </w:tcPr>
          <w:p w14:paraId="2579640E">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一</w:t>
            </w:r>
            <w:r>
              <w:rPr>
                <w:rFonts w:ascii="宋体" w:hAnsi="宋体" w:eastAsia="宋体" w:cs="宋体"/>
                <w:color w:val="auto"/>
                <w:highlight w:val="none"/>
              </w:rPr>
              <w:t>） 系统基础功能</w:t>
            </w:r>
          </w:p>
          <w:p w14:paraId="61F78AA9">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支持多种输入方式，包含拼音码</w:t>
            </w:r>
            <w:r>
              <w:rPr>
                <w:rFonts w:hint="eastAsia" w:ascii="宋体" w:hAnsi="宋体" w:eastAsia="宋体" w:cs="宋体"/>
                <w:color w:val="auto"/>
                <w:highlight w:val="none"/>
              </w:rPr>
              <w:t>、</w:t>
            </w:r>
            <w:r>
              <w:rPr>
                <w:rFonts w:ascii="宋体" w:hAnsi="宋体" w:eastAsia="宋体" w:cs="宋体"/>
                <w:color w:val="auto"/>
                <w:highlight w:val="none"/>
              </w:rPr>
              <w:t>数字码等</w:t>
            </w:r>
            <w:r>
              <w:rPr>
                <w:rFonts w:hint="eastAsia" w:ascii="宋体" w:hAnsi="宋体" w:eastAsia="宋体" w:cs="宋体"/>
                <w:color w:val="auto"/>
                <w:highlight w:val="none"/>
              </w:rPr>
              <w:t>速检索号别，</w:t>
            </w:r>
            <w:r>
              <w:rPr>
                <w:rFonts w:ascii="宋体" w:hAnsi="宋体" w:eastAsia="宋体" w:cs="宋体"/>
                <w:color w:val="auto"/>
                <w:highlight w:val="none"/>
              </w:rPr>
              <w:t>操作界面简洁，响应速度快，确保挂号流程在 1 分钟内完成。</w:t>
            </w:r>
          </w:p>
          <w:p w14:paraId="17B1D2AA">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支持多种身份识别模式，具体如下：</w:t>
            </w:r>
          </w:p>
          <w:p w14:paraId="24281D8E">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常规证件：身份证、</w:t>
            </w:r>
            <w:r>
              <w:rPr>
                <w:rFonts w:hint="eastAsia" w:ascii="宋体" w:hAnsi="宋体" w:eastAsia="宋体" w:cs="宋体"/>
                <w:color w:val="auto"/>
                <w:highlight w:val="none"/>
              </w:rPr>
              <w:t>电子医保凭证</w:t>
            </w:r>
            <w:r>
              <w:rPr>
                <w:rFonts w:ascii="宋体" w:hAnsi="宋体" w:eastAsia="宋体" w:cs="宋体"/>
                <w:color w:val="auto"/>
                <w:highlight w:val="none"/>
              </w:rPr>
              <w:t>、医保卡。</w:t>
            </w:r>
          </w:p>
          <w:p w14:paraId="336AE5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医院定制卡：医院自主发行的各类就诊卡。</w:t>
            </w:r>
          </w:p>
          <w:p w14:paraId="3C8222F7">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特殊证件：外国人永久居住证、港澳通行证、护照、军人证、台湾通行证。</w:t>
            </w:r>
          </w:p>
          <w:p w14:paraId="5C83BA8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二</w:t>
            </w:r>
            <w:r>
              <w:rPr>
                <w:rFonts w:ascii="宋体" w:hAnsi="宋体" w:eastAsia="宋体" w:cs="宋体"/>
                <w:color w:val="auto"/>
                <w:highlight w:val="none"/>
              </w:rPr>
              <w:t>） 挂号与预约管理</w:t>
            </w:r>
          </w:p>
          <w:p w14:paraId="17E2BC37">
            <w:pPr>
              <w:tabs>
                <w:tab w:val="left" w:pos="397"/>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支持多种收费方式，涵盖现金、银行卡（银联、VISA 等）、支票、预付费（院内储值卡）、微信、支付宝等移动支付方式。</w:t>
            </w:r>
          </w:p>
          <w:p w14:paraId="1725B9EF">
            <w:pPr>
              <w:tabs>
                <w:tab w:val="left" w:pos="397"/>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支持多种挂号及预约挂号方式，具体如下：</w:t>
            </w:r>
          </w:p>
          <w:p w14:paraId="18F0703C">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窗口挂号：人工窗口现场办理。</w:t>
            </w:r>
          </w:p>
          <w:p w14:paraId="78E3A2FF">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诊间预约：医生在诊间直接为患者预约下次就诊号源。</w:t>
            </w:r>
          </w:p>
          <w:p w14:paraId="06A62DBE">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分诊台预约：各科室分诊台协助预约。</w:t>
            </w:r>
          </w:p>
          <w:p w14:paraId="24A6D41D">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预约中心预约：医院专门的预约中心提供电话、现场预约服务。</w:t>
            </w:r>
          </w:p>
          <w:p w14:paraId="539BADD7">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微信</w:t>
            </w:r>
            <w:r>
              <w:rPr>
                <w:rFonts w:hint="eastAsia" w:ascii="宋体" w:hAnsi="宋体" w:eastAsia="宋体" w:cs="宋体"/>
                <w:color w:val="auto"/>
                <w:highlight w:val="none"/>
              </w:rPr>
              <w:t>小程序</w:t>
            </w:r>
            <w:r>
              <w:rPr>
                <w:rFonts w:ascii="宋体" w:hAnsi="宋体" w:eastAsia="宋体" w:cs="宋体"/>
                <w:color w:val="auto"/>
                <w:highlight w:val="none"/>
              </w:rPr>
              <w:t>预约：通过医院微信</w:t>
            </w:r>
            <w:r>
              <w:rPr>
                <w:rFonts w:hint="eastAsia" w:ascii="宋体" w:hAnsi="宋体" w:eastAsia="宋体" w:cs="宋体"/>
                <w:color w:val="auto"/>
                <w:highlight w:val="none"/>
              </w:rPr>
              <w:t>小程序</w:t>
            </w:r>
            <w:r>
              <w:rPr>
                <w:rFonts w:ascii="宋体" w:hAnsi="宋体" w:eastAsia="宋体" w:cs="宋体"/>
                <w:color w:val="auto"/>
                <w:highlight w:val="none"/>
              </w:rPr>
              <w:t>预约。</w:t>
            </w:r>
          </w:p>
          <w:p w14:paraId="3AE7754C">
            <w:pPr>
              <w:tabs>
                <w:tab w:val="left" w:pos="397"/>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第三方网站预约：与医院合作的第三方平台预约。</w:t>
            </w:r>
          </w:p>
          <w:p w14:paraId="2E5829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w:t>
            </w:r>
            <w:r>
              <w:rPr>
                <w:rFonts w:hint="eastAsia" w:ascii="宋体" w:hAnsi="宋体" w:cs="宋体"/>
                <w:color w:val="auto"/>
                <w:highlight w:val="none"/>
                <w:lang w:eastAsia="zh-CN"/>
              </w:rPr>
              <w:t>三</w:t>
            </w:r>
            <w:r>
              <w:rPr>
                <w:rFonts w:ascii="宋体" w:hAnsi="宋体" w:eastAsia="宋体" w:cs="宋体"/>
                <w:color w:val="auto"/>
                <w:highlight w:val="none"/>
              </w:rPr>
              <w:t>） 号源与排班管理</w:t>
            </w:r>
          </w:p>
          <w:p w14:paraId="7167F89F">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支持预约号源池管理，可对不同渠道（窗口、线上等）的号源进行统一分配与调控，确保号源合理利用。</w:t>
            </w:r>
          </w:p>
          <w:p w14:paraId="2465DC3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支持设置各渠道预约开放时间，例如：窗口挂号开放时间为 7:30-17:00，线上预约 24 小时开放。</w:t>
            </w:r>
          </w:p>
          <w:p w14:paraId="39B1A13A">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支持发票管理，包含票据包管理（申领、分发）、票据作废（误开、重开处理）、票据使用（记录每笔票据的使用明细）。</w:t>
            </w:r>
          </w:p>
          <w:p w14:paraId="373D5796">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支持挂号号表管理，号别模板按周和按月生成排班号表，可自定义设置专家号、普通号等不同号别的投放数量。</w:t>
            </w:r>
          </w:p>
          <w:p w14:paraId="0BAF6B2C">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支持科室专家排班，对专家支持定制时间段排班，如上午、下午、全天，且可设置专家的出诊周期（每周固定日期）。</w:t>
            </w:r>
          </w:p>
          <w:p w14:paraId="4CB0A8BA">
            <w:pPr>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w:t>
            </w:r>
            <w:r>
              <w:rPr>
                <w:rFonts w:hint="eastAsia" w:ascii="宋体" w:hAnsi="宋体" w:cs="宋体"/>
                <w:b/>
                <w:bCs/>
                <w:color w:val="auto"/>
                <w:highlight w:val="none"/>
                <w:lang w:eastAsia="zh-CN"/>
              </w:rPr>
              <w:t>四</w:t>
            </w:r>
            <w:r>
              <w:rPr>
                <w:rFonts w:ascii="宋体" w:hAnsi="宋体" w:eastAsia="宋体" w:cs="宋体"/>
                <w:b/>
                <w:bCs/>
                <w:color w:val="auto"/>
                <w:highlight w:val="none"/>
              </w:rPr>
              <w:t>） 退号与查询功能</w:t>
            </w:r>
          </w:p>
          <w:p w14:paraId="44CE16AC">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支持退号功能，可按挂号条进行退号退费，已就诊患者需医生确认后才能退号，退号流程需在</w:t>
            </w:r>
            <w:r>
              <w:rPr>
                <w:rFonts w:hint="eastAsia" w:ascii="宋体" w:hAnsi="宋体" w:eastAsia="宋体" w:cs="宋体"/>
                <w:b/>
                <w:bCs/>
                <w:color w:val="auto"/>
                <w:highlight w:val="none"/>
              </w:rPr>
              <w:t>当天</w:t>
            </w:r>
            <w:r>
              <w:rPr>
                <w:rFonts w:ascii="宋体" w:hAnsi="宋体" w:eastAsia="宋体" w:cs="宋体"/>
                <w:b/>
                <w:bCs/>
                <w:color w:val="auto"/>
                <w:highlight w:val="none"/>
              </w:rPr>
              <w:t>内完成。</w:t>
            </w:r>
          </w:p>
          <w:p w14:paraId="6096AAD1">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支持门诊挂号收费核算功能，自动汇总每日挂号收入，生成核算报表，包含现金、银行卡、移动支付等各渠道的收入明细。</w:t>
            </w:r>
          </w:p>
          <w:p w14:paraId="46A3BDB2">
            <w:pPr>
              <w:tabs>
                <w:tab w:val="left" w:pos="840"/>
              </w:tabs>
              <w:adjustRightInd w:val="0"/>
              <w:snapToGrid w:val="0"/>
              <w:spacing w:line="360" w:lineRule="auto"/>
              <w:rPr>
                <w:rFonts w:hint="eastAsia" w:ascii="宋体" w:hAnsi="宋体" w:eastAsia="宋体" w:cs="宋体"/>
                <w:b/>
                <w:bCs/>
                <w:color w:val="auto"/>
                <w:highlight w:val="none"/>
              </w:rPr>
            </w:pPr>
            <w:r>
              <w:rPr>
                <w:rFonts w:ascii="宋体" w:hAnsi="宋体" w:eastAsia="宋体" w:cs="宋体"/>
                <w:b/>
                <w:bCs/>
                <w:color w:val="auto"/>
                <w:highlight w:val="none"/>
              </w:rPr>
              <w:t xml:space="preserve">支持门诊挂号预约功能，可预约设定日期内的号，预约周期最长为 </w:t>
            </w:r>
            <w:r>
              <w:rPr>
                <w:rFonts w:hint="eastAsia" w:ascii="宋体" w:hAnsi="宋体" w:eastAsia="宋体" w:cs="宋体"/>
                <w:b/>
                <w:bCs/>
                <w:color w:val="auto"/>
                <w:highlight w:val="none"/>
              </w:rPr>
              <w:t>30</w:t>
            </w:r>
            <w:r>
              <w:rPr>
                <w:rFonts w:ascii="宋体" w:hAnsi="宋体" w:eastAsia="宋体" w:cs="宋体"/>
                <w:b/>
                <w:bCs/>
                <w:color w:val="auto"/>
                <w:highlight w:val="none"/>
              </w:rPr>
              <w:t>天，且支持预约时段精确到 30 分钟。</w:t>
            </w:r>
          </w:p>
          <w:p w14:paraId="4FBECC9D">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b/>
                <w:bCs/>
                <w:color w:val="auto"/>
                <w:highlight w:val="none"/>
              </w:rPr>
              <w:t>支持预约留号、预约限号处理，例如：为特殊患者（如老年人、残疾人）预留一定数量的号源，</w:t>
            </w:r>
            <w:r>
              <w:rPr>
                <w:rFonts w:ascii="宋体" w:hAnsi="宋体" w:eastAsia="宋体" w:cs="宋体"/>
                <w:color w:val="auto"/>
                <w:highlight w:val="none"/>
              </w:rPr>
              <w:t>对热门科室设置单患者单日预约上限。</w:t>
            </w:r>
          </w:p>
          <w:p w14:paraId="1E490C73">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支持门诊医生工作站直接预约，医生可在系统中为患者直接预约下次就诊的号源，并发送预约成功短信。</w:t>
            </w:r>
          </w:p>
          <w:p w14:paraId="49F46605">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支持预约时段设置，可将患者预约到某一具体就诊时段，如上午 9:00-9:30，提高患者就诊效率。</w:t>
            </w:r>
          </w:p>
          <w:p w14:paraId="7ED35267">
            <w:pPr>
              <w:tabs>
                <w:tab w:val="left" w:pos="840"/>
              </w:tabs>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支持智能预约服务功能，根据患者的历史就诊记录、症状等信息，推荐合适的科室和医生。</w:t>
            </w:r>
          </w:p>
          <w:p w14:paraId="3EB081D8">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支持各种相关的查询和统计功能，可查询患者预约记录、挂号记录、退号记录等，统计各科室挂号量、专家出诊率等数据</w:t>
            </w:r>
          </w:p>
        </w:tc>
      </w:tr>
      <w:tr w14:paraId="30D3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3D1E3C0D">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自助服务系统对接</w:t>
            </w:r>
          </w:p>
        </w:tc>
        <w:tc>
          <w:tcPr>
            <w:tcW w:w="7324" w:type="dxa"/>
            <w:shd w:val="clear" w:color="auto" w:fill="FFFFFF"/>
            <w:noWrap/>
            <w:vAlign w:val="center"/>
          </w:tcPr>
          <w:p w14:paraId="61F303BD">
            <w:pPr>
              <w:numPr>
                <w:ilvl w:val="0"/>
                <w:numId w:val="5"/>
              </w:num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自助（预约）挂号服务</w:t>
            </w:r>
          </w:p>
          <w:p w14:paraId="499ED76D">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有卡患者支持在自助机上完成号别、科室、医生选择以及付费等操作。</w:t>
            </w:r>
          </w:p>
          <w:p w14:paraId="0F5DA94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获得挂号单后，在相应的候诊大厅中等待叫号，挂号单包含患者姓名、科室、医生、就诊时间等信息。</w:t>
            </w:r>
          </w:p>
          <w:p w14:paraId="2378564F">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具体功能包括：</w:t>
            </w:r>
          </w:p>
          <w:p w14:paraId="7C00AF8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预约服务：可预约未来时间内的号源。</w:t>
            </w:r>
          </w:p>
          <w:p w14:paraId="1BE8771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现场挂号：实时挂号，即挂即走。</w:t>
            </w:r>
          </w:p>
          <w:p w14:paraId="2EF51964">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现场报到：已挂号患者在自助机上报到，进入候诊队列。</w:t>
            </w:r>
          </w:p>
          <w:p w14:paraId="553DAB5E">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缴费管理：支持预交金、银行卡、移动支付等方式缴纳挂号费。</w:t>
            </w:r>
          </w:p>
          <w:p w14:paraId="2872031A">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自助开单：部分科室支持自助开检验、检查申请单。</w:t>
            </w:r>
          </w:p>
          <w:p w14:paraId="421E6FD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检查预约：可预约超声、CT 等检查项目的时间。</w:t>
            </w:r>
          </w:p>
          <w:p w14:paraId="0C67087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查询挂号排班信息：实时查看各科室、医生的出诊时间和剩余号源。</w:t>
            </w:r>
          </w:p>
          <w:p w14:paraId="62B831F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查询医生、专家信息：包含医生简介、专业领域、出诊时间等。</w:t>
            </w:r>
          </w:p>
          <w:p w14:paraId="6890C0B6">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查询门诊科室信息：科室位置、诊疗范围等。</w:t>
            </w:r>
          </w:p>
          <w:p w14:paraId="165627B3">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二</w:t>
            </w:r>
            <w:r>
              <w:rPr>
                <w:rFonts w:hint="eastAsia" w:ascii="宋体" w:hAnsi="宋体" w:eastAsia="宋体" w:cs="宋体"/>
                <w:color w:val="auto"/>
                <w:highlight w:val="none"/>
              </w:rPr>
              <w:t>） 门诊费用结算</w:t>
            </w:r>
          </w:p>
          <w:p w14:paraId="5B68BA4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实现患者门诊自助结算功能，患者只需插入银行卡并根据提示操作，即可快速完成医保门诊费用结算。</w:t>
            </w:r>
          </w:p>
          <w:p w14:paraId="0AAEEA4C">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支持同时结算多笔费用，如检查费、药费等，生成统一的结算票据。</w:t>
            </w:r>
          </w:p>
          <w:p w14:paraId="6CC37C2C">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三</w:t>
            </w:r>
            <w:r>
              <w:rPr>
                <w:rFonts w:hint="eastAsia" w:ascii="宋体" w:hAnsi="宋体" w:eastAsia="宋体" w:cs="宋体"/>
                <w:color w:val="auto"/>
                <w:highlight w:val="none"/>
              </w:rPr>
              <w:t>） 发票打印</w:t>
            </w:r>
          </w:p>
          <w:p w14:paraId="690A42C3">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即时、自助打印就诊发票（或收据），支持补打发票，发票打印清晰，内容准确。</w:t>
            </w:r>
          </w:p>
          <w:p w14:paraId="689860F6">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四</w:t>
            </w:r>
            <w:r>
              <w:rPr>
                <w:rFonts w:hint="eastAsia" w:ascii="宋体" w:hAnsi="宋体" w:eastAsia="宋体" w:cs="宋体"/>
                <w:color w:val="auto"/>
                <w:highlight w:val="none"/>
              </w:rPr>
              <w:t>） 医保系统接口对接</w:t>
            </w:r>
          </w:p>
          <w:p w14:paraId="027A1B0E">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结合医保系统接口规范实现与医保的对接功能，实现包括门诊挂号、门诊挂号冲销、门诊收费、门诊收费冲销等业务受理。</w:t>
            </w:r>
          </w:p>
          <w:p w14:paraId="36718975">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医保信息实时同步，确保医保报销比例准确无误。</w:t>
            </w:r>
          </w:p>
          <w:p w14:paraId="53A60DC3">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五</w:t>
            </w:r>
            <w:r>
              <w:rPr>
                <w:rFonts w:hint="eastAsia" w:ascii="宋体" w:hAnsi="宋体" w:eastAsia="宋体" w:cs="宋体"/>
                <w:color w:val="auto"/>
                <w:highlight w:val="none"/>
              </w:rPr>
              <w:t>） 就诊信息查询</w:t>
            </w:r>
          </w:p>
          <w:p w14:paraId="046FCF47">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实现系统之间的业务数据交换和共享，具体如下：</w:t>
            </w:r>
          </w:p>
          <w:p w14:paraId="09DD53AF">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个人预缴金帐户查询：实时查看预交金余额、收支明细。</w:t>
            </w:r>
          </w:p>
          <w:p w14:paraId="502D967D">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本院就诊情况查询：可查询近3年内的就诊记录，包含就诊科室、医生、诊断结果等。</w:t>
            </w:r>
          </w:p>
          <w:p w14:paraId="37C2D9CA">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门诊费用查询：查询当次及历史门诊费用明细，支持按日期、科室等条件筛选。</w:t>
            </w:r>
          </w:p>
          <w:p w14:paraId="204699E0">
            <w:pPr>
              <w:spacing w:before="81" w:after="81" w:line="48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eastAsia="zh-CN"/>
              </w:rPr>
              <w:t>六</w:t>
            </w:r>
            <w:r>
              <w:rPr>
                <w:rFonts w:hint="eastAsia" w:ascii="宋体" w:hAnsi="宋体" w:eastAsia="宋体" w:cs="宋体"/>
                <w:color w:val="auto"/>
                <w:highlight w:val="none"/>
              </w:rPr>
              <w:t>） 医保信息查询</w:t>
            </w:r>
          </w:p>
          <w:p w14:paraId="7EA07D34">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结合各医保机构的接口规范实现自助服务查询，查询过程中进行必要的身份识别处理（如刷医保卡、输入身份证号）及数据查看权限控制，确保参保人员个人隐私得到保障。</w:t>
            </w:r>
          </w:p>
          <w:p w14:paraId="271B6768">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可查询医保缴费记录、报销额度、医保药品目录等信息。</w:t>
            </w:r>
          </w:p>
        </w:tc>
      </w:tr>
      <w:tr w14:paraId="1198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3BC6B89">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门诊收费系统</w:t>
            </w:r>
          </w:p>
        </w:tc>
        <w:tc>
          <w:tcPr>
            <w:tcW w:w="7324" w:type="dxa"/>
            <w:shd w:val="clear" w:color="auto" w:fill="FFFFFF"/>
            <w:noWrap/>
            <w:vAlign w:val="center"/>
          </w:tcPr>
          <w:p w14:paraId="19760D1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系统完成患者在门诊就诊期间的费用的记账、结算、收付款、打印发票、收费、退费、预交金管理、结账等操作。</w:t>
            </w:r>
          </w:p>
          <w:p w14:paraId="7E44E42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支持多种定价策略，具体如下：</w:t>
            </w:r>
          </w:p>
          <w:p w14:paraId="46DC9A8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根据不同的客户身份（如普通患者、医保患者、VIP 患者）设定不同的价格体系。</w:t>
            </w:r>
          </w:p>
          <w:p w14:paraId="0C5553D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针对同一项目，根据就诊类型（如初诊、复诊）设定不同价格。</w:t>
            </w:r>
          </w:p>
          <w:p w14:paraId="0E6E7B60">
            <w:pPr>
              <w:spacing w:before="81" w:after="81" w:line="48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支持二次重收功能，包括自费重收，医保重收，以及自费转医保重收和医保转自费的重收。支持不同收款员之间的相互重收。自费部分费用根据原有付款方式原路退回。</w:t>
            </w:r>
          </w:p>
          <w:p w14:paraId="43C75B0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支持各时段批量调价，如夜间急诊加收费用。</w:t>
            </w:r>
          </w:p>
          <w:p w14:paraId="5148F85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能完成诊疗项目对应费用的对照关系，还支持根据诊疗项目开单时的场景数据（如检查部位、用药剂量）自动计算费用项目及数量的对照方式。</w:t>
            </w:r>
          </w:p>
          <w:p w14:paraId="3140452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支持西药处方、中药饮片处方、协定处方模板进行划价。</w:t>
            </w:r>
          </w:p>
          <w:p w14:paraId="09DE5961">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支持银行卡、支付宝、微信、现金、医保卡等多种支付手段，支付接口稳定。</w:t>
            </w:r>
          </w:p>
          <w:p w14:paraId="0D6A52B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支持从网络系统中自动获取或直接录入患者收费信息。</w:t>
            </w:r>
          </w:p>
          <w:p w14:paraId="5F96A314">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支持各种周期结帐功能，包括日结、周结、月结，结账时自动生成结账报表，包含收入明细、票据使用情况等。</w:t>
            </w:r>
          </w:p>
          <w:p w14:paraId="2EA7FE9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支持完善的退费功能，部分退费和全部退费均可操作，退费流程需经过审核，确保资金安全。</w:t>
            </w:r>
          </w:p>
          <w:p w14:paraId="23CF551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支持门诊预交金管理流程，患者可先充值预交金，就诊时直接扣费，减少排队时间。</w:t>
            </w:r>
          </w:p>
          <w:p w14:paraId="25C3AC8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支持院前急救收费，收费员根据手工单据手动录入项目收费，只能录入某些特定项目（如急救车费、心肺复苏费等）。</w:t>
            </w:r>
          </w:p>
          <w:p w14:paraId="4D76F15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支持各种相关的查询、统计、打印功能，可查询收费记录、退费记录、预交金记录等，统计各科室收入、收费员工作量等数据。</w:t>
            </w:r>
          </w:p>
          <w:p w14:paraId="188A02D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支持收据查询，可按收据号、患者姓名、就诊日期等条件查询收据信息，支持补打收据。</w:t>
            </w:r>
          </w:p>
          <w:p w14:paraId="47CEEBCF">
            <w:pPr>
              <w:adjustRightInd w:val="0"/>
              <w:snapToGrid w:val="0"/>
              <w:spacing w:line="360" w:lineRule="auto"/>
              <w:rPr>
                <w:rFonts w:hint="eastAsia" w:ascii="宋体" w:hAnsi="宋体" w:eastAsia="宋体" w:cs="宋体"/>
                <w:color w:val="auto"/>
                <w:highlight w:val="none"/>
              </w:rPr>
            </w:pPr>
            <w:r>
              <w:rPr>
                <w:rFonts w:ascii="宋体" w:hAnsi="宋体" w:eastAsia="宋体" w:cs="宋体"/>
                <w:color w:val="auto"/>
                <w:highlight w:val="none"/>
              </w:rPr>
              <w:t>支持 LED、LCD、CRT 等对外显示设备和语音报价功能，显示和播报收费金额、项目等信息，方便患者确认</w:t>
            </w:r>
          </w:p>
        </w:tc>
      </w:tr>
      <w:tr w14:paraId="4B63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73F4AC98">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门诊医生站系统</w:t>
            </w:r>
          </w:p>
        </w:tc>
        <w:tc>
          <w:tcPr>
            <w:tcW w:w="7324" w:type="dxa"/>
            <w:shd w:val="clear" w:color="auto" w:fill="FFFFFF"/>
            <w:noWrap/>
            <w:vAlign w:val="center"/>
          </w:tcPr>
          <w:p w14:paraId="204D701E">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（一） 预约与分诊</w:t>
            </w:r>
          </w:p>
          <w:p w14:paraId="25E578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接诊：根据挂号、分诊系统按规则接收接诊病人，支持刷卡、列表、病历号、病人姓名首拼等查找病人。</w:t>
            </w:r>
          </w:p>
          <w:p w14:paraId="159DC04B">
            <w:pPr>
              <w:spacing w:before="81" w:after="81" w:line="480" w:lineRule="exact"/>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支持同一科室同一诊室多号别同时接诊，支持医生自行选择出诊号别，根据医生选择的号别显示患者列表</w:t>
            </w:r>
            <w:r>
              <w:rPr>
                <w:rFonts w:hint="eastAsia" w:ascii="宋体" w:hAnsi="宋体" w:cs="宋体"/>
                <w:color w:val="auto"/>
                <w:highlight w:val="none"/>
                <w:lang w:eastAsia="zh-CN"/>
              </w:rPr>
              <w:t>。</w:t>
            </w:r>
          </w:p>
          <w:p w14:paraId="72664CE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预约挂号：支持诊间预约挂号，医生可在系统中为患者预约下次就诊的号源，并发送预约成功短信，预约信息可同步到医院挂号系统。</w:t>
            </w:r>
          </w:p>
          <w:p w14:paraId="5F24FB3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退号确认：当病人处于接诊状态后，需进行退号确认后，病人才允许退号，该功能与财务联动，确保退费流程准确。</w:t>
            </w:r>
          </w:p>
          <w:p w14:paraId="1C7D2F9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加号：支持诊间加号，加本人专家号，需到窗口或自助机取号，医生手工加号单（VIP）去窗口处理，加号数量可根据实际情况限制。</w:t>
            </w:r>
          </w:p>
          <w:p w14:paraId="5BEECA29">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（二） 诊断</w:t>
            </w:r>
          </w:p>
          <w:p w14:paraId="1CA78D5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诊断管理：支持 ICD-10 和中医诊断，两者可以同时输入；实现待查和备注功能，诊断录入支持拼音联想，提高录入效率。</w:t>
            </w:r>
          </w:p>
          <w:p w14:paraId="5D07649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复诊病人就诊</w:t>
            </w:r>
            <w:r>
              <w:rPr>
                <w:rFonts w:hint="eastAsia" w:ascii="宋体" w:hAnsi="宋体" w:eastAsia="宋体" w:cs="宋体"/>
                <w:color w:val="auto"/>
                <w:highlight w:val="none"/>
              </w:rPr>
              <w:t>可以</w:t>
            </w:r>
            <w:r>
              <w:rPr>
                <w:rFonts w:ascii="宋体" w:hAnsi="宋体" w:eastAsia="宋体" w:cs="宋体"/>
                <w:color w:val="auto"/>
                <w:highlight w:val="none"/>
              </w:rPr>
              <w:t>引用上次就诊诊断</w:t>
            </w:r>
            <w:r>
              <w:rPr>
                <w:rFonts w:hint="eastAsia" w:ascii="宋体" w:hAnsi="宋体" w:eastAsia="宋体" w:cs="宋体"/>
                <w:color w:val="auto"/>
                <w:highlight w:val="none"/>
              </w:rPr>
              <w:t>；</w:t>
            </w:r>
            <w:r>
              <w:rPr>
                <w:rFonts w:ascii="宋体" w:hAnsi="宋体" w:eastAsia="宋体" w:cs="宋体"/>
                <w:color w:val="auto"/>
                <w:highlight w:val="none"/>
              </w:rPr>
              <w:t>提供门慢特病申请及慢病与诊断的关联，方便患者办理相关手续。</w:t>
            </w:r>
          </w:p>
          <w:p w14:paraId="73903731">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（三） 医嘱</w:t>
            </w:r>
          </w:p>
          <w:p w14:paraId="1E6AADB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医嘱录入：提供多种方式录入患者化验、检查、治疗、药品、材料等所有医嘱的开立和审核，具体录入方式如下：</w:t>
            </w:r>
          </w:p>
          <w:p w14:paraId="71DD9CD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常用模板录入：个人模板、科室模板、院级模板，模板可自定义维护。</w:t>
            </w:r>
          </w:p>
          <w:p w14:paraId="61DC74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拼音模糊查询：输入拼音首字母查询医嘱项目。</w:t>
            </w:r>
          </w:p>
          <w:p w14:paraId="3CBC048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汉字模糊查询：输入汉字关键词查询医嘱项目。</w:t>
            </w:r>
          </w:p>
          <w:p w14:paraId="6925F111">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医嘱复制：可复制历次就诊记录中的医嘱。</w:t>
            </w:r>
          </w:p>
          <w:p w14:paraId="13F79FB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检验检查录入：直接选择检验、检查项目。</w:t>
            </w:r>
          </w:p>
          <w:p w14:paraId="03887F5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医嘱字典录入：从医嘱字典中选择项目。</w:t>
            </w:r>
          </w:p>
          <w:p w14:paraId="264DD63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提供个人、科室、全院常用模板和常用的医嘱套餐维护，模板维护方便快捷。</w:t>
            </w:r>
          </w:p>
          <w:p w14:paraId="1230F2F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西药：按用法、剂量、天数录入药品，自动根据门诊药房的药品包装规则计算最小的药品总量，支持药品常规用量用法的定义，开具药品时可以自动带出，特殊用法按备注的方式录入。</w:t>
            </w:r>
          </w:p>
          <w:p w14:paraId="4DFF7FC0">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输液：输液药品自动 \ 手动成组，支持间隔药品任意成组，按输液规则自动计算输液费用，成组规则可自定义设置。</w:t>
            </w:r>
          </w:p>
          <w:p w14:paraId="35AA3FF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输液 - 注射证明单：按输液医嘱生成并打印注射证明单，证明单包含患者信息、药品信息、注射时间等。</w:t>
            </w:r>
          </w:p>
          <w:p w14:paraId="4798D64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草药：可提供多种方式的中药饮片，颗粒剂，协定处方，协定膏，膏方等具有中医特色方剂的中草药录入，符合草药录入习惯，支持按每帖多少剂量录入，草药处方自动传送至中药房，可按规则自动生成草药代煎费等。</w:t>
            </w:r>
          </w:p>
          <w:p w14:paraId="2A033AD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过敏管理：对于皮试药品自动提醒医生进行皮试检查，提示需要皮试或对应检查，并自动开立医嘱，支持财务流程（包括青霉素类和破伤风类处理流程）。</w:t>
            </w:r>
          </w:p>
          <w:p w14:paraId="7DD4345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药品医嘱 - 打印：药品处方打印，特殊处方（精神、麻醉）处方打印，打印格式符合医院规范。</w:t>
            </w:r>
          </w:p>
          <w:p w14:paraId="6DED6C05">
            <w:pPr>
              <w:spacing w:before="81" w:after="81" w:line="480" w:lineRule="exact"/>
              <w:ind w:firstLine="480"/>
              <w:rPr>
                <w:rFonts w:hint="eastAsia" w:ascii="宋体" w:hAnsi="宋体" w:eastAsia="宋体" w:cs="宋体"/>
                <w:color w:val="auto"/>
                <w:highlight w:val="none"/>
              </w:rPr>
            </w:pPr>
            <w:bookmarkStart w:id="51" w:name="OLE_LINK4"/>
            <w:r>
              <w:rPr>
                <w:rFonts w:ascii="宋体" w:hAnsi="宋体" w:eastAsia="宋体" w:cs="宋体"/>
                <w:color w:val="auto"/>
                <w:highlight w:val="none"/>
              </w:rPr>
              <w:t>药品医嘱 -</w:t>
            </w:r>
            <w:bookmarkEnd w:id="51"/>
            <w:r>
              <w:rPr>
                <w:rFonts w:ascii="宋体" w:hAnsi="宋体" w:eastAsia="宋体" w:cs="宋体"/>
                <w:color w:val="auto"/>
                <w:highlight w:val="none"/>
              </w:rPr>
              <w:t xml:space="preserve"> 合理用药：实现与合理用药接口，实现合理用药的实时提醒，包括药物相互作用、禁忌症、剂量提醒等，提醒信息准确详细。</w:t>
            </w:r>
          </w:p>
          <w:p w14:paraId="397F72A0">
            <w:pPr>
              <w:adjustRightInd w:val="0"/>
              <w:snapToGrid w:val="0"/>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药品医嘱 -</w:t>
            </w:r>
            <w:r>
              <w:rPr>
                <w:rFonts w:hint="eastAsia" w:asciiTheme="minorEastAsia" w:hAnsiTheme="minorEastAsia"/>
                <w:color w:val="auto"/>
                <w:highlight w:val="none"/>
              </w:rPr>
              <w:t>支持高危药品可标识、可维护，医生开立有警示，药房发药有提醒；</w:t>
            </w:r>
          </w:p>
          <w:p w14:paraId="6ED7ABAE">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治疗项目 - 录入：将所有收费项目全部按临床习惯映射为临床项目，根据临床项目录入治疗项目；支持治疗项目执行医护人员确认，并支持门诊收费的财务流程，确保治疗项目准确计费。</w:t>
            </w:r>
          </w:p>
          <w:p w14:paraId="3824CA9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治疗项目 - 确认：治疗医护人员对开方医生录入的治疗项目进行确认，支持治疗情况记录书写，支持门诊收费的财务流程，确认后不可随意修改。</w:t>
            </w:r>
          </w:p>
          <w:p w14:paraId="572C98F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手术医嘱：门诊手术录入，支持预约，可预约手术时间、手术室等信息，预约信息可同步到手术室管理系统。</w:t>
            </w:r>
          </w:p>
          <w:p w14:paraId="2DF4E29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LIS：实现 LIS 电子申请单功能：电子开单、电子查阅报告，包含接口规范，申请单格式符合 LIS 系统要求。</w:t>
            </w:r>
          </w:p>
          <w:p w14:paraId="61F3CCB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RIS：实现放射电子申请单功能：电子开单、电子查阅报告，包含接口规范，申请单包含检查部位、目的等信息。</w:t>
            </w:r>
          </w:p>
          <w:p w14:paraId="2EA6C3F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报告查阅：查阅医技科室发布的申请单报告，报告查阅实时性强，支持历史报告对比。</w:t>
            </w:r>
          </w:p>
          <w:p w14:paraId="0D75A51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电子申请单 - 检查预约：实现大型或特殊检查的预约管理，可预约检查时间、设备等，预约成功后发送短信通知患者。</w:t>
            </w:r>
          </w:p>
          <w:p w14:paraId="053F54E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医嘱审批：根据设置的处方规则，实现某些药品或项目的审批，审批可由满足条件的医生完成，审批流程可自定义设置。</w:t>
            </w:r>
          </w:p>
          <w:p w14:paraId="3B7BF78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消息通知：当医技科室发布危急值报告、护士站发布皮试等信息时，医生工作站可以接收到消息通知，通知方式包括弹窗、声音提醒，确保医生及时处理。</w:t>
            </w:r>
          </w:p>
          <w:p w14:paraId="112E450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系统支持自动处方分方管理，根据药品类型、用量等自动分方。</w:t>
            </w:r>
          </w:p>
          <w:p w14:paraId="79E11A6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医生站开药能根据集采比例实时监测与提醒医生，提醒信息包含药品名称、集采比例、当前使用情况等，帮助医生合理用药。</w:t>
            </w:r>
          </w:p>
          <w:p w14:paraId="2AD3248A">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根据门急诊诊疗情况，自动辅助生成符合国标的门(急)诊诊疗信息页；</w:t>
            </w:r>
          </w:p>
          <w:p w14:paraId="64E58025">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移动医生站依据危急值生成时患者状态判断是否在院，支持门诊危急值推送至责任医师移动端触发弹窗警示，医生可通过移动端点击患者预留手机号拨打电话通知患者并生成通知时间，完成处置措施在线录入，系统限制没有通知时间无法在线录入处置信息。</w:t>
            </w:r>
          </w:p>
          <w:p w14:paraId="41F75FED">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支持医生使用PC端和移动医生站便捷地将患者院外的纸质报告单（如化验单、检查报告）拍照上传并关联保存至对应患者的HIS电子病历中。</w:t>
            </w:r>
          </w:p>
          <w:p w14:paraId="47A12CBE">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（四） 住院申请</w:t>
            </w:r>
          </w:p>
          <w:p w14:paraId="2C1B0A9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住院申请单：实现门诊转住院电子开单，进入住院预约排队序列，申请单包含患者基本信息、诊断结果、住院科室等信息。</w:t>
            </w:r>
          </w:p>
          <w:p w14:paraId="77092C5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支持开立院前医嘱：在办理入院手续后自动转为住院医嘱，在病人入科前可以先行完成相关检查、检验，提高住院效率。</w:t>
            </w:r>
          </w:p>
          <w:p w14:paraId="7F3C3846">
            <w:p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（五） 公共卫生、不良事件、传染病上报</w:t>
            </w:r>
          </w:p>
          <w:p w14:paraId="540844B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提供公共卫生事件录入及上报功能，录入信息包括事件类型、发生时间、地点、影响范围等，上报流程符合卫生部门要求。</w:t>
            </w:r>
          </w:p>
          <w:p w14:paraId="2ED1D9E7">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提供不良事件录入及上报功能，录入信息包括事件类型、发生时间、原因、处理措施等，上报后可跟踪处理进度。</w:t>
            </w:r>
          </w:p>
          <w:p w14:paraId="63A2C85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提供传染病录入及上报功能，录入信息包括传染病名称、诊断时间、患者信息等，上报数据实时同步到疾控中心系统。</w:t>
            </w:r>
          </w:p>
        </w:tc>
      </w:tr>
      <w:tr w14:paraId="4532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52CFBEC">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门诊文书系统</w:t>
            </w:r>
          </w:p>
        </w:tc>
        <w:tc>
          <w:tcPr>
            <w:tcW w:w="7324" w:type="dxa"/>
            <w:shd w:val="clear" w:color="auto" w:fill="FFFFFF"/>
            <w:noWrap/>
            <w:vAlign w:val="center"/>
          </w:tcPr>
          <w:p w14:paraId="32BD4699">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结构化录入：根据门急诊结构化病历文件要求，门诊病历结构化模板支持各种结构化元素（如主诉、现病史、既往史等），满足病历书写规范要求，建立完整的递交审核流程，具有更改跟踪和显示功能。对于已提交的病历能自动记录、保存病历记录所有修改的痕迹，痕迹记录包含修改人、修改时间、修改内容等。</w:t>
            </w:r>
          </w:p>
          <w:p w14:paraId="36CF030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结构化模板设置：支持设置专科科室模板、个人模板。可根据诊断、性别、年龄等自动定义病历结构和格式，模板可自定义编辑、保存、调用。</w:t>
            </w:r>
          </w:p>
          <w:p w14:paraId="7C8A7133">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可选择导入处方数据等，实现病历与处方信息的关联，方便医生查看。</w:t>
            </w:r>
          </w:p>
          <w:p w14:paraId="74D8E1DD">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能提供插入检查检验结果功能，检查检验结果可自动导入病历，支持按时间顺序排列。</w:t>
            </w:r>
          </w:p>
          <w:p w14:paraId="5F87731A">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病历数据与处方、检查报告等数据全院一体化管理，数据实时共享，确保信息一致性。</w:t>
            </w:r>
          </w:p>
          <w:p w14:paraId="3B13F4E2">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门诊病历提供历史病历引用，根据书写病历内容生成标准的病历文书；历史病历（包括住院或门诊纸质病历）完成数字化、可查阅，并能够与其他病历整合，引用历史病历支持关键词检索。</w:t>
            </w:r>
          </w:p>
          <w:p w14:paraId="2CF3F7E4">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门诊病历文书 - 打印：支持门诊病历等各类文书打印，打印格式符合医院规范，支持自定义打印模板。</w:t>
            </w:r>
          </w:p>
          <w:p w14:paraId="0E92AE56">
            <w:pPr>
              <w:adjustRightInd w:val="0"/>
              <w:snapToGrid w:val="0"/>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门诊病历具有安全控制机制，支持病历修改线上审批流程，不同权限的用户对病历的操作权限不同，确保病历安全</w:t>
            </w:r>
          </w:p>
        </w:tc>
      </w:tr>
      <w:tr w14:paraId="3E00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78A59070">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皮试管理系统</w:t>
            </w:r>
          </w:p>
        </w:tc>
        <w:tc>
          <w:tcPr>
            <w:tcW w:w="7324" w:type="dxa"/>
            <w:shd w:val="clear" w:color="auto" w:fill="FFFFFF"/>
            <w:noWrap/>
            <w:vAlign w:val="center"/>
          </w:tcPr>
          <w:p w14:paraId="6A55FBB5">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皮试病人报到、注射、结果录入：患者在护士站报到后，护士录入皮试信息，注射后记录注射时间，结果录入支持阴性、阳性、脱敏、+、++、+++、++++ 等多种方式。</w:t>
            </w:r>
          </w:p>
          <w:p w14:paraId="2173397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实现实时刷新等待病人，包含未报到但已开皮试医嘱的病人，刷新频率≤30 秒，确保护士及时掌握病人情况。</w:t>
            </w:r>
          </w:p>
          <w:p w14:paraId="22D5495F">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批量处理皮试病人：支持同时处理多个皮试病人的报到、注射、结果录入等操作，提高工作效率。</w:t>
            </w:r>
          </w:p>
          <w:p w14:paraId="040F621B">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实现综合查询，多元化的数据条件查询，可按患者姓名、皮试药品、皮试时间等条件查询皮试记录，查询响应时间≤5 秒。</w:t>
            </w:r>
          </w:p>
        </w:tc>
      </w:tr>
      <w:tr w14:paraId="1F0D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962" w:type="dxa"/>
            <w:shd w:val="clear" w:color="auto" w:fill="FFFFFF"/>
            <w:noWrap/>
            <w:vAlign w:val="center"/>
          </w:tcPr>
          <w:p w14:paraId="2548CF04">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一站式服务系统</w:t>
            </w:r>
          </w:p>
        </w:tc>
        <w:tc>
          <w:tcPr>
            <w:tcW w:w="7324" w:type="dxa"/>
            <w:shd w:val="clear" w:color="auto" w:fill="FFFFFF"/>
            <w:noWrap/>
            <w:vAlign w:val="center"/>
          </w:tcPr>
          <w:p w14:paraId="434DC0C5">
            <w:pPr>
              <w:numPr>
                <w:ilvl w:val="0"/>
                <w:numId w:val="6"/>
              </w:numPr>
              <w:spacing w:before="81" w:after="81" w:line="480" w:lineRule="exact"/>
              <w:rPr>
                <w:rFonts w:hint="eastAsia" w:ascii="宋体" w:hAnsi="宋体" w:eastAsia="宋体" w:cs="宋体"/>
                <w:color w:val="auto"/>
                <w:highlight w:val="none"/>
              </w:rPr>
            </w:pPr>
            <w:r>
              <w:rPr>
                <w:rFonts w:ascii="宋体" w:hAnsi="宋体" w:eastAsia="宋体" w:cs="宋体"/>
                <w:color w:val="auto"/>
                <w:highlight w:val="none"/>
              </w:rPr>
              <w:t>预约处理</w:t>
            </w:r>
          </w:p>
          <w:p w14:paraId="0D76FF48">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检查预约（调用检查系统）：预约记录查询，可查询患者的检查预约记录，包括预约时间、检查项目、检查科室等。</w:t>
            </w:r>
          </w:p>
          <w:p w14:paraId="65D62F16">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预约黑名单管理：爽约记录查询，对多次爽约的患者列入黑名单，限制其预约权限，黑名单管理规则可自定义设置。</w:t>
            </w:r>
          </w:p>
          <w:p w14:paraId="383ACFED">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ascii="宋体" w:hAnsi="宋体" w:eastAsia="宋体" w:cs="宋体"/>
                <w:color w:val="auto"/>
                <w:highlight w:val="none"/>
              </w:rPr>
              <w:t>主索引管理</w:t>
            </w:r>
          </w:p>
          <w:p w14:paraId="48A84E30">
            <w:pPr>
              <w:numPr>
                <w:ilvl w:val="0"/>
                <w:numId w:val="0"/>
              </w:numPr>
              <w:spacing w:before="81" w:after="81" w:line="480" w:lineRule="exact"/>
              <w:ind w:leftChars="0" w:firstLine="420" w:firstLineChars="200"/>
              <w:rPr>
                <w:rFonts w:hint="eastAsia" w:ascii="宋体" w:hAnsi="宋体" w:eastAsia="宋体" w:cs="宋体"/>
                <w:color w:val="auto"/>
                <w:highlight w:val="none"/>
              </w:rPr>
            </w:pPr>
            <w:r>
              <w:rPr>
                <w:rFonts w:ascii="宋体" w:hAnsi="宋体" w:eastAsia="宋体" w:cs="宋体"/>
                <w:color w:val="auto"/>
                <w:highlight w:val="none"/>
              </w:rPr>
              <w:t>建立主索引查询，主索引包含患者基本信息、就诊记录等，支持通过患者姓名、ID、身份证号等多维度查询。</w:t>
            </w:r>
          </w:p>
          <w:p w14:paraId="6AA18881">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ascii="宋体" w:hAnsi="宋体" w:eastAsia="宋体" w:cs="宋体"/>
                <w:color w:val="auto"/>
                <w:highlight w:val="none"/>
              </w:rPr>
              <w:t>出诊安排</w:t>
            </w:r>
          </w:p>
          <w:p w14:paraId="468A125C">
            <w:pPr>
              <w:spacing w:before="81" w:after="81" w:line="480" w:lineRule="exact"/>
              <w:ind w:firstLine="480"/>
              <w:rPr>
                <w:rFonts w:hint="eastAsia" w:ascii="宋体" w:hAnsi="宋体" w:eastAsia="宋体" w:cs="宋体"/>
                <w:color w:val="auto"/>
                <w:highlight w:val="none"/>
              </w:rPr>
            </w:pPr>
            <w:r>
              <w:rPr>
                <w:rFonts w:ascii="宋体" w:hAnsi="宋体" w:eastAsia="宋体" w:cs="宋体"/>
                <w:color w:val="auto"/>
                <w:highlight w:val="none"/>
              </w:rPr>
              <w:t>门诊排班：维护科室、专家的出班信息，可按周、月排班，支持临时调整排班。</w:t>
            </w:r>
          </w:p>
          <w:p w14:paraId="5E149BF5">
            <w:pPr>
              <w:spacing w:before="81" w:after="81" w:line="480" w:lineRule="exact"/>
              <w:ind w:firstLine="480"/>
              <w:rPr>
                <w:rFonts w:ascii="宋体" w:hAnsi="宋体" w:eastAsia="宋体" w:cs="宋体"/>
                <w:color w:val="auto"/>
                <w:highlight w:val="none"/>
              </w:rPr>
            </w:pPr>
            <w:r>
              <w:rPr>
                <w:rFonts w:ascii="宋体" w:hAnsi="宋体" w:eastAsia="宋体" w:cs="宋体"/>
                <w:color w:val="auto"/>
                <w:highlight w:val="none"/>
              </w:rPr>
              <w:t>医生请假登记：医生可在线申请请假，填写请假时间、原因等信息，请假流程需经过审核。</w:t>
            </w:r>
          </w:p>
          <w:p w14:paraId="0CF4078D">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查询打印</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1、病历检索：门诊病历内容检索，检查检验报告查询，收据查询；</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2、门急诊医嘱执行统计；</w:t>
            </w:r>
          </w:p>
          <w:p w14:paraId="4E5A40DD">
            <w:pPr>
              <w:numPr>
                <w:ilvl w:val="0"/>
                <w:numId w:val="4"/>
              </w:numPr>
              <w:adjustRightInd w:val="0"/>
              <w:snapToGrid w:val="0"/>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病理标本核对。</w:t>
            </w:r>
          </w:p>
          <w:p w14:paraId="6F744D41">
            <w:pPr>
              <w:numPr>
                <w:ilvl w:val="0"/>
                <w:numId w:val="6"/>
              </w:numPr>
              <w:spacing w:before="81" w:after="81" w:line="48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审核管理</w:t>
            </w:r>
          </w:p>
          <w:p w14:paraId="792BF97D">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医学证明审核；</w:t>
            </w:r>
          </w:p>
          <w:p w14:paraId="2EF73489">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麻醉药品专用病历号管理三大医保备案；</w:t>
            </w:r>
          </w:p>
          <w:p w14:paraId="7D4F2592">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规定病种备案、转院备案等；</w:t>
            </w:r>
          </w:p>
          <w:p w14:paraId="0A795F45">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疾病维护门诊病历质控（提供系统功能截图）；</w:t>
            </w:r>
          </w:p>
          <w:p w14:paraId="37DE0CEE">
            <w:pPr>
              <w:numPr>
                <w:ilvl w:val="0"/>
                <w:numId w:val="7"/>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门诊检查单质控：门诊病历质控评分汇总、门诊检查申请单质控汇总。</w:t>
            </w:r>
          </w:p>
          <w:p w14:paraId="167DC4E2">
            <w:pPr>
              <w:numPr>
                <w:ilvl w:val="0"/>
                <w:numId w:val="6"/>
              </w:numPr>
              <w:adjustRightInd w:val="0"/>
              <w:snapToGrid w:val="0"/>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统计查询</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1、爽约统计；</w:t>
            </w:r>
          </w:p>
          <w:p w14:paraId="73927D8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2、取消预约统计；</w:t>
            </w:r>
          </w:p>
          <w:p w14:paraId="15FDB94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3、挂号员工作量统计，精英门诊挂号量统计，专家停诊率统计，精英门诊请假率统计，专家门诊排班统计，医生出诊量统计，医生准点率统计，实名制就诊率统计等。</w:t>
            </w:r>
          </w:p>
          <w:p w14:paraId="49B7E5AC">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预约统计</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1、预约登记情况查询，预约工作量统计，预约率统计；</w:t>
            </w:r>
          </w:p>
          <w:p w14:paraId="4E5D1E12">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2、年度预约率统计，年度预约情况统计。</w:t>
            </w:r>
          </w:p>
          <w:p w14:paraId="073E7DC9">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（八）</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rPr>
              <w:t>退费</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1、一站式退检查检验；</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2、一站式退药；</w:t>
            </w:r>
          </w:p>
          <w:p w14:paraId="789EDB43">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3、其他收费项目。</w:t>
            </w:r>
          </w:p>
        </w:tc>
      </w:tr>
    </w:tbl>
    <w:p w14:paraId="50518248">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急诊业务系统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66"/>
        <w:gridCol w:w="8020"/>
      </w:tblGrid>
      <w:tr w14:paraId="76F3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2" w:hRule="atLeast"/>
          <w:jc w:val="center"/>
        </w:trPr>
        <w:tc>
          <w:tcPr>
            <w:tcW w:w="1266" w:type="dxa"/>
            <w:shd w:val="clear" w:color="auto" w:fill="FFFFFF"/>
            <w:noWrap/>
            <w:vAlign w:val="bottom"/>
          </w:tcPr>
          <w:p w14:paraId="06BF1F6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20" w:type="dxa"/>
            <w:shd w:val="clear" w:color="auto" w:fill="FFFFFF"/>
            <w:noWrap/>
            <w:vAlign w:val="bottom"/>
          </w:tcPr>
          <w:p w14:paraId="14538F2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08A4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0B0CB1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急诊预检分诊管理</w:t>
            </w:r>
          </w:p>
        </w:tc>
        <w:tc>
          <w:tcPr>
            <w:tcW w:w="8020" w:type="dxa"/>
            <w:shd w:val="clear" w:color="auto" w:fill="FFFFFF"/>
            <w:noWrap/>
            <w:vAlign w:val="center"/>
          </w:tcPr>
          <w:p w14:paraId="6C81AD0E">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急诊预检分诊</w:t>
            </w:r>
          </w:p>
          <w:p w14:paraId="7C6E1417">
            <w:pPr>
              <w:numPr>
                <w:ilvl w:val="0"/>
                <w:numId w:val="9"/>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支持病人读取，基于院方提供的读卡器接口服务，实现患者信息的自动读取，并支持手工录入患者标识获取患者信息；</w:t>
            </w:r>
          </w:p>
          <w:p w14:paraId="41DCD43A">
            <w:pPr>
              <w:numPr>
                <w:ilvl w:val="0"/>
                <w:numId w:val="9"/>
              </w:numPr>
              <w:adjustRightInd w:val="0"/>
              <w:snapToGrid w:val="0"/>
              <w:spacing w:line="360" w:lineRule="auto"/>
              <w:rPr>
                <w:color w:val="auto"/>
                <w:highlight w:val="none"/>
              </w:rPr>
            </w:pPr>
            <w:r>
              <w:rPr>
                <w:rFonts w:hint="eastAsia" w:ascii="宋体" w:hAnsi="宋体" w:eastAsia="宋体" w:cs="宋体"/>
                <w:color w:val="auto"/>
                <w:highlight w:val="none"/>
              </w:rPr>
              <w:t>支持患者建档，并可以为“三无人员”建档；</w:t>
            </w:r>
          </w:p>
          <w:p w14:paraId="5921FFFF">
            <w:pPr>
              <w:numPr>
                <w:ilvl w:val="0"/>
                <w:numId w:val="9"/>
              </w:numPr>
              <w:adjustRightInd w:val="0"/>
              <w:snapToGrid w:val="0"/>
              <w:spacing w:line="360" w:lineRule="auto"/>
              <w:rPr>
                <w:color w:val="auto"/>
                <w:highlight w:val="none"/>
              </w:rPr>
            </w:pPr>
            <w:r>
              <w:rPr>
                <w:rFonts w:hint="eastAsia" w:ascii="宋体" w:hAnsi="宋体" w:eastAsia="宋体" w:cs="宋体"/>
                <w:color w:val="auto"/>
                <w:highlight w:val="none"/>
              </w:rPr>
              <w:t>支持患者主索引的合并；</w:t>
            </w:r>
          </w:p>
          <w:p w14:paraId="7989E1D2">
            <w:pPr>
              <w:numPr>
                <w:ilvl w:val="0"/>
                <w:numId w:val="9"/>
              </w:numPr>
              <w:adjustRightInd w:val="0"/>
              <w:snapToGrid w:val="0"/>
              <w:spacing w:line="360" w:lineRule="auto"/>
              <w:rPr>
                <w:color w:val="auto"/>
                <w:highlight w:val="none"/>
              </w:rPr>
            </w:pPr>
            <w:r>
              <w:rPr>
                <w:rFonts w:hint="eastAsia"/>
                <w:color w:val="auto"/>
                <w:highlight w:val="none"/>
              </w:rPr>
              <w:t>支持急诊预检分诊分级业务功能，包含分级分诊、预检评估，并参考业内研究标准，在系统中支持按主诉症状、生命体征、MEWS评分等数据智能自动分级，供分诊护士参考，并实现病人信息自动获取、评估表（GCS、NRS、RTS、MEWS等）自动按体征值计算总分等功能</w:t>
            </w:r>
            <w:r>
              <w:rPr>
                <w:rFonts w:hint="eastAsia" w:ascii="宋体" w:hAnsi="宋体" w:eastAsia="宋体" w:cs="宋体"/>
                <w:color w:val="auto"/>
                <w:highlight w:val="none"/>
              </w:rPr>
              <w:t>；</w:t>
            </w:r>
          </w:p>
          <w:p w14:paraId="3652FDDE">
            <w:pPr>
              <w:numPr>
                <w:ilvl w:val="0"/>
                <w:numId w:val="9"/>
              </w:numPr>
              <w:adjustRightInd w:val="0"/>
              <w:snapToGrid w:val="0"/>
              <w:spacing w:line="360" w:lineRule="auto"/>
              <w:rPr>
                <w:color w:val="auto"/>
                <w:highlight w:val="none"/>
              </w:rPr>
            </w:pPr>
            <w:r>
              <w:rPr>
                <w:rFonts w:hint="eastAsia"/>
                <w:color w:val="auto"/>
                <w:highlight w:val="none"/>
              </w:rPr>
              <w:t>支持为特殊急诊患者开通绿色通道，标识绿色通道的患者记录；</w:t>
            </w:r>
          </w:p>
          <w:p w14:paraId="295555D1">
            <w:pPr>
              <w:numPr>
                <w:ilvl w:val="0"/>
                <w:numId w:val="9"/>
              </w:numPr>
              <w:adjustRightInd w:val="0"/>
              <w:snapToGrid w:val="0"/>
              <w:spacing w:line="360" w:lineRule="auto"/>
              <w:rPr>
                <w:color w:val="auto"/>
                <w:highlight w:val="none"/>
              </w:rPr>
            </w:pPr>
            <w:r>
              <w:rPr>
                <w:rFonts w:hint="eastAsia"/>
                <w:color w:val="auto"/>
                <w:highlight w:val="none"/>
              </w:rPr>
              <w:t>支持</w:t>
            </w:r>
            <w:r>
              <w:rPr>
                <w:color w:val="auto"/>
                <w:highlight w:val="none"/>
              </w:rPr>
              <w:t>查询统计预检登记信息</w:t>
            </w:r>
            <w:r>
              <w:rPr>
                <w:rFonts w:hint="eastAsia"/>
                <w:color w:val="auto"/>
                <w:highlight w:val="none"/>
              </w:rPr>
              <w:t>；</w:t>
            </w:r>
          </w:p>
          <w:p w14:paraId="4B533B78">
            <w:pPr>
              <w:numPr>
                <w:ilvl w:val="0"/>
                <w:numId w:val="9"/>
              </w:numPr>
              <w:adjustRightInd w:val="0"/>
              <w:snapToGrid w:val="0"/>
              <w:spacing w:line="360" w:lineRule="auto"/>
              <w:rPr>
                <w:color w:val="auto"/>
                <w:highlight w:val="none"/>
              </w:rPr>
            </w:pPr>
            <w:r>
              <w:rPr>
                <w:color w:val="auto"/>
                <w:highlight w:val="none"/>
              </w:rPr>
              <w:t>支持分诊单打印，根据现场调整</w:t>
            </w:r>
            <w:r>
              <w:rPr>
                <w:rFonts w:hint="eastAsia"/>
                <w:color w:val="auto"/>
                <w:highlight w:val="none"/>
              </w:rPr>
              <w:t>；</w:t>
            </w:r>
          </w:p>
          <w:p w14:paraId="1C218AF0">
            <w:pPr>
              <w:numPr>
                <w:ilvl w:val="0"/>
                <w:numId w:val="9"/>
              </w:numPr>
              <w:adjustRightInd w:val="0"/>
              <w:snapToGrid w:val="0"/>
              <w:spacing w:line="360" w:lineRule="auto"/>
              <w:rPr>
                <w:color w:val="auto"/>
                <w:highlight w:val="none"/>
              </w:rPr>
            </w:pPr>
            <w:r>
              <w:rPr>
                <w:rFonts w:hint="eastAsia"/>
                <w:color w:val="auto"/>
                <w:highlight w:val="none"/>
              </w:rPr>
              <w:t>支持与区域内急救平台对接，进行院前急救信息的录入；</w:t>
            </w:r>
          </w:p>
          <w:p w14:paraId="17F33CC7">
            <w:pPr>
              <w:numPr>
                <w:ilvl w:val="0"/>
                <w:numId w:val="9"/>
              </w:numPr>
              <w:adjustRightInd w:val="0"/>
              <w:snapToGrid w:val="0"/>
              <w:spacing w:line="360" w:lineRule="auto"/>
              <w:rPr>
                <w:color w:val="auto"/>
                <w:highlight w:val="none"/>
              </w:rPr>
            </w:pPr>
            <w:r>
              <w:rPr>
                <w:rFonts w:hint="eastAsia"/>
                <w:color w:val="auto"/>
                <w:highlight w:val="none"/>
              </w:rPr>
              <w:t>支持急诊患者院前急救费用的快速补录；</w:t>
            </w:r>
          </w:p>
          <w:p w14:paraId="39113378">
            <w:pPr>
              <w:numPr>
                <w:ilvl w:val="0"/>
                <w:numId w:val="9"/>
              </w:numPr>
              <w:adjustRightInd w:val="0"/>
              <w:snapToGrid w:val="0"/>
              <w:spacing w:line="360" w:lineRule="auto"/>
              <w:rPr>
                <w:color w:val="auto"/>
                <w:highlight w:val="none"/>
              </w:rPr>
            </w:pPr>
            <w:r>
              <w:rPr>
                <w:rFonts w:hint="eastAsia"/>
                <w:color w:val="auto"/>
                <w:highlight w:val="none"/>
              </w:rPr>
              <w:t>支持急诊患者院内病情交接单，转科交接单的填写。</w:t>
            </w:r>
          </w:p>
          <w:p w14:paraId="76241253">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急诊患者浏览</w:t>
            </w:r>
          </w:p>
          <w:p w14:paraId="1123132F">
            <w:pPr>
              <w:numPr>
                <w:ilvl w:val="0"/>
                <w:numId w:val="10"/>
              </w:numPr>
              <w:adjustRightInd w:val="0"/>
              <w:snapToGrid w:val="0"/>
              <w:spacing w:line="360" w:lineRule="auto"/>
              <w:rPr>
                <w:color w:val="auto"/>
                <w:highlight w:val="none"/>
              </w:rPr>
            </w:pPr>
            <w:r>
              <w:rPr>
                <w:rFonts w:hint="eastAsia"/>
                <w:color w:val="auto"/>
                <w:highlight w:val="none"/>
              </w:rPr>
              <w:t>支持分诊病人浏览，基于HIS系统的患者信息、挂号信息以及排队叫号系统的接口服务，实现分诊患者的信息浏览，显示患者信息、挂号信息及排队叫号信息；并支持查询分诊队列信息；</w:t>
            </w:r>
          </w:p>
          <w:p w14:paraId="2AA423EE">
            <w:pPr>
              <w:numPr>
                <w:ilvl w:val="0"/>
                <w:numId w:val="10"/>
              </w:numPr>
              <w:adjustRightInd w:val="0"/>
              <w:snapToGrid w:val="0"/>
              <w:spacing w:line="360" w:lineRule="auto"/>
              <w:rPr>
                <w:color w:val="auto"/>
                <w:highlight w:val="none"/>
              </w:rPr>
            </w:pPr>
            <w:r>
              <w:rPr>
                <w:rFonts w:hint="eastAsia"/>
                <w:color w:val="auto"/>
                <w:highlight w:val="none"/>
              </w:rPr>
              <w:t>支持</w:t>
            </w:r>
            <w:r>
              <w:rPr>
                <w:color w:val="auto"/>
                <w:highlight w:val="none"/>
              </w:rPr>
              <w:t>急诊资源浏览</w:t>
            </w:r>
            <w:r>
              <w:rPr>
                <w:rFonts w:hint="eastAsia"/>
                <w:color w:val="auto"/>
                <w:highlight w:val="none"/>
              </w:rPr>
              <w:t>，</w:t>
            </w:r>
            <w:r>
              <w:rPr>
                <w:color w:val="auto"/>
                <w:highlight w:val="none"/>
              </w:rPr>
              <w:t>根据急诊资源的要求，在预检分诊系统中的急诊科室一览以及分诊科室的选择。</w:t>
            </w:r>
          </w:p>
          <w:p w14:paraId="58FCA85C">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突发事件批量登记</w:t>
            </w:r>
          </w:p>
          <w:p w14:paraId="637200DC">
            <w:pPr>
              <w:numPr>
                <w:ilvl w:val="0"/>
                <w:numId w:val="11"/>
              </w:numPr>
              <w:adjustRightInd w:val="0"/>
              <w:snapToGrid w:val="0"/>
              <w:spacing w:line="360" w:lineRule="auto"/>
              <w:rPr>
                <w:color w:val="auto"/>
                <w:highlight w:val="none"/>
              </w:rPr>
            </w:pPr>
            <w:r>
              <w:rPr>
                <w:rFonts w:hint="eastAsia"/>
                <w:color w:val="auto"/>
                <w:highlight w:val="none"/>
              </w:rPr>
              <w:t>支持突发公共卫生事件，如食物中毒、传染病等，医院急诊接诊时进行批量预检登记，后续用于跟踪及上报。</w:t>
            </w:r>
          </w:p>
          <w:p w14:paraId="412047BC">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体征信息录入</w:t>
            </w:r>
          </w:p>
          <w:p w14:paraId="7E21C54A">
            <w:pPr>
              <w:numPr>
                <w:ilvl w:val="0"/>
                <w:numId w:val="12"/>
              </w:numPr>
              <w:adjustRightInd w:val="0"/>
              <w:snapToGrid w:val="0"/>
              <w:spacing w:line="360" w:lineRule="auto"/>
              <w:rPr>
                <w:color w:val="auto"/>
                <w:highlight w:val="none"/>
              </w:rPr>
            </w:pPr>
            <w:r>
              <w:rPr>
                <w:rFonts w:hint="eastAsia"/>
                <w:color w:val="auto"/>
                <w:highlight w:val="none"/>
              </w:rPr>
              <w:t>支持与急诊预检分诊台使用的分散式或一体式生命体征测量仪的数据对接，实现分诊护士在对急诊病人预检分诊分级时，系统自动获取测量仪记录的体征数据并加载到当前分诊病人的预检分诊记录中而无需再次手工抄录，提高急诊预检分诊系统实用性和预检分诊效率。</w:t>
            </w:r>
          </w:p>
          <w:p w14:paraId="36E63CAD">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统计查询及质控指标</w:t>
            </w:r>
          </w:p>
          <w:p w14:paraId="26567C5E">
            <w:pPr>
              <w:numPr>
                <w:ilvl w:val="0"/>
                <w:numId w:val="13"/>
              </w:numPr>
              <w:adjustRightInd w:val="0"/>
              <w:snapToGrid w:val="0"/>
              <w:spacing w:line="360" w:lineRule="auto"/>
              <w:rPr>
                <w:color w:val="auto"/>
                <w:highlight w:val="none"/>
              </w:rPr>
            </w:pPr>
            <w:r>
              <w:rPr>
                <w:rFonts w:hint="eastAsia"/>
                <w:color w:val="auto"/>
                <w:highlight w:val="none"/>
              </w:rPr>
              <w:t>支持查询统计报表，分诊记录查询、分级汇总日报、分诊月度环比报表；</w:t>
            </w:r>
          </w:p>
          <w:p w14:paraId="2EA5D2DB">
            <w:pPr>
              <w:numPr>
                <w:ilvl w:val="0"/>
                <w:numId w:val="13"/>
              </w:numPr>
              <w:adjustRightInd w:val="0"/>
              <w:snapToGrid w:val="0"/>
              <w:spacing w:line="360" w:lineRule="auto"/>
              <w:rPr>
                <w:color w:val="auto"/>
                <w:highlight w:val="none"/>
              </w:rPr>
            </w:pPr>
            <w:r>
              <w:rPr>
                <w:rFonts w:hint="eastAsia"/>
                <w:color w:val="auto"/>
                <w:highlight w:val="none"/>
              </w:rPr>
              <w:t>支持急诊就诊目标达标率统计；</w:t>
            </w:r>
          </w:p>
          <w:p w14:paraId="6F04C04C">
            <w:pPr>
              <w:numPr>
                <w:ilvl w:val="0"/>
                <w:numId w:val="13"/>
              </w:numPr>
              <w:adjustRightInd w:val="0"/>
              <w:snapToGrid w:val="0"/>
              <w:spacing w:line="360" w:lineRule="auto"/>
              <w:rPr>
                <w:color w:val="auto"/>
                <w:highlight w:val="none"/>
              </w:rPr>
            </w:pPr>
            <w:r>
              <w:rPr>
                <w:rFonts w:hint="eastAsia"/>
                <w:color w:val="auto"/>
                <w:highlight w:val="none"/>
              </w:rPr>
              <w:t>支持急诊病例统计；</w:t>
            </w:r>
          </w:p>
          <w:p w14:paraId="0C3EE46C">
            <w:pPr>
              <w:numPr>
                <w:ilvl w:val="0"/>
                <w:numId w:val="13"/>
              </w:numPr>
              <w:adjustRightInd w:val="0"/>
              <w:snapToGrid w:val="0"/>
              <w:spacing w:line="360" w:lineRule="auto"/>
              <w:rPr>
                <w:color w:val="auto"/>
                <w:highlight w:val="none"/>
              </w:rPr>
            </w:pPr>
            <w:r>
              <w:rPr>
                <w:rFonts w:hint="eastAsia"/>
                <w:color w:val="auto"/>
                <w:highlight w:val="none"/>
              </w:rPr>
              <w:t>支持急诊就诊率，急诊各类患者比例，急诊目标反应时间达标率的统计；</w:t>
            </w:r>
          </w:p>
          <w:p w14:paraId="5166CFB1">
            <w:pPr>
              <w:numPr>
                <w:ilvl w:val="0"/>
                <w:numId w:val="8"/>
              </w:num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急诊预检分诊系统提供一系列基础设置：</w:t>
            </w:r>
          </w:p>
          <w:p w14:paraId="062E6FC1">
            <w:pPr>
              <w:numPr>
                <w:ilvl w:val="0"/>
                <w:numId w:val="14"/>
              </w:numPr>
              <w:adjustRightInd w:val="0"/>
              <w:snapToGrid w:val="0"/>
              <w:spacing w:line="360" w:lineRule="auto"/>
              <w:rPr>
                <w:color w:val="auto"/>
                <w:highlight w:val="none"/>
              </w:rPr>
            </w:pPr>
            <w:r>
              <w:rPr>
                <w:rFonts w:hint="eastAsia"/>
                <w:color w:val="auto"/>
                <w:highlight w:val="none"/>
              </w:rPr>
              <w:t>急诊科室及号源设置；</w:t>
            </w:r>
          </w:p>
          <w:p w14:paraId="58109CCA">
            <w:pPr>
              <w:numPr>
                <w:ilvl w:val="0"/>
                <w:numId w:val="14"/>
              </w:numPr>
              <w:adjustRightInd w:val="0"/>
              <w:snapToGrid w:val="0"/>
              <w:spacing w:line="360" w:lineRule="auto"/>
              <w:rPr>
                <w:color w:val="auto"/>
                <w:highlight w:val="none"/>
              </w:rPr>
            </w:pPr>
            <w:r>
              <w:rPr>
                <w:rFonts w:hint="eastAsia"/>
                <w:color w:val="auto"/>
                <w:highlight w:val="none"/>
              </w:rPr>
              <w:t>病情分级字典设置；</w:t>
            </w:r>
          </w:p>
          <w:p w14:paraId="646D57BF">
            <w:pPr>
              <w:numPr>
                <w:ilvl w:val="0"/>
                <w:numId w:val="14"/>
              </w:numPr>
              <w:adjustRightInd w:val="0"/>
              <w:snapToGrid w:val="0"/>
              <w:spacing w:line="360" w:lineRule="auto"/>
              <w:rPr>
                <w:color w:val="auto"/>
                <w:highlight w:val="none"/>
              </w:rPr>
            </w:pPr>
            <w:r>
              <w:rPr>
                <w:rFonts w:hint="eastAsia"/>
                <w:color w:val="auto"/>
                <w:highlight w:val="none"/>
              </w:rPr>
              <w:t>主诉及判定依据；</w:t>
            </w:r>
          </w:p>
          <w:p w14:paraId="6EFBEA2F">
            <w:pPr>
              <w:adjustRightInd w:val="0"/>
              <w:snapToGrid w:val="0"/>
              <w:spacing w:line="360" w:lineRule="auto"/>
              <w:rPr>
                <w:rFonts w:hint="eastAsia" w:ascii="宋体" w:hAnsi="宋体" w:eastAsia="宋体"/>
                <w:color w:val="auto"/>
                <w:highlight w:val="none"/>
              </w:rPr>
            </w:pPr>
            <w:r>
              <w:rPr>
                <w:rFonts w:hint="eastAsia"/>
                <w:color w:val="auto"/>
                <w:highlight w:val="none"/>
              </w:rPr>
              <w:t>4、其它字典维护。</w:t>
            </w:r>
          </w:p>
        </w:tc>
      </w:tr>
      <w:tr w14:paraId="2728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6899205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急诊收费系统</w:t>
            </w:r>
          </w:p>
        </w:tc>
        <w:tc>
          <w:tcPr>
            <w:tcW w:w="8020" w:type="dxa"/>
            <w:shd w:val="clear" w:color="auto" w:fill="FFFFFF"/>
            <w:noWrap/>
            <w:vAlign w:val="center"/>
          </w:tcPr>
          <w:p w14:paraId="574B61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1、收费</w:t>
            </w:r>
          </w:p>
          <w:p w14:paraId="7E3D8D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（1）支持通过患者ID或单据号，获得当前患者信息和未交费医嘱单信息，补录划价通知单。对全部计价项目进行费用合计。结算支付并打印收据。此外，还可以对辅诊科室收费项目打印收据；</w:t>
            </w:r>
          </w:p>
          <w:p w14:paraId="5C7D52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（2）支持通过门诊号或者身份证，医保卡，就诊卡识别患者身份，查询待结算费用，如果存在托收费用可以和待结算费用可以一起结算，打印同一张门诊收费票据；</w:t>
            </w:r>
          </w:p>
          <w:p w14:paraId="159099D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（3）支持每次结算一张门诊收费票据；</w:t>
            </w:r>
          </w:p>
          <w:p w14:paraId="409951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（4）支持多次就诊费用一起结算，但是要区分费别，需要医保允许多次就诊下费用一起结算；</w:t>
            </w:r>
          </w:p>
          <w:p w14:paraId="19323BF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（5）支持收费员修改收费项目（单据增删，条目增删改），可以将某些单据本次隐藏不收费；</w:t>
            </w:r>
          </w:p>
          <w:p w14:paraId="77BF61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（6）支持收费员登录系统后首先提示校验票据，如果操作员系统记录票据号与打印机实际票据号不符，不能直接调整票据号，需要管理员操作；</w:t>
            </w:r>
          </w:p>
          <w:p w14:paraId="72986E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（7）支持在患者登记时标记患者，结算时费用记账；</w:t>
            </w:r>
          </w:p>
          <w:p w14:paraId="749C05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（8）支持120急救收费，收费员根据手工单据手动录入项目收费，只能录入某些特定项目；</w:t>
            </w:r>
          </w:p>
          <w:p w14:paraId="1D303C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（9）支持结算时如果费用明细超过票据打印限制数量提示收款员，过多费用明细需要人工分单。草药发票打印目前没有问题；</w:t>
            </w:r>
          </w:p>
          <w:p w14:paraId="5EFEE3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（10）支持未收费单据有效期根据医嘱类别分别设置；</w:t>
            </w:r>
          </w:p>
          <w:p w14:paraId="1309C9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（11）支持窗口收费会打印门诊收费票据，如果有检验、检查会打印条码；自助机会打印收费凭条；</w:t>
            </w:r>
          </w:p>
          <w:p w14:paraId="639834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（12）支持门诊手术先到手术室预约时间并调整费用，然后到门诊收费处交费，手术执行后如果需要补费手术室调整后再次回到收费处交费；</w:t>
            </w:r>
          </w:p>
          <w:p w14:paraId="223766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（13）支持直接在科室执行的治疗费用托收；</w:t>
            </w:r>
          </w:p>
          <w:p w14:paraId="204AE29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（14）支持识别规定病种的患者，挂号时录入审批号；</w:t>
            </w:r>
          </w:p>
          <w:p w14:paraId="34EFCF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（15）支持门诊透析患者，医生开医嘱，收费处收费，然后执行科室执行。</w:t>
            </w:r>
          </w:p>
          <w:p w14:paraId="30B3CB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2、退费</w:t>
            </w:r>
          </w:p>
          <w:p w14:paraId="24D454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（1）可以对收费单据进行部分退费和全部退费；</w:t>
            </w:r>
          </w:p>
          <w:p w14:paraId="531648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（2）通过收据号查询该收据号对应的患者基本信息及收款费用明细信息（付费方式、收据分类、收费单据明细）。</w:t>
            </w:r>
          </w:p>
          <w:p w14:paraId="00F84DF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3、预交金管理</w:t>
            </w:r>
          </w:p>
          <w:p w14:paraId="0DC282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（1）通过患者ID或预交金收据号获得指定条件的预交金收据信息，可以对患者进行预交金的收退操作。退预交金时，根据参数“退预交金类型”值的不同，可分为指定记录退费和指定金额退费两种方式；</w:t>
            </w:r>
          </w:p>
          <w:p w14:paraId="1B11D7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（2）只有急诊黄区和红区有预交金，只能在急诊使用，急诊结算时需要收回预缴款收据。</w:t>
            </w:r>
          </w:p>
          <w:p w14:paraId="124CF3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4、挂号员结账</w:t>
            </w:r>
          </w:p>
          <w:p w14:paraId="57CA5B1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（1）选择结账日期，显示结账明细，确认结账，可对结账明细进行打印。默认结账日期为系统当前时间。统计结账日期到上次结账日期之间的挂号收费、退费信息。</w:t>
            </w:r>
          </w:p>
          <w:p w14:paraId="493FC8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5、结账查询</w:t>
            </w:r>
          </w:p>
          <w:p w14:paraId="3BD7DE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（1）根据结账号、开始日期和结束日期、收款员一个或多个条件查询挂号结账记录，可查看每条结账记录的结账明细信息，并打印查询到的结账记录。</w:t>
            </w:r>
          </w:p>
          <w:p w14:paraId="5FA4C26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6、收费员结账</w:t>
            </w:r>
          </w:p>
          <w:p w14:paraId="255D9FA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（1）每日24时后台自动为所有收费员生成个人结账汇总单（包含自助），收费员可以查询个人结账汇总单；</w:t>
            </w:r>
          </w:p>
          <w:p w14:paraId="25A9B3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（2）提供给收费员查询自己未结账信息的功能，方便操作员对账；</w:t>
            </w:r>
          </w:p>
          <w:p w14:paraId="4AA3A1C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（3）挂号和门诊收费单独生成结账汇总单。</w:t>
            </w:r>
          </w:p>
          <w:p w14:paraId="704B04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7、收款员退费查询</w:t>
            </w:r>
          </w:p>
          <w:p w14:paraId="0B1E6DA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（1）收款员结账查询是在统计时间段内，指定结账类型下，对收款员已入账、未入账、结账状态进行统计查询。</w:t>
            </w:r>
          </w:p>
          <w:p w14:paraId="54E101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8、结账查询</w:t>
            </w:r>
          </w:p>
          <w:p w14:paraId="0F9BE8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（1）用户通过结账号、结账类型或收款员查询指定时间范围内的全部的结账记录，查看结账明细信息。还可以打印查询的结账记录。</w:t>
            </w:r>
          </w:p>
          <w:p w14:paraId="0341B8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9、查询统计</w:t>
            </w:r>
          </w:p>
          <w:p w14:paraId="6E1A17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（1）日报表：</w:t>
            </w:r>
          </w:p>
          <w:p w14:paraId="60BA60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1.门诊结算日报表（代记账凭证），自动截至物理时间24时，通过借贷平衡计算当日现金、银行存款、银医通消费、移动支付、门诊结算收入汇总、医疗应收款，显示票据作废号码；</w:t>
            </w:r>
          </w:p>
          <w:p w14:paraId="3557B5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2.门诊结算日报表医疗应收款明细，作为门诊结算日报表的附表列明医疗应收款（各级医保拨付），与门诊结算日报表的借方科目医疗应收款栏相符。</w:t>
            </w:r>
          </w:p>
          <w:p w14:paraId="7F56DC5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门诊票据消耗量统计表，收费员消耗使用票据区间段号码和张数；</w:t>
            </w:r>
          </w:p>
          <w:p w14:paraId="14037D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3.银联卡交易门诊对账单（含自助机交易），银联卡刷卡（Mis-Pos）明细对账单，汇总金额与门诊结算日报表的借方科目银行存款栏银行卡金额相符，信用卡栏是核对独立刷信用卡机具的汇总金额；</w:t>
            </w:r>
          </w:p>
          <w:p w14:paraId="41F12E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4.门诊收入日报表（按开单统计，咨询财务科）；</w:t>
            </w:r>
          </w:p>
          <w:p w14:paraId="028FA8E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5.收费员结账汇总单（收费员），收费员个人汇总单，现金、银行存款、结算明细和汇总、门诊收费票据号码及张数、反交易红冲原票据号码；</w:t>
            </w:r>
          </w:p>
          <w:p w14:paraId="49E4217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6.收费员结账汇总单（自助机），所有自助机汇总单和各台自助机汇总单（可选择统计，自助机有数据统计无数据忽略）。</w:t>
            </w:r>
          </w:p>
          <w:p w14:paraId="2A6BA08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（2）月报表</w:t>
            </w:r>
          </w:p>
          <w:p w14:paraId="5FB88B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1.门诊结算患者科室费用汇总表（咨询财务科）；</w:t>
            </w:r>
          </w:p>
          <w:p w14:paraId="0B2E92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2.门诊收入日报表（按开单统计，咨询财务科）；</w:t>
            </w:r>
          </w:p>
          <w:p w14:paraId="156DAC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3.门诊结算日报汇总表；</w:t>
            </w:r>
          </w:p>
          <w:p w14:paraId="7B1B741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4.门诊结算日报汇总表医疗应收款明细。</w:t>
            </w:r>
          </w:p>
        </w:tc>
      </w:tr>
      <w:tr w14:paraId="56D9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022A81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急诊医生工作站</w:t>
            </w:r>
          </w:p>
        </w:tc>
        <w:tc>
          <w:tcPr>
            <w:tcW w:w="8020" w:type="dxa"/>
            <w:shd w:val="clear" w:color="auto" w:fill="FFFFFF"/>
            <w:noWrap/>
            <w:vAlign w:val="center"/>
          </w:tcPr>
          <w:p w14:paraId="614756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1、急诊医生的权限管理与认证</w:t>
            </w:r>
          </w:p>
          <w:p w14:paraId="0DCDDC23">
            <w:pPr>
              <w:adjustRightInd w:val="0"/>
              <w:snapToGrid w:val="0"/>
              <w:spacing w:line="360" w:lineRule="auto"/>
              <w:rPr>
                <w:color w:val="auto"/>
                <w:highlight w:val="none"/>
              </w:rPr>
            </w:pPr>
            <w:r>
              <w:rPr>
                <w:rFonts w:hint="eastAsia" w:ascii="宋体" w:hAnsi="宋体" w:eastAsia="宋体"/>
                <w:color w:val="auto"/>
                <w:highlight w:val="none"/>
              </w:rPr>
              <w:t>（1）</w:t>
            </w:r>
            <w:r>
              <w:rPr>
                <w:color w:val="auto"/>
                <w:highlight w:val="none"/>
              </w:rPr>
              <w:t>支持连接医院指定的安全认证过程进行医生的认证</w:t>
            </w:r>
            <w:r>
              <w:rPr>
                <w:rFonts w:hint="eastAsia"/>
                <w:color w:val="auto"/>
                <w:highlight w:val="none"/>
              </w:rPr>
              <w:t>；</w:t>
            </w:r>
          </w:p>
          <w:p w14:paraId="36FA90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（2）当医生工作站终端超过设定的时间没有操作时，能够自动锁定。再次进入时需要重新进行认证；</w:t>
            </w:r>
          </w:p>
          <w:p w14:paraId="47AFFD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（3）提供系统登录功能：角色切换、修改口令、注销用户、系统退出，支持用户在病房医生、病房护士、急诊医生、急诊护士等角色之间切换业务系统。</w:t>
            </w:r>
          </w:p>
          <w:p w14:paraId="04596D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2、获取患者卡内基本信息</w:t>
            </w:r>
          </w:p>
          <w:p w14:paraId="28994E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（1）支持医疗凭证，医保卡，换着挂号凭条扫码等方式快速获取患者信息；</w:t>
            </w:r>
          </w:p>
          <w:p w14:paraId="026D347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支持获取患者列表的基本信息：患者ID、病案号、姓名、性别、年龄、医保费用类别、急诊分级分区等；</w:t>
            </w:r>
          </w:p>
          <w:p w14:paraId="74FC71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（2）支持查看本科患者和我的患者及已收藏患者；</w:t>
            </w:r>
          </w:p>
          <w:p w14:paraId="76DE71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（3）支持提供诊疗相关历史就诊的病史资料、主诉、现病史、既往史等。</w:t>
            </w:r>
          </w:p>
          <w:p w14:paraId="29147F7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支持获取急诊预检分诊系统的信息：患者ID、姓名、分诊号、分科、病情分级、病情评估等。</w:t>
            </w:r>
          </w:p>
          <w:p w14:paraId="1A0E97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3、闭环医嘱管理功能</w:t>
            </w:r>
          </w:p>
          <w:p w14:paraId="24BCDA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（1）提供连续查阅医嘱模式，方便抢救和留观病人医嘱管理；</w:t>
            </w:r>
          </w:p>
          <w:p w14:paraId="0305B6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（2）提供各种急诊医嘱开立功能，包括：药品医嘱、检验医嘱、检查医嘱、治疗处置、用血、手术、会诊、护理、抢救医嘱，支持医生处理各种急诊诊疗活动；</w:t>
            </w:r>
          </w:p>
          <w:p w14:paraId="7A6D71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（3）通过合理用药，提供药品信息查询、药品医嘱的自动监测、提醒和咨询功能；</w:t>
            </w:r>
          </w:p>
          <w:p w14:paraId="2266332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（4）提供警示功能，如：过敏药物警示；</w:t>
            </w:r>
          </w:p>
          <w:p w14:paraId="7446B7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（5）提供医保适应症提醒；</w:t>
            </w:r>
          </w:p>
          <w:p w14:paraId="0378A6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（6）检查项目医保开立次数控制；</w:t>
            </w:r>
          </w:p>
          <w:p w14:paraId="44628F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（7）抗生素三级权限管理；</w:t>
            </w:r>
          </w:p>
          <w:p w14:paraId="65DE07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（8）手术权限管理；</w:t>
            </w:r>
          </w:p>
          <w:p w14:paraId="03B26D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（9）精毒麻用药管理；</w:t>
            </w:r>
          </w:p>
          <w:p w14:paraId="40E065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（10）提供多种药品医嘱、检验医嘱、检查医嘱快捷开立方式，尤其支持急诊组合套餐的开立；</w:t>
            </w:r>
          </w:p>
          <w:p w14:paraId="1D158F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（11）提供引用功能，如：医嘱、门诊诊断、临床表现引用到处方和各种申请单；</w:t>
            </w:r>
          </w:p>
          <w:p w14:paraId="51E0BD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（12）提供医嘱打印功能，如：处方、检查申请单、检验申请单、治疗单等，打印结果由就诊医师签字生效；</w:t>
            </w:r>
          </w:p>
          <w:p w14:paraId="424EB2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（13）通过第三方接口，自动向相关部门传送检查、检验、诊断、处方、治疗处置等诊疗信息，以及相关的费用信息，保证医嘱指令顺利执行；</w:t>
            </w:r>
          </w:p>
          <w:p w14:paraId="4C9E48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（14）提供医嘱执行状态全程显示功能，可灵活配置各类医嘱的执行环节。</w:t>
            </w:r>
          </w:p>
          <w:p w14:paraId="52E013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4、会诊管理</w:t>
            </w:r>
          </w:p>
          <w:p w14:paraId="4CD7D1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（1）支持电子会诊申请单，会诊科室接收会诊申请信息；</w:t>
            </w:r>
          </w:p>
          <w:p w14:paraId="69A753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（2）支持会诊医生登录系统后，书写会诊记录单，记录会诊整个医疗过程；</w:t>
            </w:r>
          </w:p>
          <w:p w14:paraId="717C863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（3）支持会诊费用自动计费，提高会诊效率；</w:t>
            </w:r>
          </w:p>
          <w:p w14:paraId="650689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（4）支持会诊过程中记录的资料，归档为急诊病历。</w:t>
            </w:r>
          </w:p>
          <w:p w14:paraId="6C5EBD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5、交班管理</w:t>
            </w:r>
          </w:p>
          <w:p w14:paraId="422684D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（1）支持当班急诊医生对当前急诊患者情况录入病情、纠纷等各类信息；</w:t>
            </w:r>
          </w:p>
          <w:p w14:paraId="763DEA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（2）支持交班信息的业务流转，包括交班、接班；</w:t>
            </w:r>
          </w:p>
          <w:p w14:paraId="4581E2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（3）提供交班信息的查询。</w:t>
            </w:r>
          </w:p>
          <w:p w14:paraId="53B8EF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6、其它功能</w:t>
            </w:r>
          </w:p>
          <w:p w14:paraId="4AEBA6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（1）提供急诊患者的入出转全流程闭环管理，急诊诊间，抢救室，留观室各各诊疗区域的流转；</w:t>
            </w:r>
          </w:p>
          <w:p w14:paraId="376276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（2）急诊退药申请及退药单的打印；</w:t>
            </w:r>
          </w:p>
          <w:p w14:paraId="000001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（3）急诊各种单据的打印：领药单，处方单，诊断证明书，病理标签，急诊病历等；</w:t>
            </w:r>
          </w:p>
          <w:p w14:paraId="0F40846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（4）支持诊间自费结算和医保结算，并支持打印结算清单；</w:t>
            </w:r>
          </w:p>
          <w:p w14:paraId="68A3CE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（5）急诊首页信息的自动抓取和上报；</w:t>
            </w:r>
          </w:p>
          <w:p w14:paraId="65F5DF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（6）护理记录及护理会诊信息的浏览查阅；</w:t>
            </w:r>
          </w:p>
          <w:p w14:paraId="45099F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（7）浏览患者的检验报告、检查报告；</w:t>
            </w:r>
          </w:p>
          <w:p w14:paraId="4D4EBDB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（8）提供常见事务管理功能，如：转诊、诊断证明、住院申请；</w:t>
            </w:r>
          </w:p>
          <w:p w14:paraId="5E12019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（9）提供疾病管理功能，如：疾病上报、随访等；</w:t>
            </w:r>
          </w:p>
          <w:p w14:paraId="02B252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（10）提供门急诊电子病历所涉及的全部系统维护，包括：字典维护、参数维护、医嘱模板维护、病历模板维护、用户及授权维护等；</w:t>
            </w:r>
          </w:p>
          <w:p w14:paraId="46094D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（11）外来资料的录入和归档。</w:t>
            </w:r>
          </w:p>
          <w:p w14:paraId="4BA58F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7、查询统计功能</w:t>
            </w:r>
          </w:p>
          <w:p w14:paraId="1F0E8F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（1）病区空床查询；</w:t>
            </w:r>
          </w:p>
          <w:p w14:paraId="571C93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（2）病人费用查询；</w:t>
            </w:r>
          </w:p>
          <w:p w14:paraId="2AF6AB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（3）数据中心，可查询急诊患者在全院的历史就诊记录；</w:t>
            </w:r>
          </w:p>
          <w:p w14:paraId="1B68C04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（4）发热，肠道，呼吸门诊患者就诊登记表。</w:t>
            </w:r>
          </w:p>
        </w:tc>
      </w:tr>
      <w:tr w14:paraId="4B9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73CF41A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急诊医生文书系统</w:t>
            </w:r>
          </w:p>
        </w:tc>
        <w:tc>
          <w:tcPr>
            <w:tcW w:w="8020" w:type="dxa"/>
            <w:shd w:val="clear" w:color="auto" w:fill="FFFFFF"/>
            <w:noWrap/>
            <w:vAlign w:val="center"/>
          </w:tcPr>
          <w:p w14:paraId="1989E3F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1、医疗文书管理</w:t>
            </w:r>
            <w:r>
              <w:rPr>
                <w:rFonts w:hint="eastAsia" w:ascii="宋体" w:hAnsi="宋体" w:eastAsia="宋体"/>
                <w:color w:val="auto"/>
                <w:highlight w:val="none"/>
              </w:rPr>
              <w:br w:type="textWrapping"/>
            </w:r>
            <w:r>
              <w:rPr>
                <w:rFonts w:hint="eastAsia" w:ascii="宋体" w:hAnsi="宋体" w:eastAsia="宋体"/>
                <w:color w:val="auto"/>
                <w:highlight w:val="none"/>
              </w:rPr>
              <w:t>（1）提供专科化、结构化急诊医疗文书管理模式；</w:t>
            </w:r>
            <w:r>
              <w:rPr>
                <w:rFonts w:hint="eastAsia" w:ascii="宋体" w:hAnsi="宋体" w:eastAsia="宋体"/>
                <w:color w:val="auto"/>
                <w:highlight w:val="none"/>
              </w:rPr>
              <w:br w:type="textWrapping"/>
            </w:r>
            <w:r>
              <w:rPr>
                <w:rFonts w:hint="eastAsia" w:ascii="宋体" w:hAnsi="宋体" w:eastAsia="宋体"/>
                <w:color w:val="auto"/>
                <w:highlight w:val="none"/>
              </w:rPr>
              <w:t>（2） 医疗文档记录包括急诊入科记录、病程记录、特殊操作记录、患者谈话记录、诊疗知情同意书；</w:t>
            </w:r>
            <w:r>
              <w:rPr>
                <w:rFonts w:hint="eastAsia" w:ascii="宋体" w:hAnsi="宋体" w:eastAsia="宋体"/>
                <w:color w:val="auto"/>
                <w:highlight w:val="none"/>
              </w:rPr>
              <w:br w:type="textWrapping"/>
            </w:r>
            <w:r>
              <w:rPr>
                <w:rFonts w:hint="eastAsia" w:ascii="宋体" w:hAnsi="宋体" w:eastAsia="宋体"/>
                <w:color w:val="auto"/>
                <w:highlight w:val="none"/>
              </w:rPr>
              <w:t>（3）提供编辑、浏览急诊科医疗文书；</w:t>
            </w:r>
            <w:r>
              <w:rPr>
                <w:rFonts w:hint="eastAsia" w:ascii="宋体" w:hAnsi="宋体" w:eastAsia="宋体"/>
                <w:color w:val="auto"/>
                <w:highlight w:val="none"/>
              </w:rPr>
              <w:br w:type="textWrapping"/>
            </w:r>
            <w:r>
              <w:rPr>
                <w:rFonts w:hint="eastAsia" w:ascii="宋体" w:hAnsi="宋体" w:eastAsia="宋体"/>
                <w:color w:val="auto"/>
                <w:highlight w:val="none"/>
              </w:rPr>
              <w:t>（4） 提供在病历概览界面呈现当前患者已书写的医疗病历记录；</w:t>
            </w:r>
            <w:r>
              <w:rPr>
                <w:rFonts w:hint="eastAsia" w:ascii="宋体" w:hAnsi="宋体" w:eastAsia="宋体"/>
                <w:color w:val="auto"/>
                <w:highlight w:val="none"/>
              </w:rPr>
              <w:br w:type="textWrapping"/>
            </w:r>
            <w:r>
              <w:rPr>
                <w:rFonts w:hint="eastAsia" w:ascii="宋体" w:hAnsi="宋体" w:eastAsia="宋体"/>
                <w:color w:val="auto"/>
                <w:highlight w:val="none"/>
              </w:rPr>
              <w:t>（5）提供根据左侧树形控件的病历类型，为当前患者创建对应病历；</w:t>
            </w:r>
            <w:r>
              <w:rPr>
                <w:rFonts w:hint="eastAsia" w:ascii="宋体" w:hAnsi="宋体" w:eastAsia="宋体"/>
                <w:color w:val="auto"/>
                <w:highlight w:val="none"/>
              </w:rPr>
              <w:br w:type="textWrapping"/>
            </w:r>
            <w:r>
              <w:rPr>
                <w:rFonts w:hint="eastAsia" w:ascii="宋体" w:hAnsi="宋体" w:eastAsia="宋体"/>
                <w:color w:val="auto"/>
                <w:highlight w:val="none"/>
              </w:rPr>
              <w:t>（6）提供各个类型的病历模板制作；</w:t>
            </w:r>
            <w:r>
              <w:rPr>
                <w:rFonts w:hint="eastAsia" w:ascii="宋体" w:hAnsi="宋体" w:eastAsia="宋体"/>
                <w:color w:val="auto"/>
                <w:highlight w:val="none"/>
              </w:rPr>
              <w:br w:type="textWrapping"/>
            </w:r>
            <w:r>
              <w:rPr>
                <w:rFonts w:hint="eastAsia" w:ascii="宋体" w:hAnsi="宋体" w:eastAsia="宋体"/>
                <w:color w:val="auto"/>
                <w:highlight w:val="none"/>
              </w:rPr>
              <w:t>（7）提供病历文书的预览、打印、重打功能。</w:t>
            </w:r>
            <w:r>
              <w:rPr>
                <w:rFonts w:hint="eastAsia" w:ascii="宋体" w:hAnsi="宋体" w:eastAsia="宋体"/>
                <w:color w:val="auto"/>
                <w:highlight w:val="none"/>
              </w:rPr>
              <w:br w:type="textWrapping"/>
            </w:r>
            <w:r>
              <w:rPr>
                <w:rFonts w:hint="eastAsia" w:ascii="宋体" w:hAnsi="宋体" w:eastAsia="宋体"/>
                <w:color w:val="auto"/>
                <w:highlight w:val="none"/>
              </w:rPr>
              <w:t xml:space="preserve">  1）历史浏览：提供患者历史病历文书浏览；</w:t>
            </w:r>
            <w:r>
              <w:rPr>
                <w:rFonts w:hint="eastAsia" w:ascii="宋体" w:hAnsi="宋体" w:eastAsia="宋体"/>
                <w:color w:val="auto"/>
                <w:highlight w:val="none"/>
              </w:rPr>
              <w:br w:type="textWrapping"/>
            </w:r>
            <w:r>
              <w:rPr>
                <w:rFonts w:hint="eastAsia" w:ascii="宋体" w:hAnsi="宋体" w:eastAsia="宋体"/>
                <w:color w:val="auto"/>
                <w:highlight w:val="none"/>
              </w:rPr>
              <w:t xml:space="preserve">  2）模板管理：</w:t>
            </w:r>
            <w:r>
              <w:rPr>
                <w:rFonts w:hint="eastAsia" w:ascii="宋体" w:hAnsi="宋体" w:eastAsia="宋体"/>
                <w:color w:val="auto"/>
                <w:highlight w:val="none"/>
              </w:rPr>
              <w:br w:type="textWrapping"/>
            </w:r>
            <w:r>
              <w:rPr>
                <w:rFonts w:hint="eastAsia" w:ascii="宋体" w:hAnsi="宋体" w:eastAsia="宋体"/>
                <w:color w:val="auto"/>
                <w:highlight w:val="none"/>
              </w:rPr>
              <w:t>1.提供在各病历类型模板的基础上，医生可根据其模板内容录入诊疗内容；</w:t>
            </w:r>
            <w:r>
              <w:rPr>
                <w:rFonts w:hint="eastAsia" w:ascii="宋体" w:hAnsi="宋体" w:eastAsia="宋体"/>
                <w:color w:val="auto"/>
                <w:highlight w:val="none"/>
              </w:rPr>
              <w:br w:type="textWrapping"/>
            </w:r>
            <w:r>
              <w:rPr>
                <w:rFonts w:hint="eastAsia" w:ascii="宋体" w:hAnsi="宋体" w:eastAsia="宋体"/>
                <w:color w:val="auto"/>
                <w:highlight w:val="none"/>
              </w:rPr>
              <w:t>2.提供病历另存为模板功能，支持全院、全科、个人三级模板管理；</w:t>
            </w:r>
            <w:r>
              <w:rPr>
                <w:rFonts w:hint="eastAsia" w:ascii="宋体" w:hAnsi="宋体" w:eastAsia="宋体"/>
                <w:color w:val="auto"/>
                <w:highlight w:val="none"/>
              </w:rPr>
              <w:br w:type="textWrapping"/>
            </w:r>
            <w:r>
              <w:rPr>
                <w:rFonts w:hint="eastAsia" w:ascii="宋体" w:hAnsi="宋体" w:eastAsia="宋体"/>
                <w:color w:val="auto"/>
                <w:highlight w:val="none"/>
              </w:rPr>
              <w:t>3.纸质模板自定义，可培训信息科及其他相关人员制作模板工具；</w:t>
            </w:r>
            <w:r>
              <w:rPr>
                <w:rFonts w:hint="eastAsia" w:ascii="宋体" w:hAnsi="宋体" w:eastAsia="宋体"/>
                <w:color w:val="auto"/>
                <w:highlight w:val="none"/>
              </w:rPr>
              <w:br w:type="textWrapping"/>
            </w:r>
            <w:r>
              <w:rPr>
                <w:rFonts w:hint="eastAsia" w:ascii="宋体" w:hAnsi="宋体" w:eastAsia="宋体"/>
                <w:color w:val="auto"/>
                <w:highlight w:val="none"/>
              </w:rPr>
              <w:t>4.导入功能：提供导入急诊患者的检查、检验、生命体征、医嘱信息记录至当前患者的医疗文书中；检验检查结果导入。</w:t>
            </w:r>
          </w:p>
        </w:tc>
      </w:tr>
      <w:tr w14:paraId="6566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575931F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急诊护士工作站</w:t>
            </w:r>
          </w:p>
        </w:tc>
        <w:tc>
          <w:tcPr>
            <w:tcW w:w="8020" w:type="dxa"/>
            <w:shd w:val="clear" w:color="auto" w:fill="FFFFFF"/>
            <w:noWrap/>
            <w:vAlign w:val="center"/>
          </w:tcPr>
          <w:p w14:paraId="1A9561D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（一）患者管理</w:t>
            </w:r>
          </w:p>
          <w:p w14:paraId="7AB23CCA">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分区一览：根据患者挂号信息、预检分诊信息，实现对急诊各分区的停滞患者的信息一览；</w:t>
            </w:r>
          </w:p>
          <w:p w14:paraId="4B6E2610">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床位管理：急诊红黄区患者的床位分配，床卡信息标识：床号，患者姓名，护理等级，危重患者标识，创伤患者标识，隔离标识，过敏标识，入院天数，跌倒，压疮，患者费别，是否欠费等标识；</w:t>
            </w:r>
          </w:p>
          <w:p w14:paraId="3696DD48">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患者分类统计和查询：可根据患者护理等级，危重标识，待出院等标识分类和查询患者信息；</w:t>
            </w:r>
          </w:p>
          <w:p w14:paraId="5826130E">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患者索引：支持检索当前患者在本院的历次就诊记录，涵盖住院、门诊记录；</w:t>
            </w:r>
          </w:p>
          <w:p w14:paraId="06C114E8">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患者入出转管理：患者接收，患者转出及取消入出转；</w:t>
            </w:r>
          </w:p>
          <w:p w14:paraId="0AC8C0EE">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提供留抢登记功能；</w:t>
            </w:r>
          </w:p>
          <w:p w14:paraId="12CBAFFB">
            <w:pPr>
              <w:numPr>
                <w:ilvl w:val="0"/>
                <w:numId w:val="15"/>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提供离抢登记功能。</w:t>
            </w:r>
          </w:p>
          <w:p w14:paraId="5F0E5A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（二）医嘱管理</w:t>
            </w:r>
          </w:p>
          <w:p w14:paraId="220897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1、医嘱浏览</w:t>
            </w:r>
          </w:p>
          <w:p w14:paraId="0912D14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（1）提供浏览急诊科患者本次急诊诊疗过程中所有的医嘱项目；</w:t>
            </w:r>
          </w:p>
          <w:p w14:paraId="3C6672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（2）提供按医嘱类型、医嘱开立时间过滤当前患者医嘱单；</w:t>
            </w:r>
          </w:p>
          <w:p w14:paraId="0AE9F1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（3）提供各类型医嘱单打印与重打功能。</w:t>
            </w:r>
          </w:p>
          <w:p w14:paraId="6B2E4BE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2、医嘱执行</w:t>
            </w:r>
          </w:p>
          <w:p w14:paraId="45808F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（1）提供医嘱浏览功能；</w:t>
            </w:r>
          </w:p>
          <w:p w14:paraId="0CD868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（2）支持抢救室室医生开立医嘱完毕后，医生站打印领药单，患者可直接领药，药费托收；</w:t>
            </w:r>
          </w:p>
          <w:p w14:paraId="40B38F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（3）支持检查化验，手术等项目直接发送相应科室，登记，执行，做检查，所有费用托收；</w:t>
            </w:r>
          </w:p>
          <w:p w14:paraId="63BDAB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（4）支持医嘱的审核和回退；</w:t>
            </w:r>
          </w:p>
          <w:p w14:paraId="4E520F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（5）支持护理，治疗等需急诊室护士执行的医嘱的审核和发送；</w:t>
            </w:r>
          </w:p>
          <w:p w14:paraId="587B549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（6）提供医嘱执行单，执行标签的打印与重打；</w:t>
            </w:r>
          </w:p>
          <w:p w14:paraId="333D9A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（7）支持针剂，口服药等药物医嘱的扫码执行，皮试，精毒麻药物的执行双签，并记录执行时间和执行人，完成药物医嘱的闭环管理；</w:t>
            </w:r>
          </w:p>
          <w:p w14:paraId="7F727B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（8）支持PC端扫码执行医嘱，连接扫码枪；</w:t>
            </w:r>
          </w:p>
          <w:p w14:paraId="552863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（9）支持检验标签的打印和采样送检，检验标签的作废和回退，完成检验项目的闭环管理；</w:t>
            </w:r>
          </w:p>
          <w:p w14:paraId="3DA42B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（10）支持急诊患者检查项目的快速预约，查询急诊患者检查预约信息及检查预约单的打印；</w:t>
            </w:r>
          </w:p>
          <w:p w14:paraId="2AD899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（11）支持病理医嘱的闭环管理，本科室采样执行的病理项目的标签打印，配送及接收；</w:t>
            </w:r>
          </w:p>
          <w:p w14:paraId="3BCEB22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（12）支持查询手术信息及安排情况。</w:t>
            </w:r>
          </w:p>
          <w:p w14:paraId="718928C7">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费用管理</w:t>
            </w:r>
          </w:p>
          <w:p w14:paraId="55CD558A">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支持急诊红黄区患者诊疗过程中所有的费用自动托收，出院时统一结算，包含挂号费，治疗费，药费，材料费等；</w:t>
            </w:r>
          </w:p>
          <w:p w14:paraId="54B0DE09">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支持急诊红黄区患者的日费用审核记账，可根据医嘱对患者的输液费，注射费，治疗费，抽血费，材料费等进行日费用记账，护士只需每日核对费用，无需重复补录；</w:t>
            </w:r>
          </w:p>
          <w:p w14:paraId="319329E3">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支持急诊患者的床位费，诊查费，护理等级费的定时自动滚账；</w:t>
            </w:r>
          </w:p>
          <w:p w14:paraId="6204D34A">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支持急诊费用的补退费处理，费别切换；支持高值耗材费用录入；</w:t>
            </w:r>
          </w:p>
          <w:p w14:paraId="2F5E0039">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支持出观患者的退费管理；</w:t>
            </w:r>
          </w:p>
          <w:p w14:paraId="0266C3D5">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支持急诊患者的费用查询及欠费管理，可设置急诊欠费额度，超出欠费额度可进行控制和提醒；</w:t>
            </w:r>
          </w:p>
          <w:p w14:paraId="03BB4F35">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针对需紧急办理住院的患者，可进行挂账处理；</w:t>
            </w:r>
          </w:p>
          <w:p w14:paraId="51733E7D">
            <w:pPr>
              <w:numPr>
                <w:ilvl w:val="0"/>
                <w:numId w:val="1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出院校验：未计费检查检验，未发药处方，出院带药是否已领药，医嘱处理是否完成的校验和控制，防止漏费。</w:t>
            </w:r>
          </w:p>
          <w:p w14:paraId="57BC03D8">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其他功能</w:t>
            </w:r>
          </w:p>
          <w:p w14:paraId="325930C1">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支持查看患者历史就诊记录，检查检验报告，病历记录，医嘱等；</w:t>
            </w:r>
          </w:p>
          <w:p w14:paraId="2EBF5CD5">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通过PDA扫描患者腕带和监护仪机器上的二维码，实时抓取患者体征信息并同步至护理记录单；</w:t>
            </w:r>
          </w:p>
          <w:p w14:paraId="38AF1265">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护士交接班：支持本科患者基本信息的自动抓取，引用护理记录单中的内容等；</w:t>
            </w:r>
          </w:p>
          <w:p w14:paraId="6CF34346">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输血管理，领血单的打印，完整的输血过程记录及血袋的回收；</w:t>
            </w:r>
          </w:p>
          <w:p w14:paraId="0F7C0FB1">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消毒供应请领，药物请领；</w:t>
            </w:r>
          </w:p>
          <w:p w14:paraId="18803BFF">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精麻特殊药品的执行登记，残余量的记录及处置；</w:t>
            </w:r>
          </w:p>
          <w:p w14:paraId="56C3C8D7">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在床患者和出院患者的退药管理。</w:t>
            </w:r>
          </w:p>
          <w:p w14:paraId="132845F0">
            <w:pPr>
              <w:numPr>
                <w:ilvl w:val="0"/>
                <w:numId w:val="18"/>
              </w:numPr>
              <w:adjustRightInd w:val="0"/>
              <w:snapToGrid w:val="0"/>
              <w:spacing w:line="360" w:lineRule="auto"/>
              <w:ind w:left="720" w:hanging="720"/>
              <w:rPr>
                <w:rFonts w:hint="eastAsia" w:ascii="宋体" w:hAnsi="宋体" w:eastAsia="宋体"/>
                <w:color w:val="auto"/>
                <w:highlight w:val="none"/>
              </w:rPr>
            </w:pPr>
            <w:r>
              <w:rPr>
                <w:rFonts w:hint="eastAsia" w:ascii="宋体" w:hAnsi="宋体" w:eastAsia="宋体"/>
                <w:color w:val="auto"/>
                <w:highlight w:val="none"/>
              </w:rPr>
              <w:t>急诊危急值确认及处理；</w:t>
            </w:r>
          </w:p>
          <w:p w14:paraId="6C530AF0">
            <w:pPr>
              <w:numPr>
                <w:ilvl w:val="0"/>
                <w:numId w:val="16"/>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统计查询</w:t>
            </w:r>
          </w:p>
          <w:p w14:paraId="40B4054B">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转出患者信息查询；</w:t>
            </w:r>
          </w:p>
          <w:p w14:paraId="55A37743">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入抢，出抢人次查询；</w:t>
            </w:r>
          </w:p>
          <w:p w14:paraId="1B387B93">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病区空床查询；</w:t>
            </w:r>
          </w:p>
          <w:p w14:paraId="6A53074A">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会诊记录查询；</w:t>
            </w:r>
          </w:p>
          <w:p w14:paraId="3C436706">
            <w:pPr>
              <w:numPr>
                <w:ilvl w:val="0"/>
                <w:numId w:val="19"/>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护理交接单统计分析；</w:t>
            </w:r>
          </w:p>
          <w:p w14:paraId="6070DF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抢救室患者转归及滞留时间。</w:t>
            </w:r>
          </w:p>
        </w:tc>
      </w:tr>
      <w:tr w14:paraId="19A0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66" w:type="dxa"/>
            <w:shd w:val="clear" w:color="auto" w:fill="FFFFFF"/>
            <w:noWrap/>
            <w:vAlign w:val="center"/>
          </w:tcPr>
          <w:p w14:paraId="5C3CDA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急诊护理文书系统</w:t>
            </w:r>
          </w:p>
        </w:tc>
        <w:tc>
          <w:tcPr>
            <w:tcW w:w="8020" w:type="dxa"/>
            <w:shd w:val="clear" w:color="auto" w:fill="FFFFFF"/>
            <w:noWrap/>
            <w:vAlign w:val="center"/>
          </w:tcPr>
          <w:p w14:paraId="316DD0ED">
            <w:pPr>
              <w:numPr>
                <w:ilvl w:val="0"/>
                <w:numId w:val="2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体温单</w:t>
            </w:r>
            <w:r>
              <w:rPr>
                <w:rFonts w:hint="eastAsia" w:ascii="宋体" w:hAnsi="宋体" w:eastAsia="宋体"/>
                <w:color w:val="auto"/>
                <w:highlight w:val="none"/>
              </w:rPr>
              <w:br w:type="textWrapping"/>
            </w:r>
            <w:r>
              <w:rPr>
                <w:rFonts w:hint="eastAsia" w:ascii="宋体" w:hAnsi="宋体" w:eastAsia="宋体"/>
                <w:color w:val="auto"/>
                <w:highlight w:val="none"/>
              </w:rPr>
              <w:t>（1）提供方便的录入界面，能够录入体温、脉搏、呼吸、出入量等基本体征信息，并可自动统计出入量；</w:t>
            </w:r>
            <w:r>
              <w:rPr>
                <w:rFonts w:hint="eastAsia" w:ascii="宋体" w:hAnsi="宋体" w:eastAsia="宋体"/>
                <w:color w:val="auto"/>
                <w:highlight w:val="none"/>
              </w:rPr>
              <w:br w:type="textWrapping"/>
            </w:r>
            <w:r>
              <w:rPr>
                <w:rFonts w:hint="eastAsia" w:ascii="宋体" w:hAnsi="宋体" w:eastAsia="宋体"/>
                <w:color w:val="auto"/>
                <w:highlight w:val="none"/>
              </w:rPr>
              <w:t>（2）全自动生成三测单，并支持彩色、黑白两种打印模式，自动生成体温曲线；</w:t>
            </w:r>
            <w:r>
              <w:rPr>
                <w:rFonts w:hint="eastAsia" w:ascii="宋体" w:hAnsi="宋体" w:eastAsia="宋体"/>
                <w:color w:val="auto"/>
                <w:highlight w:val="none"/>
              </w:rPr>
              <w:br w:type="textWrapping"/>
            </w:r>
            <w:r>
              <w:rPr>
                <w:rFonts w:hint="eastAsia" w:ascii="宋体" w:hAnsi="宋体" w:eastAsia="宋体"/>
                <w:color w:val="auto"/>
                <w:highlight w:val="none"/>
              </w:rPr>
              <w:t>（3）自动获取打印病人入院、出院、假出院（请假）、周末度假、转院、死亡、返院等相关信息；</w:t>
            </w:r>
            <w:r>
              <w:rPr>
                <w:rFonts w:hint="eastAsia" w:ascii="宋体" w:hAnsi="宋体" w:eastAsia="宋体"/>
                <w:color w:val="auto"/>
                <w:highlight w:val="none"/>
              </w:rPr>
              <w:br w:type="textWrapping"/>
            </w:r>
            <w:r>
              <w:rPr>
                <w:rFonts w:hint="eastAsia" w:ascii="宋体" w:hAnsi="宋体" w:eastAsia="宋体"/>
                <w:color w:val="auto"/>
                <w:highlight w:val="none"/>
              </w:rPr>
              <w:t>（4）支持根据科室情况自定义体温单样式。</w:t>
            </w:r>
            <w:r>
              <w:rPr>
                <w:rFonts w:hint="eastAsia" w:ascii="宋体" w:hAnsi="宋体" w:eastAsia="宋体"/>
                <w:color w:val="auto"/>
                <w:highlight w:val="none"/>
              </w:rPr>
              <w:br w:type="textWrapping"/>
            </w:r>
            <w:r>
              <w:rPr>
                <w:rFonts w:hint="eastAsia" w:ascii="宋体" w:hAnsi="宋体" w:eastAsia="宋体"/>
                <w:color w:val="auto"/>
                <w:highlight w:val="none"/>
              </w:rPr>
              <w:t>2、生命体征记录单</w:t>
            </w:r>
            <w:r>
              <w:rPr>
                <w:rFonts w:hint="eastAsia" w:ascii="宋体" w:hAnsi="宋体" w:eastAsia="宋体"/>
                <w:color w:val="auto"/>
                <w:highlight w:val="none"/>
              </w:rPr>
              <w:br w:type="textWrapping"/>
            </w:r>
            <w:r>
              <w:rPr>
                <w:rFonts w:hint="eastAsia" w:ascii="宋体" w:hAnsi="宋体" w:eastAsia="宋体"/>
                <w:color w:val="auto"/>
                <w:highlight w:val="none"/>
              </w:rPr>
              <w:t>（1）能够录入和显示体温、脉搏、呼吸、脉氧、血压、神志、血糖、瞳孔大小、瞳孔反映等体征值；</w:t>
            </w:r>
            <w:r>
              <w:rPr>
                <w:rFonts w:hint="eastAsia" w:ascii="宋体" w:hAnsi="宋体" w:eastAsia="宋体"/>
                <w:color w:val="auto"/>
                <w:highlight w:val="none"/>
              </w:rPr>
              <w:br w:type="textWrapping"/>
            </w:r>
            <w:r>
              <w:rPr>
                <w:rFonts w:hint="eastAsia" w:ascii="宋体" w:hAnsi="宋体" w:eastAsia="宋体"/>
                <w:color w:val="auto"/>
                <w:highlight w:val="none"/>
              </w:rPr>
              <w:t>（2）可根据科室情况自定义需要显示的体征项目，自动生成相应的生命体征记录。</w:t>
            </w:r>
            <w:r>
              <w:rPr>
                <w:rFonts w:hint="eastAsia" w:ascii="宋体" w:hAnsi="宋体" w:eastAsia="宋体"/>
                <w:color w:val="auto"/>
                <w:highlight w:val="none"/>
              </w:rPr>
              <w:br w:type="textWrapping"/>
            </w:r>
            <w:r>
              <w:rPr>
                <w:rFonts w:hint="eastAsia" w:ascii="宋体" w:hAnsi="宋体" w:eastAsia="宋体"/>
                <w:color w:val="auto"/>
                <w:highlight w:val="none"/>
              </w:rPr>
              <w:t>3、出入量记录单</w:t>
            </w:r>
            <w:r>
              <w:rPr>
                <w:rFonts w:hint="eastAsia" w:ascii="宋体" w:hAnsi="宋体" w:eastAsia="宋体"/>
                <w:color w:val="auto"/>
                <w:highlight w:val="none"/>
              </w:rPr>
              <w:br w:type="textWrapping"/>
            </w:r>
            <w:r>
              <w:rPr>
                <w:rFonts w:hint="eastAsia" w:ascii="宋体" w:hAnsi="宋体" w:eastAsia="宋体"/>
                <w:color w:val="auto"/>
                <w:highlight w:val="none"/>
              </w:rPr>
              <w:t>（1）能够录入、显示病人出入量记录；</w:t>
            </w:r>
            <w:r>
              <w:rPr>
                <w:rFonts w:hint="eastAsia" w:ascii="宋体" w:hAnsi="宋体" w:eastAsia="宋体"/>
                <w:color w:val="auto"/>
                <w:highlight w:val="none"/>
              </w:rPr>
              <w:br w:type="textWrapping"/>
            </w:r>
            <w:r>
              <w:rPr>
                <w:rFonts w:hint="eastAsia" w:ascii="宋体" w:hAnsi="宋体" w:eastAsia="宋体"/>
                <w:color w:val="auto"/>
                <w:highlight w:val="none"/>
              </w:rPr>
              <w:t>（2）能够提取输液类医嘱，并记入出入量；</w:t>
            </w:r>
            <w:r>
              <w:rPr>
                <w:rFonts w:hint="eastAsia" w:ascii="宋体" w:hAnsi="宋体" w:eastAsia="宋体"/>
                <w:color w:val="auto"/>
                <w:highlight w:val="none"/>
              </w:rPr>
              <w:br w:type="textWrapping"/>
            </w:r>
            <w:r>
              <w:rPr>
                <w:rFonts w:hint="eastAsia" w:ascii="宋体" w:hAnsi="宋体" w:eastAsia="宋体"/>
                <w:color w:val="auto"/>
                <w:highlight w:val="none"/>
              </w:rPr>
              <w:t>（3）可自动对出入量进行12小时小结及24小时总结统计。</w:t>
            </w:r>
            <w:r>
              <w:rPr>
                <w:rFonts w:hint="eastAsia" w:ascii="宋体" w:hAnsi="宋体" w:eastAsia="宋体"/>
                <w:color w:val="auto"/>
                <w:highlight w:val="none"/>
              </w:rPr>
              <w:br w:type="textWrapping"/>
            </w:r>
            <w:r>
              <w:rPr>
                <w:rFonts w:hint="eastAsia" w:ascii="宋体" w:hAnsi="宋体" w:eastAsia="宋体"/>
                <w:color w:val="auto"/>
                <w:highlight w:val="none"/>
              </w:rPr>
              <w:t>4、入院评估单</w:t>
            </w:r>
            <w:r>
              <w:rPr>
                <w:rFonts w:hint="eastAsia" w:ascii="宋体" w:hAnsi="宋体" w:eastAsia="宋体"/>
                <w:color w:val="auto"/>
                <w:highlight w:val="none"/>
              </w:rPr>
              <w:br w:type="textWrapping"/>
            </w:r>
            <w:r>
              <w:rPr>
                <w:rFonts w:hint="eastAsia" w:ascii="宋体" w:hAnsi="宋体" w:eastAsia="宋体"/>
                <w:color w:val="auto"/>
                <w:highlight w:val="none"/>
              </w:rPr>
              <w:t>（1）能够录入、显示病人入院评估相关信息；</w:t>
            </w:r>
            <w:r>
              <w:rPr>
                <w:rFonts w:hint="eastAsia" w:ascii="宋体" w:hAnsi="宋体" w:eastAsia="宋体"/>
                <w:color w:val="auto"/>
                <w:highlight w:val="none"/>
              </w:rPr>
              <w:br w:type="textWrapping"/>
            </w:r>
            <w:r>
              <w:rPr>
                <w:rFonts w:hint="eastAsia" w:ascii="宋体" w:hAnsi="宋体" w:eastAsia="宋体"/>
                <w:color w:val="auto"/>
                <w:highlight w:val="none"/>
              </w:rPr>
              <w:t>（2）可根据科室情况自定义评估项目。</w:t>
            </w:r>
            <w:r>
              <w:rPr>
                <w:rFonts w:hint="eastAsia" w:ascii="宋体" w:hAnsi="宋体" w:eastAsia="宋体"/>
                <w:color w:val="auto"/>
                <w:highlight w:val="none"/>
              </w:rPr>
              <w:br w:type="textWrapping"/>
            </w:r>
            <w:r>
              <w:rPr>
                <w:rFonts w:hint="eastAsia" w:ascii="宋体" w:hAnsi="宋体" w:eastAsia="宋体"/>
                <w:color w:val="auto"/>
                <w:highlight w:val="none"/>
              </w:rPr>
              <w:t>5、日常评估、护理评估、护理措施、护理记录</w:t>
            </w:r>
            <w:r>
              <w:rPr>
                <w:rFonts w:hint="eastAsia" w:ascii="宋体" w:hAnsi="宋体" w:eastAsia="宋体"/>
                <w:color w:val="auto"/>
                <w:highlight w:val="none"/>
              </w:rPr>
              <w:br w:type="textWrapping"/>
            </w:r>
            <w:r>
              <w:rPr>
                <w:rFonts w:hint="eastAsia" w:ascii="宋体" w:hAnsi="宋体" w:eastAsia="宋体"/>
                <w:color w:val="auto"/>
                <w:highlight w:val="none"/>
              </w:rPr>
              <w:t>（1）提供统一的操作界面，能够录入、显示病人病情及相关护理措施内容，提供自动进行相关量化统计及评分工具；</w:t>
            </w:r>
            <w:r>
              <w:rPr>
                <w:rFonts w:hint="eastAsia" w:ascii="宋体" w:hAnsi="宋体" w:eastAsia="宋体"/>
                <w:color w:val="auto"/>
                <w:highlight w:val="none"/>
              </w:rPr>
              <w:br w:type="textWrapping"/>
            </w:r>
            <w:r>
              <w:rPr>
                <w:rFonts w:hint="eastAsia" w:ascii="宋体" w:hAnsi="宋体" w:eastAsia="宋体"/>
                <w:color w:val="auto"/>
                <w:highlight w:val="none"/>
              </w:rPr>
              <w:t>（2）能够记录患者病情的主、客观因素及相关评估内容，记录执行相应的护理措施；</w:t>
            </w:r>
          </w:p>
          <w:p w14:paraId="1E02C7EF">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评估项目、病情及护理措施用户自定义模板管理功能，方便用户选择输入。评估项目可分为常规项目评估和专科系统评估两大类。常规项目评估包含：安全评估、压疮危险因素评估、皮肤粘膜评估和管道评估；专科系统评估包含：心血管系统、呼吸系统、消化系统、神经系统、远动系统、生殖泌尿系统、心理社会、外科手术相关等；</w:t>
            </w:r>
          </w:p>
          <w:p w14:paraId="3B85D404">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支持压疮风险评估，能针对病人生理状况、营养状况、浮肿、神志、压疮、感觉运动、大便失禁、小便失禁、强迫体位、长期卧床、多汗等压疮风险进行评估，支持评估项目可配置；</w:t>
            </w:r>
          </w:p>
          <w:p w14:paraId="3DC75FE8">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支持患者跌倒/坠床评估监控，能针对患者生理、行为、紊乱、神志、四肢活动、药物等情况进行住院患者跌倒/坠床评估、评分，自动统计评估总分；</w:t>
            </w:r>
          </w:p>
          <w:p w14:paraId="56387E83">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自动生成护理记录单，可根据科室自定义记录单表单样式；</w:t>
            </w:r>
          </w:p>
          <w:p w14:paraId="3577ECB5">
            <w:pPr>
              <w:numPr>
                <w:ilvl w:val="0"/>
                <w:numId w:val="21"/>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评估过程中发生须上报时间时，通过系统集成，实现实时上报质量问题、意外事件信息给相关质控部门、护理部管理部门的信息系统。</w:t>
            </w:r>
            <w:r>
              <w:rPr>
                <w:rFonts w:hint="eastAsia" w:ascii="宋体" w:hAnsi="宋体" w:eastAsia="宋体"/>
                <w:color w:val="auto"/>
                <w:highlight w:val="none"/>
              </w:rPr>
              <w:br w:type="textWrapping"/>
            </w:r>
            <w:r>
              <w:rPr>
                <w:rFonts w:hint="eastAsia" w:ascii="宋体" w:hAnsi="宋体" w:eastAsia="宋体"/>
                <w:color w:val="auto"/>
                <w:highlight w:val="none"/>
              </w:rPr>
              <w:t>6、护理健康宣教表</w:t>
            </w:r>
            <w:r>
              <w:rPr>
                <w:rFonts w:hint="eastAsia" w:ascii="宋体" w:hAnsi="宋体" w:eastAsia="宋体"/>
                <w:color w:val="auto"/>
                <w:highlight w:val="none"/>
              </w:rPr>
              <w:br w:type="textWrapping"/>
            </w:r>
            <w:r>
              <w:rPr>
                <w:rFonts w:hint="eastAsia" w:ascii="宋体" w:hAnsi="宋体" w:eastAsia="宋体"/>
                <w:color w:val="auto"/>
                <w:highlight w:val="none"/>
              </w:rPr>
              <w:t>（1）能够记录、显示护理人员针对病人进行疾病知识、安全、睡眠、饮食、排泄、药物、治疗、特殊检查、异常检查结果、康复、节前宣教等各方面的健康宣教的记录。</w:t>
            </w:r>
            <w:r>
              <w:rPr>
                <w:rFonts w:hint="eastAsia" w:ascii="宋体" w:hAnsi="宋体" w:eastAsia="宋体"/>
                <w:color w:val="auto"/>
                <w:highlight w:val="none"/>
              </w:rPr>
              <w:br w:type="textWrapping"/>
            </w:r>
            <w:r>
              <w:rPr>
                <w:rFonts w:hint="eastAsia" w:ascii="宋体" w:hAnsi="宋体" w:eastAsia="宋体"/>
                <w:color w:val="auto"/>
                <w:highlight w:val="none"/>
              </w:rPr>
              <w:t>7、病区护理交班簿</w:t>
            </w:r>
            <w:r>
              <w:rPr>
                <w:rFonts w:hint="eastAsia" w:ascii="宋体" w:hAnsi="宋体" w:eastAsia="宋体"/>
                <w:color w:val="auto"/>
                <w:highlight w:val="none"/>
              </w:rPr>
              <w:br w:type="textWrapping"/>
            </w:r>
            <w:r>
              <w:rPr>
                <w:rFonts w:hint="eastAsia" w:ascii="宋体" w:hAnsi="宋体" w:eastAsia="宋体"/>
                <w:color w:val="auto"/>
                <w:highlight w:val="none"/>
              </w:rPr>
              <w:t>（1）能够自动提取统计病区入院、返院、出院、假出院病人情况；</w:t>
            </w:r>
          </w:p>
          <w:p w14:paraId="7D5939BB">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能够自动提取统计I级、II级、I级改II级、II级改I级、转床病人情况；</w:t>
            </w:r>
          </w:p>
          <w:p w14:paraId="7EA84168">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能够记录病区今日、明日记事情况；支持病区今日记事、明日记事模板功能；</w:t>
            </w:r>
          </w:p>
          <w:p w14:paraId="222BDF99">
            <w:pPr>
              <w:numPr>
                <w:ilvl w:val="0"/>
                <w:numId w:val="2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能够记录病区日班、小夜班、大夜班病人病情变化、治疗、护理情况；</w:t>
            </w:r>
          </w:p>
          <w:p w14:paraId="4D746E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8、急诊文书与病区文书可共享。</w:t>
            </w:r>
          </w:p>
        </w:tc>
      </w:tr>
    </w:tbl>
    <w:p w14:paraId="2B56DCA7">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妇幼专科系统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026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2" w:hRule="atLeast"/>
          <w:jc w:val="center"/>
        </w:trPr>
        <w:tc>
          <w:tcPr>
            <w:tcW w:w="1254" w:type="dxa"/>
            <w:shd w:val="clear" w:color="auto" w:fill="FFFFFF"/>
            <w:noWrap/>
            <w:vAlign w:val="center"/>
          </w:tcPr>
          <w:p w14:paraId="7EDA027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3836F4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4759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7563553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自然分</w:t>
            </w:r>
          </w:p>
          <w:p w14:paraId="0AF1B99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娩登记</w:t>
            </w:r>
          </w:p>
        </w:tc>
        <w:tc>
          <w:tcPr>
            <w:tcW w:w="8032" w:type="dxa"/>
            <w:shd w:val="clear" w:color="auto" w:fill="FFFFFF"/>
            <w:noWrap/>
            <w:vAlign w:val="center"/>
          </w:tcPr>
          <w:p w14:paraId="4A26C41D">
            <w:pPr>
              <w:ind w:firstLine="420" w:firstLineChars="200"/>
              <w:rPr>
                <w:rFonts w:hint="eastAsia" w:ascii="宋体" w:hAnsi="宋体" w:eastAsia="宋体"/>
                <w:color w:val="auto"/>
                <w:highlight w:val="none"/>
              </w:rPr>
            </w:pPr>
            <w:r>
              <w:rPr>
                <w:rFonts w:hint="eastAsia" w:ascii="宋体" w:hAnsi="宋体" w:eastAsia="宋体"/>
                <w:color w:val="auto"/>
                <w:highlight w:val="none"/>
              </w:rPr>
              <w:t>自然分娩登记管理，说明：为分娩室提供独立页面来处理分娩室自然分娩的相关业务，包括建立自然分娩患者列表查询、分娩期间计费、药品处方等业务功能。</w:t>
            </w:r>
          </w:p>
        </w:tc>
      </w:tr>
      <w:tr w14:paraId="6F9A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39A1784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新生儿管理</w:t>
            </w:r>
          </w:p>
        </w:tc>
        <w:tc>
          <w:tcPr>
            <w:tcW w:w="8032" w:type="dxa"/>
            <w:shd w:val="clear" w:color="auto" w:fill="FFFFFF"/>
            <w:noWrap/>
            <w:vAlign w:val="center"/>
          </w:tcPr>
          <w:p w14:paraId="439F5FF6">
            <w:pPr>
              <w:pStyle w:val="257"/>
              <w:numPr>
                <w:ilvl w:val="0"/>
                <w:numId w:val="0"/>
              </w:numPr>
              <w:tabs>
                <w:tab w:val="left" w:pos="840"/>
              </w:tabs>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系统床卡页面，如产科床卡用婴儿头像来标记，体现胎数，新生儿显示母婴同床、母婴分离标志；</w:t>
            </w:r>
          </w:p>
          <w:p w14:paraId="002DEFA4">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支持母婴病案号独立，医嘱独立开立，医嘱费用分离；</w:t>
            </w:r>
          </w:p>
          <w:p w14:paraId="0F26681A">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 xml:space="preserve">支持新生儿科医生或护士直接将母婴同床的新生儿拉入新生儿科，支持不经由医生开入院申请，由新生儿科护士直接办理入科； </w:t>
            </w:r>
          </w:p>
          <w:p w14:paraId="77708401">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支持分娩室、手术室护士在同一工作站直接对新生儿完成建档，支持建档后继续完善新生儿出生信息，</w:t>
            </w:r>
          </w:p>
          <w:p w14:paraId="4F0E916D">
            <w:pPr>
              <w:pStyle w:val="257"/>
              <w:numPr>
                <w:ilvl w:val="0"/>
                <w:numId w:val="0"/>
              </w:numPr>
              <w:adjustRightInd w:val="0"/>
              <w:snapToGrid w:val="0"/>
              <w:spacing w:line="360" w:lineRule="auto"/>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可以打印新生儿标签信息；</w:t>
            </w:r>
          </w:p>
          <w:p w14:paraId="0CC6C7E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护士站系统引入医嘱功能。住院产妇待分娩病人较多，呈现多个病区，一个分娩中心的管理模式，系统支持产科医生在产妇提前下达分娩中心的药品、检查、检验、处置等类型医嘱，病区护士和分娩室护士通过引入医嘱功能，可实现哪里引入哪里执行；</w:t>
            </w:r>
          </w:p>
          <w:p w14:paraId="2776311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支持产科医生可同时查看产科病房病人列表与分娩中心病人列表，并选择病人开立药品、检查、检验、处置等类型医嘱，支持产科病房与分娩中心护士引入医嘱。支持分娩中心与产科病房计费，领药独立区分；</w:t>
            </w:r>
          </w:p>
          <w:p w14:paraId="55DF98D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支持护士站分娩室护士站顺产开单功能。支持分娩室护士代开处置医嘱，例如：自然分娩、大出血抢救、刮宫术、清宫术等。</w:t>
            </w:r>
          </w:p>
        </w:tc>
      </w:tr>
      <w:tr w14:paraId="0A8B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0690B1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产科门</w:t>
            </w:r>
          </w:p>
          <w:p w14:paraId="70A283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诊病历</w:t>
            </w:r>
          </w:p>
        </w:tc>
        <w:tc>
          <w:tcPr>
            <w:tcW w:w="8032" w:type="dxa"/>
            <w:shd w:val="clear" w:color="auto" w:fill="FFFFFF"/>
            <w:noWrap/>
            <w:vAlign w:val="center"/>
          </w:tcPr>
          <w:p w14:paraId="149F4F37">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门诊医生站支持产检病历，支持产检病历保存自动生成门诊病历；</w:t>
            </w:r>
          </w:p>
          <w:p w14:paraId="2BB05F6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支持同一页面查看妊娠风险评估和多胎录入；如果孕妇已建档，医生接诊时，孕妇基本情况同步体现到产检病历中；</w:t>
            </w:r>
          </w:p>
          <w:p w14:paraId="35C53D2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支持同一界面下查看产妇在医院的既往门诊就诊病历；</w:t>
            </w:r>
          </w:p>
          <w:p w14:paraId="43C316D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支持同一界面查看产妇既往产检病历；</w:t>
            </w:r>
          </w:p>
          <w:p w14:paraId="71FCD1F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支持医生修改产检病历同步门诊病历；</w:t>
            </w:r>
          </w:p>
          <w:p w14:paraId="7A3A7E1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支持产检预约日期自动生成；</w:t>
            </w:r>
          </w:p>
          <w:p w14:paraId="6A6D5E5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支持常用诊断管理和导入产妇历史门诊诊断记录；</w:t>
            </w:r>
          </w:p>
          <w:p w14:paraId="1FD6F04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支持血压异常时红色标识；</w:t>
            </w:r>
          </w:p>
          <w:p w14:paraId="30AA4CB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支持产妇血型为熊猫血型时红色标识。</w:t>
            </w:r>
          </w:p>
        </w:tc>
      </w:tr>
    </w:tbl>
    <w:p w14:paraId="529AD7CD">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住院业务系统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D51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2" w:hRule="atLeast"/>
          <w:jc w:val="center"/>
        </w:trPr>
        <w:tc>
          <w:tcPr>
            <w:tcW w:w="1254" w:type="dxa"/>
            <w:shd w:val="clear" w:color="auto" w:fill="FFFFFF"/>
            <w:noWrap/>
            <w:vAlign w:val="center"/>
          </w:tcPr>
          <w:p w14:paraId="2897ECB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77B4936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2542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5341F00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出入院管理</w:t>
            </w:r>
          </w:p>
        </w:tc>
        <w:tc>
          <w:tcPr>
            <w:tcW w:w="8032" w:type="dxa"/>
            <w:shd w:val="clear" w:color="auto" w:fill="FFFFFF"/>
            <w:noWrap/>
            <w:vAlign w:val="center"/>
          </w:tcPr>
          <w:p w14:paraId="77E8D0E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（1）支持患者 ID、病案号、医保卡号、身份证等多种方式检索患者信息及历史信息，对患者主信息有自动查重功能并可以根据要求设置查重条件，有效避免信息重复录入，确保患者数据的准确性与完整性。</w:t>
            </w:r>
          </w:p>
          <w:p w14:paraId="3B502E6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（2）提供 ID 合并和拆分功能并有记录，方便对患者身份信息变更等情况进行处理，同时保证操作的可追溯性。</w:t>
            </w:r>
          </w:p>
          <w:p w14:paraId="7271CE9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（3）支持虚拟病区的维护管理，可根据医院的实际运营需求灵活设置和调整虚拟病区，提高病区管理的灵活性和效率。</w:t>
            </w:r>
          </w:p>
          <w:p w14:paraId="70A35F2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（4）支持不同医保、不同身份患者的入院流程规则的设置功能，满足多样化患者的入院流程需求，确保入院手续的顺利办理。</w:t>
            </w:r>
          </w:p>
          <w:p w14:paraId="358DCCE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（5）支持不同渠道交款，微信、支付宝、银联卡、现金等交款模式，为患者提供便捷多样的支付方式，提升患者体验。</w:t>
            </w:r>
          </w:p>
          <w:p w14:paraId="6139B8D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（6）支持出院召回、入科取消等回退操作，以便在出现特殊情况时能够及时纠正流程错误，确保住院业务流程的准确性和灵活性。</w:t>
            </w:r>
          </w:p>
          <w:p w14:paraId="5F255AF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（7）支持入出转统计日报、月报等相关统计报表，为医院管理层提供数据支持，便于对住院业务进行分析和决策。</w:t>
            </w:r>
          </w:p>
          <w:p w14:paraId="6DA40E4A">
            <w:pPr>
              <w:pStyle w:val="257"/>
              <w:numPr>
                <w:ilvl w:val="0"/>
                <w:numId w:val="0"/>
              </w:numPr>
              <w:adjustRightInd w:val="0"/>
              <w:snapToGrid w:val="0"/>
              <w:spacing w:line="360" w:lineRule="auto"/>
              <w:rPr>
                <w:rFonts w:hint="eastAsia" w:ascii="inherit" w:hAnsi="inherit" w:eastAsia="宋体" w:cs="Segoe UI"/>
                <w:color w:val="auto"/>
                <w:highlight w:val="none"/>
              </w:rPr>
            </w:pPr>
            <w:r>
              <w:rPr>
                <w:rFonts w:hint="eastAsia" w:ascii="宋体" w:hAnsi="宋体" w:eastAsia="宋体"/>
                <w:color w:val="auto"/>
                <w:sz w:val="21"/>
                <w:szCs w:val="21"/>
                <w:highlight w:val="none"/>
              </w:rPr>
              <w:t>（8）支持查看待入、待出、待转、病区患者列表，方便医护人员及时了解患者的动态情况，合理安排工作。</w:t>
            </w:r>
          </w:p>
        </w:tc>
      </w:tr>
      <w:tr w14:paraId="2B8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12DCDDF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住院收费管理系统</w:t>
            </w:r>
          </w:p>
        </w:tc>
        <w:tc>
          <w:tcPr>
            <w:tcW w:w="8032" w:type="dxa"/>
            <w:shd w:val="clear" w:color="auto" w:fill="FFFFFF"/>
            <w:noWrap/>
            <w:vAlign w:val="center"/>
          </w:tcPr>
          <w:p w14:paraId="01845E8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（1）入院登记缴费</w:t>
            </w:r>
          </w:p>
          <w:p w14:paraId="4E36A39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1、办理入院登记及缴费时，系统可自动生成住院医嘱，需预约的检验和检查项目将自动发送至预约中心。</w:t>
            </w:r>
          </w:p>
          <w:p w14:paraId="63384160">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2、入院登记缴费过程中，系统可根据门诊号自动提取主索引信息进行登记信息的自动填充。同时，医保政策要求“工作单位”和“家庭住址”不得相同。目前“联系地址”与“家庭地址”需手动复制，影响登记效率，建议将“现常住地址所在地”与“家庭地址”合并处理。</w:t>
            </w:r>
          </w:p>
          <w:p w14:paraId="782F96A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3、支持对已登记的信息及费用类别进行修改操作。</w:t>
            </w:r>
          </w:p>
          <w:p w14:paraId="3405333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4、当入院准备中心未上班时，支持由急诊科室办理入院手续。</w:t>
            </w:r>
          </w:p>
          <w:p w14:paraId="1EEB33A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5、入院准备中心正常工作期间，急诊医生站无法打印住院通知单，也不能受理住院手续。</w:t>
            </w:r>
          </w:p>
          <w:p w14:paraId="552E14F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6、系统支持在登记时选择和记录费用类别信息。</w:t>
            </w:r>
          </w:p>
          <w:p w14:paraId="258FEB5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预交金收退</w:t>
            </w:r>
          </w:p>
          <w:p w14:paraId="2FA0B7F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1、支持患者预交金缴纳与退还操作，其中退费功能严格限定仅可对现存有效缴费记录执行反向冲正。系统完整记录每笔交易的收付明细和操作轨迹。</w:t>
            </w:r>
          </w:p>
          <w:p w14:paraId="079B142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2、提供多维复合查询功能，允许通过患者ID、姓名、住院号、预交金收据编号、支付状态或收款人员等单一或多个组合条件，查询特定时间段内的门诊预交金交易明细。支持按交易日期范围进行精准筛选。</w:t>
            </w:r>
          </w:p>
          <w:p w14:paraId="3106981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3.内置风险预警机制，可根据患者ID、费用类别、护理单元及欠费状态等参数，实时检索患者的预交金余额与欠费信息。系统支持将预警分析结果格式化输出，并提供标准化打印接口，满足财务对账与临床管理的双重需求。</w:t>
            </w:r>
          </w:p>
          <w:p w14:paraId="3A576B4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住院费用</w:t>
            </w:r>
          </w:p>
          <w:p w14:paraId="6CE1DAA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1、建立费用审查机制，可通过患者ID调阅医嘱/非医嘱明细清单，执行费用合规性审核与人工补计价操作，确保计费项目与诊疗记录精准匹配。</w:t>
            </w:r>
          </w:p>
          <w:p w14:paraId="03311AA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2、集成中途/出院双模式结算功能，支持调取患者全部住院费用明细及预交金收支流水，提供中途结清与最终清算双通道处理能力。</w:t>
            </w:r>
          </w:p>
          <w:p w14:paraId="00B1ECB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3、实现电子票据全流程追溯，可基于票据编码查询原始交易数据，执行票据作废重印或退费反向交易，同步更新财务台账与电子存根。</w:t>
            </w:r>
          </w:p>
          <w:p w14:paraId="698D0F9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4、配置费用冻结解除功能，通过患者状态检索触发在院费用解冻流程，严格遵循三级审批制度完成财务数据解封操作。</w:t>
            </w:r>
          </w:p>
          <w:p w14:paraId="1F4A8F8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5、支持按患者分类（如医保/自费/商保）设置差异化封账阈值参数，实现动态风险预警与资金安全管控。</w:t>
            </w:r>
          </w:p>
          <w:p w14:paraId="0D35221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6、构建出院指令响应机制，自动筛选待结算患者队列，支持一键触发中途预结或出院总清算操作，同步生成电子结算凭证。</w:t>
            </w:r>
          </w:p>
          <w:p w14:paraId="5ABA596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7、提供多维度结账模式（窗口/科室/全院级），可自定义截止时间生成对账清单，支持结账凭证打印与电子归档双轨制管理。</w:t>
            </w:r>
          </w:p>
          <w:p w14:paraId="456C336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8、建立票据领用数字台账，按类型/领用人/时间段跟踪票据流向，实时监控库存状态（已使用/待启用/作废）实现闭环管理。</w:t>
            </w:r>
          </w:p>
          <w:p w14:paraId="64F4EB1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9、维护标准化计价参数库，支持诊疗项目价格体系动态调整与版本回溯，内置参数校验引擎确保调价操作合规性。</w:t>
            </w:r>
          </w:p>
          <w:p w14:paraId="6B9B0E3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10、支持多种价格管理，根据不同的客户身份，就诊类型，分别定价，对同一项目设置不同的价格；支持各时段批量调价；（提供系统功能截图）</w:t>
            </w:r>
          </w:p>
          <w:p w14:paraId="4B9E877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11、支持费用对照，不同诊疗项目对应费用的对照，需包括按照数量加收和按照数量定价的多种对照方式；</w:t>
            </w:r>
          </w:p>
          <w:p w14:paraId="08C3FCEE">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12、费用统计查询</w:t>
            </w:r>
          </w:p>
          <w:p w14:paraId="227B6BE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支持结账历史记录查询，可按指定收款员和时间范围查看其结账历史明细，并支持打印查询结果。</w:t>
            </w:r>
          </w:p>
          <w:p w14:paraId="3E1EE69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支持住院收据记录的查询，可根据多种条件检索收据，并对相关收费收据进行退费处理；已退费的收据记录将禁止再次退费操作。</w:t>
            </w:r>
          </w:p>
          <w:p w14:paraId="430987B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支持住院收据明细信息的查询，可通过收据号获取对应的收据分类统计信息及每一分类下的具体收费项目明细。</w:t>
            </w:r>
          </w:p>
          <w:p w14:paraId="6EAC269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支持住院患者费用明细查询，可通过患者ID查看其自入院以来各类收据分类下的所有收费项目详情。</w:t>
            </w:r>
          </w:p>
          <w:p w14:paraId="2E3D8A3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支持“一日清单”费用查询功能，可按指定病区或患者，在特定时间段内生成并打印每日费用清单。</w:t>
            </w:r>
          </w:p>
          <w:p w14:paraId="59C49A3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支持按结账类型及状态查询收款员结账信息，可筛选指定时间段内的结账记录及其详细内容。</w:t>
            </w:r>
          </w:p>
          <w:p w14:paraId="3BB692F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支持住院收款员退费记录查询，按退款时间和入账状态查询其退费数据。</w:t>
            </w:r>
          </w:p>
          <w:p w14:paraId="7F29FF1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支持执行科室收入情况统计，可按设定时间区间汇总各执行科室的收费收入数据。</w:t>
            </w:r>
          </w:p>
          <w:p w14:paraId="60898420">
            <w:pPr>
              <w:pStyle w:val="257"/>
              <w:numPr>
                <w:ilvl w:val="0"/>
                <w:numId w:val="0"/>
              </w:numPr>
              <w:adjustRightInd w:val="0"/>
              <w:snapToGrid w:val="0"/>
              <w:spacing w:line="360" w:lineRule="auto"/>
              <w:rPr>
                <w:color w:val="auto"/>
                <w:highlight w:val="none"/>
              </w:rPr>
            </w:pPr>
            <w:r>
              <w:rPr>
                <w:rFonts w:hint="eastAsia" w:ascii="宋体" w:hAnsi="宋体" w:eastAsia="宋体"/>
                <w:color w:val="auto"/>
                <w:sz w:val="21"/>
                <w:szCs w:val="21"/>
                <w:highlight w:val="none"/>
                <w:lang w:val="en-US" w:eastAsia="zh-CN"/>
              </w:rPr>
              <w:t>9）</w:t>
            </w:r>
            <w:r>
              <w:rPr>
                <w:rFonts w:hint="eastAsia" w:ascii="宋体" w:hAnsi="宋体" w:eastAsia="宋体"/>
                <w:color w:val="auto"/>
                <w:sz w:val="21"/>
                <w:szCs w:val="21"/>
                <w:highlight w:val="none"/>
              </w:rPr>
              <w:t>支持开单科室收入统计，按执行科室关联的住院收据费用分类科目统计其科目收入。</w:t>
            </w:r>
          </w:p>
        </w:tc>
      </w:tr>
      <w:tr w14:paraId="5038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712370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住院医生工作站</w:t>
            </w:r>
          </w:p>
        </w:tc>
        <w:tc>
          <w:tcPr>
            <w:tcW w:w="8032" w:type="dxa"/>
            <w:shd w:val="clear" w:color="auto" w:fill="FFFFFF"/>
            <w:noWrap/>
            <w:vAlign w:val="center"/>
          </w:tcPr>
          <w:p w14:paraId="37D220E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支持长期和临时医嘱的查询、录入和停止、作废等医嘱处理，医嘱包含检查、检验、处方、治疗处置、卫生材料、手术、护理、会诊、用血、转科、出院等。按照不同医嘱类型进行差别精细化处理，如用药完成完整的用药信息；检验医嘱注明检体、注意事项；检查医嘱检查部位、病情摘要等重要信息；手术完成申请及相关手术安排等；单独设置单病种和临床路径的医嘱管理。</w:t>
            </w:r>
          </w:p>
          <w:p w14:paraId="20C8F34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2、支持维护手术对应等级；支持维护医生手术开立权限以及手术等级权限；支持根据科室、医生等纬度配置相对应能开立的手术；支持手术审核管理，可以根据科室进行审核人员维护；</w:t>
            </w:r>
          </w:p>
          <w:p w14:paraId="66D91EC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3.提供医嘱智能辅助功能，包括医嘱分类选择、患者历史医嘱的查询与选入、常规医嘱、常用项目、医嘱组套及模板管理（含医生私有模板）及其编辑功能。系统可自动收集医生常用项目以提升效率。</w:t>
            </w:r>
          </w:p>
          <w:p w14:paraId="26861BBF">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4.提供处方点评功能，支持对接第三方临床知识库，对药品的剂量、相互作用、配伍禁忌、不良反应、适应症、禁忌症等进行自动监测并发出提醒。</w:t>
            </w:r>
          </w:p>
          <w:p w14:paraId="008887D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5.支持医嘱执行情况、病床使用、处方记录及患者费用明细等信息的查询。</w:t>
            </w:r>
          </w:p>
          <w:p w14:paraId="5D2B5F5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6.支持查看患者的关键信息、诊疗事件记录和医嘱执行情况。</w:t>
            </w:r>
          </w:p>
          <w:p w14:paraId="6C5A644D">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7.支持医生依据国际疾病分类（ICD）标准下达诊断，并支持多种方式（疾病编码、拼音、汉字）进行模糊检索。支持临时科室常用诊断项及自定义诊断内容的快速下达。</w:t>
            </w:r>
          </w:p>
          <w:p w14:paraId="54B069A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8.支持检验检查项目的申请、查询、取消及报告查看等功能。</w:t>
            </w:r>
          </w:p>
          <w:p w14:paraId="3161EC3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9.支持药品退药申请、会诊流程、手术流程、输血流程和临床路径等业务的闭环管理操作。</w:t>
            </w:r>
          </w:p>
          <w:p w14:paraId="0C3F731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10.支持抗生素及特殊用药的治疗申请与审批流程管理。</w:t>
            </w:r>
          </w:p>
          <w:p w14:paraId="7397A1B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11.提供消息通知模块，用于接收并处理医务通知、会诊通知、危急值提醒等内容。</w:t>
            </w:r>
          </w:p>
          <w:p w14:paraId="4E14F023">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12.提供医生交接班管理功能模块。</w:t>
            </w:r>
          </w:p>
          <w:p w14:paraId="1A4809A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13.提供医生权限管理功能，支持按科室、职级、功能模块等维度进行权限配置。</w:t>
            </w:r>
          </w:p>
          <w:p w14:paraId="3892CE48">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14.支持查看护理文书内容。</w:t>
            </w:r>
          </w:p>
          <w:p w14:paraId="3C53FF4B">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15.支持多种形式的会诊：普通平诊、急诊、全院学科会诊、指定医生会诊，并支持会诊闭环数据展示。支持电子会诊的完整流程，包括申请发送、接收、确认与会诊记录书写等操作。</w:t>
            </w:r>
          </w:p>
          <w:p w14:paraId="5935F7E2">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16、检验报告的浏览与病历文书浏览书写、医嘱处理、护理文书浏览等功能集成在同一界面，通过切换不同功能页签进行转跳。同时可调用数据中心集中展现患者所有诊疗信息。</w:t>
            </w:r>
          </w:p>
          <w:p w14:paraId="72FFD90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17、对于多正常参考值的检验项目，可根据不同的诊断、年龄、性别、生理周期设置、诊断等情况给出不同正常值参考范围。查阅报告时，根据患者年龄、性别、生理周期、诊断等情况给出相应的正常值范围提示，并自动判断检验结果正常与否；</w:t>
            </w:r>
          </w:p>
          <w:p w14:paraId="6B70C470">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18、检验结果可根据历史检验结果绘制趋势图；</w:t>
            </w:r>
          </w:p>
          <w:p w14:paraId="7B046254">
            <w:pPr>
              <w:pStyle w:val="257"/>
              <w:numPr>
                <w:ilvl w:val="0"/>
                <w:numId w:val="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sz w:val="21"/>
                <w:szCs w:val="21"/>
                <w:highlight w:val="none"/>
              </w:rPr>
              <w:t>19、查阅检查报告时，能够显示测量结果，对于有正常参考值的项目能显示参考范围及自动产生异常标记；</w:t>
            </w:r>
          </w:p>
        </w:tc>
      </w:tr>
      <w:tr w14:paraId="3B7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351F148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住院医生文书系统</w:t>
            </w:r>
          </w:p>
        </w:tc>
        <w:tc>
          <w:tcPr>
            <w:tcW w:w="8032" w:type="dxa"/>
            <w:shd w:val="clear" w:color="auto" w:fill="FFFFFF"/>
            <w:noWrap/>
            <w:vAlign w:val="center"/>
          </w:tcPr>
          <w:p w14:paraId="3FEB23B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1.系统具备结构化电子病历功能，采用结构化方式进行存储，并且支持用户根据自身需求进行定制。</w:t>
            </w:r>
          </w:p>
          <w:p w14:paraId="313DE3FA">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2.可自定义病历内容模板，所定义的模板具备可衍生性和可重复利用性，同时能够实现分级管理，方便不同层级的用户依据权限使用和管理相应的模板。</w:t>
            </w:r>
          </w:p>
          <w:p w14:paraId="1083C6F9">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3.病历模板编辑器为用户提供了结构化自定义病历模板的强大功能，借助该编辑器，可以独立完成模板的新建、定义、修改以及术语集的编辑等操作，以满足多样化的病历记录需求。</w:t>
            </w:r>
          </w:p>
          <w:p w14:paraId="237FB9E5">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4.病历辅助录入功能支持医生调用个人知识库，以及录入特殊字符、医学表达式、计算公式等内容，还支持多种方式录入特殊科室所需的特定表达式，有效提升病历录入的效率和准确性。</w:t>
            </w:r>
          </w:p>
          <w:p w14:paraId="1A895CC4">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5.电子病历系统助力医生查询患者相关的全部体征数据和既往病史资料。在与 LIS、PACS 等检查检验系统完成集成的基础上，医生可在医生站集中处理患者的所有检查检验数据，并且能够将检验、检查数据灵活插入到病历的任意指定位置，实现医疗信息的高效整合与利用。</w:t>
            </w:r>
          </w:p>
          <w:p w14:paraId="24C54D9C">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6.在获得授权的前提下，电子病历可以被导出为文本或 XML 等格式化的文件形式，以便与外部系统进行数据交换。同时，系统也支持将符合指定格式的电子文档转换并导入本系统，从而实现电子病历的顺畅传递与共享。</w:t>
            </w:r>
          </w:p>
          <w:p w14:paraId="03A98B96">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7.系统提供病历归档功能，能够对病历进行安全可靠的归档备份操作，确保病历数据的完整性和可追溯性，以便后续在需要时能够方便快捷地进行查询和调用。</w:t>
            </w:r>
          </w:p>
          <w:p w14:paraId="19B6034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8.系统涵盖了传染病、院感、肿瘤、慢性病等报卡功能，满足相关公共卫生管理和疾病监测的工作要求，能够及时、准确地完成各类报卡任务，为疾病防控提供有力支持。</w:t>
            </w:r>
          </w:p>
          <w:p w14:paraId="26B11B11">
            <w:pPr>
              <w:pStyle w:val="257"/>
              <w:numPr>
                <w:ilvl w:val="0"/>
                <w:numId w:val="0"/>
              </w:numPr>
              <w:adjustRightInd w:val="0"/>
              <w:snapToGrid w:val="0"/>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9.系统具备临床提醒功能，自动为医护人员提供提醒服务。提醒内容主要包括事前提醒和事中监督，重点关注时限性质控指标的检测以及关键病历填写项目完整性的检查工作，同时具备院科两级的病历质控及统计功能，有助于提高医疗质量和医疗安全管理水平。</w:t>
            </w:r>
          </w:p>
          <w:p w14:paraId="4E2ACE37">
            <w:pPr>
              <w:pStyle w:val="257"/>
              <w:numPr>
                <w:ilvl w:val="0"/>
                <w:numId w:val="0"/>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sz w:val="21"/>
                <w:szCs w:val="21"/>
                <w:highlight w:val="none"/>
              </w:rPr>
              <w:t>10.医生在书写病历时，系统会提供 VTE及出血风险评估相关功能并及时发出提醒，辅助医生更好地对患者进行风险评估和医疗决策，保障患者医疗安全。</w:t>
            </w:r>
          </w:p>
        </w:tc>
      </w:tr>
      <w:tr w14:paraId="05F7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125D20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住院护士工作站</w:t>
            </w:r>
          </w:p>
        </w:tc>
        <w:tc>
          <w:tcPr>
            <w:tcW w:w="8032" w:type="dxa"/>
            <w:shd w:val="clear" w:color="auto" w:fill="FFFFFF"/>
            <w:noWrap/>
            <w:vAlign w:val="center"/>
          </w:tcPr>
          <w:p w14:paraId="0D5D3CFB">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患者床卡</w:t>
            </w:r>
          </w:p>
          <w:p w14:paraId="5E6A32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支持床卡视图，床卡视图切换下拉列表，用于切换床位一览卡的不同显示样式，可选项有：详细卡片、简单卡片、床位列表三种。</w:t>
            </w:r>
          </w:p>
          <w:p w14:paraId="4D64656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支持床卡界面直接显示各种常用的标识和提醒信息，标识信息包括且不限于护理等级、新病人、出院病人、欠费标识、病重病危、隔离、过敏、托管标识、以及压疮、跌倒、</w:t>
            </w:r>
            <w:r>
              <w:rPr>
                <w:rFonts w:ascii="宋体" w:hAnsi="宋体" w:eastAsia="宋体"/>
                <w:color w:val="auto"/>
                <w:highlight w:val="none"/>
              </w:rPr>
              <w:t>VTE</w:t>
            </w:r>
            <w:r>
              <w:rPr>
                <w:rFonts w:hint="eastAsia" w:ascii="宋体" w:hAnsi="宋体" w:eastAsia="宋体"/>
                <w:color w:val="auto"/>
                <w:highlight w:val="none"/>
              </w:rPr>
              <w:t>等高危风险标识；提醒信息包括且不限于待入科病人、新医嘱病人等提醒信息。且病重病危、隔离等标识可以自动关联医嘱进行显示与撤销；压疮、跌倒、</w:t>
            </w:r>
            <w:r>
              <w:rPr>
                <w:rFonts w:ascii="宋体" w:hAnsi="宋体" w:eastAsia="宋体"/>
                <w:color w:val="auto"/>
                <w:highlight w:val="none"/>
              </w:rPr>
              <w:t>VTE</w:t>
            </w:r>
            <w:r>
              <w:rPr>
                <w:rFonts w:hint="eastAsia" w:ascii="宋体" w:hAnsi="宋体" w:eastAsia="宋体"/>
                <w:color w:val="auto"/>
                <w:highlight w:val="none"/>
              </w:rPr>
              <w:t>等风险评估标识能实时联动医生或者护士的最新评估结果。</w:t>
            </w:r>
          </w:p>
          <w:p w14:paraId="6D5168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床卡界面的相关标识支持</w:t>
            </w:r>
            <w:r>
              <w:rPr>
                <w:rFonts w:ascii="宋体" w:hAnsi="宋体" w:eastAsia="宋体"/>
                <w:color w:val="auto"/>
                <w:highlight w:val="none"/>
              </w:rPr>
              <w:t>hint</w:t>
            </w:r>
            <w:r>
              <w:rPr>
                <w:rFonts w:hint="eastAsia" w:ascii="宋体" w:hAnsi="宋体" w:eastAsia="宋体"/>
                <w:color w:val="auto"/>
                <w:highlight w:val="none"/>
              </w:rPr>
              <w:t>文本显示。</w:t>
            </w:r>
          </w:p>
          <w:p w14:paraId="6EE376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支持实时对在科病人进行相关标识的统计与筛选，至少包括护理等级、病重病危、今日手术、风险评估、过敏患者、隔离患者、多耐患者等数据。</w:t>
            </w:r>
          </w:p>
          <w:p w14:paraId="034CF5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支持床卡右键菜单操作。</w:t>
            </w:r>
          </w:p>
          <w:p w14:paraId="6A20417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支持过敏史录入与查看，过敏史录入需要提供包含过敏类型，过敏源，过敏症状，过敏程度等信息记录。</w:t>
            </w:r>
          </w:p>
          <w:p w14:paraId="208751E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预住院病人</w:t>
            </w:r>
          </w:p>
          <w:p w14:paraId="242F51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支持按照时间段、临床科室、患者</w:t>
            </w:r>
            <w:r>
              <w:rPr>
                <w:rFonts w:ascii="宋体" w:hAnsi="宋体" w:eastAsia="宋体"/>
                <w:color w:val="auto"/>
                <w:highlight w:val="none"/>
              </w:rPr>
              <w:t>ID</w:t>
            </w:r>
            <w:r>
              <w:rPr>
                <w:rFonts w:hint="eastAsia" w:ascii="宋体" w:hAnsi="宋体" w:eastAsia="宋体"/>
                <w:color w:val="auto"/>
                <w:highlight w:val="none"/>
              </w:rPr>
              <w:t>、患者姓名、医生预约日期等查询与管理预住院病人列表，能够查看预住院病人的住院申请信息并管理等床病人的住院申请信息。同一页面下同时能查看患者的预交金缴费信息与院前检查检验医嘱信息。</w:t>
            </w:r>
            <w:bookmarkStart w:id="52" w:name="OLE_LINK8"/>
            <w:r>
              <w:rPr>
                <w:rFonts w:hint="eastAsia" w:ascii="宋体" w:hAnsi="宋体" w:eastAsia="宋体"/>
                <w:color w:val="auto"/>
                <w:highlight w:val="none"/>
              </w:rPr>
              <w:t>（提供系统功能截图）</w:t>
            </w:r>
            <w:bookmarkEnd w:id="52"/>
          </w:p>
          <w:p w14:paraId="795F30F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支持对预住院病人缴纳非现金预交金，支持管理病人非现金预交金。</w:t>
            </w:r>
          </w:p>
          <w:p w14:paraId="43C615F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支持查看与管理预住院病人的院前检查检验医嘱，打印检验标签或者指引单。</w:t>
            </w:r>
          </w:p>
          <w:p w14:paraId="5CEED3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支持自定义维护住院通知短信并可以推送短信。</w:t>
            </w:r>
          </w:p>
          <w:p w14:paraId="05A4B29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病人出入转</w:t>
            </w:r>
          </w:p>
          <w:p w14:paraId="06F6BF22">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入科</w:t>
            </w:r>
          </w:p>
          <w:p w14:paraId="2D94EE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支持选择入科患者，输入患者</w:t>
            </w:r>
            <w:r>
              <w:rPr>
                <w:rFonts w:ascii="宋体" w:hAnsi="宋体" w:eastAsia="宋体"/>
                <w:color w:val="auto"/>
                <w:highlight w:val="none"/>
              </w:rPr>
              <w:t>ID</w:t>
            </w:r>
            <w:r>
              <w:rPr>
                <w:rFonts w:hint="eastAsia" w:ascii="宋体" w:hAnsi="宋体" w:eastAsia="宋体"/>
                <w:color w:val="auto"/>
                <w:highlight w:val="none"/>
              </w:rPr>
              <w:t>（或扫描患者腕带），直接提取预办理入科登记患者的基本信息；通过待入科患者列表选择入科患者；入科时间作为患者的入院时间。</w:t>
            </w:r>
          </w:p>
          <w:p w14:paraId="58B1C1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支持填写患者入科信息，输入患者的入科时间、所分配的床位号、护理等级、病情及入院诊断等信息。</w:t>
            </w:r>
          </w:p>
          <w:p w14:paraId="0FBC6AA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支持填写患者的联系人、联系人关系、联系人电话与地址等信息。</w:t>
            </w:r>
          </w:p>
          <w:p w14:paraId="5B8661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支持分配护士，选择负责患者的责任护士与质控护士。</w:t>
            </w:r>
          </w:p>
          <w:p w14:paraId="515BBB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支持入科界面同步查看病人院前未执行医嘱数据，能够将未执行的医嘱随病人入科后转入病区继续执行。</w:t>
            </w:r>
          </w:p>
          <w:p w14:paraId="526C88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支持入科采集体征数据，并在入科后自动同步病人体温单数据。</w:t>
            </w:r>
          </w:p>
          <w:p w14:paraId="4C440B30">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转科转病区</w:t>
            </w:r>
          </w:p>
          <w:p w14:paraId="38D7A94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支持提取转科患者信息，查看待转患者列表，通过选择患者的床号或输入患者</w:t>
            </w:r>
            <w:r>
              <w:rPr>
                <w:rFonts w:ascii="宋体" w:hAnsi="宋体" w:eastAsia="宋体"/>
                <w:color w:val="auto"/>
                <w:highlight w:val="none"/>
              </w:rPr>
              <w:t>ID</w:t>
            </w:r>
            <w:r>
              <w:rPr>
                <w:rFonts w:hint="eastAsia" w:ascii="宋体" w:hAnsi="宋体" w:eastAsia="宋体"/>
                <w:color w:val="auto"/>
                <w:highlight w:val="none"/>
              </w:rPr>
              <w:t>或从待转患者列表中单击患者记录后，系统自动加载转科的患者信息及转科相关信息。</w:t>
            </w:r>
          </w:p>
          <w:p w14:paraId="164DC5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支持同一页面同时支持操作转科或者转病区业务。</w:t>
            </w:r>
          </w:p>
          <w:p w14:paraId="233A5F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支持转科或者转病区时，对病人的相关事项进行校验与拦截，可以自由配置校验项目，可自由配置项目是提醒或者强控，至少需要包括医嘱未处理，医嘱未退药等。</w:t>
            </w:r>
          </w:p>
          <w:p w14:paraId="7AC8A4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支持转病区不停止长期医嘱，长期医嘱可以在新的病区继续发送、领药与执行，且药品配送准确到达转入病区，同时费用也与转出病区独立管理，计费与退费互不影响。（提供系统功能截图）</w:t>
            </w:r>
          </w:p>
          <w:p w14:paraId="5B81AD11">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出院</w:t>
            </w:r>
          </w:p>
          <w:p w14:paraId="7A8FAD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支持提取待出院患者信息，通过患者床号或患者</w:t>
            </w:r>
            <w:r>
              <w:rPr>
                <w:rFonts w:ascii="宋体" w:hAnsi="宋体" w:eastAsia="宋体"/>
                <w:color w:val="auto"/>
                <w:highlight w:val="none"/>
              </w:rPr>
              <w:t>ID</w:t>
            </w:r>
            <w:r>
              <w:rPr>
                <w:rFonts w:hint="eastAsia" w:ascii="宋体" w:hAnsi="宋体" w:eastAsia="宋体"/>
                <w:color w:val="auto"/>
                <w:highlight w:val="none"/>
              </w:rPr>
              <w:t>或在待出院患者列表中单击选中来指定办理出院的患者并提取其相关信息。</w:t>
            </w:r>
          </w:p>
          <w:p w14:paraId="617117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支持校对患者医疗及费用信息，查看所选待出院患者的医疗事项是否处理完毕，患者费用是否已在病房通过审核。支持配置出院校验相关项目，支持配置校验项目控制为提醒还是强控，校验项目需要提供不少于</w:t>
            </w:r>
            <w:r>
              <w:rPr>
                <w:rFonts w:ascii="宋体" w:hAnsi="宋体" w:eastAsia="宋体"/>
                <w:color w:val="auto"/>
                <w:highlight w:val="none"/>
              </w:rPr>
              <w:t>10</w:t>
            </w:r>
            <w:r>
              <w:rPr>
                <w:rFonts w:hint="eastAsia" w:ascii="宋体" w:hAnsi="宋体" w:eastAsia="宋体"/>
                <w:color w:val="auto"/>
                <w:highlight w:val="none"/>
              </w:rPr>
              <w:t>个。</w:t>
            </w:r>
          </w:p>
          <w:p w14:paraId="6D58FF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支持出院通知，核对患者的医疗事项处理完毕且住院费用在病房审核通过后，向住院收费处发送结算申请及消息通知，或者直接在病区护士站完成出院结算。</w:t>
            </w:r>
          </w:p>
          <w:p w14:paraId="066BD7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支持出院结算，住院收费处接到护士提出的结算申请后为患者进行费用审核，患者结算后在护士站床卡上不显示。</w:t>
            </w:r>
          </w:p>
          <w:p w14:paraId="4F7268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支持出院时校验病案首页责任护士或者质控护士是否完整，可配置提醒或者强制护士填写。</w:t>
            </w:r>
          </w:p>
          <w:p w14:paraId="5303A274">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取消入出转</w:t>
            </w:r>
          </w:p>
          <w:p w14:paraId="0511AF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支持取消入科、取消转科、取消出院业务，且业务整合一个页面，操作方便。</w:t>
            </w:r>
          </w:p>
          <w:p w14:paraId="2B4EA0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支持取消入出转有相关的逻辑合理性校验，取消入科校验病人是否有医嘱和费用，取消出院校验病人是否已结算等。</w:t>
            </w:r>
          </w:p>
          <w:p w14:paraId="7659EC6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医嘱管理</w:t>
            </w:r>
          </w:p>
          <w:p w14:paraId="119777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审核确认：主班护士接到新医嘱通知后，提取医生新下达的医嘱，并对医嘱的正确性、执行计划与计价项目等内容进行审核与调整。在审核时若发现有问题的医嘱，则将其退回医生工作站，通知医生修改或重开。</w:t>
            </w:r>
          </w:p>
          <w:p w14:paraId="5FA4F5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支持医嘱审核确认时进行多种条件查询，能支持单患者、批量患者、护理组患者等多种方式筛选。</w:t>
            </w:r>
          </w:p>
          <w:p w14:paraId="5EFBCD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支持审核医嘱时同页面查看长期医嘱首日执行顿数。</w:t>
            </w:r>
          </w:p>
          <w:p w14:paraId="1E91A3D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支持一键发送后自动产生医嘱执行单、执行计划和标签、医嘱费用明细以及领药申请等信息。</w:t>
            </w:r>
          </w:p>
          <w:p w14:paraId="3123B0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支持批量完整医嘱签名，支持批量医嘱执行，自动识别双签名医嘱并强制完成双签名，能够自定义维护双签名规则。</w:t>
            </w:r>
          </w:p>
          <w:p w14:paraId="4210C3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能够自定义执行单规则，支持执行单多选批量打印，且能够自动识别口服包药机与静配药品并可过滤不打印标签。</w:t>
            </w:r>
          </w:p>
          <w:p w14:paraId="2F3E18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支持打印标签贴在药品包装上，能够提供</w:t>
            </w:r>
            <w:r>
              <w:rPr>
                <w:rFonts w:ascii="宋体" w:hAnsi="宋体" w:eastAsia="宋体"/>
                <w:color w:val="auto"/>
                <w:highlight w:val="none"/>
              </w:rPr>
              <w:t>PDA</w:t>
            </w:r>
            <w:r>
              <w:rPr>
                <w:rFonts w:hint="eastAsia" w:ascii="宋体" w:hAnsi="宋体" w:eastAsia="宋体"/>
                <w:color w:val="auto"/>
                <w:highlight w:val="none"/>
              </w:rPr>
              <w:t>重复扫码执行。</w:t>
            </w:r>
          </w:p>
          <w:p w14:paraId="20CF72B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医嘱执行能全方面覆盖护士是业务场景，支持输液开始与结束，支持执行暂停与继续输液，支持作废执行等。</w:t>
            </w:r>
          </w:p>
          <w:p w14:paraId="76DCA82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支持住院医生新开医嘱或变更原有医嘱提交后，系统通过消息系统的新医嘱实时弹窗提醒、病区床卡界面图标闪烁两种方式对病区护士进行及时提醒，以便病区护士及时查看及处理医嘱。</w:t>
            </w:r>
          </w:p>
          <w:p w14:paraId="043F876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w:t>
            </w:r>
            <w:r>
              <w:rPr>
                <w:rFonts w:hint="eastAsia" w:ascii="宋体" w:hAnsi="宋体" w:eastAsia="宋体"/>
                <w:color w:val="auto"/>
                <w:highlight w:val="none"/>
              </w:rPr>
              <w:t>药品管理</w:t>
            </w:r>
          </w:p>
          <w:p w14:paraId="302375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支持医生开立长期大包装药品医嘱进行领药管理，护士可以根据实际用药情况管理领药。</w:t>
            </w:r>
          </w:p>
          <w:p w14:paraId="2A86AE5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支持医生开立长期胰岛素药品医嘱领药管理，支持护士干预领药申请。</w:t>
            </w:r>
          </w:p>
          <w:p w14:paraId="395663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支持精毒麻批量生成处方与打印管理，能够自动同步医生签名。</w:t>
            </w:r>
          </w:p>
          <w:p w14:paraId="34643BB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支持实时查看本病区未发药品与已发药品汇总、明细等。</w:t>
            </w:r>
          </w:p>
          <w:p w14:paraId="44BD42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支持夜间领药打印相关处方单据作为凭据。</w:t>
            </w:r>
          </w:p>
          <w:p w14:paraId="7459EC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支持病区药柜管理，能够支持病人从本病区转出后，药房发药补充到本病区并识别为补药，无需线下再进行药品交接。（提供系统功能截图）</w:t>
            </w:r>
          </w:p>
          <w:p w14:paraId="035783E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支持停止医嘱自动产生退药与主动退药两种模式结合，支持患者从本病区离开后仍旧能发起退药管理。</w:t>
            </w:r>
          </w:p>
          <w:p w14:paraId="6ACEEC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支持按照药房管理要求走退药抵扣业务，能够实时管理和查询退药抵扣数据。</w:t>
            </w:r>
          </w:p>
          <w:p w14:paraId="1F15D9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支持当日已退药处方能够取消退药。</w:t>
            </w:r>
          </w:p>
          <w:p w14:paraId="51DB71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支持静配药品物流扫码接收与核对。</w:t>
            </w:r>
          </w:p>
          <w:p w14:paraId="128A86B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支持精麻特殊药品的执行登记，记录余液与空安瓿。</w:t>
            </w:r>
          </w:p>
          <w:p w14:paraId="127446E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特殊类药物（如，胰岛素、抗凝药物等），避免长期注射同一部位导致肌肉出现硬块，在护士执行时，根据不同的药物能智能推荐注射部位，并可以通过不同颜色的标识来区分每个部位是否已注射过及注射次数等</w:t>
            </w:r>
          </w:p>
          <w:p w14:paraId="3B1307A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6</w:t>
            </w:r>
            <w:r>
              <w:rPr>
                <w:rFonts w:ascii="宋体" w:hAnsi="宋体" w:eastAsia="宋体"/>
                <w:color w:val="auto"/>
                <w:highlight w:val="none"/>
              </w:rPr>
              <w:t>)</w:t>
            </w:r>
            <w:r>
              <w:rPr>
                <w:rFonts w:hint="eastAsia" w:ascii="宋体" w:hAnsi="宋体" w:eastAsia="宋体"/>
                <w:color w:val="auto"/>
                <w:highlight w:val="none"/>
              </w:rPr>
              <w:t>费用管理</w:t>
            </w:r>
          </w:p>
          <w:p w14:paraId="0012DB9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支持每日费用审核，系统自动产生病人每天的收费明细供护士核对，支持护士关联</w:t>
            </w:r>
            <w:r>
              <w:rPr>
                <w:rFonts w:ascii="宋体" w:hAnsi="宋体" w:eastAsia="宋体"/>
                <w:color w:val="auto"/>
                <w:highlight w:val="none"/>
              </w:rPr>
              <w:t>SPD</w:t>
            </w:r>
            <w:r>
              <w:rPr>
                <w:rFonts w:hint="eastAsia" w:ascii="宋体" w:hAnsi="宋体" w:eastAsia="宋体"/>
                <w:color w:val="auto"/>
                <w:highlight w:val="none"/>
              </w:rPr>
              <w:t>系统补录耗材费用。支持自定义本病区收费模板，可根据模板完成收费录入操作。支持录入收费时实时检测是否有违规收费，支持自动检测病人收费项目是否有物价停用。</w:t>
            </w:r>
          </w:p>
          <w:p w14:paraId="3562EC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支持费用定时滚费或者主动上账，能够对血氧饱和度监测，持续吸氧等医嘱自动计算费用数量。</w:t>
            </w:r>
          </w:p>
          <w:p w14:paraId="67576B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w:t>
            </w:r>
            <w:r>
              <w:rPr>
                <w:rFonts w:ascii="宋体" w:hAnsi="宋体" w:eastAsia="宋体"/>
                <w:color w:val="auto"/>
                <w:highlight w:val="none"/>
              </w:rPr>
              <w:t>ICU</w:t>
            </w:r>
            <w:r>
              <w:rPr>
                <w:rFonts w:hint="eastAsia" w:ascii="宋体" w:hAnsi="宋体" w:eastAsia="宋体"/>
                <w:color w:val="auto"/>
                <w:highlight w:val="none"/>
              </w:rPr>
              <w:t>等病区病人收取</w:t>
            </w:r>
            <w:r>
              <w:rPr>
                <w:rFonts w:ascii="宋体" w:hAnsi="宋体" w:eastAsia="宋体"/>
                <w:color w:val="auto"/>
                <w:highlight w:val="none"/>
              </w:rPr>
              <w:t>ICU</w:t>
            </w:r>
            <w:r>
              <w:rPr>
                <w:rFonts w:hint="eastAsia" w:ascii="宋体" w:hAnsi="宋体" w:eastAsia="宋体"/>
                <w:color w:val="auto"/>
                <w:highlight w:val="none"/>
              </w:rPr>
              <w:t>单元治疗套餐费时自动过滤冲突的费用明细收取。</w:t>
            </w:r>
          </w:p>
          <w:p w14:paraId="217928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支持病区跨科计费业务，包括给门诊、急诊和住院病人的跨科计费。</w:t>
            </w:r>
          </w:p>
          <w:p w14:paraId="0995772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为保证患者在本科室计费的准确性，避免错收或漏记的情况，患者出院或转科前主班护士需要对患者发生在本科室的费用进行审核。</w:t>
            </w:r>
          </w:p>
          <w:p w14:paraId="363A60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支持患者费用有误，可通过补费或退费操作进行调整。</w:t>
            </w:r>
          </w:p>
          <w:p w14:paraId="4754DB7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支持预交金管理，支持按患者费别查询病区患者的欠费情况。</w:t>
            </w:r>
          </w:p>
          <w:p w14:paraId="4173BD8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支持过滤各欠费状态下的患者记录，包括已欠费、需补交及正常三种选项。</w:t>
            </w:r>
          </w:p>
          <w:p w14:paraId="55C0E60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支持显示欠费患者列表，显示所查询各患者的欠费情况。</w:t>
            </w:r>
          </w:p>
          <w:p w14:paraId="66E3081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支持床位检索，用于通过床位号查询病区患者的欠费情况。</w:t>
            </w:r>
          </w:p>
          <w:p w14:paraId="48C5B9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支持病区护士实时查看病人的费用明细，预交金明细，变成记录，预结算信息，支持在同一个页面下操作完成。</w:t>
            </w:r>
          </w:p>
          <w:p w14:paraId="10E930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支持护士站出院结算、护士站中途结算。</w:t>
            </w:r>
          </w:p>
          <w:p w14:paraId="5FBF8D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支持随时对费用进行医保类别转换，特定患者支持转门诊结算等业务。</w:t>
            </w:r>
          </w:p>
          <w:p w14:paraId="5E5190B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7</w:t>
            </w:r>
            <w:r>
              <w:rPr>
                <w:rFonts w:ascii="宋体" w:hAnsi="宋体" w:eastAsia="宋体"/>
                <w:color w:val="auto"/>
                <w:highlight w:val="none"/>
              </w:rPr>
              <w:t>)</w:t>
            </w:r>
            <w:r>
              <w:rPr>
                <w:rFonts w:hint="eastAsia" w:ascii="宋体" w:hAnsi="宋体" w:eastAsia="宋体"/>
                <w:color w:val="auto"/>
                <w:highlight w:val="none"/>
              </w:rPr>
              <w:t>其他业务</w:t>
            </w:r>
          </w:p>
          <w:p w14:paraId="11FAF7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在一个页面操作查询在科病人的全部医嘱并筛选有效医嘱，支持查看医嘱执行记录，支持查看本院就诊史病历，护理文书，本院检查检验报告，以及对接相关系统查看手麻记录，血透记录，重症护理记录，医生会诊记录等。</w:t>
            </w:r>
          </w:p>
          <w:p w14:paraId="086C6A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支持查看药房驳回医嘱信息，并能支持回退医生处理。</w:t>
            </w:r>
          </w:p>
          <w:p w14:paraId="2D9B92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支持对接不良事件系统，实现上报不良事件时相关信息自动带入。</w:t>
            </w:r>
          </w:p>
          <w:p w14:paraId="0C8136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支持产科新生儿、新生儿科病人以及成年病人进行批量体征录入，并自动计算体征采集频次与采集时间点，支持护士打印出来。</w:t>
            </w:r>
          </w:p>
          <w:p w14:paraId="0B6AB0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支持护士电子交接班，能够自动统计交班相关指标数据，能自动提取重点交班患者，支持交接班内容小模板管理与导入，支持导入护理记录作为交班内容。</w:t>
            </w:r>
          </w:p>
          <w:p w14:paraId="0A84A1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支持病区护士危急值追溯管理，支持护士危急值确认与护理记录。</w:t>
            </w:r>
          </w:p>
          <w:p w14:paraId="6CAC5F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支持病理标本管理，能够查询病理标本的闭环信息，支持对本病区采集的病理标本进行编辑，标签打印，送检管理。</w:t>
            </w:r>
          </w:p>
          <w:p w14:paraId="2F3096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支持建立病区基数物品字典进行管理，支持病区物品清点交班，交班时可以支持神经外科、呼吸内科等病区区分普通区和重症监护区分开物品清点交班。</w:t>
            </w:r>
          </w:p>
          <w:p w14:paraId="30DA1BB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8</w:t>
            </w:r>
            <w:r>
              <w:rPr>
                <w:rFonts w:ascii="宋体" w:hAnsi="宋体" w:eastAsia="宋体"/>
                <w:color w:val="auto"/>
                <w:highlight w:val="none"/>
              </w:rPr>
              <w:t>)</w:t>
            </w:r>
            <w:r>
              <w:rPr>
                <w:rFonts w:hint="eastAsia" w:ascii="宋体" w:hAnsi="宋体" w:eastAsia="宋体"/>
                <w:color w:val="auto"/>
                <w:highlight w:val="none"/>
              </w:rPr>
              <w:t>医嘱查询</w:t>
            </w:r>
          </w:p>
          <w:p w14:paraId="27B250E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支持查看医嘱执行详情，对于需要双签名的医嘱支持查看双签名核对信息。</w:t>
            </w:r>
          </w:p>
          <w:p w14:paraId="788ADD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支持在同一个页面查看输液医嘱的计划执行时间、配液时间、开始执行时间、结束执行时间、执行时长，平均滴速等信息，能查看护士的输液巡视记录与暂停操作记录。</w:t>
            </w:r>
          </w:p>
          <w:p w14:paraId="6750E93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支持检查状态查询，显示满足查询条件的患者检查预约安排记录，各条记录显示的信息包括：检查对应患者的床号、患者</w:t>
            </w:r>
            <w:r>
              <w:rPr>
                <w:rFonts w:ascii="宋体" w:hAnsi="宋体" w:eastAsia="宋体"/>
                <w:color w:val="auto"/>
                <w:highlight w:val="none"/>
              </w:rPr>
              <w:t>ID</w:t>
            </w:r>
            <w:r>
              <w:rPr>
                <w:rFonts w:hint="eastAsia" w:ascii="宋体" w:hAnsi="宋体" w:eastAsia="宋体"/>
                <w:color w:val="auto"/>
                <w:highlight w:val="none"/>
              </w:rPr>
              <w:t>、姓名、检查申请单号、检查主题、检查状态、检查申请时间、检查预约日期、预约时段、预约地点、预约机房、检查执行科室及注意事项。</w:t>
            </w:r>
          </w:p>
          <w:p w14:paraId="6BF950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手术安排查询，手术安排后医护工作站可进行手术安排查询：显示指定日期范围内本病区患者的全部手术安排记录，包括患者床号、姓名、手术时间、手术间、台次等信息。支持病区护士查看一天内同一个手术间的所有手术台次排队情况。</w:t>
            </w:r>
          </w:p>
          <w:p w14:paraId="28CC39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支持特护单查询，普通病房能在护士工作站查询到患者在</w:t>
            </w:r>
            <w:r>
              <w:rPr>
                <w:rFonts w:ascii="宋体" w:hAnsi="宋体" w:eastAsia="宋体"/>
                <w:color w:val="auto"/>
                <w:highlight w:val="none"/>
              </w:rPr>
              <w:t>ICU</w:t>
            </w:r>
            <w:r>
              <w:rPr>
                <w:rFonts w:hint="eastAsia" w:ascii="宋体" w:hAnsi="宋体" w:eastAsia="宋体"/>
                <w:color w:val="auto"/>
                <w:highlight w:val="none"/>
              </w:rPr>
              <w:t>时的重症特护单。</w:t>
            </w:r>
          </w:p>
          <w:p w14:paraId="3A374D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支持护理一览表查询，关联护理及医嘱，查询相关的信息，支持各个病区自定义项目，支持多种排序模式的打印方案供护士选择。</w:t>
            </w:r>
          </w:p>
          <w:p w14:paraId="708819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支持按照等级护理进行病房巡视，并查询病房巡视记录，能够标识超时巡视异常记录。</w:t>
            </w:r>
          </w:p>
          <w:p w14:paraId="50A1DE2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9</w:t>
            </w:r>
            <w:r>
              <w:rPr>
                <w:rFonts w:ascii="宋体" w:hAnsi="宋体" w:eastAsia="宋体"/>
                <w:color w:val="auto"/>
                <w:highlight w:val="none"/>
              </w:rPr>
              <w:t>)</w:t>
            </w:r>
            <w:r>
              <w:rPr>
                <w:rFonts w:hint="eastAsia" w:ascii="宋体" w:hAnsi="宋体" w:eastAsia="宋体"/>
                <w:color w:val="auto"/>
                <w:highlight w:val="none"/>
              </w:rPr>
              <w:t>审核管理（提供系统功能截图）</w:t>
            </w:r>
          </w:p>
          <w:p w14:paraId="5C34227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护士上报的压疮报告单和失禁性皮炎报告单进行审核管理，主管护士或者护士长进行一级审核，专科小组或者护理部专员进行二级审核，同时病区护士对病人转出或者出院，随时对已发压疮或者已发失禁性皮炎类型的报告进行转归记录处理。</w:t>
            </w:r>
          </w:p>
          <w:p w14:paraId="380495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支持按照时间段、审核进度等条件查询本病区全部的报告，并可查看每条报告的审核闭环日志。</w:t>
            </w:r>
          </w:p>
          <w:p w14:paraId="358C157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w:t>
            </w:r>
            <w:r>
              <w:rPr>
                <w:rFonts w:hint="eastAsia" w:ascii="宋体" w:hAnsi="宋体"/>
                <w:color w:val="auto"/>
                <w:highlight w:val="none"/>
                <w:lang w:val="en-US" w:eastAsia="zh-CN"/>
              </w:rPr>
              <w:t>10</w:t>
            </w:r>
            <w:r>
              <w:rPr>
                <w:rFonts w:ascii="宋体" w:hAnsi="宋体" w:eastAsia="宋体"/>
                <w:color w:val="auto"/>
                <w:highlight w:val="none"/>
              </w:rPr>
              <w:t>)</w:t>
            </w:r>
            <w:r>
              <w:rPr>
                <w:rFonts w:hint="eastAsia" w:ascii="宋体" w:hAnsi="宋体" w:eastAsia="宋体"/>
                <w:color w:val="auto"/>
                <w:highlight w:val="none"/>
              </w:rPr>
              <w:t>会诊管理</w:t>
            </w:r>
          </w:p>
          <w:p w14:paraId="175EF7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通过授权查询全院各类型的护理会诊申请，并按照护理会诊的流程要求完成护理会诊业务。支持护理会诊发短信给指定的会诊专家，支持会诊意见提交后同步护理记录，支持会诊意见提交后补充会诊意见内容。</w:t>
            </w:r>
          </w:p>
          <w:p w14:paraId="04AD41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支持查询统计本病区护理会诊申请明细，能够查看会诊表单明细内容。</w:t>
            </w:r>
          </w:p>
          <w:p w14:paraId="62E2CC2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color w:val="auto"/>
                <w:highlight w:val="none"/>
                <w:lang w:val="en-US" w:eastAsia="zh-CN"/>
              </w:rPr>
              <w:t>1</w:t>
            </w:r>
            <w:r>
              <w:rPr>
                <w:rFonts w:ascii="宋体" w:hAnsi="宋体" w:eastAsia="宋体"/>
                <w:color w:val="auto"/>
                <w:highlight w:val="none"/>
              </w:rPr>
              <w:t>)</w:t>
            </w:r>
            <w:r>
              <w:rPr>
                <w:rFonts w:hint="eastAsia" w:ascii="宋体" w:hAnsi="宋体" w:eastAsia="宋体"/>
                <w:color w:val="auto"/>
                <w:highlight w:val="none"/>
              </w:rPr>
              <w:t>住院打印</w:t>
            </w:r>
          </w:p>
          <w:p w14:paraId="24C95916">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床头卡打印</w:t>
            </w:r>
          </w:p>
          <w:p w14:paraId="5FC523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支持新入院病人、转入病人、换床病人自动筛选并提供一键批量打印床头卡，支持补打，支持新生儿科床头卡与其他科室床头卡不一样的设置。</w:t>
            </w:r>
          </w:p>
          <w:p w14:paraId="1B1CD5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支持床头卡补打</w:t>
            </w:r>
          </w:p>
          <w:p w14:paraId="6A0B252D">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腕带打印</w:t>
            </w:r>
          </w:p>
          <w:p w14:paraId="09BD9B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支持病区自选腕带打印，支持产科新生儿、成人、新生儿科等病人设置不同的腕带打印样式。</w:t>
            </w:r>
          </w:p>
          <w:p w14:paraId="2733E776">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标签打印</w:t>
            </w:r>
          </w:p>
          <w:p w14:paraId="549785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支持提取医嘱，指定查询条件，查询本病区患者需打印标签的医嘱记录（检验、用血</w:t>
            </w:r>
            <w:r>
              <w:rPr>
                <w:rFonts w:ascii="宋体" w:hAnsi="宋体" w:eastAsia="宋体"/>
                <w:color w:val="auto"/>
                <w:highlight w:val="none"/>
              </w:rPr>
              <w:t>,</w:t>
            </w:r>
            <w:r>
              <w:rPr>
                <w:rFonts w:hint="eastAsia" w:ascii="宋体" w:hAnsi="宋体" w:eastAsia="宋体"/>
                <w:color w:val="auto"/>
                <w:highlight w:val="none"/>
              </w:rPr>
              <w:t>病理）。</w:t>
            </w:r>
          </w:p>
          <w:p w14:paraId="3E9DD4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支持打印条码：打印出全部所选医嘱的标本条码，系统自动记录各医嘱标本号。</w:t>
            </w:r>
          </w:p>
          <w:p w14:paraId="65D4A55F">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打印执行单</w:t>
            </w:r>
          </w:p>
          <w:p w14:paraId="61C265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支持原始单、拆分单两种显示视图可切换。</w:t>
            </w:r>
          </w:p>
          <w:p w14:paraId="15F836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支持医嘱执行区间，计划执行医嘱的时间范围，默认为当日全天，护士可根据需要调整上</w:t>
            </w:r>
            <w:r>
              <w:rPr>
                <w:rFonts w:ascii="宋体" w:hAnsi="宋体" w:eastAsia="宋体"/>
                <w:color w:val="auto"/>
                <w:highlight w:val="none"/>
              </w:rPr>
              <w:t>/</w:t>
            </w:r>
            <w:r>
              <w:rPr>
                <w:rFonts w:hint="eastAsia" w:ascii="宋体" w:hAnsi="宋体" w:eastAsia="宋体"/>
                <w:color w:val="auto"/>
                <w:highlight w:val="none"/>
              </w:rPr>
              <w:t>下午等不同时段，查询对应待执行的医嘱记录，打印分类执行单。</w:t>
            </w:r>
          </w:p>
          <w:p w14:paraId="1E785A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支持显示本病区全部分类执行单、全院通用的执行单以及本病区自定义的执行单。</w:t>
            </w:r>
          </w:p>
          <w:p w14:paraId="2F0F38AF">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膳食通知单</w:t>
            </w:r>
          </w:p>
          <w:p w14:paraId="0770190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支持发送患者饮食医嘱往营养科。</w:t>
            </w:r>
          </w:p>
          <w:p w14:paraId="1DFC1C3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支持开过出院医嘱的患者自动标记为出院。</w:t>
            </w:r>
          </w:p>
          <w:p w14:paraId="1F8938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支持餐费由营养科计费，患者家属餐费不通过护士站。</w:t>
            </w:r>
          </w:p>
          <w:p w14:paraId="051DB944">
            <w:pPr>
              <w:adjustRightInd w:val="0"/>
              <w:snapToGrid w:val="0"/>
              <w:spacing w:line="360" w:lineRule="auto"/>
              <w:rPr>
                <w:rFonts w:hint="eastAsia" w:ascii="宋体" w:hAnsi="宋体" w:eastAsia="宋体"/>
                <w:b/>
                <w:bCs/>
                <w:color w:val="auto"/>
                <w:highlight w:val="none"/>
              </w:rPr>
            </w:pPr>
            <w:r>
              <w:rPr>
                <w:rFonts w:hint="eastAsia" w:ascii="宋体" w:hAnsi="宋体" w:eastAsia="宋体"/>
                <w:b/>
                <w:bCs/>
                <w:color w:val="auto"/>
                <w:highlight w:val="none"/>
              </w:rPr>
              <w:t>自定义标签</w:t>
            </w:r>
          </w:p>
          <w:p w14:paraId="36AEDC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支持打印自定义标签，能够记录启用日期，并根据有效期自动计算失效日期。</w:t>
            </w:r>
          </w:p>
          <w:p w14:paraId="69CF463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color w:val="auto"/>
                <w:highlight w:val="none"/>
                <w:lang w:val="en-US" w:eastAsia="zh-CN"/>
              </w:rPr>
              <w:t>2</w:t>
            </w:r>
            <w:r>
              <w:rPr>
                <w:rFonts w:ascii="宋体" w:hAnsi="宋体" w:eastAsia="宋体"/>
                <w:color w:val="auto"/>
                <w:highlight w:val="none"/>
              </w:rPr>
              <w:t>)</w:t>
            </w:r>
            <w:r>
              <w:rPr>
                <w:rFonts w:hint="eastAsia" w:ascii="宋体" w:hAnsi="宋体" w:eastAsia="宋体"/>
                <w:color w:val="auto"/>
                <w:highlight w:val="none"/>
              </w:rPr>
              <w:t>无纸化归档</w:t>
            </w:r>
          </w:p>
          <w:p w14:paraId="6987DE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支持管理转出病人、出院病人的护理病历归档，支持主管护士审核，护士长审核两级审核机制，护理病历归档以后限制允许修改。</w:t>
            </w:r>
          </w:p>
          <w:p w14:paraId="4521B8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支持实时查询待归档病人列表和已归档病人列表。</w:t>
            </w:r>
          </w:p>
        </w:tc>
      </w:tr>
      <w:tr w14:paraId="15C7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shd w:val="clear" w:color="auto" w:fill="FFFFFF"/>
            <w:noWrap/>
            <w:vAlign w:val="center"/>
          </w:tcPr>
          <w:p w14:paraId="28195E4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病区护理文书系统</w:t>
            </w:r>
          </w:p>
        </w:tc>
        <w:tc>
          <w:tcPr>
            <w:tcW w:w="8032" w:type="dxa"/>
            <w:shd w:val="clear" w:color="auto" w:fill="FFFFFF"/>
            <w:noWrap/>
            <w:vAlign w:val="center"/>
          </w:tcPr>
          <w:p w14:paraId="0A18DA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1、体温单</w:t>
            </w:r>
          </w:p>
          <w:p w14:paraId="43A548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（1）提供方便的录入界面，能够录入体温、脉搏、呼吸、出入量等基本体征信息，并可自动统计出入量；</w:t>
            </w:r>
          </w:p>
          <w:p w14:paraId="19D938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（2）全自动生成三测单，并支持彩色、黑白两种打印模式，自动生成体温曲线；</w:t>
            </w:r>
          </w:p>
          <w:p w14:paraId="61AE94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（3）自动获取打印病人入院、出院、假出院（请假）、周末度假、转院、死亡、返院等相关信息；</w:t>
            </w:r>
          </w:p>
          <w:p w14:paraId="5A8819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（4）支持根据科室情况自定义体温单样式。</w:t>
            </w:r>
          </w:p>
          <w:p w14:paraId="37F934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2、生命体征记录单</w:t>
            </w:r>
          </w:p>
          <w:p w14:paraId="372DC2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（1）能够录入和显示体温、脉搏、呼吸、脉氧、血压、神志、血糖、瞳孔大小、瞳孔反映等体征值；</w:t>
            </w:r>
          </w:p>
          <w:p w14:paraId="2EDD356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（2）可根据科室情况自定义需要显示的体征项目，自动生成相应的生命体征记录。</w:t>
            </w:r>
          </w:p>
          <w:p w14:paraId="56E735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3、出入量记录单</w:t>
            </w:r>
          </w:p>
          <w:p w14:paraId="310C49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（1）能够录入、显示病人出入量记录；</w:t>
            </w:r>
          </w:p>
          <w:p w14:paraId="50BE06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（2）能够提取输液类医嘱，并记入出入量;</w:t>
            </w:r>
          </w:p>
          <w:p w14:paraId="3AE415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（3）可自动对出入量进行12小时小结及24小时总结统计。</w:t>
            </w:r>
          </w:p>
          <w:p w14:paraId="34DA2B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4、入院评估单</w:t>
            </w:r>
          </w:p>
          <w:p w14:paraId="1A853B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（1）能够录入、显示病人入院评估相关信息；</w:t>
            </w:r>
          </w:p>
          <w:p w14:paraId="752FAE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（2）可根据科室情况自定义评估项目。</w:t>
            </w:r>
          </w:p>
          <w:p w14:paraId="02135C5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5、日常评估、护理评估、护理措施、护理记录、护理任务</w:t>
            </w:r>
          </w:p>
          <w:p w14:paraId="17CEE81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（1）提供统一的操作界面，能够录入、显示病人病情及相关护理措施内容；提供自动进行相关量化统计及评分工具；</w:t>
            </w:r>
          </w:p>
          <w:p w14:paraId="5F31EE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（2）能够记录患者病情的主、客观因素及相关评估内容，记录执行相应的护理措施；</w:t>
            </w:r>
          </w:p>
          <w:p w14:paraId="4179A5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评估项目、病情及护理措施用户自定义模板功能，方便用户选择输入。评估项目可分为常规项目评估和专科系统评估两大类。常规项目评估包含：安全评估、压疮危险因素评估、皮肤粘膜评估和管道评估；专科系统评估包含：心血管系统、呼吸系统、消化系统、神经系统、远动系统、生殖泌尿系统、心理社会、外科手术相关等；</w:t>
            </w:r>
          </w:p>
          <w:p w14:paraId="500DE24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（4）支持压疮风险评估，能针对病人生理状况、营养状况、浮肿、神志、压疮、感觉运动、大便失禁、小便失禁、强迫体位、长期卧床、多汗等压疮风险进行评估，支持评估项目可配置；</w:t>
            </w:r>
          </w:p>
          <w:p w14:paraId="67AEF18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（5）支持患者跌倒/坠床评估监控，能针对患者生理、行为、紊乱、神志、四肢活动、药物等情况进行住院患者跌倒/坠床评估、评分，自动统计评估总分；</w:t>
            </w:r>
          </w:p>
          <w:p w14:paraId="04EBEE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（6）自动生成护理记录单，可根据科室自定义记录单表单样式；</w:t>
            </w:r>
          </w:p>
          <w:p w14:paraId="64D029D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（7）评估过程中发生须上报时间时，通过系统集成，实现实时上报质量问题、意外事件信息给相关质控部门、护理部管理部门的信息系统。</w:t>
            </w:r>
          </w:p>
          <w:p w14:paraId="110DF7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6、护理健康宣教表</w:t>
            </w:r>
          </w:p>
          <w:p w14:paraId="78E378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（1）能够记录、显示护理人员针对病人进行疾病知识、安全、睡眠、饮食、排泄、药物、治疗、特殊检查、异常检查结果、康复、节前宣教等各方面的健康宣教的记录。</w:t>
            </w:r>
          </w:p>
          <w:p w14:paraId="103ADB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7、病区护理交班簿</w:t>
            </w:r>
          </w:p>
          <w:p w14:paraId="204F6F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（1）能够自动提取统计病区入院、返院、出院、假出院病人情况；</w:t>
            </w:r>
          </w:p>
          <w:p w14:paraId="01A601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（2）能够自动提取统计I级、II级、I级改II级、II级改I级、转床病人情况；</w:t>
            </w:r>
          </w:p>
          <w:p w14:paraId="5ADE140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（3）能够记录病区今日、明日记事情况；支持病区今日记事、明日记事模板功能。</w:t>
            </w:r>
          </w:p>
          <w:p w14:paraId="498DD56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（4）能够记录病区日班、小夜班、大夜班病人病情变化、治疗、护理情况。</w:t>
            </w:r>
          </w:p>
        </w:tc>
      </w:tr>
      <w:tr w14:paraId="239C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1254" w:type="dxa"/>
            <w:shd w:val="clear" w:color="auto" w:fill="FFFFFF"/>
            <w:noWrap/>
            <w:vAlign w:val="center"/>
          </w:tcPr>
          <w:p w14:paraId="06128772">
            <w:pPr>
              <w:adjustRightInd w:val="0"/>
              <w:snapToGrid w:val="0"/>
              <w:spacing w:line="360" w:lineRule="auto"/>
              <w:jc w:val="center"/>
              <w:rPr>
                <w:rFonts w:hint="eastAsia" w:ascii="宋体" w:hAnsi="宋体" w:eastAsia="宋体"/>
                <w:color w:val="auto"/>
                <w:highlight w:val="none"/>
              </w:rPr>
            </w:pPr>
          </w:p>
          <w:p w14:paraId="30E6B5D5">
            <w:pPr>
              <w:adjustRightInd w:val="0"/>
              <w:snapToGrid w:val="0"/>
              <w:spacing w:line="360" w:lineRule="auto"/>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手术安排记费、医技管理系统</w:t>
            </w:r>
          </w:p>
          <w:p w14:paraId="37B68CAE">
            <w:pPr>
              <w:adjustRightInd w:val="0"/>
              <w:snapToGrid w:val="0"/>
              <w:spacing w:line="360" w:lineRule="auto"/>
              <w:jc w:val="center"/>
              <w:rPr>
                <w:rFonts w:hint="eastAsia" w:ascii="宋体" w:hAnsi="宋体" w:eastAsia="宋体"/>
                <w:color w:val="auto"/>
                <w:highlight w:val="none"/>
              </w:rPr>
            </w:pPr>
          </w:p>
          <w:p w14:paraId="7B501B2B">
            <w:pPr>
              <w:adjustRightInd w:val="0"/>
              <w:snapToGrid w:val="0"/>
              <w:spacing w:line="360" w:lineRule="auto"/>
              <w:jc w:val="center"/>
              <w:rPr>
                <w:rFonts w:hint="eastAsia" w:ascii="宋体" w:hAnsi="宋体" w:eastAsia="宋体"/>
                <w:color w:val="auto"/>
                <w:highlight w:val="none"/>
              </w:rPr>
            </w:pPr>
          </w:p>
        </w:tc>
        <w:tc>
          <w:tcPr>
            <w:tcW w:w="8032" w:type="dxa"/>
            <w:shd w:val="clear" w:color="auto" w:fill="FFFFFF"/>
            <w:noWrap/>
            <w:vAlign w:val="center"/>
          </w:tcPr>
          <w:p w14:paraId="340789D8">
            <w:pPr>
              <w:numPr>
                <w:ilvl w:val="0"/>
                <w:numId w:val="23"/>
              </w:numPr>
              <w:adjustRightInd w:val="0"/>
              <w:snapToGrid w:val="0"/>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能够安排查询手术信息，登记各类费用。</w:t>
            </w:r>
          </w:p>
          <w:p w14:paraId="5CD7DF7E">
            <w:pPr>
              <w:numPr>
                <w:ilvl w:val="0"/>
                <w:numId w:val="23"/>
              </w:numPr>
              <w:adjustRightInd w:val="0"/>
              <w:snapToGrid w:val="0"/>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检查科室能对各类检查项目进行费用确认、查询。</w:t>
            </w:r>
          </w:p>
        </w:tc>
      </w:tr>
    </w:tbl>
    <w:p w14:paraId="77128382">
      <w:pPr>
        <w:pStyle w:val="4"/>
        <w:numPr>
          <w:ilvl w:val="2"/>
          <w:numId w:val="2"/>
        </w:numPr>
        <w:rPr>
          <w:color w:val="auto"/>
          <w:highlight w:val="none"/>
        </w:rPr>
      </w:pPr>
      <w:r>
        <w:rPr>
          <w:color w:val="auto"/>
          <w:highlight w:val="none"/>
        </w:rPr>
        <w:t>药事业务系统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5488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39874E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7ADE74B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370B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41C19F3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中/西药库管理系统</w:t>
            </w:r>
          </w:p>
        </w:tc>
        <w:tc>
          <w:tcPr>
            <w:tcW w:w="8032" w:type="dxa"/>
            <w:shd w:val="clear" w:color="auto" w:fill="FFFFFF"/>
            <w:noWrap/>
            <w:vAlign w:val="center"/>
          </w:tcPr>
          <w:p w14:paraId="11623C1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一、在中/西药药品出入库功能方面，支持：</w:t>
            </w:r>
          </w:p>
          <w:p w14:paraId="1E8E0E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1.录入药品名称、规格、批号、价格、生产厂家、供货商、包装单位、发药单位等药品信息；</w:t>
            </w:r>
          </w:p>
          <w:p w14:paraId="5C148C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2.具有自动生成采购计划及采购单功能；支持采购工作流审批；支持药房发起采购到采购入库完成后库存自动流转到对应药房功能。</w:t>
            </w:r>
          </w:p>
          <w:p w14:paraId="07E6B5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3.提供药品入库、出库、调价、调拨、盘点、报损丢失、退药等功能；</w:t>
            </w:r>
          </w:p>
          <w:p w14:paraId="2AD07E2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采购入库支持直接领出到药房；</w:t>
            </w:r>
          </w:p>
          <w:p w14:paraId="76A41E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4.提供特殊药品入库、出库管理功能（如：赠送、实验药品等）；</w:t>
            </w:r>
          </w:p>
          <w:p w14:paraId="578FD9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5.提供药品库存盘点、日结、月结功能，并能校对帐目及库存的平衡关系，支持动态盈亏盘点，支持盘点时不影响药房正常发药业务；</w:t>
            </w:r>
          </w:p>
          <w:p w14:paraId="173B6C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6.可随时生成各种药品的入库明细、出库明细、盘点明细、调价明细、调拨明细、报损明细、退药明细以及上面各项的汇总数据；</w:t>
            </w:r>
          </w:p>
          <w:p w14:paraId="546C9D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7.可追踪各个药品的明细流水帐，可随时查验任一品种的库存变化入、出、存明细信息；</w:t>
            </w:r>
          </w:p>
          <w:p w14:paraId="7D1D4F6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8.自动接收科室领药单功能；</w:t>
            </w:r>
          </w:p>
          <w:p w14:paraId="171550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9.提供药品的核算功能，可统计分析各药房的消耗、库存；</w:t>
            </w:r>
          </w:p>
          <w:p w14:paraId="5F8771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10.可自动调整各种单据的输出内容和格式，并有操作员签字栏；</w:t>
            </w:r>
          </w:p>
          <w:p w14:paraId="11597F1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11.提供药品字典库维护功能（如品种、价格、单位、计量、特殊标志等），支持一药多名、多单位操作，判断识别，实现统一规范药品名称；</w:t>
            </w:r>
          </w:p>
          <w:p w14:paraId="36D258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12.提供药品的有效期管理、可自动报警和统计过期药品的品种数和金额，并有库存量提示功能； </w:t>
            </w:r>
          </w:p>
          <w:p w14:paraId="3C57DE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13.对毒麻药品、精神药品的种类、贵重药品、院内制剂、自费药等均有特定的判断识别处理；特殊使用科室或个人的管控。</w:t>
            </w:r>
          </w:p>
          <w:p w14:paraId="5EB615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14.支持药品批次管理；</w:t>
            </w:r>
          </w:p>
          <w:p w14:paraId="5F36658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15.支持药品的多级管理；</w:t>
            </w:r>
          </w:p>
          <w:p w14:paraId="3D7EFB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16.支持抗菌药物、抗肿瘤药物等级字典维护；支持维护药品级别；支持维护医生门诊、住院药物使用权限；支持开立药物时根据药品级别以及医生使用权限进行校验，填写药物使用理由。</w:t>
            </w:r>
          </w:p>
          <w:p w14:paraId="6BAE672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17.支持按医生的维度限制开立集采药品和原研药品的开立比例，支持按科室配置集采药品的任务量；支持查看完成进度情况；支持紧急情况下根据患者，医生，科室等纬度开通集采药品白名单功能；医生站开药能根据开立比例实时监测与提醒医生。</w:t>
            </w:r>
          </w:p>
          <w:p w14:paraId="5F4BE42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18</w:t>
            </w:r>
            <w:r>
              <w:rPr>
                <w:rFonts w:hint="eastAsia" w:ascii="宋体" w:hAnsi="宋体"/>
                <w:color w:val="auto"/>
                <w:highlight w:val="none"/>
                <w:lang w:val="en-US" w:eastAsia="zh-CN"/>
              </w:rPr>
              <w:t>.</w:t>
            </w:r>
            <w:r>
              <w:rPr>
                <w:rFonts w:hint="eastAsia" w:ascii="宋体" w:hAnsi="宋体" w:eastAsia="宋体"/>
                <w:color w:val="auto"/>
                <w:highlight w:val="none"/>
              </w:rPr>
              <w:t>支持医嘱开立智能化推荐维护。</w:t>
            </w:r>
          </w:p>
          <w:p w14:paraId="5160E92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19</w:t>
            </w:r>
            <w:r>
              <w:rPr>
                <w:rFonts w:hint="eastAsia" w:ascii="宋体" w:hAnsi="宋体"/>
                <w:color w:val="auto"/>
                <w:highlight w:val="none"/>
                <w:lang w:val="en-US" w:eastAsia="zh-CN"/>
              </w:rPr>
              <w:t>.</w:t>
            </w:r>
            <w:r>
              <w:rPr>
                <w:rFonts w:hint="eastAsia" w:ascii="宋体" w:hAnsi="宋体" w:eastAsia="宋体"/>
                <w:color w:val="auto"/>
                <w:highlight w:val="none"/>
              </w:rPr>
              <w:t>支持多维度的药品限用管理（白名单、自费、医保等）。</w:t>
            </w:r>
          </w:p>
          <w:p w14:paraId="7374AA34">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20</w:t>
            </w:r>
            <w:r>
              <w:rPr>
                <w:rFonts w:hint="eastAsia" w:ascii="宋体" w:hAnsi="宋体"/>
                <w:color w:val="auto"/>
                <w:highlight w:val="none"/>
                <w:lang w:val="en-US" w:eastAsia="zh-CN"/>
              </w:rPr>
              <w:t>.</w:t>
            </w:r>
            <w:r>
              <w:rPr>
                <w:rFonts w:hint="eastAsia" w:ascii="宋体" w:hAnsi="宋体" w:eastAsia="宋体"/>
                <w:color w:val="auto"/>
                <w:highlight w:val="none"/>
              </w:rPr>
              <w:t>支持各药房能独立开启单个药品的供应或者不供应；（提供系统功能截图）</w:t>
            </w:r>
            <w:r>
              <w:rPr>
                <w:rFonts w:hint="eastAsia" w:ascii="宋体" w:hAnsi="宋体"/>
                <w:color w:val="auto"/>
                <w:highlight w:val="none"/>
                <w:lang w:eastAsia="zh-CN"/>
              </w:rPr>
              <w:t>。</w:t>
            </w:r>
          </w:p>
          <w:p w14:paraId="2BB082B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21</w:t>
            </w:r>
            <w:r>
              <w:rPr>
                <w:rFonts w:hint="eastAsia" w:ascii="宋体" w:hAnsi="宋体"/>
                <w:color w:val="auto"/>
                <w:highlight w:val="none"/>
                <w:lang w:val="en-US" w:eastAsia="zh-CN"/>
              </w:rPr>
              <w:t>.</w:t>
            </w:r>
            <w:r>
              <w:rPr>
                <w:rFonts w:hint="eastAsia" w:ascii="宋体" w:hAnsi="宋体" w:eastAsia="宋体"/>
                <w:color w:val="auto"/>
                <w:highlight w:val="none"/>
              </w:rPr>
              <w:t>支持控制某个药品只能指定的患者才能开，某个药品只能指定医生才能开，或者某个药品只能指定科室开。（提供系统功能截图）</w:t>
            </w:r>
            <w:r>
              <w:rPr>
                <w:rFonts w:hint="eastAsia" w:ascii="宋体" w:hAnsi="宋体"/>
                <w:color w:val="auto"/>
                <w:highlight w:val="none"/>
                <w:lang w:eastAsia="zh-CN"/>
              </w:rPr>
              <w:t>。</w:t>
            </w:r>
          </w:p>
          <w:p w14:paraId="4EA040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二、在药品会计核算及药品价格管理功能方面，要求支持：</w:t>
            </w:r>
          </w:p>
          <w:p w14:paraId="5143B5C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药品从采购到发放给病人有进价、零售价以及设置扣率和加成率参数，这二种价格应由专人负责，根据物价部门的现行调价文件实现全院统一调价，提供自动调价确认和手动调价确认两种方式；支持即时调价和定时调价两种方式；</w:t>
            </w:r>
          </w:p>
          <w:p w14:paraId="56B3819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支持大批量调价情况下，系统自动退库再入库的功能。</w:t>
            </w:r>
          </w:p>
          <w:p w14:paraId="33953A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2.要记录调价的明细、时间及调价原因，并记录调价的盈亏等信息，传送到药品会计和财务会计；</w:t>
            </w:r>
          </w:p>
          <w:p w14:paraId="790802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3.提供药品会计帐目、药品库管帐目及与财务系统的接口，实现数据共享。按会计制度规定，提供自动报帐和手工报帐核算功能；</w:t>
            </w:r>
          </w:p>
          <w:p w14:paraId="44E5304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4.药品会计帐务处理须实现计算进出药品库房和药房处方等的销售额与药品的收款额核对，做到帐物相符，并统计全院库房和药房的合计库存金额、消耗金额以及购入成本等信息，计算出各月的实际综合加成率；</w:t>
            </w:r>
          </w:p>
          <w:p w14:paraId="720E7E2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5.药品会计统计分析报表应实现对月、季、年进行准确可靠的统计，为“定额管理、加速周转、保证供应”提供依据；</w:t>
            </w:r>
          </w:p>
          <w:p w14:paraId="4BAE2E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6.提供医院各科室药品消耗统计核算功能；</w:t>
            </w:r>
          </w:p>
          <w:p w14:paraId="5E7D62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7.打印功能：对药品会计处理需要的帐簿、报表按统一规定的格式和内容进行打印和输出。</w:t>
            </w:r>
          </w:p>
        </w:tc>
      </w:tr>
      <w:tr w14:paraId="2DAE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E4E276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门诊西药房管理系统</w:t>
            </w:r>
          </w:p>
        </w:tc>
        <w:tc>
          <w:tcPr>
            <w:tcW w:w="8032" w:type="dxa"/>
            <w:shd w:val="clear" w:color="auto" w:fill="FFFFFF"/>
            <w:noWrap/>
            <w:vAlign w:val="center"/>
          </w:tcPr>
          <w:p w14:paraId="4C81F9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1.可自动获取西药药品名称、规格、批号、价格、生产厂家、药品来源、药品剂型、药品属性、药品类别、医保（新农合）编码、领药人、开方医生和门诊患者等药品基本信息；</w:t>
            </w:r>
          </w:p>
          <w:p w14:paraId="16CB3B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2.提供对门诊患者的处方执行划价功能；</w:t>
            </w:r>
          </w:p>
          <w:p w14:paraId="5907E82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3.提供对门诊收费的药品明细执行发药核对确认，消减库存的功能，并统计日处方量和各类别的处方量；</w:t>
            </w:r>
          </w:p>
          <w:p w14:paraId="73E8B1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4.可实现为住院患者划价、记帐和按医嘱执行发药；</w:t>
            </w:r>
          </w:p>
          <w:p w14:paraId="3A63E0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5.为门诊收费设置包装数、低限报警值、控制药品以及药品别名等功能；</w:t>
            </w:r>
          </w:p>
          <w:p w14:paraId="72DED59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6.门诊收费的药品金额和药房的发药金额执行对帐；</w:t>
            </w:r>
          </w:p>
          <w:p w14:paraId="551BE90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7.可自动生成药品进药计划申请单，并发往药库；</w:t>
            </w:r>
          </w:p>
          <w:p w14:paraId="54D3CB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8.提供对药库发到本药房的药品的出库单进行入库确认；</w:t>
            </w:r>
          </w:p>
          <w:p w14:paraId="2C43E1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9.提供本药房药品的调拨、盘点、报损、调换和退药功能；</w:t>
            </w:r>
          </w:p>
          <w:p w14:paraId="7F2F0EC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10.具有药房药品的日结、月结功能，并自动比较会计帐及实物帐的平衡关系；</w:t>
            </w:r>
          </w:p>
          <w:p w14:paraId="21E907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11.可随时查询某日和任意时间段的入库药品消耗，以及任意某一药品的入、出、存明细帐；</w:t>
            </w:r>
          </w:p>
          <w:p w14:paraId="4AE0698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12.药品有效期管理及毒麻药品等的管理同药品库房管理中的条款。</w:t>
            </w:r>
          </w:p>
          <w:p w14:paraId="326C87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13.支持多个门诊药房管理；</w:t>
            </w:r>
          </w:p>
          <w:p w14:paraId="45F5E9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14.支持药品批次管理；</w:t>
            </w:r>
          </w:p>
          <w:p w14:paraId="497305E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15.支持二级审核发药；</w:t>
            </w:r>
          </w:p>
          <w:p w14:paraId="6C32CF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16.支持LED屏或语音取药叫号，具备智慧发药功能；</w:t>
            </w:r>
          </w:p>
          <w:p w14:paraId="1166A03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17.支持维护同一药物国产或进口比例维护；支持根据医生配置集采药品额度；支持紧急情况下根据患者，医生，科室等纬度开通集采药品白名单功能；</w:t>
            </w:r>
          </w:p>
          <w:p w14:paraId="47F222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18.配合门诊发药机接口制作。</w:t>
            </w:r>
          </w:p>
          <w:p w14:paraId="58BA8F8D">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19.</w:t>
            </w:r>
            <w:r>
              <w:rPr>
                <w:rFonts w:hint="eastAsia" w:ascii="宋体" w:hAnsi="宋体" w:eastAsia="宋体"/>
                <w:color w:val="auto"/>
                <w:highlight w:val="none"/>
              </w:rPr>
              <w:t>支持门诊跨药房处方发药模式。</w:t>
            </w:r>
          </w:p>
          <w:p w14:paraId="4F7A8F91">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20.</w:t>
            </w:r>
            <w:r>
              <w:rPr>
                <w:rFonts w:hint="eastAsia" w:ascii="宋体" w:hAnsi="宋体" w:eastAsia="宋体"/>
                <w:color w:val="auto"/>
                <w:highlight w:val="none"/>
              </w:rPr>
              <w:t>支持门诊处方取消发药。</w:t>
            </w:r>
          </w:p>
          <w:p w14:paraId="07E7A2CC">
            <w:p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val="en-US" w:eastAsia="zh-CN"/>
              </w:rPr>
              <w:t>21.</w:t>
            </w:r>
            <w:r>
              <w:rPr>
                <w:rFonts w:hint="eastAsia" w:ascii="宋体" w:hAnsi="宋体" w:eastAsia="宋体"/>
                <w:color w:val="auto"/>
                <w:highlight w:val="none"/>
              </w:rPr>
              <w:t>支持门诊处方退药取消退药。</w:t>
            </w:r>
          </w:p>
        </w:tc>
      </w:tr>
      <w:tr w14:paraId="14DC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1FB762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门诊中药房管理系统</w:t>
            </w:r>
          </w:p>
        </w:tc>
        <w:tc>
          <w:tcPr>
            <w:tcW w:w="8032" w:type="dxa"/>
            <w:shd w:val="clear" w:color="auto" w:fill="FFFFFF"/>
            <w:noWrap/>
            <w:vAlign w:val="center"/>
          </w:tcPr>
          <w:p w14:paraId="0A6DC1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一、中药发药</w:t>
            </w:r>
          </w:p>
          <w:p w14:paraId="304EA3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根据中药待发药记录为患者进行发药。</w:t>
            </w:r>
          </w:p>
          <w:p w14:paraId="6C65F51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（1）根据病案号（手工录入、读卡、扫码等），调出病人类别，公费证号，性别，姓名，工作单位，年龄；</w:t>
            </w:r>
          </w:p>
          <w:p w14:paraId="42DCB9D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（2）显示本次就诊所有已交费的处方，显示处方中药药品明细信息；</w:t>
            </w:r>
          </w:p>
          <w:p w14:paraId="08C4455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（3）勾选所有处方，进行中药发药。</w:t>
            </w:r>
          </w:p>
          <w:p w14:paraId="074D8A6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（4）支持寄送处方配送地址病人扫码填写及确认功能。</w:t>
            </w:r>
          </w:p>
          <w:p w14:paraId="2ADB7D0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（5）支持代煎、非代煎处方的互相修改。</w:t>
            </w:r>
          </w:p>
          <w:p w14:paraId="1B38D5A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（6）支持中药处方调剂人员智能化分配与记录。</w:t>
            </w:r>
          </w:p>
          <w:p w14:paraId="4A1B7EA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二、中药药品上架</w:t>
            </w:r>
          </w:p>
          <w:p w14:paraId="0EB29F3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（1）支持第三方货架硬件设备，药框和药架货位绑定；</w:t>
            </w:r>
          </w:p>
          <w:p w14:paraId="43C539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（2）中药药品上架时患者信息上LED屏；</w:t>
            </w:r>
          </w:p>
          <w:p w14:paraId="098BD2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（3）支持药筐下架；</w:t>
            </w:r>
          </w:p>
          <w:p w14:paraId="3FC57D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（4）对于已经上架的中药药品，患者不来领取时候，可以解绑药篮和病人。但病人以后再来时要可以根据患者名称查询已经交费未发药的处方。</w:t>
            </w:r>
          </w:p>
          <w:p w14:paraId="4F7D440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三、中药退药</w:t>
            </w:r>
          </w:p>
          <w:p w14:paraId="1DE3F9E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根据患者ID或处方号进行中药退药。</w:t>
            </w:r>
          </w:p>
          <w:p w14:paraId="70BE1F5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（1）支持已缴费未发药状态下的中药退药处理；</w:t>
            </w:r>
          </w:p>
          <w:p w14:paraId="2BB5D6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（2）支持已发药状态下中药退药处理；</w:t>
            </w:r>
          </w:p>
          <w:p w14:paraId="74215C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（3）支持处方全退；</w:t>
            </w:r>
          </w:p>
          <w:p w14:paraId="293F22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（4）支持按品种中药退药；</w:t>
            </w:r>
          </w:p>
          <w:p w14:paraId="1EEFDB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（5）支持按贴数中药退药；</w:t>
            </w:r>
          </w:p>
          <w:p w14:paraId="2BF337D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（6）中药退药时候需要医生填写退药原因，中药药房能按照退药原因进行统计。</w:t>
            </w:r>
          </w:p>
          <w:p w14:paraId="05B7BCC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四、中药库存管理</w:t>
            </w:r>
          </w:p>
          <w:p w14:paraId="1D23BD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（1）中药药品入库；</w:t>
            </w:r>
          </w:p>
          <w:p w14:paraId="6F907B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（2）中药药品出库；</w:t>
            </w:r>
          </w:p>
          <w:p w14:paraId="1ED8A0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（3）中药药品库存盘点；</w:t>
            </w:r>
          </w:p>
          <w:p w14:paraId="16F459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（4）中药药品货位维护；</w:t>
            </w:r>
          </w:p>
          <w:p w14:paraId="15D31D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（5）中药药品请领；</w:t>
            </w:r>
          </w:p>
          <w:p w14:paraId="4F28D8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（6）中药药品库存消耗量查询；</w:t>
            </w:r>
          </w:p>
          <w:p w14:paraId="6C2A4E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（7）中药药品流水账查询；</w:t>
            </w:r>
          </w:p>
          <w:p w14:paraId="507BF2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（8）中药药品库存查询。</w:t>
            </w:r>
            <w:r>
              <w:rPr>
                <w:rFonts w:ascii="宋体" w:hAnsi="宋体" w:eastAsia="宋体"/>
                <w:color w:val="auto"/>
                <w:highlight w:val="none"/>
              </w:rPr>
              <w:br w:type="textWrapping"/>
            </w:r>
            <w:r>
              <w:rPr>
                <w:rFonts w:hint="eastAsia" w:ascii="宋体" w:hAnsi="宋体" w:eastAsia="宋体"/>
                <w:color w:val="auto"/>
                <w:highlight w:val="none"/>
              </w:rPr>
              <w:t>（9）支持中药养护单提取和记录。</w:t>
            </w:r>
          </w:p>
          <w:p w14:paraId="27B2E2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（10）支持代煎药品的一键生成采购、出入库单据。</w:t>
            </w:r>
          </w:p>
          <w:p w14:paraId="6737D0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（11）支持颗粒剂按转换比智能计算盘点量。</w:t>
            </w:r>
          </w:p>
          <w:p w14:paraId="42EB31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五、中药门诊借药</w:t>
            </w:r>
          </w:p>
          <w:p w14:paraId="6EDF8D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借药时候借药主记录填写（借药人，借药时间，借药科室，操作人，操作时间，是否已经还药），明细记录（药品名称，规格，借药数量，预还药时间），库存里需要有借药标识，不减少库存，库存查询时候可以某个药品的借药数量与实际数量；</w:t>
            </w:r>
          </w:p>
          <w:p w14:paraId="156C6C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（2）还药时需要记录还药时候，调出这条借药记录，填写还药时间，还药操作人，还药数量，明细记录里面的药全部还清以后，设置主记录的已经还药标志为还药。</w:t>
            </w:r>
          </w:p>
          <w:p w14:paraId="3BE66B4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六、夜间摆药</w:t>
            </w:r>
          </w:p>
          <w:p w14:paraId="3178B2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根据医嘱执行时间及病区为病区病人进行摆药。界面上方为医嘱开始时间、结束时间、病区、床号等产讯编辑区，界面中间为医嘱信息、摆药方式选择界面，界面下方为保存、打印、清屏、关闭等操作。</w:t>
            </w:r>
          </w:p>
          <w:p w14:paraId="7EBB084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七、完成代煎药房功能。</w:t>
            </w:r>
          </w:p>
        </w:tc>
      </w:tr>
      <w:tr w14:paraId="06B9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2DAE65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急诊药房管理系统</w:t>
            </w:r>
          </w:p>
        </w:tc>
        <w:tc>
          <w:tcPr>
            <w:tcW w:w="8032" w:type="dxa"/>
            <w:shd w:val="clear" w:color="auto" w:fill="FFFFFF"/>
            <w:noWrap/>
            <w:vAlign w:val="center"/>
          </w:tcPr>
          <w:p w14:paraId="0077C1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一、急诊发药</w:t>
            </w:r>
          </w:p>
          <w:p w14:paraId="74256C3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根据待发药记录为患者进行发药。</w:t>
            </w:r>
          </w:p>
          <w:p w14:paraId="6C97D4A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（1）根据病案号（手工录入、读卡、扫码等），调出病人类别，公费证号，性别，姓名，工作单位，年龄；</w:t>
            </w:r>
          </w:p>
          <w:p w14:paraId="744136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（2）显示本次就诊所有已交费的处方，显示处方药品明细信息；</w:t>
            </w:r>
          </w:p>
          <w:p w14:paraId="2B6D89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（3）勾选所有处方，进行发药。</w:t>
            </w:r>
          </w:p>
          <w:p w14:paraId="0F4CC7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二、急诊药品上架</w:t>
            </w:r>
          </w:p>
          <w:p w14:paraId="225044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（1）支持第三方货架硬件设备，药框和药架货位绑定；</w:t>
            </w:r>
          </w:p>
          <w:p w14:paraId="4A52665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（2）药品上架时患者信息上LED屏；</w:t>
            </w:r>
          </w:p>
          <w:p w14:paraId="3099D6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（3）支持药筐下架；</w:t>
            </w:r>
          </w:p>
          <w:p w14:paraId="201F72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（4）对于已经上架的药品，患者不来领取时候，可以解绑药篮和病人。但病人以后再来时要可以根据患者名称查询已经交费未发药的处方。</w:t>
            </w:r>
          </w:p>
          <w:p w14:paraId="1C67F3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三、急诊退药</w:t>
            </w:r>
          </w:p>
          <w:p w14:paraId="524DCF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根据患者ID或处方号进行急诊退药。</w:t>
            </w:r>
          </w:p>
          <w:p w14:paraId="5FED54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（1）支持已缴费未发药状态下的退药处理；</w:t>
            </w:r>
          </w:p>
          <w:p w14:paraId="5B3205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（2）支持已发药状态下退药处理；</w:t>
            </w:r>
          </w:p>
          <w:p w14:paraId="22665F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（3）支持处方全退；</w:t>
            </w:r>
          </w:p>
          <w:p w14:paraId="34B748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（4）支持按品种退药；</w:t>
            </w:r>
          </w:p>
          <w:p w14:paraId="253CE9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（5）支持按数量退药；</w:t>
            </w:r>
          </w:p>
          <w:p w14:paraId="720D94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（6）退药时候需要医生填写退药原因，药房能按照退药原因进行统计。</w:t>
            </w:r>
          </w:p>
          <w:p w14:paraId="376AB64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四、急诊库存管理</w:t>
            </w:r>
          </w:p>
          <w:p w14:paraId="795FAE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（1）急诊药品入库；</w:t>
            </w:r>
          </w:p>
          <w:p w14:paraId="1B020F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（2）急诊药品出库；</w:t>
            </w:r>
          </w:p>
          <w:p w14:paraId="4C687C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（3）急诊药品库存盘点；</w:t>
            </w:r>
          </w:p>
          <w:p w14:paraId="5EA9DB6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（4）急诊药品货位维护；</w:t>
            </w:r>
          </w:p>
          <w:p w14:paraId="1AC36C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（5）急诊药品请领；</w:t>
            </w:r>
          </w:p>
          <w:p w14:paraId="4CE586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（6）急诊药品库存消耗量查询；</w:t>
            </w:r>
          </w:p>
          <w:p w14:paraId="3BA90FA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（7）急诊药品流水账查询；</w:t>
            </w:r>
          </w:p>
          <w:p w14:paraId="144CB03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（8）急诊药品库存查询。</w:t>
            </w:r>
          </w:p>
          <w:p w14:paraId="50F463E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五、急诊借药（提供系统功能截图）</w:t>
            </w:r>
          </w:p>
          <w:p w14:paraId="260029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借药时候借药主记录填写（借药人，借药时间，借药科室，操作人，操作时间，是否已经还药），明细记录（药品名称，规格，借药数量，预还药时间），库存里需要有借药标识，不减少库存，库存查询时候可以某个药品的借药数量与实际数量；</w:t>
            </w:r>
          </w:p>
          <w:p w14:paraId="30AF4F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（2）还药时需要记录还药时间，调出这条借药记录，填写还药时间，还药操作人，还药数量，明细记录里面的药全部还清以后，设置主记录的已经还药标志为还药。</w:t>
            </w:r>
          </w:p>
          <w:p w14:paraId="1012CD4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六、精麻药处方审核控制</w:t>
            </w:r>
          </w:p>
          <w:p w14:paraId="69EF97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药库维护这一类药品时候，可以填写最大使用天数，最大单次使用剂量。但是针对某个医生可以具体设置某一类药品可以不受这个限制，由药库管理人员给予调整这两个指标。</w:t>
            </w:r>
          </w:p>
          <w:p w14:paraId="0A52966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七、夜间摆药</w:t>
            </w:r>
          </w:p>
          <w:p w14:paraId="6DCA054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根据医嘱执行时间及病区为病区病人进行摆药。界面上方为医嘱开始时间、结束时间、病区、床号等产讯编辑区，界面中间为医嘱信息、摆药方式选择界面，界面下方为保存、打印、清屏、关闭等操作。</w:t>
            </w:r>
          </w:p>
          <w:p w14:paraId="40D10F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八、自备药管理</w:t>
            </w:r>
          </w:p>
        </w:tc>
      </w:tr>
      <w:tr w14:paraId="270B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50F79A2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住院西药房管理系统</w:t>
            </w:r>
          </w:p>
        </w:tc>
        <w:tc>
          <w:tcPr>
            <w:tcW w:w="8032" w:type="dxa"/>
            <w:shd w:val="clear" w:color="auto" w:fill="FFFFFF"/>
            <w:noWrap/>
            <w:vAlign w:val="center"/>
          </w:tcPr>
          <w:p w14:paraId="7C9E16C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可自动获取药品名称、规格、批号、价格、生产厂家、药品来源、药品剂型、属性、类别和住院患者等药品基本信息；</w:t>
            </w:r>
          </w:p>
          <w:p w14:paraId="0179215F">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有分别按患者的临时医嘱和长期医嘱执行确认上帐功能，并自动生成针剂、片剂、输液、毒麻和其它等类型的摆药单和统领单，同时追踪各药品的库存及患者的押金等，打印中草药处方单，并实现对特殊医嘱、隔日医嘱等的处理；</w:t>
            </w:r>
          </w:p>
          <w:p w14:paraId="1710F785">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提供科室、病房基数药管理与核算统计分析功能；</w:t>
            </w:r>
          </w:p>
          <w:p w14:paraId="30A7DD5F">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提供查询和打印药品的出库明细功能；</w:t>
            </w:r>
          </w:p>
          <w:p w14:paraId="1EBF9F9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可自动生成药品进药计划申请单，并发往药库；</w:t>
            </w:r>
          </w:p>
          <w:p w14:paraId="22D30D9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提供对药库发到本药房的药品的出库单进行入库确认；</w:t>
            </w:r>
          </w:p>
          <w:p w14:paraId="261BAE4B">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提供本药房药品的调拨、盘点、报损、调换和退药功能；</w:t>
            </w:r>
          </w:p>
          <w:p w14:paraId="36A9931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具有药房药品的日结、月结功能，并自动比较会计帐及实物帐的平衡关系；</w:t>
            </w:r>
          </w:p>
          <w:p w14:paraId="5D1CF6F3">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药品有效期管理及毒麻药品等的管理同药品库房管理中的规定；</w:t>
            </w:r>
          </w:p>
          <w:p w14:paraId="7C0D0681">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支持多个住院药房管理；</w:t>
            </w:r>
          </w:p>
          <w:p w14:paraId="30934F64">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支持药品批次管理。</w:t>
            </w:r>
          </w:p>
          <w:p w14:paraId="6DDD9970">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支持医技科室药柜的一体化管理。支持维护备用药目录；支持医技科室自主申请消耗补充。</w:t>
            </w:r>
          </w:p>
          <w:p w14:paraId="4AACD5EA">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支持病区药柜的一体化管理。支持维护病区备用药目录；支持病区备用药开立使用与补充。</w:t>
            </w:r>
          </w:p>
          <w:p w14:paraId="65397F06">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支持病区用药借还冲销（抵扣）模式发放管理。支持病区退药进入抵扣发放；支持病区查看抵扣详情；支持药房管理抵扣明细账务；</w:t>
            </w:r>
          </w:p>
          <w:p w14:paraId="67899ADB">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支持精麻药品闭环流程管理。</w:t>
            </w:r>
          </w:p>
          <w:p w14:paraId="78977F0A">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支持病区和医技科室基数药品申领备用流程。</w:t>
            </w:r>
          </w:p>
          <w:p w14:paraId="29FF099D">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支持药房与药房之间的调拨功能。</w:t>
            </w:r>
          </w:p>
          <w:p w14:paraId="402C356E">
            <w:pPr>
              <w:numPr>
                <w:ilvl w:val="0"/>
                <w:numId w:val="24"/>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支持跨药房发药、代发药模式；支持扣减实际发药药房库存。</w:t>
            </w:r>
          </w:p>
        </w:tc>
      </w:tr>
      <w:tr w14:paraId="7DF4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7165ED2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抗生素管理系统</w:t>
            </w:r>
          </w:p>
        </w:tc>
        <w:tc>
          <w:tcPr>
            <w:tcW w:w="8032" w:type="dxa"/>
            <w:shd w:val="clear" w:color="auto" w:fill="FFFFFF"/>
            <w:noWrap/>
            <w:vAlign w:val="center"/>
          </w:tcPr>
          <w:p w14:paraId="792EC5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w:t>
            </w:r>
            <w:r>
              <w:rPr>
                <w:rFonts w:hint="eastAsia" w:ascii="宋体" w:hAnsi="宋体" w:eastAsia="宋体"/>
                <w:color w:val="auto"/>
                <w:highlight w:val="none"/>
              </w:rPr>
              <w:tab/>
            </w:r>
            <w:r>
              <w:rPr>
                <w:rFonts w:hint="eastAsia" w:ascii="宋体" w:hAnsi="宋体" w:eastAsia="宋体"/>
                <w:color w:val="auto"/>
                <w:highlight w:val="none"/>
              </w:rPr>
              <w:t>抗生素开立管理</w:t>
            </w:r>
          </w:p>
          <w:p w14:paraId="60C49E9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（1）抗生素开立权限的维护</w:t>
            </w:r>
          </w:p>
          <w:p w14:paraId="1119442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根据医生不同的权限，维护抗生素的开立权。</w:t>
            </w:r>
          </w:p>
          <w:p w14:paraId="25748D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（2）抗生素会诊申请</w:t>
            </w:r>
          </w:p>
          <w:p w14:paraId="1F5F9A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医生要求开具特殊使用级抗菌药物时，需要提交会诊申请，会诊同意后才能开立。</w:t>
            </w:r>
          </w:p>
          <w:p w14:paraId="0A27DD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（3）应急抗生素管理</w:t>
            </w:r>
          </w:p>
          <w:p w14:paraId="27CE569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如果情况特殊，比如值夜班时，临时找不到有达到权限的医生（医生账号密码不能给别人），可以在提示没有权限时，选择应急开立，此时需要填写原因。但是个人的应急开立等级也需要进行控制和维护，只有达到应急开立等级级别才能应急开立这个级别及以下的抗生素。</w:t>
            </w:r>
          </w:p>
          <w:p w14:paraId="7A84E8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（4）手术推荐抗生素使用</w:t>
            </w:r>
          </w:p>
          <w:p w14:paraId="1DBBE1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记抗生素药品时，选择预防，手术预防，选择手术名称时，匹配是否符合手术抗生素推荐用药，如果不符合，会出现推荐用药和不适用推荐用药理由，两个输入框，如果选择推荐用药，则会替换之前医生开立的抗生素，如果不使用推荐用药，必须填写不使用推荐用药理由，才能保存。</w:t>
            </w:r>
          </w:p>
          <w:p w14:paraId="5A55B81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（5）抗生素疗程管理</w:t>
            </w:r>
          </w:p>
          <w:p w14:paraId="6520309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针对非限制级抗菌药物的疗程控制，7天一个疗程，需提醒医生。</w:t>
            </w:r>
          </w:p>
          <w:p w14:paraId="72FAD8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hint="eastAsia" w:ascii="宋体" w:hAnsi="宋体" w:eastAsia="宋体"/>
                <w:color w:val="auto"/>
                <w:highlight w:val="none"/>
              </w:rPr>
              <w:tab/>
            </w:r>
            <w:r>
              <w:rPr>
                <w:rFonts w:hint="eastAsia" w:ascii="宋体" w:hAnsi="宋体" w:eastAsia="宋体"/>
                <w:color w:val="auto"/>
                <w:highlight w:val="none"/>
              </w:rPr>
              <w:t>抗生素使用查询</w:t>
            </w:r>
          </w:p>
          <w:p w14:paraId="541B7C0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（1）抗生素使用百分率（要求有2个选项，包括出院带药与不含出院带药）；</w:t>
            </w:r>
          </w:p>
          <w:p w14:paraId="73D008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（2）抗菌药物使用强度（要求有2个选项，包括出院带药与不含出院带药）；</w:t>
            </w:r>
          </w:p>
          <w:p w14:paraId="058691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（3）门诊/急诊使用抗菌药物人次比率；</w:t>
            </w:r>
          </w:p>
          <w:p w14:paraId="4A4C40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（4）基药使用率；</w:t>
            </w:r>
          </w:p>
          <w:p w14:paraId="6734087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（5）抗生素使用强度的前三位药品；</w:t>
            </w:r>
          </w:p>
          <w:p w14:paraId="309E21B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（6）I类、介入切口手术抗菌药物预防使用率。</w:t>
            </w:r>
          </w:p>
        </w:tc>
      </w:tr>
    </w:tbl>
    <w:p w14:paraId="476C376E">
      <w:pPr>
        <w:pStyle w:val="4"/>
        <w:numPr>
          <w:ilvl w:val="2"/>
          <w:numId w:val="2"/>
        </w:numPr>
        <w:rPr>
          <w:color w:val="auto"/>
          <w:highlight w:val="none"/>
        </w:rPr>
      </w:pPr>
      <w:r>
        <w:rPr>
          <w:rFonts w:hint="eastAsia"/>
          <w:color w:val="auto"/>
          <w:highlight w:val="none"/>
        </w:rPr>
        <w:t>医保管理系统</w:t>
      </w:r>
    </w:p>
    <w:tbl>
      <w:tblPr>
        <w:tblStyle w:val="6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54"/>
        <w:gridCol w:w="8032"/>
      </w:tblGrid>
      <w:tr w14:paraId="413F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326C23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32" w:type="dxa"/>
            <w:shd w:val="clear" w:color="auto" w:fill="FFFFFF"/>
            <w:noWrap/>
            <w:vAlign w:val="center"/>
          </w:tcPr>
          <w:p w14:paraId="424EDFA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4159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54" w:type="dxa"/>
            <w:shd w:val="clear" w:color="auto" w:fill="FFFFFF"/>
            <w:noWrap/>
            <w:vAlign w:val="center"/>
          </w:tcPr>
          <w:p w14:paraId="0030206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医保接口系统</w:t>
            </w:r>
          </w:p>
        </w:tc>
        <w:tc>
          <w:tcPr>
            <w:tcW w:w="8032" w:type="dxa"/>
            <w:shd w:val="clear" w:color="auto" w:fill="FFFFFF"/>
            <w:noWrap/>
            <w:vAlign w:val="center"/>
          </w:tcPr>
          <w:p w14:paraId="4DEE99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功能要求如下：</w:t>
            </w:r>
          </w:p>
          <w:p w14:paraId="6441FD5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1、医保结算</w:t>
            </w:r>
          </w:p>
          <w:p w14:paraId="5E7975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（1）支持城镇职工、城镇居民、新农合、其他医保类型；支持特殊类型医疗保险结算对接与管理，如生育保险、工伤保险、单病种、门诊慢特病、健康体检等； </w:t>
            </w:r>
          </w:p>
          <w:p w14:paraId="3FDB54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支持实时或定时的从上级医保部门下载更新的药品目录、诊疗目录、服务设施目录、黑名单、各种政策参数、政策审核函数、医疗保险结算表、医疗保险拒付明细、对帐单等，并根据政策要求对药品目录、诊疗目录、服务设施目录、黑名单进行对照维护；</w:t>
            </w:r>
          </w:p>
          <w:p w14:paraId="25D7E4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（3）医保、惠民上传内容及处理：支持按医保、惠民要求实时或定时向上级医保部门、惠民报名上传数据，确保上传数据与医院信息系统中保留的数据的一致性；支持医保费用病区自助上传；</w:t>
            </w:r>
          </w:p>
          <w:p w14:paraId="1814587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（4）支持提供患者汇总和明细费用数据，提供现有费用查询系统接口；</w:t>
            </w:r>
          </w:p>
          <w:p w14:paraId="5FE362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（5）支持医保相关报表（包括医保电子凭证考核报表）、统计、对账等，可实现医保长款自动定位，冲正；</w:t>
            </w:r>
          </w:p>
          <w:p w14:paraId="7D26498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（6）电子发票接口改造：实现门诊、住院各流程电子发票对接、打印等功能，并支持通过自助终端打印；</w:t>
            </w:r>
          </w:p>
          <w:p w14:paraId="53AC817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（7）支持医保适应症提醒，个性化配置收费项目医保适应症提醒内容；支持按门诊住院类别、全部/医保/自费的费别、针对性的设置控制级别为强制/提醒的控费规则。</w:t>
            </w:r>
          </w:p>
          <w:p w14:paraId="7E9D5B7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（8）支持医保医师、医保护师等对照维护；支持电子病历自动定时上传。</w:t>
            </w:r>
          </w:p>
          <w:p w14:paraId="494AF4F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2、公费医疗接口开发</w:t>
            </w:r>
          </w:p>
          <w:p w14:paraId="0B71559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按照医保中心文档，完成医保接口的开发，生成动态库，通过门诊收费程序和出入院程序，调用动态库进行无缝链接，完成医保业务。</w:t>
            </w:r>
          </w:p>
        </w:tc>
      </w:tr>
    </w:tbl>
    <w:p w14:paraId="13B9B82B">
      <w:pPr>
        <w:pStyle w:val="4"/>
        <w:numPr>
          <w:ilvl w:val="2"/>
          <w:numId w:val="2"/>
        </w:numPr>
        <w:rPr>
          <w:color w:val="auto"/>
          <w:highlight w:val="none"/>
        </w:rPr>
      </w:pPr>
      <w:r>
        <w:rPr>
          <w:rFonts w:hint="eastAsia"/>
          <w:color w:val="auto"/>
          <w:highlight w:val="none"/>
        </w:rPr>
        <w:t>手术分级管理系统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E0C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81E450A">
            <w:pPr>
              <w:adjustRightInd w:val="0"/>
              <w:snapToGrid w:val="0"/>
              <w:spacing w:before="60" w:after="60" w:line="360" w:lineRule="auto"/>
              <w:rPr>
                <w:rFonts w:hint="eastAsia" w:ascii="宋体" w:hAnsi="宋体" w:eastAsia="宋体"/>
                <w:b/>
                <w:bCs/>
                <w:color w:val="auto"/>
                <w:highlight w:val="none"/>
              </w:rPr>
            </w:pPr>
            <w:bookmarkStart w:id="53" w:name="OLE_LINK10"/>
            <w:r>
              <w:rPr>
                <w:rFonts w:hint="eastAsia" w:ascii="宋体" w:hAnsi="宋体" w:eastAsia="宋体"/>
                <w:b/>
                <w:bCs/>
                <w:color w:val="auto"/>
                <w:highlight w:val="none"/>
              </w:rPr>
              <w:t>系统名称</w:t>
            </w:r>
          </w:p>
        </w:tc>
        <w:tc>
          <w:tcPr>
            <w:tcW w:w="7789" w:type="dxa"/>
            <w:vAlign w:val="center"/>
          </w:tcPr>
          <w:p w14:paraId="01C76440">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159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2529A90">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手术分级</w:t>
            </w:r>
          </w:p>
          <w:p w14:paraId="717F13BB">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5AF6688D">
            <w:pPr>
              <w:widowControl w:val="0"/>
              <w:numPr>
                <w:ilvl w:val="0"/>
                <w:numId w:val="0"/>
              </w:numPr>
              <w:adjustRightInd w:val="0"/>
              <w:snapToGrid w:val="0"/>
              <w:spacing w:before="60" w:after="60" w:line="360" w:lineRule="auto"/>
              <w:jc w:val="left"/>
              <w:rPr>
                <w:rFonts w:hint="eastAsia" w:ascii="宋体" w:hAnsi="宋体" w:eastAsia="宋体"/>
                <w:color w:val="auto"/>
                <w:highlight w:val="none"/>
              </w:rPr>
            </w:pPr>
            <w:r>
              <w:rPr>
                <w:rFonts w:hint="eastAsia" w:ascii="宋体" w:hAnsi="宋体"/>
                <w:color w:val="auto"/>
                <w:highlight w:val="none"/>
                <w:lang w:val="en-US" w:eastAsia="zh-CN"/>
              </w:rPr>
              <w:t>1、</w:t>
            </w:r>
            <w:r>
              <w:rPr>
                <w:rFonts w:ascii="宋体" w:hAnsi="宋体" w:eastAsia="宋体"/>
                <w:color w:val="auto"/>
                <w:highlight w:val="none"/>
              </w:rPr>
              <w:t>支持定义手术</w:t>
            </w:r>
            <w:r>
              <w:rPr>
                <w:rFonts w:hint="eastAsia" w:ascii="宋体" w:hAnsi="宋体" w:eastAsia="宋体"/>
                <w:color w:val="auto"/>
                <w:highlight w:val="none"/>
              </w:rPr>
              <w:t>字典</w:t>
            </w:r>
            <w:r>
              <w:rPr>
                <w:rFonts w:ascii="宋体" w:hAnsi="宋体" w:eastAsia="宋体"/>
                <w:color w:val="auto"/>
                <w:highlight w:val="none"/>
              </w:rPr>
              <w:t>信息，包括</w:t>
            </w:r>
            <w:r>
              <w:rPr>
                <w:rFonts w:hint="eastAsia" w:ascii="宋体" w:hAnsi="宋体" w:eastAsia="宋体"/>
                <w:color w:val="auto"/>
                <w:highlight w:val="none"/>
              </w:rPr>
              <w:t>手术编码、手术名称、</w:t>
            </w:r>
            <w:r>
              <w:rPr>
                <w:rFonts w:ascii="宋体" w:hAnsi="宋体" w:eastAsia="宋体"/>
                <w:color w:val="auto"/>
                <w:highlight w:val="none"/>
              </w:rPr>
              <w:t>手术等级</w:t>
            </w:r>
            <w:r>
              <w:rPr>
                <w:rFonts w:hint="eastAsia" w:ascii="宋体" w:hAnsi="宋体" w:eastAsia="宋体"/>
                <w:color w:val="auto"/>
                <w:highlight w:val="none"/>
              </w:rPr>
              <w:t>、国考等级、操作类别、备皮标识等；</w:t>
            </w:r>
          </w:p>
          <w:p w14:paraId="1873281B">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2、</w:t>
            </w:r>
            <w:r>
              <w:rPr>
                <w:color w:val="auto"/>
                <w:highlight w:val="none"/>
              </w:rPr>
              <w:t>支持定义各科室可开展的手术，及每个医生可开展的手术，支持定义其间的关联关系</w:t>
            </w:r>
            <w:r>
              <w:rPr>
                <w:rFonts w:hint="eastAsia"/>
                <w:color w:val="auto"/>
                <w:highlight w:val="none"/>
              </w:rPr>
              <w:t>。</w:t>
            </w:r>
          </w:p>
          <w:p w14:paraId="04147F89">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3、</w:t>
            </w:r>
            <w:r>
              <w:rPr>
                <w:rFonts w:hint="eastAsia" w:ascii="宋体" w:hAnsi="宋体" w:eastAsia="宋体"/>
                <w:color w:val="auto"/>
                <w:highlight w:val="none"/>
              </w:rPr>
              <w:t>支持手术申请时管控只能开立主刀医师授权范围内的手术；</w:t>
            </w:r>
          </w:p>
          <w:p w14:paraId="7115F77E">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4、</w:t>
            </w:r>
            <w:r>
              <w:rPr>
                <w:rFonts w:hint="eastAsia" w:ascii="宋体" w:hAnsi="宋体" w:eastAsia="宋体"/>
                <w:color w:val="auto"/>
                <w:highlight w:val="none"/>
              </w:rPr>
              <w:t>支持开立手术申请时有术前必备项目校验，检测特定时间内是否已开立特定检查检验项目；</w:t>
            </w:r>
          </w:p>
          <w:p w14:paraId="706C5A3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5、</w:t>
            </w:r>
            <w:r>
              <w:rPr>
                <w:rFonts w:hint="eastAsia" w:ascii="宋体" w:hAnsi="宋体" w:eastAsia="宋体"/>
                <w:color w:val="auto"/>
                <w:highlight w:val="none"/>
              </w:rPr>
              <w:t>支持控制相同日期相同手术名称不允许重复开立；</w:t>
            </w:r>
          </w:p>
          <w:p w14:paraId="62DE96A9">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6、</w:t>
            </w:r>
            <w:r>
              <w:rPr>
                <w:rFonts w:hint="eastAsia" w:ascii="宋体" w:hAnsi="宋体" w:eastAsia="宋体"/>
                <w:color w:val="auto"/>
                <w:highlight w:val="none"/>
              </w:rPr>
              <w:t>支持统计手术室工作量；</w:t>
            </w:r>
          </w:p>
          <w:p w14:paraId="7B804A6F">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7、</w:t>
            </w:r>
            <w:r>
              <w:rPr>
                <w:rFonts w:hint="eastAsia" w:ascii="宋体" w:hAnsi="宋体" w:eastAsia="宋体"/>
                <w:color w:val="auto"/>
                <w:highlight w:val="none"/>
              </w:rPr>
              <w:t>支持查询患者多次手术信息；</w:t>
            </w:r>
          </w:p>
        </w:tc>
      </w:tr>
      <w:bookmarkEnd w:id="53"/>
    </w:tbl>
    <w:p w14:paraId="6854E13A">
      <w:pPr>
        <w:rPr>
          <w:color w:val="auto"/>
          <w:highlight w:val="none"/>
        </w:rPr>
      </w:pPr>
    </w:p>
    <w:p w14:paraId="1353AFE7">
      <w:pPr>
        <w:pStyle w:val="4"/>
        <w:numPr>
          <w:ilvl w:val="2"/>
          <w:numId w:val="2"/>
        </w:numPr>
        <w:rPr>
          <w:color w:val="auto"/>
          <w:highlight w:val="none"/>
        </w:rPr>
      </w:pPr>
      <w:r>
        <w:rPr>
          <w:rFonts w:hint="eastAsia"/>
          <w:color w:val="auto"/>
          <w:highlight w:val="none"/>
        </w:rPr>
        <w:t>危急值管理系统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BE3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0859458">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197BA8E">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2686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19C7E2DE">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危急值</w:t>
            </w:r>
          </w:p>
          <w:p w14:paraId="5C7E08BF">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627DCAC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1、</w:t>
            </w:r>
            <w:r>
              <w:rPr>
                <w:rFonts w:ascii="宋体" w:hAnsi="宋体" w:eastAsia="宋体"/>
                <w:color w:val="auto"/>
                <w:highlight w:val="none"/>
              </w:rPr>
              <w:t>支持</w:t>
            </w:r>
            <w:r>
              <w:rPr>
                <w:rFonts w:hint="eastAsia" w:ascii="宋体" w:hAnsi="宋体" w:eastAsia="宋体"/>
                <w:color w:val="auto"/>
                <w:highlight w:val="none"/>
              </w:rPr>
              <w:t>维护危急值模板，可按危急值名称维护对应的医嘱套餐；</w:t>
            </w:r>
          </w:p>
          <w:p w14:paraId="0FDEB0A8">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2、</w:t>
            </w:r>
            <w:r>
              <w:rPr>
                <w:rFonts w:hint="eastAsia"/>
                <w:color w:val="auto"/>
                <w:highlight w:val="none"/>
              </w:rPr>
              <w:t>支持与医技系统对接，将产生的危急值通过短信、系统消息等形式推送并提醒医师、护士。</w:t>
            </w:r>
          </w:p>
          <w:p w14:paraId="5FD4EB2D">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3、</w:t>
            </w:r>
            <w:r>
              <w:rPr>
                <w:rFonts w:hint="eastAsia" w:ascii="宋体" w:hAnsi="宋体" w:eastAsia="宋体"/>
                <w:color w:val="auto"/>
                <w:highlight w:val="none"/>
              </w:rPr>
              <w:t>支持医师接收并处理危急值，可通过对应的处理模板快速下达医嘱；护士超时未处理医嘱可产生消息提醒护士；</w:t>
            </w:r>
          </w:p>
          <w:p w14:paraId="769658D1">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4、</w:t>
            </w:r>
            <w:r>
              <w:rPr>
                <w:rFonts w:hint="eastAsia" w:ascii="宋体" w:hAnsi="宋体" w:eastAsia="宋体"/>
                <w:color w:val="auto"/>
                <w:highlight w:val="none"/>
              </w:rPr>
              <w:t>支持医生在多终端适配的危急值移动处理模块，支持医师通过移动端设备实时接收检查、检验等系统推送的危急值信息，并能进行处理，填写处理意见；</w:t>
            </w:r>
          </w:p>
          <w:p w14:paraId="13D57FFE">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5、</w:t>
            </w:r>
            <w:r>
              <w:rPr>
                <w:rFonts w:hint="eastAsia" w:ascii="宋体" w:hAnsi="宋体" w:eastAsia="宋体"/>
                <w:color w:val="auto"/>
                <w:highlight w:val="none"/>
              </w:rPr>
              <w:t>支持病区护士接收并处理危急值；</w:t>
            </w:r>
          </w:p>
          <w:p w14:paraId="2F276FBA">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6、</w:t>
            </w:r>
            <w:r>
              <w:rPr>
                <w:rFonts w:hint="eastAsia"/>
                <w:color w:val="auto"/>
                <w:highlight w:val="none"/>
              </w:rPr>
              <w:t>支持医师通过危急值记录书写危急值病程记录文书，内容可自动导入；</w:t>
            </w:r>
          </w:p>
          <w:p w14:paraId="04F3FD53">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color w:val="auto"/>
                <w:highlight w:val="none"/>
                <w:lang w:val="en-US" w:eastAsia="zh-CN"/>
              </w:rPr>
              <w:t>7、</w:t>
            </w:r>
            <w:r>
              <w:rPr>
                <w:rFonts w:hint="eastAsia" w:ascii="宋体" w:hAnsi="宋体" w:eastAsia="宋体"/>
                <w:color w:val="auto"/>
                <w:highlight w:val="none"/>
              </w:rPr>
              <w:t>门急诊患者再次就诊时支持危急值复诊提醒；</w:t>
            </w:r>
          </w:p>
          <w:p w14:paraId="5204FA86">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8、</w:t>
            </w:r>
            <w:r>
              <w:rPr>
                <w:rFonts w:hint="eastAsia"/>
                <w:color w:val="auto"/>
                <w:highlight w:val="none"/>
              </w:rPr>
              <w:t>支持</w:t>
            </w:r>
            <w:r>
              <w:rPr>
                <w:color w:val="auto"/>
                <w:highlight w:val="none"/>
              </w:rPr>
              <w:t>危急值确认后，能将相关信息反馈至发送危急值的对应系统，形成危急值闭环，并支持医生站和护士站查看危急值闭环，进行各流程节点</w:t>
            </w:r>
            <w:r>
              <w:rPr>
                <w:rFonts w:hint="eastAsia"/>
                <w:color w:val="auto"/>
                <w:highlight w:val="none"/>
              </w:rPr>
              <w:t>及时间轴</w:t>
            </w:r>
            <w:r>
              <w:rPr>
                <w:color w:val="auto"/>
                <w:highlight w:val="none"/>
              </w:rPr>
              <w:t>的追溯。</w:t>
            </w:r>
          </w:p>
          <w:p w14:paraId="1D7178A2">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9、</w:t>
            </w:r>
            <w:r>
              <w:rPr>
                <w:rFonts w:hint="eastAsia"/>
                <w:color w:val="auto"/>
                <w:highlight w:val="none"/>
              </w:rPr>
              <w:t>支持</w:t>
            </w:r>
            <w:r>
              <w:rPr>
                <w:color w:val="auto"/>
                <w:highlight w:val="none"/>
              </w:rPr>
              <w:t>提供医生护士接收危急值统计，支持导出统计表</w:t>
            </w:r>
            <w:r>
              <w:rPr>
                <w:rFonts w:hint="eastAsia"/>
                <w:color w:val="auto"/>
                <w:highlight w:val="none"/>
              </w:rPr>
              <w:t>；</w:t>
            </w:r>
          </w:p>
          <w:p w14:paraId="2AD2DA07">
            <w:pPr>
              <w:widowControl w:val="0"/>
              <w:numPr>
                <w:ilvl w:val="0"/>
                <w:numId w:val="0"/>
              </w:numPr>
              <w:adjustRightInd w:val="0"/>
              <w:snapToGrid w:val="0"/>
              <w:spacing w:before="60" w:after="60" w:line="360" w:lineRule="auto"/>
              <w:jc w:val="both"/>
              <w:rPr>
                <w:rFonts w:hint="eastAsia" w:ascii="宋体" w:hAnsi="宋体" w:eastAsia="宋体"/>
                <w:color w:val="auto"/>
                <w:highlight w:val="none"/>
              </w:rPr>
            </w:pPr>
            <w:r>
              <w:rPr>
                <w:rFonts w:hint="eastAsia"/>
                <w:color w:val="auto"/>
                <w:highlight w:val="none"/>
                <w:lang w:val="en-US" w:eastAsia="zh-CN"/>
              </w:rPr>
              <w:t>10、</w:t>
            </w:r>
            <w:r>
              <w:rPr>
                <w:rFonts w:hint="eastAsia"/>
                <w:color w:val="auto"/>
                <w:highlight w:val="none"/>
              </w:rPr>
              <w:t>支持</w:t>
            </w:r>
            <w:r>
              <w:rPr>
                <w:color w:val="auto"/>
                <w:highlight w:val="none"/>
              </w:rPr>
              <w:t>提供危急值及时率分析，支持导出统计表</w:t>
            </w:r>
            <w:r>
              <w:rPr>
                <w:rFonts w:hint="eastAsia"/>
                <w:color w:val="auto"/>
                <w:highlight w:val="none"/>
              </w:rPr>
              <w:t>；</w:t>
            </w:r>
          </w:p>
        </w:tc>
      </w:tr>
    </w:tbl>
    <w:p w14:paraId="0B014FBE">
      <w:pPr>
        <w:rPr>
          <w:color w:val="auto"/>
          <w:highlight w:val="none"/>
        </w:rPr>
      </w:pPr>
    </w:p>
    <w:p w14:paraId="0CFFE864">
      <w:pPr>
        <w:pStyle w:val="4"/>
        <w:numPr>
          <w:ilvl w:val="2"/>
          <w:numId w:val="2"/>
        </w:numPr>
        <w:rPr>
          <w:color w:val="auto"/>
          <w:highlight w:val="none"/>
        </w:rPr>
      </w:pPr>
      <w:r>
        <w:rPr>
          <w:rFonts w:hint="eastAsia"/>
          <w:color w:val="auto"/>
          <w:highlight w:val="none"/>
        </w:rPr>
        <w:t>疾病报卡系统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3573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F34236E">
            <w:pPr>
              <w:adjustRightInd w:val="0"/>
              <w:snapToGrid w:val="0"/>
              <w:spacing w:before="60" w:after="60" w:line="360" w:lineRule="auto"/>
              <w:rPr>
                <w:rFonts w:hint="eastAsia" w:ascii="宋体" w:hAnsi="宋体" w:eastAsia="宋体"/>
                <w:b/>
                <w:bCs/>
                <w:color w:val="auto"/>
                <w:highlight w:val="none"/>
              </w:rPr>
            </w:pPr>
            <w:bookmarkStart w:id="54" w:name="OLE_LINK12"/>
            <w:r>
              <w:rPr>
                <w:rFonts w:hint="eastAsia" w:ascii="宋体" w:hAnsi="宋体" w:eastAsia="宋体"/>
                <w:b/>
                <w:bCs/>
                <w:color w:val="auto"/>
                <w:highlight w:val="none"/>
              </w:rPr>
              <w:t>系统名称</w:t>
            </w:r>
          </w:p>
        </w:tc>
        <w:tc>
          <w:tcPr>
            <w:tcW w:w="7789" w:type="dxa"/>
            <w:vAlign w:val="center"/>
          </w:tcPr>
          <w:p w14:paraId="099D7D3F">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D0F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BDCBCB1">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疾病报</w:t>
            </w:r>
          </w:p>
          <w:p w14:paraId="415372E9">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卡系统</w:t>
            </w:r>
          </w:p>
        </w:tc>
        <w:tc>
          <w:tcPr>
            <w:tcW w:w="7789" w:type="dxa"/>
            <w:vAlign w:val="center"/>
          </w:tcPr>
          <w:p w14:paraId="3F8D748F">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支持对接国家传染病报卡系统，实现传染病报卡全流程管理；</w:t>
            </w:r>
          </w:p>
          <w:p w14:paraId="2ED0B7FF">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支持其他类型报卡:</w:t>
            </w:r>
            <w:r>
              <w:rPr>
                <w:color w:val="auto"/>
                <w:highlight w:val="none"/>
              </w:rPr>
              <w:t xml:space="preserve"> </w:t>
            </w:r>
            <w:r>
              <w:rPr>
                <w:rFonts w:hint="eastAsia"/>
                <w:color w:val="auto"/>
                <w:highlight w:val="none"/>
              </w:rPr>
              <w:t>肿瘤病报卡、糖尿病报卡、冠心病及脑卒中报卡、慢阻肺报卡、食源性疾病报卡、</w:t>
            </w:r>
            <w:r>
              <w:rPr>
                <w:color w:val="auto"/>
                <w:highlight w:val="none"/>
              </w:rPr>
              <w:t>职业中毒</w:t>
            </w:r>
            <w:r>
              <w:rPr>
                <w:rFonts w:hint="eastAsia"/>
                <w:color w:val="auto"/>
                <w:highlight w:val="none"/>
              </w:rPr>
              <w:t>报卡</w:t>
            </w:r>
            <w:r>
              <w:rPr>
                <w:color w:val="auto"/>
                <w:highlight w:val="none"/>
              </w:rPr>
              <w:t>、农药中毒报</w:t>
            </w:r>
            <w:r>
              <w:rPr>
                <w:rFonts w:hint="eastAsia"/>
                <w:color w:val="auto"/>
                <w:highlight w:val="none"/>
              </w:rPr>
              <w:t>卡、</w:t>
            </w:r>
            <w:r>
              <w:rPr>
                <w:color w:val="auto"/>
                <w:highlight w:val="none"/>
              </w:rPr>
              <w:t>医</w:t>
            </w:r>
            <w:r>
              <w:rPr>
                <w:rFonts w:hint="eastAsia"/>
                <w:color w:val="auto"/>
                <w:highlight w:val="none"/>
              </w:rPr>
              <w:t>高温中暑报卡、死亡报卡</w:t>
            </w:r>
            <w:r>
              <w:rPr>
                <w:rFonts w:hint="eastAsia" w:ascii="宋体" w:hAnsi="宋体" w:eastAsia="宋体"/>
                <w:color w:val="auto"/>
                <w:highlight w:val="none"/>
              </w:rPr>
              <w:t>；</w:t>
            </w:r>
          </w:p>
          <w:p w14:paraId="5241F363">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支持设置是否强制报卡，强制报卡；</w:t>
            </w:r>
          </w:p>
          <w:p w14:paraId="65260320">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支持主动报卡或被动报卡设置，主动报卡时</w:t>
            </w:r>
            <w:r>
              <w:rPr>
                <w:rFonts w:hint="eastAsia"/>
                <w:color w:val="auto"/>
                <w:highlight w:val="none"/>
              </w:rPr>
              <w:t>系统可依据诊断自动提示或预警医生报卡</w:t>
            </w:r>
            <w:r>
              <w:rPr>
                <w:rFonts w:hint="eastAsia" w:ascii="宋体" w:hAnsi="宋体" w:eastAsia="宋体"/>
                <w:color w:val="auto"/>
                <w:highlight w:val="none"/>
              </w:rPr>
              <w:t>；</w:t>
            </w:r>
          </w:p>
          <w:p w14:paraId="61798119">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重复报卡、漏报筛查</w:t>
            </w:r>
            <w:r>
              <w:rPr>
                <w:rFonts w:hint="eastAsia"/>
                <w:color w:val="auto"/>
                <w:highlight w:val="none"/>
              </w:rPr>
              <w:t>，</w:t>
            </w:r>
            <w:r>
              <w:rPr>
                <w:color w:val="auto"/>
                <w:highlight w:val="none"/>
              </w:rPr>
              <w:t>系统能快速发现同一病人不同医生重复报卡情况，提示医生进行订正报卡或新增报卡。</w:t>
            </w:r>
          </w:p>
          <w:p w14:paraId="76F68CB2">
            <w:pPr>
              <w:widowControl w:val="0"/>
              <w:numPr>
                <w:ilvl w:val="0"/>
                <w:numId w:val="25"/>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支持按时间日期及患者I</w:t>
            </w:r>
            <w:r>
              <w:rPr>
                <w:color w:val="auto"/>
                <w:highlight w:val="none"/>
              </w:rPr>
              <w:t>D</w:t>
            </w:r>
            <w:r>
              <w:rPr>
                <w:rFonts w:hint="eastAsia"/>
                <w:color w:val="auto"/>
                <w:highlight w:val="none"/>
              </w:rPr>
              <w:t>等对上报事件进行查询统计。</w:t>
            </w:r>
          </w:p>
        </w:tc>
      </w:tr>
      <w:bookmarkEnd w:id="54"/>
    </w:tbl>
    <w:p w14:paraId="76354598">
      <w:pPr>
        <w:rPr>
          <w:color w:val="auto"/>
          <w:highlight w:val="none"/>
        </w:rPr>
      </w:pPr>
    </w:p>
    <w:p w14:paraId="6C45EABB">
      <w:pPr>
        <w:pStyle w:val="4"/>
        <w:numPr>
          <w:ilvl w:val="2"/>
          <w:numId w:val="2"/>
        </w:numPr>
        <w:rPr>
          <w:color w:val="auto"/>
          <w:highlight w:val="none"/>
        </w:rPr>
      </w:pPr>
      <w:r>
        <w:rPr>
          <w:rFonts w:hint="eastAsia"/>
          <w:color w:val="auto"/>
          <w:highlight w:val="none"/>
        </w:rPr>
        <w:t>医生临床路径管理系统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491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D7B1A4F">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24370893">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DB2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35951818">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医生临床路径管理系统</w:t>
            </w:r>
          </w:p>
        </w:tc>
        <w:tc>
          <w:tcPr>
            <w:tcW w:w="7789" w:type="dxa"/>
            <w:vAlign w:val="center"/>
          </w:tcPr>
          <w:p w14:paraId="5B16A037">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支持维护路径医嘱包；</w:t>
            </w:r>
          </w:p>
          <w:p w14:paraId="4DA44DF5">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定义路径基本信息需包含路径编码、路径名称</w:t>
            </w:r>
            <w:r>
              <w:rPr>
                <w:rFonts w:hint="eastAsia"/>
                <w:color w:val="auto"/>
                <w:highlight w:val="none"/>
              </w:rPr>
              <w:t>、路径版本、治疗方式、参考住院天数；</w:t>
            </w:r>
          </w:p>
          <w:p w14:paraId="6F992055">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适用诊断</w:t>
            </w:r>
            <w:r>
              <w:rPr>
                <w:color w:val="auto"/>
                <w:highlight w:val="none"/>
              </w:rPr>
              <w:t>列表</w:t>
            </w:r>
            <w:r>
              <w:rPr>
                <w:rFonts w:hint="eastAsia"/>
                <w:color w:val="auto"/>
                <w:highlight w:val="none"/>
              </w:rPr>
              <w:t>；</w:t>
            </w:r>
          </w:p>
          <w:p w14:paraId="7782B5D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适用手术</w:t>
            </w:r>
            <w:r>
              <w:rPr>
                <w:color w:val="auto"/>
                <w:highlight w:val="none"/>
              </w:rPr>
              <w:t>列表</w:t>
            </w:r>
            <w:r>
              <w:rPr>
                <w:rFonts w:hint="eastAsia"/>
                <w:color w:val="auto"/>
                <w:highlight w:val="none"/>
              </w:rPr>
              <w:t>；</w:t>
            </w:r>
          </w:p>
          <w:p w14:paraId="3F68DFCC">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支持设置进入路径标准的</w:t>
            </w:r>
            <w:r>
              <w:rPr>
                <w:rFonts w:hint="eastAsia"/>
                <w:color w:val="auto"/>
                <w:highlight w:val="none"/>
              </w:rPr>
              <w:t>适用科室</w:t>
            </w:r>
            <w:r>
              <w:rPr>
                <w:color w:val="auto"/>
                <w:highlight w:val="none"/>
              </w:rPr>
              <w:t>列表</w:t>
            </w:r>
            <w:r>
              <w:rPr>
                <w:rFonts w:hint="eastAsia"/>
                <w:color w:val="auto"/>
                <w:highlight w:val="none"/>
              </w:rPr>
              <w:t>；</w:t>
            </w:r>
          </w:p>
          <w:p w14:paraId="710028A4">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支持可视化维护路径各阶段及阶段内诊疗信息、医嘱信息及文书等；</w:t>
            </w:r>
          </w:p>
          <w:p w14:paraId="0070B212">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支持路径内医嘱导入医嘱包，实现快速维护路径医嘱；</w:t>
            </w:r>
          </w:p>
          <w:p w14:paraId="73E2CE58">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w:t>
            </w:r>
            <w:r>
              <w:rPr>
                <w:rFonts w:ascii="宋体" w:hAnsi="宋体" w:eastAsia="宋体"/>
                <w:color w:val="auto"/>
                <w:highlight w:val="none"/>
              </w:rPr>
              <w:t>医嘱可</w:t>
            </w:r>
            <w:r>
              <w:rPr>
                <w:rFonts w:hint="eastAsia" w:ascii="宋体" w:hAnsi="宋体" w:eastAsia="宋体"/>
                <w:color w:val="auto"/>
                <w:highlight w:val="none"/>
              </w:rPr>
              <w:t>设置</w:t>
            </w:r>
            <w:r>
              <w:rPr>
                <w:rFonts w:ascii="宋体" w:hAnsi="宋体" w:eastAsia="宋体"/>
                <w:color w:val="auto"/>
                <w:highlight w:val="none"/>
              </w:rPr>
              <w:t>长期和临时医嘱，对长期医嘱可以定义使用期限</w:t>
            </w:r>
            <w:r>
              <w:rPr>
                <w:rFonts w:hint="eastAsia" w:ascii="宋体" w:hAnsi="宋体" w:eastAsia="宋体"/>
                <w:color w:val="auto"/>
                <w:highlight w:val="none"/>
              </w:rPr>
              <w:t>；</w:t>
            </w:r>
          </w:p>
          <w:p w14:paraId="1F5AABD0">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支持路径内医嘱可设置</w:t>
            </w:r>
            <w:r>
              <w:rPr>
                <w:rFonts w:ascii="宋体" w:hAnsi="宋体" w:eastAsia="宋体"/>
                <w:color w:val="auto"/>
                <w:highlight w:val="none"/>
              </w:rPr>
              <w:t>必选和可选</w:t>
            </w:r>
            <w:r>
              <w:rPr>
                <w:rFonts w:hint="eastAsia" w:ascii="宋体" w:hAnsi="宋体" w:eastAsia="宋体"/>
                <w:color w:val="auto"/>
                <w:highlight w:val="none"/>
              </w:rPr>
              <w:t>；</w:t>
            </w:r>
          </w:p>
          <w:p w14:paraId="7948201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支持路径内可维护出院带药医嘱；</w:t>
            </w:r>
          </w:p>
          <w:p w14:paraId="5E13A10A">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支持临床路径维护启用多级审核制度；</w:t>
            </w:r>
          </w:p>
          <w:p w14:paraId="064A629B">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支持维护路径专家组名单；</w:t>
            </w:r>
          </w:p>
          <w:p w14:paraId="7A690E4B">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根据诊断名称或手术名称等路径定义的准入条件推荐出符合纳入的路径；支持医生自行选择是否纳入路径</w:t>
            </w:r>
            <w:r>
              <w:rPr>
                <w:rFonts w:hint="eastAsia"/>
                <w:color w:val="auto"/>
                <w:highlight w:val="none"/>
              </w:rPr>
              <w:t>；</w:t>
            </w:r>
            <w:r>
              <w:rPr>
                <w:color w:val="auto"/>
                <w:highlight w:val="none"/>
              </w:rPr>
              <w:t>支持选择路径中任意一日作为入径日，</w:t>
            </w:r>
            <w:r>
              <w:rPr>
                <w:rFonts w:hint="eastAsia"/>
                <w:color w:val="auto"/>
                <w:highlight w:val="none"/>
              </w:rPr>
              <w:t>可</w:t>
            </w:r>
            <w:r>
              <w:rPr>
                <w:color w:val="auto"/>
                <w:highlight w:val="none"/>
              </w:rPr>
              <w:t>灵活选择入径日</w:t>
            </w:r>
            <w:r>
              <w:rPr>
                <w:rFonts w:hint="eastAsia"/>
                <w:color w:val="auto"/>
                <w:highlight w:val="none"/>
              </w:rPr>
              <w:t>；</w:t>
            </w:r>
          </w:p>
          <w:p w14:paraId="31F71B46">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临床路径医嘱执行</w:t>
            </w:r>
            <w:r>
              <w:rPr>
                <w:rFonts w:hint="eastAsia"/>
                <w:color w:val="auto"/>
                <w:highlight w:val="none"/>
              </w:rPr>
              <w:t>，</w:t>
            </w:r>
            <w:r>
              <w:rPr>
                <w:color w:val="auto"/>
                <w:highlight w:val="none"/>
              </w:rPr>
              <w:t>临床医师根据所在临床路径的阶段进行成套医嘱的开立；支持医嘱执行与未执行智能提醒等功能</w:t>
            </w:r>
            <w:r>
              <w:rPr>
                <w:rFonts w:hint="eastAsia"/>
                <w:color w:val="auto"/>
                <w:highlight w:val="none"/>
              </w:rPr>
              <w:t>；</w:t>
            </w:r>
          </w:p>
          <w:p w14:paraId="4D6D9472">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出径管理</w:t>
            </w:r>
            <w:r>
              <w:rPr>
                <w:rFonts w:hint="eastAsia"/>
                <w:color w:val="auto"/>
                <w:highlight w:val="none"/>
              </w:rPr>
              <w:t>，</w:t>
            </w:r>
            <w:r>
              <w:rPr>
                <w:color w:val="auto"/>
                <w:highlight w:val="none"/>
              </w:rPr>
              <w:t>临床医生使用出径管理填写出径</w:t>
            </w:r>
            <w:r>
              <w:rPr>
                <w:rFonts w:hint="eastAsia"/>
                <w:color w:val="auto"/>
                <w:highlight w:val="none"/>
              </w:rPr>
              <w:t>及变异原因；</w:t>
            </w:r>
          </w:p>
          <w:p w14:paraId="3BFBBACE">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针对在院患者和出院患者的路径执行情况分别进行</w:t>
            </w:r>
            <w:r>
              <w:rPr>
                <w:rFonts w:hint="eastAsia"/>
                <w:color w:val="auto"/>
                <w:highlight w:val="none"/>
              </w:rPr>
              <w:t>统计</w:t>
            </w:r>
            <w:r>
              <w:rPr>
                <w:color w:val="auto"/>
                <w:highlight w:val="none"/>
              </w:rPr>
              <w:t>路径纳入情况、纳入人数、路径退出等信息</w:t>
            </w:r>
            <w:r>
              <w:rPr>
                <w:rFonts w:hint="eastAsia"/>
                <w:color w:val="auto"/>
                <w:highlight w:val="none"/>
              </w:rPr>
              <w:t>；</w:t>
            </w:r>
          </w:p>
          <w:p w14:paraId="1D42BAD0">
            <w:pPr>
              <w:widowControl w:val="0"/>
              <w:numPr>
                <w:ilvl w:val="0"/>
                <w:numId w:val="26"/>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支持临床路径病组费用分析，包括病组平均住院日、平均住院费用、平均药费、平均检验费、平均检查费、平均治疗费、平均护理费等；</w:t>
            </w:r>
          </w:p>
        </w:tc>
      </w:tr>
    </w:tbl>
    <w:p w14:paraId="3445C824">
      <w:pPr>
        <w:rPr>
          <w:color w:val="auto"/>
          <w:highlight w:val="none"/>
        </w:rPr>
      </w:pPr>
    </w:p>
    <w:p w14:paraId="5830BC34">
      <w:pPr>
        <w:pStyle w:val="4"/>
        <w:numPr>
          <w:ilvl w:val="2"/>
          <w:numId w:val="2"/>
        </w:numPr>
        <w:rPr>
          <w:color w:val="auto"/>
          <w:highlight w:val="none"/>
        </w:rPr>
      </w:pPr>
      <w:r>
        <w:rPr>
          <w:rFonts w:hint="eastAsia"/>
          <w:color w:val="auto"/>
          <w:highlight w:val="none"/>
        </w:rPr>
        <w:t>护士临床路径管理系统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767F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Align w:val="center"/>
          </w:tcPr>
          <w:p w14:paraId="68D345FA">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53091B4">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9B2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6538AF05">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护理临床路径管理系统</w:t>
            </w:r>
          </w:p>
        </w:tc>
        <w:tc>
          <w:tcPr>
            <w:tcW w:w="7789" w:type="dxa"/>
            <w:vAlign w:val="center"/>
          </w:tcPr>
          <w:p w14:paraId="6E5D175F">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bookmarkStart w:id="55" w:name="OLE_LINK16"/>
            <w:r>
              <w:rPr>
                <w:color w:val="auto"/>
                <w:highlight w:val="none"/>
              </w:rPr>
              <w:t>支持维护具体路径内护理工作、护理评估、健康教育等</w:t>
            </w:r>
            <w:r>
              <w:rPr>
                <w:rFonts w:hint="eastAsia"/>
                <w:color w:val="auto"/>
                <w:highlight w:val="none"/>
              </w:rPr>
              <w:t>；</w:t>
            </w:r>
          </w:p>
          <w:p w14:paraId="35B29EC1">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color w:val="auto"/>
                <w:highlight w:val="none"/>
              </w:rPr>
              <w:t>支持把护理路径划分为多个路径节点，每个关键节点以医生临床路径阶段执行作为节点，支持护理路径单独出径</w:t>
            </w:r>
            <w:r>
              <w:rPr>
                <w:rFonts w:hint="eastAsia"/>
                <w:color w:val="auto"/>
                <w:highlight w:val="none"/>
              </w:rPr>
              <w:t>；</w:t>
            </w:r>
          </w:p>
          <w:p w14:paraId="48918A3F">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w:t>
            </w:r>
            <w:r>
              <w:rPr>
                <w:color w:val="auto"/>
                <w:highlight w:val="none"/>
              </w:rPr>
              <w:t>记录路径执行的具体执行情况、执行人、执行时间</w:t>
            </w:r>
            <w:r>
              <w:rPr>
                <w:rFonts w:hint="eastAsia"/>
                <w:color w:val="auto"/>
                <w:highlight w:val="none"/>
              </w:rPr>
              <w:t>；</w:t>
            </w:r>
          </w:p>
          <w:p w14:paraId="0DF0BC0E">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支持查询全部病区各时间段内的所有护理路径的执行情况；</w:t>
            </w:r>
          </w:p>
          <w:p w14:paraId="4B8A2CB3">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支持统计每条护理路径的实际执行情况，包括总数和已执行数量；</w:t>
            </w:r>
          </w:p>
          <w:p w14:paraId="5C0C2384">
            <w:pPr>
              <w:widowControl w:val="0"/>
              <w:numPr>
                <w:ilvl w:val="0"/>
                <w:numId w:val="27"/>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支持查询护理临床路径病人的护理信息</w:t>
            </w:r>
            <w:bookmarkEnd w:id="55"/>
            <w:r>
              <w:rPr>
                <w:rFonts w:hint="eastAsia"/>
                <w:color w:val="auto"/>
                <w:highlight w:val="none"/>
              </w:rPr>
              <w:t>；</w:t>
            </w:r>
          </w:p>
        </w:tc>
      </w:tr>
    </w:tbl>
    <w:p w14:paraId="7C013285">
      <w:pPr>
        <w:rPr>
          <w:color w:val="auto"/>
          <w:highlight w:val="none"/>
        </w:rPr>
      </w:pPr>
    </w:p>
    <w:p w14:paraId="2AA388F3">
      <w:pPr>
        <w:pStyle w:val="4"/>
        <w:numPr>
          <w:ilvl w:val="2"/>
          <w:numId w:val="2"/>
        </w:numPr>
        <w:rPr>
          <w:color w:val="auto"/>
          <w:highlight w:val="none"/>
        </w:rPr>
      </w:pPr>
      <w:r>
        <w:rPr>
          <w:rFonts w:hint="eastAsia"/>
          <w:color w:val="auto"/>
          <w:highlight w:val="none"/>
        </w:rPr>
        <w:t>会诊管理系统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423D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B5A649B">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0A6ADC9C">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522A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0C647A1">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会诊管理系统</w:t>
            </w:r>
          </w:p>
        </w:tc>
        <w:tc>
          <w:tcPr>
            <w:tcW w:w="7789" w:type="dxa"/>
            <w:vAlign w:val="center"/>
          </w:tcPr>
          <w:p w14:paraId="0E1A8CFD">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color w:val="auto"/>
                <w:highlight w:val="none"/>
              </w:rPr>
              <w:t>会诊申请</w:t>
            </w:r>
          </w:p>
          <w:p w14:paraId="68DED87A">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支持单科会诊、多科会诊、院外会诊、MDT会诊，自动生成会诊医嘱；</w:t>
            </w:r>
          </w:p>
          <w:p w14:paraId="79C83411">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支持医务科审核，及邀请外院医生专家；</w:t>
            </w:r>
          </w:p>
          <w:p w14:paraId="70E348E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支持会诊原因中导入医嘱内容及检查检验结果；</w:t>
            </w:r>
          </w:p>
          <w:p w14:paraId="67184F63">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支持会诊安排，安排好会诊医生后，按照不同类型的会诊（急诊、普通）时限，对会诊医生通过短信、移动端等方式进行提醒。</w:t>
            </w:r>
          </w:p>
          <w:p w14:paraId="594B4511">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会诊接收</w:t>
            </w:r>
          </w:p>
          <w:p w14:paraId="7299BF0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支持被邀请医生进行会诊申请确认接收；</w:t>
            </w:r>
          </w:p>
          <w:p w14:paraId="47234BAF">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支持会诊医生查看患者就诊史；</w:t>
            </w:r>
          </w:p>
          <w:p w14:paraId="20F9B1F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支持会诊医生书写患者病历文书；</w:t>
            </w:r>
          </w:p>
          <w:p w14:paraId="27F4C373">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支持被邀请医生进行会诊意见填写，可导入检查检验结果；</w:t>
            </w:r>
          </w:p>
          <w:p w14:paraId="00659B3D">
            <w:pPr>
              <w:widowControl w:val="0"/>
              <w:adjustRightInd w:val="0"/>
              <w:snapToGrid w:val="0"/>
              <w:spacing w:before="60" w:after="60" w:line="360" w:lineRule="auto"/>
              <w:ind w:firstLine="420" w:firstLineChars="200"/>
              <w:jc w:val="both"/>
              <w:rPr>
                <w:color w:val="auto"/>
                <w:highlight w:val="none"/>
              </w:rPr>
            </w:pPr>
            <w:r>
              <w:rPr>
                <w:color w:val="auto"/>
                <w:highlight w:val="none"/>
              </w:rPr>
              <w:t>支持单独的MDT会诊流程，由专门的团队管理</w:t>
            </w:r>
            <w:r>
              <w:rPr>
                <w:rFonts w:hint="eastAsia"/>
                <w:color w:val="auto"/>
                <w:highlight w:val="none"/>
              </w:rPr>
              <w:t>；</w:t>
            </w:r>
          </w:p>
          <w:p w14:paraId="3F465E73">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支持医生通过移动端确认普通会诊。</w:t>
            </w:r>
          </w:p>
          <w:p w14:paraId="79B946F0">
            <w:pPr>
              <w:widowControl w:val="0"/>
              <w:numPr>
                <w:ilvl w:val="0"/>
                <w:numId w:val="28"/>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会诊关闭</w:t>
            </w:r>
          </w:p>
          <w:p w14:paraId="01DE7707">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支持会诊发起者关闭会诊，会诊关闭后，会诊意见不允许修改，患者授权自动取消；</w:t>
            </w:r>
          </w:p>
          <w:p w14:paraId="0C2A8E5B">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支持会诊意见退回，退回后会诊医师可继续修改会诊意见；</w:t>
            </w:r>
          </w:p>
          <w:p w14:paraId="370F2DE4">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支持会诊发起者对会诊进行评价；</w:t>
            </w:r>
          </w:p>
          <w:p w14:paraId="45121F2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支持会诊完成后实现自动计费；</w:t>
            </w:r>
          </w:p>
          <w:p w14:paraId="20F5C866">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支持会诊闭环管理和监控，即：住院医生按照会诊医生会诊治疗意见的处理、时效、执行、记录、效果、反馈等的闭环管理；</w:t>
            </w:r>
          </w:p>
          <w:p w14:paraId="67797356">
            <w:pPr>
              <w:widowControl w:val="0"/>
              <w:adjustRightInd w:val="0"/>
              <w:snapToGrid w:val="0"/>
              <w:spacing w:before="60" w:after="60" w:line="360" w:lineRule="auto"/>
              <w:ind w:firstLine="420" w:firstLineChars="200"/>
              <w:jc w:val="both"/>
              <w:rPr>
                <w:color w:val="auto"/>
                <w:highlight w:val="none"/>
              </w:rPr>
            </w:pPr>
            <w:r>
              <w:rPr>
                <w:rFonts w:hint="eastAsia"/>
                <w:color w:val="auto"/>
                <w:highlight w:val="none"/>
              </w:rPr>
              <w:t>支持按科室统计会诊及时性</w:t>
            </w:r>
            <w:r>
              <w:rPr>
                <w:rFonts w:hint="eastAsia"/>
                <w:color w:val="auto"/>
                <w:highlight w:val="none"/>
                <w:lang w:eastAsia="zh-CN"/>
              </w:rPr>
              <w:t>。</w:t>
            </w:r>
          </w:p>
        </w:tc>
      </w:tr>
    </w:tbl>
    <w:p w14:paraId="337C12EA">
      <w:pPr>
        <w:rPr>
          <w:color w:val="auto"/>
          <w:highlight w:val="none"/>
        </w:rPr>
      </w:pPr>
    </w:p>
    <w:p w14:paraId="5BB3CAAD">
      <w:pPr>
        <w:pStyle w:val="4"/>
        <w:numPr>
          <w:ilvl w:val="2"/>
          <w:numId w:val="2"/>
        </w:numPr>
        <w:rPr>
          <w:color w:val="auto"/>
          <w:highlight w:val="none"/>
        </w:rPr>
      </w:pPr>
      <w:r>
        <w:rPr>
          <w:rFonts w:hint="eastAsia"/>
          <w:color w:val="auto"/>
          <w:highlight w:val="none"/>
        </w:rPr>
        <w:t>医疗质量管理系统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29D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0559F0C">
            <w:pPr>
              <w:adjustRightInd w:val="0"/>
              <w:snapToGrid w:val="0"/>
              <w:spacing w:before="60" w:after="60" w:line="360" w:lineRule="auto"/>
              <w:rPr>
                <w:rFonts w:hint="eastAsia" w:ascii="宋体" w:hAnsi="宋体" w:eastAsia="宋体"/>
                <w:b/>
                <w:bCs/>
                <w:color w:val="auto"/>
                <w:highlight w:val="none"/>
              </w:rPr>
            </w:pPr>
            <w:bookmarkStart w:id="56" w:name="OLE_LINK22"/>
            <w:r>
              <w:rPr>
                <w:rFonts w:hint="eastAsia" w:ascii="宋体" w:hAnsi="宋体" w:eastAsia="宋体"/>
                <w:b/>
                <w:bCs/>
                <w:color w:val="auto"/>
                <w:highlight w:val="none"/>
              </w:rPr>
              <w:t>系统名称</w:t>
            </w:r>
          </w:p>
        </w:tc>
        <w:tc>
          <w:tcPr>
            <w:tcW w:w="7789" w:type="dxa"/>
            <w:vAlign w:val="center"/>
          </w:tcPr>
          <w:p w14:paraId="6F4D7F5F">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13F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4E62E85">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医疗质量</w:t>
            </w:r>
          </w:p>
          <w:p w14:paraId="34F222C8">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78D69E11">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支持特殊级抗生素会诊专家排班；</w:t>
            </w:r>
          </w:p>
          <w:p w14:paraId="12A4DA69">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支持MDT会诊意见录入；</w:t>
            </w:r>
          </w:p>
          <w:p w14:paraId="2E57013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支持门诊病历修改审批；</w:t>
            </w:r>
          </w:p>
          <w:p w14:paraId="229B8F6D">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支持查看全院交接班记录；</w:t>
            </w:r>
          </w:p>
          <w:p w14:paraId="08FC4A73">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支持危急值追溯查询；</w:t>
            </w:r>
          </w:p>
          <w:p w14:paraId="5364D36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支持住院挂账患者查询；</w:t>
            </w:r>
          </w:p>
          <w:p w14:paraId="4645A7FC">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支持限制性技术统计查询；</w:t>
            </w:r>
          </w:p>
          <w:p w14:paraId="741A814F">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支持全院会诊明细查询；</w:t>
            </w:r>
          </w:p>
          <w:p w14:paraId="348CDAB7">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支持全院床位维护及统计；</w:t>
            </w:r>
          </w:p>
          <w:p w14:paraId="320BF2A6">
            <w:pPr>
              <w:widowControl w:val="0"/>
              <w:numPr>
                <w:ilvl w:val="0"/>
                <w:numId w:val="29"/>
              </w:numPr>
              <w:adjustRightInd w:val="0"/>
              <w:snapToGrid w:val="0"/>
              <w:spacing w:before="60" w:after="60" w:line="360" w:lineRule="auto"/>
              <w:ind w:left="0" w:leftChars="0" w:firstLine="0" w:firstLineChars="0"/>
              <w:jc w:val="both"/>
              <w:rPr>
                <w:rFonts w:hint="eastAsia" w:ascii="宋体" w:hAnsi="宋体" w:eastAsia="宋体"/>
                <w:color w:val="auto"/>
                <w:highlight w:val="none"/>
              </w:rPr>
            </w:pPr>
            <w:r>
              <w:rPr>
                <w:rFonts w:hint="eastAsia" w:ascii="宋体" w:hAnsi="宋体" w:eastAsia="宋体"/>
                <w:color w:val="auto"/>
                <w:highlight w:val="none"/>
              </w:rPr>
              <w:t>支持病历文书书写统计</w:t>
            </w:r>
            <w:r>
              <w:rPr>
                <w:rFonts w:hint="eastAsia" w:ascii="宋体" w:hAnsi="宋体"/>
                <w:color w:val="auto"/>
                <w:highlight w:val="none"/>
                <w:lang w:eastAsia="zh-CN"/>
              </w:rPr>
              <w:t>。</w:t>
            </w:r>
          </w:p>
        </w:tc>
      </w:tr>
      <w:bookmarkEnd w:id="56"/>
    </w:tbl>
    <w:p w14:paraId="3DCC9B82">
      <w:pPr>
        <w:rPr>
          <w:color w:val="auto"/>
          <w:highlight w:val="none"/>
        </w:rPr>
      </w:pPr>
    </w:p>
    <w:p w14:paraId="06ACB115">
      <w:pPr>
        <w:pStyle w:val="4"/>
        <w:numPr>
          <w:ilvl w:val="2"/>
          <w:numId w:val="2"/>
        </w:numPr>
        <w:rPr>
          <w:color w:val="auto"/>
          <w:highlight w:val="none"/>
        </w:rPr>
      </w:pPr>
      <w:r>
        <w:rPr>
          <w:rFonts w:hint="eastAsia"/>
          <w:color w:val="auto"/>
          <w:highlight w:val="none"/>
        </w:rPr>
        <w:t>医疗研究电子病历</w:t>
      </w:r>
      <w:r>
        <w:rPr>
          <w:color w:val="auto"/>
          <w:highlight w:val="none"/>
        </w:rPr>
        <w:t>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88F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95DFCE0">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205D47B8">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0028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2BC99F55">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医疗研究电子病历系统</w:t>
            </w:r>
          </w:p>
        </w:tc>
        <w:tc>
          <w:tcPr>
            <w:tcW w:w="7789" w:type="dxa"/>
            <w:vAlign w:val="center"/>
          </w:tcPr>
          <w:p w14:paraId="17AEC910">
            <w:pPr>
              <w:widowControl w:val="0"/>
              <w:adjustRightInd w:val="0"/>
              <w:snapToGrid w:val="0"/>
              <w:spacing w:before="60" w:after="60" w:line="360" w:lineRule="auto"/>
              <w:ind w:firstLine="420" w:firstLineChars="20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将临床试验研究诊疗流程与普通诊疗流程灵活融合在一起，实现原本手工线下处理的临床试验研究记录维护、开立医嘱、发药等流程的在线处理，实现医院核心业务操作系统与医疗研究电子病历系统的有机对接。</w:t>
            </w:r>
          </w:p>
          <w:p w14:paraId="1F4AB3DA">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项目管理：</w:t>
            </w:r>
          </w:p>
          <w:p w14:paraId="3AC5E31A">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2DA603DD">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支持创建并维护项目基本信息及到账经费账户。</w:t>
            </w:r>
          </w:p>
          <w:p w14:paraId="2E051F4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支持对研究项目的执行状态进行管理。</w:t>
            </w:r>
          </w:p>
          <w:p w14:paraId="25C9FEE5">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支持接收并审批提交的研究项目。</w:t>
            </w:r>
          </w:p>
          <w:p w14:paraId="4DA3221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支持授权项目中的研究人员、主研助理。</w:t>
            </w:r>
          </w:p>
          <w:p w14:paraId="10FBCD1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研究设置：</w:t>
            </w:r>
          </w:p>
          <w:p w14:paraId="68F710CD">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33F11E5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支持支持设置并维护该项目的受试者入组程序、发药方式、缴费方式和计划外缴费方式；</w:t>
            </w:r>
          </w:p>
          <w:p w14:paraId="1CC4F9E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支持根据程序设置的结果设置并维护研究医嘱套餐；</w:t>
            </w:r>
          </w:p>
          <w:p w14:paraId="4ABC5C8F">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支持设置研究项目中需要记录的研究量表，并支持对管理量表的状态进行管理；</w:t>
            </w:r>
          </w:p>
          <w:p w14:paraId="7016863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支持研究项目的西医诊断、中医证型模板的设置及维护；</w:t>
            </w:r>
          </w:p>
          <w:p w14:paraId="2F07E01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支持研究项目的病史问卷模板的设置及维护；</w:t>
            </w:r>
          </w:p>
          <w:p w14:paraId="64ECFE4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支持研究项目禁止的合并用药的设置及维护；</w:t>
            </w:r>
          </w:p>
          <w:p w14:paraId="60195937">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支持研究项目诊疗提醒事项的新增、编辑、查看及删除设置</w:t>
            </w:r>
            <w:r>
              <w:rPr>
                <w:rFonts w:hint="eastAsia"/>
                <w:color w:val="auto"/>
                <w:highlight w:val="none"/>
                <w:lang w:eastAsia="zh-CN"/>
              </w:rPr>
              <w:t>。</w:t>
            </w:r>
          </w:p>
          <w:p w14:paraId="26A4ECC5">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访视管理：</w:t>
            </w:r>
          </w:p>
          <w:p w14:paraId="532EAA5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045857AB">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展示项目全部受试者列表，并支持对列表数据进行统计、筛选、查询；</w:t>
            </w:r>
          </w:p>
          <w:p w14:paraId="16FAA49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支持受试者访视次数及距上次访视天数统计；</w:t>
            </w:r>
          </w:p>
          <w:p w14:paraId="2CCBF8D1">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支持根据登录用户权限对受试者进行访视短信的编辑及发送；</w:t>
            </w:r>
          </w:p>
          <w:p w14:paraId="2B820692">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支持受试者360全息视图调阅</w:t>
            </w:r>
            <w:r>
              <w:rPr>
                <w:rFonts w:hint="eastAsia"/>
                <w:color w:val="auto"/>
                <w:highlight w:val="none"/>
                <w:lang w:eastAsia="zh-CN"/>
              </w:rPr>
              <w:t>。</w:t>
            </w:r>
          </w:p>
          <w:p w14:paraId="1A1B92A7">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质量管理：</w:t>
            </w:r>
          </w:p>
          <w:p w14:paraId="19BB7A7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7AE51163">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展示项目全部受试者列表，并支持对列表数据进行统计、筛选、查询；</w:t>
            </w:r>
          </w:p>
          <w:p w14:paraId="46163079">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支持受试者报表调阅；</w:t>
            </w:r>
          </w:p>
          <w:p w14:paraId="317D7636">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支持根据登录用户权限对受试者诊疗过程进行质量检查短信的编辑及发送</w:t>
            </w:r>
            <w:r>
              <w:rPr>
                <w:rFonts w:hint="eastAsia"/>
                <w:color w:val="auto"/>
                <w:highlight w:val="none"/>
                <w:lang w:eastAsia="zh-CN"/>
              </w:rPr>
              <w:t>。</w:t>
            </w:r>
          </w:p>
          <w:p w14:paraId="090755C0">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转账账单：</w:t>
            </w:r>
          </w:p>
          <w:p w14:paraId="321B8BDE">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支持根据登录用户权限展示全部研究项目列表及项目统计、筛选查询；</w:t>
            </w:r>
          </w:p>
          <w:p w14:paraId="2F106D90">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支持统计并展示项目内的内部转账费用的分类报表；</w:t>
            </w:r>
          </w:p>
          <w:p w14:paraId="21A9F0BE">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支持展示项目全部受试者列表，并支持对列表数据进行统计、筛选、查询；</w:t>
            </w:r>
          </w:p>
          <w:p w14:paraId="5AD982C5">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支持展示该受试者内部转账的费用分类清单；</w:t>
            </w:r>
          </w:p>
          <w:p w14:paraId="67055DA4">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支持展示该受试者内部转账的费用明细清单</w:t>
            </w:r>
            <w:r>
              <w:rPr>
                <w:rFonts w:hint="eastAsia"/>
                <w:color w:val="auto"/>
                <w:highlight w:val="none"/>
                <w:lang w:eastAsia="zh-CN"/>
              </w:rPr>
              <w:t>。</w:t>
            </w:r>
          </w:p>
          <w:p w14:paraId="28EF91B3">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电子病历：</w:t>
            </w:r>
          </w:p>
          <w:p w14:paraId="41C8174C">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 xml:space="preserve">支持研究人员通过对受试者的筛选，根据项目程序设置选择受试者加入研究项目，并对受试者进行完成、退出研究项目管理支持研究人员根据研究设置维护的研究医嘱，对受试者进行研究医嘱开立、执行，并同时生成统计报表；（提供系统功能截图） </w:t>
            </w:r>
          </w:p>
          <w:p w14:paraId="184687A2">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支持研究人员根据研究设置维护的研究病史记录模板，对受试者进行病史记录，并同时生成统计报表；</w:t>
            </w:r>
          </w:p>
          <w:p w14:paraId="1C301926">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支持研究人员根据研究设置维护的研究诊断量表，对受试者进行诊断量表记录，并同时生成统计报表；</w:t>
            </w:r>
          </w:p>
          <w:p w14:paraId="420560DE">
            <w:pPr>
              <w:widowControl w:val="0"/>
              <w:adjustRightInd w:val="0"/>
              <w:snapToGrid w:val="0"/>
              <w:spacing w:before="60" w:after="60" w:line="360" w:lineRule="auto"/>
              <w:ind w:firstLine="420" w:firstLineChars="200"/>
              <w:jc w:val="both"/>
              <w:rPr>
                <w:rFonts w:hint="eastAsia" w:eastAsia="宋体"/>
                <w:color w:val="auto"/>
                <w:highlight w:val="none"/>
                <w:lang w:eastAsia="zh-CN"/>
              </w:rPr>
            </w:pPr>
            <w:r>
              <w:rPr>
                <w:rFonts w:hint="eastAsia"/>
                <w:color w:val="auto"/>
                <w:highlight w:val="none"/>
              </w:rPr>
              <w:t>支持内部转账诊间结算：全部费用为内部转账，受试者结算方式为诊间结算</w:t>
            </w:r>
            <w:r>
              <w:rPr>
                <w:rFonts w:hint="eastAsia"/>
                <w:color w:val="auto"/>
                <w:highlight w:val="none"/>
                <w:lang w:eastAsia="zh-CN"/>
              </w:rPr>
              <w:t>。</w:t>
            </w:r>
          </w:p>
          <w:p w14:paraId="556158DB">
            <w:pPr>
              <w:pStyle w:val="257"/>
              <w:widowControl w:val="0"/>
              <w:numPr>
                <w:ilvl w:val="0"/>
                <w:numId w:val="30"/>
              </w:numPr>
              <w:adjustRightInd w:val="0"/>
              <w:snapToGrid w:val="0"/>
              <w:spacing w:before="60" w:after="60" w:line="360" w:lineRule="auto"/>
              <w:ind w:left="0" w:leftChars="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智能提醒：</w:t>
            </w:r>
          </w:p>
          <w:p w14:paraId="486ED811">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支持根据研究设置-禁止的合并用药模块中维护的提醒事项与规则，对处方医生进行提醒；</w:t>
            </w:r>
          </w:p>
          <w:p w14:paraId="08F07804">
            <w:pPr>
              <w:widowControl w:val="0"/>
              <w:adjustRightInd w:val="0"/>
              <w:snapToGrid w:val="0"/>
              <w:spacing w:before="60" w:after="60" w:line="360" w:lineRule="auto"/>
              <w:ind w:firstLine="420" w:firstLineChars="200"/>
              <w:jc w:val="both"/>
              <w:rPr>
                <w:rFonts w:hint="eastAsia"/>
                <w:color w:val="auto"/>
                <w:highlight w:val="none"/>
              </w:rPr>
            </w:pPr>
            <w:r>
              <w:rPr>
                <w:rFonts w:hint="eastAsia"/>
                <w:color w:val="auto"/>
                <w:highlight w:val="none"/>
              </w:rPr>
              <w:t>支持根据项目基本信息模块中到账经费维护的金额与规则，对研究项目中管理员、研究者等相关人员进行提醒；</w:t>
            </w:r>
          </w:p>
          <w:p w14:paraId="72FA05C0">
            <w:pPr>
              <w:widowControl w:val="0"/>
              <w:adjustRightInd w:val="0"/>
              <w:snapToGrid w:val="0"/>
              <w:spacing w:before="60" w:after="60" w:line="360" w:lineRule="auto"/>
              <w:ind w:firstLine="420" w:firstLineChars="200"/>
              <w:jc w:val="both"/>
              <w:rPr>
                <w:rFonts w:hint="eastAsia" w:ascii="宋体" w:hAnsi="宋体" w:eastAsia="宋体"/>
                <w:color w:val="auto"/>
                <w:highlight w:val="none"/>
                <w:lang w:eastAsia="zh-CN"/>
              </w:rPr>
            </w:pPr>
            <w:r>
              <w:rPr>
                <w:rFonts w:hint="eastAsia"/>
                <w:color w:val="auto"/>
                <w:highlight w:val="none"/>
              </w:rPr>
              <w:t>支持根据研究设置-诊疗提醒模块中维护的提醒事项与规则，对研究人员进行提醒</w:t>
            </w:r>
            <w:r>
              <w:rPr>
                <w:rFonts w:hint="eastAsia"/>
                <w:color w:val="auto"/>
                <w:highlight w:val="none"/>
                <w:lang w:eastAsia="zh-CN"/>
              </w:rPr>
              <w:t>。</w:t>
            </w:r>
          </w:p>
        </w:tc>
      </w:tr>
    </w:tbl>
    <w:p w14:paraId="28267660">
      <w:pPr>
        <w:rPr>
          <w:color w:val="auto"/>
          <w:highlight w:val="none"/>
        </w:rPr>
      </w:pPr>
    </w:p>
    <w:p w14:paraId="08316602">
      <w:pPr>
        <w:pStyle w:val="4"/>
        <w:numPr>
          <w:ilvl w:val="2"/>
          <w:numId w:val="2"/>
        </w:numPr>
        <w:rPr>
          <w:color w:val="auto"/>
          <w:highlight w:val="none"/>
        </w:rPr>
      </w:pPr>
      <w:r>
        <w:rPr>
          <w:rFonts w:hint="eastAsia"/>
          <w:color w:val="auto"/>
          <w:highlight w:val="none"/>
        </w:rPr>
        <w:t>闭环追溯管理系统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2B6A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7F31EEF">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7A31D0A6">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71F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0F4C921F">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闭环追溯</w:t>
            </w:r>
          </w:p>
          <w:p w14:paraId="6D18EBF4">
            <w:pPr>
              <w:adjustRightInd w:val="0"/>
              <w:snapToGrid w:val="0"/>
              <w:spacing w:before="60" w:after="60" w:line="360" w:lineRule="auto"/>
              <w:rPr>
                <w:rFonts w:hint="eastAsia" w:ascii="宋体" w:hAnsi="宋体" w:eastAsia="宋体"/>
                <w:color w:val="auto"/>
                <w:highlight w:val="none"/>
              </w:rPr>
            </w:pPr>
            <w:r>
              <w:rPr>
                <w:rFonts w:hint="eastAsia" w:ascii="宋体" w:hAnsi="宋体" w:eastAsia="宋体"/>
                <w:color w:val="auto"/>
                <w:highlight w:val="none"/>
              </w:rPr>
              <w:t>管理系统</w:t>
            </w:r>
          </w:p>
        </w:tc>
        <w:tc>
          <w:tcPr>
            <w:tcW w:w="7789" w:type="dxa"/>
            <w:vAlign w:val="center"/>
          </w:tcPr>
          <w:p w14:paraId="753D6955">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检验闭环管理：</w:t>
            </w:r>
          </w:p>
          <w:p w14:paraId="7AF1164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color w:val="auto"/>
                <w:highlight w:val="none"/>
              </w:rPr>
              <w:t>通过图标和颜色展示患者检验的全流程闭环节点，包括检验申请、上级医师审核、护士核对执行医嘱、打印检验条码、核对患者身份、采集标本、接转标本、接收标本、执行检验、检验报告自助打印、自动生成检验报告反馈到医生站等全流程信息，记录了每个节点的操作时间、操作人、用时等记录。</w:t>
            </w:r>
          </w:p>
          <w:p w14:paraId="153C8ACA">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检查闭环管理：</w:t>
            </w:r>
          </w:p>
          <w:p w14:paraId="4AEF05E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患者检查的全流程闭环节点，包括检查申请、上级医师审核、护士核对执行医嘱、检查预约、检查审核、核对患者身份、执行检查、检查报告打印、自动生成检查报告反馈到医生站等全流程信息，记录了每个节点的操作时间、操作人、用时等记录。符合医疗信息系统互操作性集成规范测试，满足检验互操作性规范。</w:t>
            </w:r>
          </w:p>
          <w:p w14:paraId="37F2F9C9">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检验危急值闭环：</w:t>
            </w:r>
          </w:p>
          <w:p w14:paraId="093100A4">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通过图标和颜色展示患者检验危急值的全流程闭环节点，包括危急值产生、医护接收、医生处理、记录处理意见、自动生成检验危急值文书记录。记录每个节点的时间点、操作人等。</w:t>
            </w:r>
          </w:p>
          <w:p w14:paraId="4B741B9B">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 xml:space="preserve">临床用血闭环：（提供系统功能截图） </w:t>
            </w:r>
          </w:p>
          <w:p w14:paraId="5CB8E9C9">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通过图标和颜色展示患者输血医嘱的全流程闭环节点，包括配血申请、上级医师审核、签收配血医嘱、采集标本、接转标本、接收标本、血型复检、执行配血、开立输血医嘱、签收输血医嘱、配发血液、接转血液、输血前核对、开始输血、巡视输血、结束输血、接转空血袋、接收空血袋、处理空血袋、发现不良反应等全流程信息，记录了每个节点的操作时间、操作人、用时等记录。</w:t>
            </w:r>
          </w:p>
          <w:p w14:paraId="6E57BEDF">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药品医嘱闭环视图：</w:t>
            </w:r>
          </w:p>
          <w:p w14:paraId="6FD34A5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支持住院口服药的医嘱闭环：流程包括医生开嘱、护士校对、药房审方、皮试处理、医生停嘱、停嘱核对等。执行单闭环包括提交、发药、配送、签收、执行等。支持长期药品医嘱的循环执行展示。</w:t>
            </w:r>
          </w:p>
          <w:p w14:paraId="34DAAA8A">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院内会诊闭环：</w:t>
            </w:r>
          </w:p>
          <w:p w14:paraId="0D8876F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支持住院普通会诊闭环：流程包括会诊申请、会诊审批、护士复核、会诊安排、会诊处理、会诊结束。</w:t>
            </w:r>
          </w:p>
          <w:p w14:paraId="762D78E0">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手术麻醉闭环管理：</w:t>
            </w:r>
          </w:p>
          <w:p w14:paraId="66DC704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支持择期手术安排闭环：流程包括手术医生提交申请单、科主任审核确认、手术排台分配术间、分配器械护士和巡回护士、分配麻醉医师等，逆向流程包括申请撤回、取消手术安排等。</w:t>
            </w:r>
          </w:p>
          <w:p w14:paraId="34A4A5C3">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闭环流程配置：</w:t>
            </w:r>
          </w:p>
          <w:p w14:paraId="1E8C0E81">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支持业务闭环流程的配置，支持循环节点的配置展示；</w:t>
            </w:r>
          </w:p>
          <w:p w14:paraId="5EF17D39">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闭环视图集成接口：</w:t>
            </w:r>
          </w:p>
          <w:p w14:paraId="5796C13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提供闭环视图集成规范，可以集成到门急诊/住院医生站、病区护士站、PACS系统、患者全息视图等。</w:t>
            </w:r>
          </w:p>
          <w:p w14:paraId="4BB99DD3">
            <w:pPr>
              <w:widowControl w:val="0"/>
              <w:numPr>
                <w:ilvl w:val="0"/>
                <w:numId w:val="31"/>
              </w:numPr>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闭环视图分析：</w:t>
            </w:r>
          </w:p>
          <w:p w14:paraId="3251947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提供闭环视图的闭环质量管理分析功能。</w:t>
            </w:r>
          </w:p>
        </w:tc>
      </w:tr>
    </w:tbl>
    <w:p w14:paraId="2D55235C">
      <w:pPr>
        <w:rPr>
          <w:color w:val="auto"/>
          <w:highlight w:val="none"/>
        </w:rPr>
      </w:pPr>
    </w:p>
    <w:p w14:paraId="45785F0B">
      <w:pPr>
        <w:pStyle w:val="4"/>
        <w:numPr>
          <w:ilvl w:val="2"/>
          <w:numId w:val="2"/>
        </w:numPr>
        <w:rPr>
          <w:color w:val="auto"/>
          <w:highlight w:val="none"/>
        </w:rPr>
      </w:pPr>
      <w:r>
        <w:rPr>
          <w:rFonts w:hint="eastAsia"/>
          <w:color w:val="auto"/>
          <w:highlight w:val="none"/>
        </w:rPr>
        <w:t>数据上报系统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1F61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DFBE5FC">
            <w:pPr>
              <w:adjustRightInd w:val="0"/>
              <w:snapToGrid w:val="0"/>
              <w:spacing w:before="60" w:after="60" w:line="360" w:lineRule="auto"/>
              <w:rPr>
                <w:rFonts w:hint="eastAsia" w:ascii="宋体" w:hAnsi="宋体" w:eastAsia="宋体"/>
                <w:b/>
                <w:bCs/>
                <w:color w:val="auto"/>
                <w:highlight w:val="none"/>
              </w:rPr>
            </w:pPr>
            <w:r>
              <w:rPr>
                <w:rFonts w:hint="eastAsia" w:ascii="宋体" w:hAnsi="宋体" w:eastAsia="宋体"/>
                <w:b/>
                <w:bCs/>
                <w:color w:val="auto"/>
                <w:highlight w:val="none"/>
              </w:rPr>
              <w:t>系统名称</w:t>
            </w:r>
          </w:p>
        </w:tc>
        <w:tc>
          <w:tcPr>
            <w:tcW w:w="7789" w:type="dxa"/>
            <w:vAlign w:val="center"/>
          </w:tcPr>
          <w:p w14:paraId="0BDCCB47">
            <w:pPr>
              <w:tabs>
                <w:tab w:val="left" w:pos="951"/>
              </w:tabs>
              <w:adjustRightInd w:val="0"/>
              <w:snapToGrid w:val="0"/>
              <w:spacing w:before="60" w:after="60" w:line="360" w:lineRule="auto"/>
              <w:ind w:firstLine="482"/>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907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C09FC77">
            <w:pPr>
              <w:adjustRightInd w:val="0"/>
              <w:snapToGrid w:val="0"/>
              <w:spacing w:before="60" w:after="60" w:line="360" w:lineRule="auto"/>
              <w:jc w:val="center"/>
              <w:rPr>
                <w:rFonts w:hint="eastAsia" w:ascii="宋体" w:hAnsi="宋体" w:eastAsia="宋体"/>
                <w:color w:val="auto"/>
                <w:highlight w:val="none"/>
              </w:rPr>
            </w:pPr>
            <w:r>
              <w:rPr>
                <w:rFonts w:hint="eastAsia" w:ascii="宋体" w:hAnsi="宋体" w:eastAsia="宋体"/>
                <w:color w:val="auto"/>
                <w:highlight w:val="none"/>
              </w:rPr>
              <w:t>数据上报系统</w:t>
            </w:r>
          </w:p>
        </w:tc>
        <w:tc>
          <w:tcPr>
            <w:tcW w:w="7789" w:type="dxa"/>
            <w:vAlign w:val="center"/>
          </w:tcPr>
          <w:p w14:paraId="6ACDD4EE">
            <w:pPr>
              <w:widowControl w:val="0"/>
              <w:adjustRightInd w:val="0"/>
              <w:snapToGrid w:val="0"/>
              <w:spacing w:before="60" w:after="60" w:line="360" w:lineRule="auto"/>
              <w:jc w:val="both"/>
              <w:rPr>
                <w:rFonts w:hint="eastAsia" w:ascii="宋体" w:hAnsi="宋体" w:eastAsia="宋体"/>
                <w:color w:val="auto"/>
                <w:highlight w:val="none"/>
              </w:rPr>
            </w:pPr>
            <w:r>
              <w:rPr>
                <w:rFonts w:hint="eastAsia" w:ascii="宋体" w:hAnsi="宋体" w:eastAsia="宋体"/>
                <w:color w:val="auto"/>
                <w:highlight w:val="none"/>
              </w:rPr>
              <w:t>包括但不限于省市卫健委平台、省市医保耗材平台等上报，具体功能如下：</w:t>
            </w:r>
          </w:p>
          <w:p w14:paraId="2753857D">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数据采集：支持从医院的HIS库中，按照各上级管理部门数据对接的标准，抽取医院的数据；</w:t>
            </w:r>
          </w:p>
          <w:p w14:paraId="44E770A6">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数据转换：支持将数据转换成符合各上级管理部门标准的数据；</w:t>
            </w:r>
          </w:p>
          <w:p w14:paraId="284B76AE">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数据校验：支持根据各上级管理部门要求的标准对数据进行校验。校验出不合格的数据，允许修改后再次上传；</w:t>
            </w:r>
          </w:p>
          <w:p w14:paraId="02751647">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数据打包：支持将符合要求的数据生成相对应的数据文件；</w:t>
            </w:r>
          </w:p>
          <w:p w14:paraId="150FB425">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数据上传：按照各上级管理部门的要求，将生成的数据上传给各上级管理部门的数据库；</w:t>
            </w:r>
          </w:p>
          <w:p w14:paraId="719D5200">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上传历史查询：支持查询已经上传过的病人信息。支持定期删除已经上传的病人信息；</w:t>
            </w:r>
          </w:p>
          <w:p w14:paraId="6AAA89CD">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基础字典维护：支持维护HIS系统与各上级管理部门各个字典表的对应关系；</w:t>
            </w:r>
          </w:p>
          <w:p w14:paraId="5FD149C3">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科室字典对照：支持将医院的科室，按照各上级管理部门的标准进行分类；</w:t>
            </w:r>
          </w:p>
          <w:p w14:paraId="4BB78517">
            <w:pPr>
              <w:widowControl w:val="0"/>
              <w:adjustRightInd w:val="0"/>
              <w:snapToGrid w:val="0"/>
              <w:spacing w:before="60" w:after="60" w:line="360" w:lineRule="auto"/>
              <w:ind w:firstLine="420" w:firstLineChars="200"/>
              <w:jc w:val="both"/>
              <w:rPr>
                <w:rFonts w:hint="eastAsia" w:ascii="宋体" w:hAnsi="宋体" w:eastAsia="宋体"/>
                <w:color w:val="auto"/>
                <w:highlight w:val="none"/>
              </w:rPr>
            </w:pPr>
            <w:r>
              <w:rPr>
                <w:rFonts w:hint="eastAsia" w:ascii="宋体" w:hAnsi="宋体" w:eastAsia="宋体"/>
                <w:color w:val="auto"/>
                <w:highlight w:val="none"/>
              </w:rPr>
              <w:t>价表项目类别维护：支持按照各上级管理部门的标准，将价表项目进行进一步的分类。</w:t>
            </w:r>
          </w:p>
        </w:tc>
      </w:tr>
    </w:tbl>
    <w:p w14:paraId="63C5B6D3">
      <w:pPr>
        <w:pStyle w:val="85"/>
        <w:rPr>
          <w:color w:val="auto"/>
          <w:highlight w:val="none"/>
        </w:rPr>
      </w:pPr>
    </w:p>
    <w:p w14:paraId="36831952">
      <w:pPr>
        <w:pStyle w:val="4"/>
        <w:numPr>
          <w:ilvl w:val="2"/>
          <w:numId w:val="2"/>
        </w:numPr>
        <w:rPr>
          <w:color w:val="auto"/>
          <w:highlight w:val="none"/>
        </w:rPr>
      </w:pPr>
      <w:r>
        <w:rPr>
          <w:color w:val="auto"/>
          <w:highlight w:val="none"/>
        </w:rPr>
        <w:t>统一支付平台</w:t>
      </w:r>
    </w:p>
    <w:tbl>
      <w:tblPr>
        <w:tblStyle w:val="6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7320"/>
      </w:tblGrid>
      <w:tr w14:paraId="7571B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shd w:val="clear" w:color="auto" w:fill="FFFFFF" w:themeFill="background1"/>
            <w:vAlign w:val="center"/>
          </w:tcPr>
          <w:p w14:paraId="05C0839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系统名称</w:t>
            </w:r>
          </w:p>
        </w:tc>
        <w:tc>
          <w:tcPr>
            <w:tcW w:w="8020" w:type="dxa"/>
            <w:shd w:val="clear" w:color="auto" w:fill="FFFFFF" w:themeFill="background1"/>
            <w:vAlign w:val="center"/>
          </w:tcPr>
          <w:p w14:paraId="0DC178F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技术参数要求</w:t>
            </w:r>
          </w:p>
        </w:tc>
      </w:tr>
      <w:tr w14:paraId="79ADC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2" w:type="dxa"/>
            <w:vAlign w:val="center"/>
          </w:tcPr>
          <w:p w14:paraId="0C875B8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统一支付平台</w:t>
            </w:r>
          </w:p>
        </w:tc>
        <w:tc>
          <w:tcPr>
            <w:tcW w:w="8020" w:type="dxa"/>
            <w:vAlign w:val="center"/>
          </w:tcPr>
          <w:p w14:paraId="79158DA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通过支付平台与医保结算平台进行对接，提供快捷结算相关服务，支持支付宝、微信，包括：</w:t>
            </w:r>
          </w:p>
          <w:p w14:paraId="379C8D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1、医保结算接口相关服务：获取人员结算单信息、收费结算准备、收费结算信息回推、处方状态查询、住院预交金缴纳、处方分组合并；</w:t>
            </w:r>
          </w:p>
          <w:p w14:paraId="218BDE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2、医保对账相关接口服务：获取日对账报文、获取操作员待对账日对账流水号列表、获取签到报文、签到信息推送、日对账消息回推。</w:t>
            </w:r>
          </w:p>
        </w:tc>
      </w:tr>
    </w:tbl>
    <w:p w14:paraId="5C80804D">
      <w:pPr>
        <w:rPr>
          <w:color w:val="auto"/>
          <w:highlight w:val="none"/>
        </w:rPr>
      </w:pPr>
      <w:r>
        <w:rPr>
          <w:color w:val="auto"/>
          <w:highlight w:val="none"/>
        </w:rPr>
        <w:br w:type="page"/>
      </w:r>
    </w:p>
    <w:p w14:paraId="00C6E8BB">
      <w:pPr>
        <w:pStyle w:val="4"/>
        <w:numPr>
          <w:ilvl w:val="2"/>
          <w:numId w:val="2"/>
        </w:numPr>
        <w:rPr>
          <w:color w:val="auto"/>
          <w:highlight w:val="none"/>
        </w:rPr>
      </w:pPr>
      <w:r>
        <w:rPr>
          <w:rFonts w:hint="eastAsia"/>
          <w:color w:val="auto"/>
          <w:highlight w:val="none"/>
        </w:rPr>
        <w:t>移动医生系统</w:t>
      </w:r>
    </w:p>
    <w:tbl>
      <w:tblPr>
        <w:tblStyle w:val="63"/>
        <w:tblW w:w="9287"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696"/>
        <w:gridCol w:w="7591"/>
      </w:tblGrid>
      <w:tr w14:paraId="1A1DFF5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ED427CE">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1" w:type="dxa"/>
            <w:tcBorders>
              <w:top w:val="single" w:color="auto" w:sz="4" w:space="0"/>
              <w:left w:val="single" w:color="auto" w:sz="4" w:space="0"/>
              <w:bottom w:val="single" w:color="auto" w:sz="4" w:space="0"/>
              <w:right w:val="single" w:color="auto" w:sz="6" w:space="0"/>
            </w:tcBorders>
            <w:vAlign w:val="center"/>
          </w:tcPr>
          <w:p w14:paraId="312EAEB1">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12074FC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71689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统一账户登录</w:t>
            </w:r>
          </w:p>
        </w:tc>
        <w:tc>
          <w:tcPr>
            <w:tcW w:w="7591" w:type="dxa"/>
            <w:tcBorders>
              <w:top w:val="single" w:color="auto" w:sz="4" w:space="0"/>
              <w:left w:val="single" w:color="auto" w:sz="4" w:space="0"/>
              <w:bottom w:val="single" w:color="auto" w:sz="4" w:space="0"/>
              <w:right w:val="single" w:color="auto" w:sz="6" w:space="0"/>
            </w:tcBorders>
            <w:vAlign w:val="center"/>
          </w:tcPr>
          <w:p w14:paraId="47B46D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录账号与院内系统相同账户密码登录，保持与医护人员工作站相同的用户名密码。采取与院内相同的角色权限机制，不同角色的用户登录首页，配置不同的功能菜单入口。首页支持配置式功能菜单，医护人员自己灵活配置所需功能设置在APP首页。</w:t>
            </w:r>
          </w:p>
          <w:p w14:paraId="7837AD6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移动医生端系统支持鸿蒙等国产操作系统环境下具备跨平台业务处理与信息共享能力，演示移动端查房可查看患者医嘱、病历文书、检验、检查、云影像等功能，同时可支持语音转文字生成到PC端医生病历文书</w:t>
            </w:r>
          </w:p>
        </w:tc>
      </w:tr>
      <w:tr w14:paraId="67ED8DB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78F55A4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我的关注</w:t>
            </w:r>
          </w:p>
        </w:tc>
        <w:tc>
          <w:tcPr>
            <w:tcW w:w="7591" w:type="dxa"/>
            <w:tcBorders>
              <w:top w:val="single" w:color="auto" w:sz="4" w:space="0"/>
              <w:left w:val="single" w:color="auto" w:sz="4" w:space="0"/>
              <w:bottom w:val="single" w:color="auto" w:sz="4" w:space="0"/>
              <w:right w:val="single" w:color="auto" w:sz="6" w:space="0"/>
            </w:tcBorders>
            <w:vAlign w:val="center"/>
          </w:tcPr>
          <w:p w14:paraId="6CB402C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医护人员关注的患者列表信息，以患者维度收藏需要关注的患者，将关注的患者收藏至收藏夹内。</w:t>
            </w:r>
          </w:p>
        </w:tc>
      </w:tr>
      <w:tr w14:paraId="30F1DB6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1D762D7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我的工作足迹</w:t>
            </w:r>
          </w:p>
        </w:tc>
        <w:tc>
          <w:tcPr>
            <w:tcW w:w="7591" w:type="dxa"/>
            <w:tcBorders>
              <w:top w:val="single" w:color="auto" w:sz="4" w:space="0"/>
              <w:left w:val="single" w:color="auto" w:sz="4" w:space="0"/>
              <w:bottom w:val="single" w:color="auto" w:sz="4" w:space="0"/>
              <w:right w:val="single" w:color="auto" w:sz="6" w:space="0"/>
            </w:tcBorders>
            <w:vAlign w:val="center"/>
          </w:tcPr>
          <w:p w14:paraId="1E2FE9B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自动生成上一个月的工作情况总结，次月用户首次登录APP，会弹出我的工作足迹工作简报。</w:t>
            </w:r>
          </w:p>
        </w:tc>
      </w:tr>
      <w:tr w14:paraId="6EA1C5D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6AC2EA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住院医生业务</w:t>
            </w:r>
          </w:p>
        </w:tc>
        <w:tc>
          <w:tcPr>
            <w:tcW w:w="7591" w:type="dxa"/>
            <w:tcBorders>
              <w:top w:val="single" w:color="auto" w:sz="4" w:space="0"/>
              <w:left w:val="single" w:color="auto" w:sz="4" w:space="0"/>
              <w:bottom w:val="single" w:color="auto" w:sz="4" w:space="0"/>
              <w:right w:val="single" w:color="auto" w:sz="6" w:space="0"/>
            </w:tcBorders>
            <w:vAlign w:val="center"/>
          </w:tcPr>
          <w:p w14:paraId="316093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1.住院患者床卡信息</w:t>
            </w:r>
          </w:p>
          <w:p w14:paraId="5A6E26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本科室所管住院患者床卡一览表，关键信息一揽子浏览。</w:t>
            </w:r>
          </w:p>
          <w:p w14:paraId="23BCC4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以医疗组核算单位为维度，以床卡为入口，查询医护人员所属权限下面所管辖患者的临床信息。</w:t>
            </w:r>
          </w:p>
          <w:p w14:paraId="5175EF9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医护人员可以查看自己管辖的病区的患者的信息，从多个维度，包括患者护理级别、患者类型、入院天数等了解患者情况。</w:t>
            </w:r>
          </w:p>
          <w:p w14:paraId="41C5FD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快捷患者列表切换，方便医护人员在任何页面都可以随时切换。</w:t>
            </w:r>
          </w:p>
          <w:p w14:paraId="4629D4D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以病情危重、入院超过30天、当日入院、当日出院的患者人数统计。</w:t>
            </w:r>
          </w:p>
          <w:p w14:paraId="27921D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2.患者基本信息</w:t>
            </w:r>
          </w:p>
          <w:p w14:paraId="20D9D00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查看患者详细信息，费用以及紧急联系人查询。</w:t>
            </w:r>
          </w:p>
          <w:p w14:paraId="550AEF5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医护人员可以进入患者主页后，点击患者基本信息进入患者详细信息页面，页面支持医护人员直接查看患者的所有必要信息，比如费用信息、患者ID信息、住院号信息等内容。</w:t>
            </w:r>
          </w:p>
          <w:p w14:paraId="744BFC7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3.基础生命体征集成视图</w:t>
            </w:r>
          </w:p>
          <w:p w14:paraId="09491DD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在一个界面中以直观的方式显示患者当前各生命体征指标，支持将医护人员关心的抗生素用药、体温、白细胞、CRP、PCT、手术数据及趋势集成在一张视图中。</w:t>
            </w:r>
          </w:p>
          <w:p w14:paraId="5DB958F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将患者出入量、血压心率、血糖、常用化验指标从不同维度，集中显示患者诊疗数据、相互关系及趋势。</w:t>
            </w:r>
          </w:p>
          <w:p w14:paraId="0421E95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4.病历文书查看</w:t>
            </w:r>
          </w:p>
          <w:p w14:paraId="7D7DE0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医护人员随时随地查看患者的全部病程文书，从患者入转院开始疾病的发生、发展、治疗等医疗活动过程，手机随时查看。</w:t>
            </w:r>
          </w:p>
          <w:p w14:paraId="7489BD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查看病程记录、查房记录、手术信息、各类知情同意书、会诊结果等，便于医护人员掌握患者的治疗情况，及时调整治疗方案。</w:t>
            </w:r>
          </w:p>
          <w:p w14:paraId="2A4FF7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5.语音备忘录</w:t>
            </w:r>
          </w:p>
          <w:p w14:paraId="0B2A9A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在手机端App中语音记录转换成文本，辅助医护人员手机语音录入。</w:t>
            </w:r>
          </w:p>
          <w:p w14:paraId="1B0F06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语音记录医疗备忘录信息，新增病历文书，HIS系统里随时导入。</w:t>
            </w:r>
          </w:p>
          <w:p w14:paraId="11401A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6.医嘱查询，停止长期医嘱</w:t>
            </w:r>
          </w:p>
          <w:p w14:paraId="2C4347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医嘱分类查询，分成当日有效、药物、临时、长期、其他及全部医嘱。</w:t>
            </w:r>
          </w:p>
          <w:p w14:paraId="707DBA2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当日有效医嘱过滤出医护人员不关注的信息。</w:t>
            </w:r>
          </w:p>
          <w:p w14:paraId="0562DF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在手机APP上停住院医嘱的操作。</w:t>
            </w:r>
          </w:p>
          <w:p w14:paraId="53E2B4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7.查看检查检验报告</w:t>
            </w:r>
          </w:p>
          <w:p w14:paraId="1C49260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医护人员在线调阅住院患者的检查检验报告资料。</w:t>
            </w:r>
          </w:p>
          <w:p w14:paraId="06A5C6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患者的异常指标、危急值、本次住院某具体单项检验指标的历史趋势图等信息。</w:t>
            </w:r>
          </w:p>
          <w:p w14:paraId="21FEC59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针对病情特殊的患者，医护人员可以进行“关注”标记，提醒医护人员对此患者进行特别关注。</w:t>
            </w:r>
          </w:p>
          <w:p w14:paraId="2DD514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8.检验单一指标趋势图</w:t>
            </w:r>
          </w:p>
          <w:p w14:paraId="08C1F3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各个单一指标历史趋势图，直观查看患者各项指标变化趋势。</w:t>
            </w:r>
          </w:p>
          <w:p w14:paraId="434F8AA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9.病历审核</w:t>
            </w:r>
          </w:p>
          <w:p w14:paraId="324FE8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上级医护人员及主任病历审核签字。</w:t>
            </w:r>
          </w:p>
          <w:p w14:paraId="268FA3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10.会诊审核</w:t>
            </w:r>
          </w:p>
          <w:p w14:paraId="67E881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会诊申请单审批。</w:t>
            </w:r>
          </w:p>
        </w:tc>
      </w:tr>
      <w:tr w14:paraId="33DAD20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049F98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门诊医生业务</w:t>
            </w:r>
          </w:p>
        </w:tc>
        <w:tc>
          <w:tcPr>
            <w:tcW w:w="7591" w:type="dxa"/>
            <w:tcBorders>
              <w:top w:val="single" w:color="auto" w:sz="4" w:space="0"/>
              <w:left w:val="single" w:color="auto" w:sz="4" w:space="0"/>
              <w:bottom w:val="single" w:color="auto" w:sz="4" w:space="0"/>
              <w:right w:val="single" w:color="auto" w:sz="6" w:space="0"/>
            </w:tcBorders>
            <w:vAlign w:val="center"/>
          </w:tcPr>
          <w:p w14:paraId="1A1C7B3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1.出诊日历</w:t>
            </w:r>
          </w:p>
          <w:p w14:paraId="736EC7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医生或者护士通过出诊日历对自己的出诊安排与排班概况进行了解。</w:t>
            </w:r>
          </w:p>
          <w:p w14:paraId="36B85DD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医护人员调阅门诊出诊时间安排。</w:t>
            </w:r>
          </w:p>
          <w:p w14:paraId="74704EC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2.我的门诊患者</w:t>
            </w:r>
          </w:p>
          <w:p w14:paraId="6E288E4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查阅自己的门诊患者情况，患者的详细情况，查阅门诊患者的数量与病情。</w:t>
            </w:r>
          </w:p>
          <w:p w14:paraId="43A0070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挂号患者的就诊信息的查询（包含、报告、门诊病历）。</w:t>
            </w:r>
          </w:p>
          <w:p w14:paraId="15D7FE8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3.门诊病历修改审批</w:t>
            </w:r>
          </w:p>
          <w:p w14:paraId="593867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医护人员在修改自己的门诊病历文书前，提交修改申请。</w:t>
            </w:r>
          </w:p>
          <w:p w14:paraId="6FB7F4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4.医护人员停诊审批</w:t>
            </w:r>
          </w:p>
          <w:p w14:paraId="7C9AA0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医护人员因客观原因导致不能接诊时，进行停诊申请。</w:t>
            </w:r>
          </w:p>
        </w:tc>
      </w:tr>
      <w:tr w14:paraId="0CA085A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2C6B4B2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综合查询</w:t>
            </w:r>
          </w:p>
        </w:tc>
        <w:tc>
          <w:tcPr>
            <w:tcW w:w="7591" w:type="dxa"/>
            <w:tcBorders>
              <w:top w:val="single" w:color="auto" w:sz="4" w:space="0"/>
              <w:left w:val="single" w:color="auto" w:sz="4" w:space="0"/>
              <w:bottom w:val="single" w:color="auto" w:sz="4" w:space="0"/>
              <w:right w:val="single" w:color="auto" w:sz="6" w:space="0"/>
            </w:tcBorders>
            <w:vAlign w:val="center"/>
          </w:tcPr>
          <w:p w14:paraId="55BC37A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1.根据条件和权限查询本院就诊过的患者病历</w:t>
            </w:r>
          </w:p>
          <w:p w14:paraId="0EBFD23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2.来院就诊患者历次本院就诊导航树</w:t>
            </w:r>
          </w:p>
          <w:p w14:paraId="5FFDD04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3.全院住院病区空床数据实时浏览</w:t>
            </w:r>
          </w:p>
          <w:p w14:paraId="1A17015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4.全院手术安排实时信息综合查询</w:t>
            </w:r>
          </w:p>
        </w:tc>
      </w:tr>
      <w:tr w14:paraId="4466CC9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2366A8D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消息提醒</w:t>
            </w:r>
          </w:p>
        </w:tc>
        <w:tc>
          <w:tcPr>
            <w:tcW w:w="7591" w:type="dxa"/>
            <w:tcBorders>
              <w:top w:val="single" w:color="auto" w:sz="4" w:space="0"/>
              <w:left w:val="single" w:color="auto" w:sz="4" w:space="0"/>
              <w:bottom w:val="single" w:color="auto" w:sz="4" w:space="0"/>
              <w:right w:val="single" w:color="auto" w:sz="6" w:space="0"/>
            </w:tcBorders>
            <w:vAlign w:val="center"/>
          </w:tcPr>
          <w:p w14:paraId="38120A1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支持与检查检验系统对接，产生危急值后，可通过移动端接收危急值提醒，支持查看危急值信息，支持在移动端勾选处理方式后同步保存回his</w:t>
            </w:r>
          </w:p>
        </w:tc>
      </w:tr>
      <w:tr w14:paraId="46A9212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3A388FBF">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特殊药品审批通知</w:t>
            </w:r>
          </w:p>
        </w:tc>
        <w:tc>
          <w:tcPr>
            <w:tcW w:w="7591" w:type="dxa"/>
            <w:tcBorders>
              <w:top w:val="single" w:color="auto" w:sz="4" w:space="0"/>
              <w:left w:val="single" w:color="auto" w:sz="4" w:space="0"/>
              <w:bottom w:val="single" w:color="auto" w:sz="4" w:space="0"/>
              <w:right w:val="single" w:color="auto" w:sz="6" w:space="0"/>
            </w:tcBorders>
            <w:vAlign w:val="center"/>
          </w:tcPr>
          <w:p w14:paraId="63E9B15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特殊药品包含毒性、麻醉、精神、放射性和抗菌药药品。可通过移动端接收审批提醒，支持查看需审批药品申请详情。</w:t>
            </w:r>
          </w:p>
        </w:tc>
      </w:tr>
      <w:tr w14:paraId="72641F5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696" w:type="dxa"/>
            <w:tcBorders>
              <w:top w:val="single" w:color="auto" w:sz="4" w:space="0"/>
              <w:left w:val="single" w:color="auto" w:sz="4" w:space="0"/>
              <w:bottom w:val="single" w:color="auto" w:sz="4" w:space="0"/>
              <w:right w:val="single" w:color="auto" w:sz="4" w:space="0"/>
            </w:tcBorders>
            <w:vAlign w:val="center"/>
          </w:tcPr>
          <w:p w14:paraId="34F8703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用血审批通知</w:t>
            </w:r>
          </w:p>
        </w:tc>
        <w:tc>
          <w:tcPr>
            <w:tcW w:w="7591" w:type="dxa"/>
            <w:tcBorders>
              <w:top w:val="single" w:color="auto" w:sz="4" w:space="0"/>
              <w:left w:val="single" w:color="auto" w:sz="4" w:space="0"/>
              <w:bottom w:val="single" w:color="auto" w:sz="4" w:space="0"/>
              <w:right w:val="single" w:color="auto" w:sz="6" w:space="0"/>
            </w:tcBorders>
            <w:vAlign w:val="center"/>
          </w:tcPr>
          <w:p w14:paraId="3195BC4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可通过移动端接收用血申请审批提醒，支持查看用血申请详情。</w:t>
            </w:r>
          </w:p>
        </w:tc>
      </w:tr>
    </w:tbl>
    <w:p w14:paraId="3A5B1685">
      <w:pPr>
        <w:rPr>
          <w:color w:val="auto"/>
          <w:highlight w:val="none"/>
        </w:rPr>
      </w:pPr>
    </w:p>
    <w:p w14:paraId="5DCE06FC">
      <w:pPr>
        <w:pStyle w:val="4"/>
        <w:numPr>
          <w:ilvl w:val="2"/>
          <w:numId w:val="2"/>
        </w:numPr>
        <w:rPr>
          <w:color w:val="auto"/>
          <w:highlight w:val="none"/>
        </w:rPr>
      </w:pPr>
      <w:r>
        <w:rPr>
          <w:rFonts w:hint="eastAsia"/>
          <w:color w:val="auto"/>
          <w:highlight w:val="none"/>
        </w:rPr>
        <w:t>移动患者系统</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86"/>
        <w:gridCol w:w="7109"/>
      </w:tblGrid>
      <w:tr w14:paraId="73182DB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2D89758">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92" w:type="dxa"/>
            <w:tcBorders>
              <w:top w:val="single" w:color="auto" w:sz="4" w:space="0"/>
              <w:left w:val="single" w:color="auto" w:sz="4" w:space="0"/>
              <w:bottom w:val="single" w:color="auto" w:sz="4" w:space="0"/>
              <w:right w:val="single" w:color="auto" w:sz="6" w:space="0"/>
            </w:tcBorders>
            <w:vAlign w:val="center"/>
          </w:tcPr>
          <w:p w14:paraId="1CC97737">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7F135BB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DF1867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微信小程序</w:t>
            </w:r>
          </w:p>
        </w:tc>
        <w:tc>
          <w:tcPr>
            <w:tcW w:w="7792" w:type="dxa"/>
            <w:tcBorders>
              <w:top w:val="single" w:color="auto" w:sz="4" w:space="0"/>
              <w:left w:val="single" w:color="auto" w:sz="4" w:space="0"/>
              <w:bottom w:val="single" w:color="auto" w:sz="4" w:space="0"/>
              <w:right w:val="single" w:color="auto" w:sz="6" w:space="0"/>
            </w:tcBorders>
            <w:vAlign w:val="center"/>
          </w:tcPr>
          <w:p w14:paraId="1CA4A7C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基于微信渠道建立公众服务小程序平台，整合网络便民服务和网上医疗服务，提供在线挂缴查等服务。</w:t>
            </w:r>
          </w:p>
        </w:tc>
      </w:tr>
      <w:tr w14:paraId="5D6AE52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105666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支付宝小程序</w:t>
            </w:r>
          </w:p>
        </w:tc>
        <w:tc>
          <w:tcPr>
            <w:tcW w:w="7792" w:type="dxa"/>
            <w:tcBorders>
              <w:top w:val="single" w:color="auto" w:sz="4" w:space="0"/>
              <w:left w:val="single" w:color="auto" w:sz="4" w:space="0"/>
              <w:bottom w:val="single" w:color="auto" w:sz="4" w:space="0"/>
              <w:right w:val="single" w:color="auto" w:sz="6" w:space="0"/>
            </w:tcBorders>
            <w:vAlign w:val="center"/>
          </w:tcPr>
          <w:p w14:paraId="74E711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基于支付宝渠道建立患者小程序服务应用，整合网络便民服务和网上医疗服务，提供在线挂缴查等服务。</w:t>
            </w:r>
          </w:p>
        </w:tc>
      </w:tr>
      <w:tr w14:paraId="374257D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CC806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小程序插拔式应用管理</w:t>
            </w:r>
          </w:p>
        </w:tc>
        <w:tc>
          <w:tcPr>
            <w:tcW w:w="7792" w:type="dxa"/>
            <w:tcBorders>
              <w:top w:val="single" w:color="auto" w:sz="4" w:space="0"/>
              <w:left w:val="single" w:color="auto" w:sz="4" w:space="0"/>
              <w:bottom w:val="single" w:color="auto" w:sz="4" w:space="0"/>
              <w:right w:val="single" w:color="auto" w:sz="6" w:space="0"/>
            </w:tcBorders>
            <w:vAlign w:val="center"/>
          </w:tcPr>
          <w:p w14:paraId="25ACF9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应用功能配置:配置医院小程序应用功能库，包括功能名称、副标题、来源、描述、跳转路径及参数等，配置后在项目功能配置中选中配置至不同渠道小程序内。</w:t>
            </w:r>
          </w:p>
          <w:p w14:paraId="5D94A3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项目功能配置:配置项目微信、支付宝多渠道版本配置，包括设置功能开启状态、顺序、热点功能banner、业务模块配置。</w:t>
            </w:r>
          </w:p>
          <w:p w14:paraId="701CCC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第三方接入配置：配置第三方小程序、H5服务，是否需要登录拦截、就诊人信息，免发版接入。</w:t>
            </w:r>
          </w:p>
        </w:tc>
      </w:tr>
      <w:tr w14:paraId="36B10D3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6502A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就诊人卡管理</w:t>
            </w:r>
          </w:p>
        </w:tc>
        <w:tc>
          <w:tcPr>
            <w:tcW w:w="7792" w:type="dxa"/>
            <w:tcBorders>
              <w:top w:val="single" w:color="auto" w:sz="4" w:space="0"/>
              <w:left w:val="single" w:color="auto" w:sz="4" w:space="0"/>
              <w:bottom w:val="single" w:color="auto" w:sz="4" w:space="0"/>
              <w:right w:val="single" w:color="auto" w:sz="6" w:space="0"/>
            </w:tcBorders>
            <w:vAlign w:val="center"/>
          </w:tcPr>
          <w:p w14:paraId="48A9CC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院内档案绑定：输入用户姓名、手机号等信息获取院内建档信息进行在线绑定。</w:t>
            </w:r>
          </w:p>
          <w:p w14:paraId="546B241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建档信息校验：手机号、姓名等信息与院内建档信息不一致限制绑定</w:t>
            </w:r>
          </w:p>
          <w:p w14:paraId="4C22DC6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在线建档：输入个人或家庭成员的姓名、证件、手机号等基础信息进行在线建档。</w:t>
            </w:r>
          </w:p>
          <w:p w14:paraId="677D4DB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其他证件绑定：通过护照、港澳通行证、台胞通行证进行绑定建档。</w:t>
            </w:r>
          </w:p>
          <w:p w14:paraId="4E62C6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默认就诊人设置：账号下设置默认就诊人</w:t>
            </w:r>
          </w:p>
          <w:p w14:paraId="66CAEF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就诊人管理：对账号内绑定的家庭成员进行删减</w:t>
            </w:r>
          </w:p>
          <w:p w14:paraId="7B086D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电子就诊卡：用户线上申领并显示院内ID电子就诊二维码及条形码码。</w:t>
            </w:r>
          </w:p>
        </w:tc>
      </w:tr>
      <w:tr w14:paraId="0ED863A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A2041E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账号安全控制</w:t>
            </w:r>
          </w:p>
        </w:tc>
        <w:tc>
          <w:tcPr>
            <w:tcW w:w="7792" w:type="dxa"/>
            <w:tcBorders>
              <w:top w:val="single" w:color="auto" w:sz="4" w:space="0"/>
              <w:left w:val="single" w:color="auto" w:sz="4" w:space="0"/>
              <w:bottom w:val="single" w:color="auto" w:sz="4" w:space="0"/>
              <w:right w:val="single" w:color="auto" w:sz="6" w:space="0"/>
            </w:tcBorders>
            <w:vAlign w:val="center"/>
          </w:tcPr>
          <w:p w14:paraId="196ECE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信息授权：调用第三方获取用户手机号、微信号信息进行账号注册。</w:t>
            </w:r>
          </w:p>
          <w:p w14:paraId="2EEDC2C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就诊人绑定限制：根据院方需要限定绑定最多人数5-10人</w:t>
            </w:r>
          </w:p>
          <w:p w14:paraId="41E9A81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账号注销：用户自主操作账号注销</w:t>
            </w:r>
          </w:p>
        </w:tc>
      </w:tr>
      <w:tr w14:paraId="57E54FE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18DAA2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个人中心</w:t>
            </w:r>
          </w:p>
        </w:tc>
        <w:tc>
          <w:tcPr>
            <w:tcW w:w="7792" w:type="dxa"/>
            <w:tcBorders>
              <w:top w:val="single" w:color="auto" w:sz="4" w:space="0"/>
              <w:left w:val="single" w:color="auto" w:sz="4" w:space="0"/>
              <w:bottom w:val="single" w:color="auto" w:sz="4" w:space="0"/>
              <w:right w:val="single" w:color="auto" w:sz="6" w:space="0"/>
            </w:tcBorders>
            <w:vAlign w:val="center"/>
          </w:tcPr>
          <w:p w14:paraId="1525C70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收藏管理：用户收藏自己关注的医生，快捷查看名片进行预约挂号入口。</w:t>
            </w:r>
          </w:p>
          <w:p w14:paraId="7BAC6C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地址管理：对个人收货地址进行统一的维护并设置默认收货地址。</w:t>
            </w:r>
          </w:p>
          <w:p w14:paraId="478916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就诊医生：查询已经就诊过的医生，中快速选择进入医生名片在线服务。</w:t>
            </w:r>
          </w:p>
        </w:tc>
      </w:tr>
      <w:tr w14:paraId="05EDA46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1173FD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医保电子凭证</w:t>
            </w:r>
          </w:p>
        </w:tc>
        <w:tc>
          <w:tcPr>
            <w:tcW w:w="7792" w:type="dxa"/>
            <w:tcBorders>
              <w:top w:val="single" w:color="auto" w:sz="4" w:space="0"/>
              <w:left w:val="single" w:color="auto" w:sz="4" w:space="0"/>
              <w:bottom w:val="single" w:color="auto" w:sz="4" w:space="0"/>
              <w:right w:val="single" w:color="auto" w:sz="6" w:space="0"/>
            </w:tcBorders>
            <w:vAlign w:val="center"/>
          </w:tcPr>
          <w:p w14:paraId="53B4684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凭证激活授权：用户进行电子医保凭证渠道激活及授权</w:t>
            </w:r>
          </w:p>
          <w:p w14:paraId="24B4A6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医保预结算：医保费用预结算，显示自费及医保金额</w:t>
            </w:r>
          </w:p>
          <w:p w14:paraId="22C6B6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医保费用结算：门诊费用医保费用正式结算</w:t>
            </w:r>
          </w:p>
        </w:tc>
      </w:tr>
      <w:tr w14:paraId="3E6870F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0D8026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在线预约挂号</w:t>
            </w:r>
          </w:p>
        </w:tc>
        <w:tc>
          <w:tcPr>
            <w:tcW w:w="7792" w:type="dxa"/>
            <w:tcBorders>
              <w:top w:val="single" w:color="auto" w:sz="4" w:space="0"/>
              <w:left w:val="single" w:color="auto" w:sz="4" w:space="0"/>
              <w:bottom w:val="single" w:color="auto" w:sz="4" w:space="0"/>
              <w:right w:val="single" w:color="auto" w:sz="6" w:space="0"/>
            </w:tcBorders>
            <w:vAlign w:val="center"/>
          </w:tcPr>
          <w:p w14:paraId="1C69CF4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科室查询：查询医院门诊可挂号科室，按照两级目录进行展示</w:t>
            </w:r>
          </w:p>
          <w:p w14:paraId="0B77A1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科室搜索：按照科室名称模糊搜索匹配挂号科室信息</w:t>
            </w:r>
          </w:p>
          <w:p w14:paraId="20B9B9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医生搜索：按照医生模糊搜索匹配可挂号医生</w:t>
            </w:r>
          </w:p>
          <w:p w14:paraId="6AF6418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排班查询：查询未来一段时间内各科室医生出诊排班及号源状态信息</w:t>
            </w:r>
          </w:p>
          <w:p w14:paraId="024A2ED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医生排序：自定义序号或按照医生职称、姓名首字母、号别进行排序</w:t>
            </w:r>
          </w:p>
          <w:p w14:paraId="2C5BF33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号源查询：查询分时段号源信息，显示就诊序号及候诊时段信息</w:t>
            </w:r>
          </w:p>
          <w:p w14:paraId="2A6B96A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挂号须知：配置预约挂号须知及就诊提示</w:t>
            </w:r>
          </w:p>
          <w:p w14:paraId="2A7DB7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预约锁号：用户选择就诊时间及就诊人信息锁定预约号源</w:t>
            </w:r>
          </w:p>
          <w:p w14:paraId="63D35C5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预约取消：用户对已预约未支付或未就诊号源在线申请取消</w:t>
            </w:r>
          </w:p>
          <w:p w14:paraId="21B7AE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停诊退号：对院内发起的停诊，自动为患者退号。</w:t>
            </w:r>
          </w:p>
          <w:p w14:paraId="1063F9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亲友代约：帮助家庭成员亲友等完成进行预约挂号。</w:t>
            </w:r>
          </w:p>
          <w:p w14:paraId="686A438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挂号记录：在线查询账号预约挂号记录。</w:t>
            </w:r>
          </w:p>
          <w:p w14:paraId="47646BF9">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义诊优待挂号：义诊或老人、儿童优待号等特殊号在线预约</w:t>
            </w:r>
            <w:r>
              <w:rPr>
                <w:rFonts w:hint="eastAsia" w:ascii="宋体" w:hAnsi="宋体"/>
                <w:color w:val="auto"/>
                <w:highlight w:val="none"/>
                <w:lang w:eastAsia="zh-CN"/>
              </w:rPr>
              <w:t>。</w:t>
            </w:r>
          </w:p>
          <w:p w14:paraId="242DD138">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自主退号：用户对已支付未就诊号源在线申请退号，按照医院规定限制可退号时间</w:t>
            </w:r>
            <w:r>
              <w:rPr>
                <w:rFonts w:hint="eastAsia" w:ascii="宋体" w:hAnsi="宋体"/>
                <w:color w:val="auto"/>
                <w:highlight w:val="none"/>
                <w:lang w:eastAsia="zh-CN"/>
              </w:rPr>
              <w:t>。</w:t>
            </w:r>
          </w:p>
          <w:p w14:paraId="137ED7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其它渠道预约查询：查询非小程序渠道的预约记录，例如诊间、自助机等渠道的预约信息。</w:t>
            </w:r>
          </w:p>
          <w:p w14:paraId="52B69F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其它渠道预约查询：查询非小程序渠道的预约记录，例如诊间、自助机等渠道的预约信息。</w:t>
            </w:r>
          </w:p>
          <w:p w14:paraId="59EE77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其它渠道预约取消：对其它渠道的预约挂号订单进行申请取消。</w:t>
            </w:r>
          </w:p>
          <w:p w14:paraId="363B20F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复诊预约：根据历史就诊记录进行快速复诊预约挂号。</w:t>
            </w:r>
          </w:p>
        </w:tc>
      </w:tr>
      <w:tr w14:paraId="466B3D8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4F1F6A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预约挂号提醒</w:t>
            </w:r>
          </w:p>
        </w:tc>
        <w:tc>
          <w:tcPr>
            <w:tcW w:w="7792" w:type="dxa"/>
            <w:tcBorders>
              <w:top w:val="single" w:color="auto" w:sz="4" w:space="0"/>
              <w:left w:val="single" w:color="auto" w:sz="4" w:space="0"/>
              <w:bottom w:val="single" w:color="auto" w:sz="4" w:space="0"/>
              <w:right w:val="single" w:color="auto" w:sz="6" w:space="0"/>
            </w:tcBorders>
            <w:vAlign w:val="center"/>
          </w:tcPr>
          <w:p w14:paraId="16C26BD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挂号提醒：对预约挂号成功提供应用提醒或短信通知服务。</w:t>
            </w:r>
          </w:p>
          <w:p w14:paraId="432453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退号提醒：对退号或取消预约提供应用提醒或短信通知服务。</w:t>
            </w:r>
          </w:p>
          <w:p w14:paraId="59415E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停诊提醒：对预约挂号停诊通知提供应用提醒或短信通知服务。</w:t>
            </w:r>
          </w:p>
        </w:tc>
      </w:tr>
      <w:tr w14:paraId="2D93B72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49699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医生名片</w:t>
            </w:r>
          </w:p>
        </w:tc>
        <w:tc>
          <w:tcPr>
            <w:tcW w:w="7792" w:type="dxa"/>
            <w:tcBorders>
              <w:top w:val="single" w:color="auto" w:sz="4" w:space="0"/>
              <w:left w:val="single" w:color="auto" w:sz="4" w:space="0"/>
              <w:bottom w:val="single" w:color="auto" w:sz="4" w:space="0"/>
              <w:right w:val="single" w:color="auto" w:sz="6" w:space="0"/>
            </w:tcBorders>
            <w:vAlign w:val="center"/>
          </w:tcPr>
          <w:p w14:paraId="540BC6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医生信息：查询医生姓名、职称、科室、简介及擅长等基本信息。</w:t>
            </w:r>
          </w:p>
          <w:p w14:paraId="31AD3D9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门诊排班：查询医生个人未来一段时间门诊排班信息。</w:t>
            </w:r>
          </w:p>
          <w:p w14:paraId="3A9E3CC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症状匹配：输入疾病症状自动检索匹配参考挂号接诊医生</w:t>
            </w:r>
          </w:p>
          <w:p w14:paraId="32B4E4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医生收藏：关注收藏医生进行快速预约挂号就诊</w:t>
            </w:r>
          </w:p>
        </w:tc>
      </w:tr>
      <w:tr w14:paraId="4A18921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26EDE0B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智能预问诊</w:t>
            </w:r>
          </w:p>
        </w:tc>
        <w:tc>
          <w:tcPr>
            <w:tcW w:w="7792" w:type="dxa"/>
            <w:tcBorders>
              <w:top w:val="single" w:color="auto" w:sz="4" w:space="0"/>
              <w:left w:val="single" w:color="auto" w:sz="4" w:space="0"/>
              <w:bottom w:val="single" w:color="auto" w:sz="4" w:space="0"/>
              <w:right w:val="single" w:color="auto" w:sz="6" w:space="0"/>
            </w:tcBorders>
            <w:vAlign w:val="center"/>
          </w:tcPr>
          <w:p w14:paraId="608628D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预问诊选择：在线预约挂号完成，弹框提示由用户自主选择是否进行预问诊；</w:t>
            </w:r>
          </w:p>
          <w:p w14:paraId="01CC64A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智能问诊：获取预问诊题库问卷，通过交互式问答提示指引患者填写相关信息，例如本次就诊原因、症状持续时间、发病频率、治疗及用药情况等；</w:t>
            </w:r>
          </w:p>
          <w:p w14:paraId="4F8F506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病史信息调查：用户自主选择录入既往病史、传染病史、过敏史信息；</w:t>
            </w:r>
          </w:p>
          <w:p w14:paraId="0C9D4F3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快速问诊：选择快速问诊模式，通过平铺式问卷填写个人病情信息；</w:t>
            </w:r>
          </w:p>
          <w:p w14:paraId="6F190A9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预问诊报告：根据病人填写的信息自动生成主诉、现病史、既往史、过敏史结构化病历原始数据；</w:t>
            </w:r>
          </w:p>
          <w:p w14:paraId="221E0A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报告编辑：用户完成问询后在就诊前查看个人选择的内容，进行内容修改编辑。</w:t>
            </w:r>
          </w:p>
          <w:p w14:paraId="08FC0B2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结果导入病历：医生接诊时，自主选择是否快速录入HIS工作站，生成病历内容。</w:t>
            </w:r>
          </w:p>
        </w:tc>
      </w:tr>
      <w:tr w14:paraId="4B5CB8A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C349DB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物价导诊单查询</w:t>
            </w:r>
          </w:p>
        </w:tc>
        <w:tc>
          <w:tcPr>
            <w:tcW w:w="7792" w:type="dxa"/>
            <w:tcBorders>
              <w:top w:val="single" w:color="auto" w:sz="4" w:space="0"/>
              <w:left w:val="single" w:color="auto" w:sz="4" w:space="0"/>
              <w:bottom w:val="single" w:color="auto" w:sz="4" w:space="0"/>
              <w:right w:val="single" w:color="auto" w:sz="6" w:space="0"/>
            </w:tcBorders>
            <w:vAlign w:val="center"/>
          </w:tcPr>
          <w:p w14:paraId="1652E45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电子导诊单</w:t>
            </w:r>
            <w:r>
              <w:rPr>
                <w:rFonts w:hint="eastAsia" w:ascii="宋体" w:hAnsi="宋体"/>
                <w:color w:val="auto"/>
                <w:highlight w:val="none"/>
                <w:lang w:eastAsia="zh-CN"/>
              </w:rPr>
              <w:t>：</w:t>
            </w:r>
            <w:r>
              <w:rPr>
                <w:rFonts w:hint="eastAsia" w:ascii="宋体" w:hAnsi="宋体" w:eastAsia="宋体"/>
                <w:color w:val="auto"/>
                <w:highlight w:val="none"/>
              </w:rPr>
              <w:t>患者通过电子导诊单查询取药、诊疗位置与执行状态</w:t>
            </w:r>
          </w:p>
          <w:p w14:paraId="5D800BC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物价查询：药品及医技检查收费项价格查询。</w:t>
            </w:r>
          </w:p>
        </w:tc>
      </w:tr>
      <w:tr w14:paraId="69719F0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C4DB2B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叫号查询</w:t>
            </w:r>
          </w:p>
        </w:tc>
        <w:tc>
          <w:tcPr>
            <w:tcW w:w="7792" w:type="dxa"/>
            <w:tcBorders>
              <w:top w:val="single" w:color="auto" w:sz="4" w:space="0"/>
              <w:left w:val="single" w:color="auto" w:sz="4" w:space="0"/>
              <w:bottom w:val="single" w:color="auto" w:sz="4" w:space="0"/>
              <w:right w:val="single" w:color="auto" w:sz="6" w:space="0"/>
            </w:tcBorders>
            <w:vAlign w:val="center"/>
          </w:tcPr>
          <w:p w14:paraId="7D3060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门诊叫号查询：查询患者挂号科室实时排队叫号信息，包括当前叫号、我的序号、排队人数及排队状态信息。</w:t>
            </w:r>
          </w:p>
        </w:tc>
      </w:tr>
      <w:tr w14:paraId="141CC83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4D3C8A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报告在线查询</w:t>
            </w:r>
          </w:p>
        </w:tc>
        <w:tc>
          <w:tcPr>
            <w:tcW w:w="7792" w:type="dxa"/>
            <w:tcBorders>
              <w:top w:val="single" w:color="auto" w:sz="4" w:space="0"/>
              <w:left w:val="single" w:color="auto" w:sz="4" w:space="0"/>
              <w:bottom w:val="single" w:color="auto" w:sz="4" w:space="0"/>
              <w:right w:val="single" w:color="auto" w:sz="6" w:space="0"/>
            </w:tcBorders>
            <w:vAlign w:val="center"/>
          </w:tcPr>
          <w:p w14:paraId="7BFE68A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检验项目查询：对检验报告进行线上查询，查询本院门诊及住院检查项目，包括检查时间、院区、项目名称及就诊类型。</w:t>
            </w:r>
          </w:p>
          <w:p w14:paraId="741226A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检验报告查询：常规检验结果查询，包括开单及审核医生、检验参考范围及异常标识查阅。</w:t>
            </w:r>
          </w:p>
          <w:p w14:paraId="7E5F8B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微生物药敏报告查询：在线查询微生物培养及药敏检测报告结果查询。</w:t>
            </w:r>
          </w:p>
          <w:p w14:paraId="0B48E62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检查项目查询：查询本院门诊及住院检查项目，包括检查时间、院区、项目名称及就诊类型。</w:t>
            </w:r>
          </w:p>
          <w:p w14:paraId="0001F0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检查报告查询：检查报告结果查询，包括开单及审核医生、检查结果印象、所见查阅。</w:t>
            </w:r>
          </w:p>
          <w:p w14:paraId="429A38C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病理报告查询：医院病理报告查询，包括开单及审核医生、检查结果印象、所见查阅或取单提示说明。</w:t>
            </w:r>
          </w:p>
          <w:p w14:paraId="37A8F3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报告分享：微信分享个人检验或检查报告。</w:t>
            </w:r>
          </w:p>
        </w:tc>
      </w:tr>
      <w:tr w14:paraId="704A9BC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056A42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门诊自费缴费</w:t>
            </w:r>
          </w:p>
        </w:tc>
        <w:tc>
          <w:tcPr>
            <w:tcW w:w="7792" w:type="dxa"/>
            <w:tcBorders>
              <w:top w:val="single" w:color="auto" w:sz="4" w:space="0"/>
              <w:left w:val="single" w:color="auto" w:sz="4" w:space="0"/>
              <w:bottom w:val="single" w:color="auto" w:sz="4" w:space="0"/>
              <w:right w:val="single" w:color="auto" w:sz="6" w:space="0"/>
            </w:tcBorders>
            <w:vAlign w:val="center"/>
          </w:tcPr>
          <w:p w14:paraId="1A374E5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待缴费账单查询：查询门诊待缴费开单院区、科室医生及开单时间、费用总额信息</w:t>
            </w:r>
            <w:r>
              <w:rPr>
                <w:rFonts w:hint="eastAsia" w:ascii="宋体" w:hAnsi="宋体"/>
                <w:color w:val="auto"/>
                <w:highlight w:val="none"/>
                <w:lang w:eastAsia="zh-CN"/>
              </w:rPr>
              <w:t>。</w:t>
            </w:r>
          </w:p>
          <w:p w14:paraId="2772716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账单明细查询：查询待缴费账单明细包括费用类型、项目名称、单价及数量信息</w:t>
            </w:r>
            <w:r>
              <w:rPr>
                <w:rFonts w:hint="eastAsia" w:ascii="宋体" w:hAnsi="宋体"/>
                <w:color w:val="auto"/>
                <w:highlight w:val="none"/>
                <w:lang w:eastAsia="zh-CN"/>
              </w:rPr>
              <w:t>。</w:t>
            </w:r>
          </w:p>
          <w:p w14:paraId="4CB6544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在线自费缴费：患者对门诊诊疗费用进行在线自费缴费</w:t>
            </w:r>
            <w:r>
              <w:rPr>
                <w:rFonts w:hint="eastAsia" w:ascii="宋体" w:hAnsi="宋体"/>
                <w:color w:val="auto"/>
                <w:highlight w:val="none"/>
                <w:lang w:eastAsia="zh-CN"/>
              </w:rPr>
              <w:t>。</w:t>
            </w:r>
          </w:p>
          <w:p w14:paraId="5D09105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缴费记录查询：查询患者线上、线下全部门诊缴费记录信息。</w:t>
            </w:r>
          </w:p>
          <w:p w14:paraId="41A75BF7">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缴费明细查询：查询门诊已缴费清单明细包括费用类型、项目名称、单价及数量信息</w:t>
            </w:r>
            <w:r>
              <w:rPr>
                <w:rFonts w:hint="eastAsia" w:ascii="宋体" w:hAnsi="宋体"/>
                <w:color w:val="auto"/>
                <w:highlight w:val="none"/>
                <w:lang w:eastAsia="zh-CN"/>
              </w:rPr>
              <w:t>。</w:t>
            </w:r>
          </w:p>
          <w:p w14:paraId="647AD9E5">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门诊就诊凭证：在门诊已缴费明细页面显示院内就诊ID码用于线下就诊登记，二维码及条形码切换并显示就诊提示内容</w:t>
            </w:r>
            <w:r>
              <w:rPr>
                <w:rFonts w:hint="eastAsia" w:ascii="宋体" w:hAnsi="宋体"/>
                <w:color w:val="auto"/>
                <w:highlight w:val="none"/>
                <w:lang w:eastAsia="zh-CN"/>
              </w:rPr>
              <w:t>。</w:t>
            </w:r>
          </w:p>
        </w:tc>
      </w:tr>
      <w:tr w14:paraId="3453BC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8393B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住院缴费清单</w:t>
            </w:r>
          </w:p>
        </w:tc>
        <w:tc>
          <w:tcPr>
            <w:tcW w:w="7792" w:type="dxa"/>
            <w:tcBorders>
              <w:top w:val="single" w:color="auto" w:sz="4" w:space="0"/>
              <w:left w:val="single" w:color="auto" w:sz="4" w:space="0"/>
              <w:bottom w:val="single" w:color="auto" w:sz="4" w:space="0"/>
              <w:right w:val="single" w:color="auto" w:sz="6" w:space="0"/>
            </w:tcBorders>
            <w:vAlign w:val="center"/>
          </w:tcPr>
          <w:p w14:paraId="708BA2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住院信息查询：查询患者当前住院病区、床位及费用预缴金额、账户余额信息。</w:t>
            </w:r>
          </w:p>
          <w:p w14:paraId="2EB91C7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预交金充值：对绑定的用户进行在线住院预交金充值。</w:t>
            </w:r>
          </w:p>
          <w:p w14:paraId="3832040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预交记录查询：用户住院预交金缴费记录查询服务。</w:t>
            </w:r>
          </w:p>
          <w:p w14:paraId="186BD7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住院日费用单：查询患者当前住院日费用清单、包括费用类型及金额信息。</w:t>
            </w:r>
          </w:p>
        </w:tc>
      </w:tr>
      <w:tr w14:paraId="503F710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8BE6AF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病案复印配送</w:t>
            </w:r>
          </w:p>
        </w:tc>
        <w:tc>
          <w:tcPr>
            <w:tcW w:w="7792" w:type="dxa"/>
            <w:tcBorders>
              <w:top w:val="single" w:color="auto" w:sz="4" w:space="0"/>
              <w:left w:val="single" w:color="auto" w:sz="4" w:space="0"/>
              <w:bottom w:val="single" w:color="auto" w:sz="4" w:space="0"/>
              <w:right w:val="single" w:color="auto" w:sz="6" w:space="0"/>
            </w:tcBorders>
            <w:vAlign w:val="center"/>
          </w:tcPr>
          <w:p w14:paraId="39E289B9">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历史住院查询：通过绑定的用户信息查询可申请病案的住院记录</w:t>
            </w:r>
            <w:r>
              <w:rPr>
                <w:rFonts w:hint="eastAsia" w:ascii="宋体" w:hAnsi="宋体"/>
                <w:color w:val="auto"/>
                <w:highlight w:val="none"/>
                <w:lang w:eastAsia="zh-CN"/>
              </w:rPr>
              <w:t>。</w:t>
            </w:r>
          </w:p>
          <w:p w14:paraId="2E2047F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申请信息填写：在线选择病案复印目的、上传证件信息，自主选择收件地址</w:t>
            </w:r>
            <w:r>
              <w:rPr>
                <w:rFonts w:hint="eastAsia" w:ascii="宋体" w:hAnsi="宋体"/>
                <w:color w:val="auto"/>
                <w:highlight w:val="none"/>
                <w:lang w:eastAsia="zh-CN"/>
              </w:rPr>
              <w:t>。</w:t>
            </w:r>
          </w:p>
          <w:p w14:paraId="0A5A0B32">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复印费用预付：按照医院规定的预收费用进行病案复印费用在线支付</w:t>
            </w:r>
            <w:r>
              <w:rPr>
                <w:rFonts w:hint="eastAsia" w:ascii="宋体" w:hAnsi="宋体"/>
                <w:color w:val="auto"/>
                <w:highlight w:val="none"/>
                <w:lang w:eastAsia="zh-CN"/>
              </w:rPr>
              <w:t>。</w:t>
            </w:r>
          </w:p>
          <w:p w14:paraId="5994E98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申请订单查询：用户查询个人病案复印申请订单时间及状态信息</w:t>
            </w:r>
            <w:r>
              <w:rPr>
                <w:rFonts w:hint="eastAsia" w:ascii="宋体" w:hAnsi="宋体"/>
                <w:color w:val="auto"/>
                <w:highlight w:val="none"/>
                <w:lang w:eastAsia="zh-CN"/>
              </w:rPr>
              <w:t>。</w:t>
            </w:r>
          </w:p>
          <w:p w14:paraId="2514091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病案复印审核：病案室工作人员在线查询病案复印申请信息，进行审核，审核不通过自动进行退款</w:t>
            </w:r>
            <w:r>
              <w:rPr>
                <w:rFonts w:hint="eastAsia" w:ascii="宋体" w:hAnsi="宋体"/>
                <w:color w:val="auto"/>
                <w:highlight w:val="none"/>
                <w:lang w:eastAsia="zh-CN"/>
              </w:rPr>
              <w:t>。</w:t>
            </w:r>
          </w:p>
          <w:p w14:paraId="77FB8F3B">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复印订单打印：按照查询条件获取复印订单进行导出或打印</w:t>
            </w:r>
            <w:r>
              <w:rPr>
                <w:rFonts w:hint="eastAsia" w:ascii="宋体" w:hAnsi="宋体"/>
                <w:color w:val="auto"/>
                <w:highlight w:val="none"/>
                <w:lang w:eastAsia="zh-CN"/>
              </w:rPr>
              <w:t>。</w:t>
            </w:r>
          </w:p>
          <w:p w14:paraId="158A4F1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复印费用结算：病案室工作人员录入复印张数，系统自动结算退还多余费用</w:t>
            </w:r>
            <w:r>
              <w:rPr>
                <w:rFonts w:hint="eastAsia" w:ascii="宋体" w:hAnsi="宋体"/>
                <w:color w:val="auto"/>
                <w:highlight w:val="none"/>
                <w:lang w:eastAsia="zh-CN"/>
              </w:rPr>
              <w:t>。</w:t>
            </w:r>
          </w:p>
          <w:p w14:paraId="68656CE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病案复印快递：病案室工作人员完成病案复印后自助进行快递下单并通知快递员揽收</w:t>
            </w:r>
            <w:r>
              <w:rPr>
                <w:rFonts w:hint="eastAsia" w:ascii="宋体" w:hAnsi="宋体"/>
                <w:color w:val="auto"/>
                <w:highlight w:val="none"/>
                <w:lang w:eastAsia="zh-CN"/>
              </w:rPr>
              <w:t>。</w:t>
            </w:r>
          </w:p>
          <w:p w14:paraId="3ACA465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病案快递查询：用户及医院病案室工作人员查询病案快递配送进度信息</w:t>
            </w:r>
            <w:r>
              <w:rPr>
                <w:rFonts w:hint="eastAsia" w:ascii="宋体" w:hAnsi="宋体"/>
                <w:color w:val="auto"/>
                <w:highlight w:val="none"/>
                <w:lang w:eastAsia="zh-CN"/>
              </w:rPr>
              <w:t>。</w:t>
            </w:r>
          </w:p>
          <w:p w14:paraId="513CC90F">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病案复印对账：查询病案复印交易付款及退款记录，包括支付渠道、金额及时间信息</w:t>
            </w:r>
            <w:r>
              <w:rPr>
                <w:rFonts w:hint="eastAsia" w:ascii="宋体" w:hAnsi="宋体"/>
                <w:color w:val="auto"/>
                <w:highlight w:val="none"/>
                <w:lang w:eastAsia="zh-CN"/>
              </w:rPr>
              <w:t>。</w:t>
            </w:r>
          </w:p>
          <w:p w14:paraId="3B7E8D8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复印账单导出：按照查询条件获取复印交易账单进行导出或打印，满足对账要求</w:t>
            </w:r>
            <w:r>
              <w:rPr>
                <w:rFonts w:hint="eastAsia" w:ascii="宋体" w:hAnsi="宋体"/>
                <w:color w:val="auto"/>
                <w:highlight w:val="none"/>
                <w:lang w:eastAsia="zh-CN"/>
              </w:rPr>
              <w:t>。</w:t>
            </w:r>
          </w:p>
          <w:p w14:paraId="763A3AA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病案复印日报：获取每日工作量情况，包括申请量、审核量、快递量及收入信息。</w:t>
            </w:r>
          </w:p>
        </w:tc>
      </w:tr>
      <w:tr w14:paraId="7037C2E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DE0968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病历处方查询</w:t>
            </w:r>
          </w:p>
        </w:tc>
        <w:tc>
          <w:tcPr>
            <w:tcW w:w="7792" w:type="dxa"/>
            <w:tcBorders>
              <w:top w:val="single" w:color="auto" w:sz="4" w:space="0"/>
              <w:left w:val="single" w:color="auto" w:sz="4" w:space="0"/>
              <w:bottom w:val="single" w:color="auto" w:sz="4" w:space="0"/>
              <w:right w:val="single" w:color="auto" w:sz="6" w:space="0"/>
            </w:tcBorders>
            <w:vAlign w:val="center"/>
          </w:tcPr>
          <w:p w14:paraId="168A407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门诊处方查询：患者在线查询门诊处方详情信息。</w:t>
            </w:r>
          </w:p>
          <w:p w14:paraId="32D1CE17">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出院带药查询：在线查询患者出院带药信息，包括药品规格及用法用量信息</w:t>
            </w:r>
            <w:r>
              <w:rPr>
                <w:rFonts w:hint="eastAsia" w:ascii="宋体" w:hAnsi="宋体"/>
                <w:color w:val="auto"/>
                <w:highlight w:val="none"/>
                <w:lang w:eastAsia="zh-CN"/>
              </w:rPr>
              <w:t>。</w:t>
            </w:r>
          </w:p>
          <w:p w14:paraId="4DD317E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本院处方提醒：自主选择本院处方设置快捷设置用药闹钟，推送微信消息通知提醒用户按时服药。</w:t>
            </w:r>
          </w:p>
          <w:p w14:paraId="64023D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自主用药提醒：自定义添加药品进行自助用药间隔管理。微信消息提醒用户按时服药。</w:t>
            </w:r>
          </w:p>
        </w:tc>
      </w:tr>
      <w:tr w14:paraId="20ED9B7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CA71EA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医院就诊指南</w:t>
            </w:r>
          </w:p>
        </w:tc>
        <w:tc>
          <w:tcPr>
            <w:tcW w:w="7792" w:type="dxa"/>
            <w:tcBorders>
              <w:top w:val="single" w:color="auto" w:sz="4" w:space="0"/>
              <w:left w:val="single" w:color="auto" w:sz="4" w:space="0"/>
              <w:bottom w:val="single" w:color="auto" w:sz="4" w:space="0"/>
              <w:right w:val="single" w:color="auto" w:sz="6" w:space="0"/>
            </w:tcBorders>
            <w:vAlign w:val="center"/>
          </w:tcPr>
          <w:p w14:paraId="7C81C6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医院介绍：医院简介、等级、基础信息查询服务。</w:t>
            </w:r>
          </w:p>
          <w:p w14:paraId="3F27B5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院外导航：基于三方地图提供医院快速导航服务。</w:t>
            </w:r>
          </w:p>
          <w:p w14:paraId="31AFBE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服务电话：查询医院咨询、投诉电话并进行快速拨打呼叫。</w:t>
            </w:r>
          </w:p>
          <w:p w14:paraId="5DE432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科室介绍：医院科室简介、特色信息查询服务。</w:t>
            </w:r>
          </w:p>
          <w:p w14:paraId="42FE0055">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在线客服通道：在线客服问题回复受理通道，在线受理用户意见反馈</w:t>
            </w:r>
            <w:r>
              <w:rPr>
                <w:rFonts w:hint="eastAsia" w:ascii="宋体" w:hAnsi="宋体"/>
                <w:color w:val="auto"/>
                <w:highlight w:val="none"/>
                <w:lang w:eastAsia="zh-CN"/>
              </w:rPr>
              <w:t>。</w:t>
            </w:r>
          </w:p>
        </w:tc>
      </w:tr>
      <w:tr w14:paraId="6D4EBC2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7480E5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健康百科指南</w:t>
            </w:r>
          </w:p>
        </w:tc>
        <w:tc>
          <w:tcPr>
            <w:tcW w:w="7792" w:type="dxa"/>
            <w:tcBorders>
              <w:top w:val="single" w:color="auto" w:sz="4" w:space="0"/>
              <w:left w:val="single" w:color="auto" w:sz="4" w:space="0"/>
              <w:bottom w:val="single" w:color="auto" w:sz="4" w:space="0"/>
              <w:right w:val="single" w:color="auto" w:sz="6" w:space="0"/>
            </w:tcBorders>
            <w:vAlign w:val="center"/>
          </w:tcPr>
          <w:p w14:paraId="7147CC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健康自测：健康评估知识库，不同人群进行在线健康测评。</w:t>
            </w:r>
          </w:p>
          <w:p w14:paraId="6AD008E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药品百科：标准版常用药品百科知识库，查询药品使用禁忌说明等。</w:t>
            </w:r>
          </w:p>
          <w:p w14:paraId="20CFEF8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疾病百科：常见疾病病因、症状、检查推荐及预防治疗措施指引查询。</w:t>
            </w:r>
          </w:p>
          <w:p w14:paraId="70A030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症状指引：按照常见症状组合推测可能出现的疾病及适用药信息为用户提供参考。</w:t>
            </w:r>
          </w:p>
          <w:p w14:paraId="1C22CD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百科智能助手：通过交互式信息输入自动回复对应症状、疾病、药品百科信息。</w:t>
            </w:r>
          </w:p>
          <w:p w14:paraId="7F4E05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健康资讯：查询医院发布的就诊指南、健康知识及宣教资讯信息。</w:t>
            </w:r>
          </w:p>
          <w:p w14:paraId="2684990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就诊指南：本地或医院就诊流程、就诊须知等指南查阅服务。</w:t>
            </w:r>
          </w:p>
          <w:p w14:paraId="3927B0E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常见问题解答：惠民服务应用及医院就诊常见问题解答查询服务。</w:t>
            </w:r>
          </w:p>
          <w:p w14:paraId="0713D8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公告查询：滚动显示及查询医院发布的公告信息。</w:t>
            </w:r>
          </w:p>
        </w:tc>
      </w:tr>
      <w:tr w14:paraId="72F4DE3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54E0AC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诊后评价反馈</w:t>
            </w:r>
          </w:p>
        </w:tc>
        <w:tc>
          <w:tcPr>
            <w:tcW w:w="7792" w:type="dxa"/>
            <w:tcBorders>
              <w:top w:val="single" w:color="auto" w:sz="4" w:space="0"/>
              <w:left w:val="single" w:color="auto" w:sz="4" w:space="0"/>
              <w:bottom w:val="single" w:color="auto" w:sz="4" w:space="0"/>
              <w:right w:val="single" w:color="auto" w:sz="6" w:space="0"/>
            </w:tcBorders>
            <w:vAlign w:val="center"/>
          </w:tcPr>
          <w:p w14:paraId="2CF368B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意见反馈：在线通过图文的形式进行意见反馈。</w:t>
            </w:r>
          </w:p>
          <w:p w14:paraId="5B9395A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门诊就诊评价：患者就诊后通过应用终端在线填写满意度调查评价。</w:t>
            </w:r>
          </w:p>
          <w:p w14:paraId="7BF21D0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住院就诊评价：患者就诊后在线进行填写住院问卷满意度查询。</w:t>
            </w:r>
          </w:p>
        </w:tc>
      </w:tr>
      <w:tr w14:paraId="7626772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0C726C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业务数据管理</w:t>
            </w:r>
          </w:p>
        </w:tc>
        <w:tc>
          <w:tcPr>
            <w:tcW w:w="7792" w:type="dxa"/>
            <w:tcBorders>
              <w:top w:val="single" w:color="auto" w:sz="4" w:space="0"/>
              <w:left w:val="single" w:color="auto" w:sz="4" w:space="0"/>
              <w:bottom w:val="single" w:color="auto" w:sz="4" w:space="0"/>
              <w:right w:val="single" w:color="auto" w:sz="6" w:space="0"/>
            </w:tcBorders>
            <w:vAlign w:val="center"/>
          </w:tcPr>
          <w:p w14:paraId="7ADF59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 xml:space="preserve">挂号订单管理：查询本院用户挂号订单信息及订单操作时间、账号 </w:t>
            </w:r>
          </w:p>
          <w:p w14:paraId="1C5D27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挂号订单检索：按照用户院内ID、手机号或支付订单号检索用户挂号订单信息</w:t>
            </w:r>
          </w:p>
          <w:p w14:paraId="2AB3474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异常订单查询：查询挂号、门诊缴费、住院缴费等异常单，为用户投诉提供快速处理通道。</w:t>
            </w:r>
          </w:p>
          <w:p w14:paraId="0C5194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绑定用户查询：按照用户ID、证件号、手机号等信息查询账号绑定情况。</w:t>
            </w:r>
          </w:p>
          <w:p w14:paraId="79F645F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注册用户管理：查询用户账号注册情况，提供异常账号管理员注销服务。</w:t>
            </w:r>
          </w:p>
          <w:p w14:paraId="523667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快递订单查询：医院药品快递订单查询，按照用户ID、订单状态等检索订单</w:t>
            </w:r>
          </w:p>
        </w:tc>
      </w:tr>
    </w:tbl>
    <w:p w14:paraId="69828C29">
      <w:pPr>
        <w:rPr>
          <w:color w:val="auto"/>
          <w:highlight w:val="none"/>
        </w:rPr>
      </w:pPr>
    </w:p>
    <w:p w14:paraId="23F5AE66">
      <w:pPr>
        <w:pStyle w:val="4"/>
        <w:numPr>
          <w:ilvl w:val="2"/>
          <w:numId w:val="2"/>
        </w:numPr>
        <w:rPr>
          <w:color w:val="auto"/>
          <w:highlight w:val="none"/>
        </w:rPr>
      </w:pPr>
      <w:r>
        <w:rPr>
          <w:rFonts w:hint="eastAsia"/>
          <w:color w:val="auto"/>
          <w:highlight w:val="none"/>
        </w:rPr>
        <w:t>互联网医院</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89"/>
        <w:gridCol w:w="7106"/>
      </w:tblGrid>
      <w:tr w14:paraId="017E957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0562B625">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3" w:type="dxa"/>
            <w:tcBorders>
              <w:top w:val="single" w:color="auto" w:sz="4" w:space="0"/>
              <w:left w:val="single" w:color="auto" w:sz="4" w:space="0"/>
              <w:bottom w:val="single" w:color="auto" w:sz="4" w:space="0"/>
              <w:right w:val="single" w:color="auto" w:sz="6" w:space="0"/>
            </w:tcBorders>
            <w:vAlign w:val="center"/>
          </w:tcPr>
          <w:p w14:paraId="503FCA2F">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53473A8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159BDE5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在线门诊</w:t>
            </w:r>
          </w:p>
        </w:tc>
        <w:tc>
          <w:tcPr>
            <w:tcW w:w="7593" w:type="dxa"/>
            <w:tcBorders>
              <w:top w:val="single" w:color="auto" w:sz="4" w:space="0"/>
              <w:left w:val="single" w:color="auto" w:sz="4" w:space="0"/>
              <w:bottom w:val="single" w:color="auto" w:sz="4" w:space="0"/>
              <w:right w:val="single" w:color="auto" w:sz="6" w:space="0"/>
            </w:tcBorders>
            <w:vAlign w:val="center"/>
          </w:tcPr>
          <w:p w14:paraId="597B98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1.首页</w:t>
            </w:r>
            <w:r>
              <w:rPr>
                <w:rFonts w:hint="eastAsia" w:ascii="宋体" w:hAnsi="宋体"/>
                <w:color w:val="auto"/>
                <w:highlight w:val="none"/>
                <w:lang w:eastAsia="zh-CN"/>
              </w:rPr>
              <w:t>。</w:t>
            </w:r>
            <w:r>
              <w:rPr>
                <w:rFonts w:hint="eastAsia" w:ascii="宋体" w:hAnsi="宋体" w:eastAsia="宋体"/>
                <w:color w:val="auto"/>
                <w:highlight w:val="none"/>
              </w:rPr>
              <w:t>建立实体医院互联网分院，线上线下一体化管理患者门户入口。</w:t>
            </w:r>
          </w:p>
          <w:p w14:paraId="2FB73D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2.图文咨询。初诊患者通过图文咨询方式咨询医生。</w:t>
            </w:r>
          </w:p>
          <w:p w14:paraId="654A338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3.在线复诊。复诊患者可寻找医生开具慢病或常见病处方。</w:t>
            </w:r>
          </w:p>
          <w:p w14:paraId="2FBC17A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4.结算。手机移动支付挂号费及就诊产生的诊疗费用。</w:t>
            </w:r>
          </w:p>
          <w:p w14:paraId="325F80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5.院内取药/药品配送。医院取药或者选择快递配送。</w:t>
            </w:r>
          </w:p>
          <w:p w14:paraId="3D14592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6.满意度点评。</w:t>
            </w:r>
          </w:p>
        </w:tc>
      </w:tr>
      <w:tr w14:paraId="4BCD2BC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4C666EC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医生接诊</w:t>
            </w:r>
          </w:p>
        </w:tc>
        <w:tc>
          <w:tcPr>
            <w:tcW w:w="7593" w:type="dxa"/>
            <w:tcBorders>
              <w:top w:val="single" w:color="auto" w:sz="4" w:space="0"/>
              <w:left w:val="single" w:color="auto" w:sz="4" w:space="0"/>
              <w:bottom w:val="single" w:color="auto" w:sz="4" w:space="0"/>
              <w:right w:val="single" w:color="auto" w:sz="6" w:space="0"/>
            </w:tcBorders>
            <w:vAlign w:val="center"/>
          </w:tcPr>
          <w:p w14:paraId="5CAE06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1.医生专属二维码，云诊室。展示医生个人信息、网络医院找医生、医患互动的入口。</w:t>
            </w:r>
          </w:p>
          <w:p w14:paraId="5CEF97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2.一键排班（号别、费用、限号）。</w:t>
            </w:r>
          </w:p>
          <w:p w14:paraId="0D9A0B5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 待接诊患者。接诊预约患者，查阅患者在院病历及就诊史。</w:t>
            </w:r>
          </w:p>
          <w:p w14:paraId="27D13DB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4.网络接诊。在线接诊，医患线上交流。</w:t>
            </w:r>
          </w:p>
          <w:p w14:paraId="457CF02C">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5. his工作站书写诊断、病历，开具处方、检查单、检验单</w:t>
            </w:r>
            <w:r>
              <w:rPr>
                <w:rFonts w:hint="eastAsia" w:ascii="宋体" w:hAnsi="宋体"/>
                <w:color w:val="auto"/>
                <w:highlight w:val="none"/>
                <w:lang w:eastAsia="zh-CN"/>
              </w:rPr>
              <w:t>。</w:t>
            </w:r>
          </w:p>
          <w:p w14:paraId="3A1378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6.发药。his工作站开具的药品，可在药房取药，支持快递配送。</w:t>
            </w:r>
          </w:p>
          <w:p w14:paraId="3865CCD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7.结诊。</w:t>
            </w:r>
          </w:p>
          <w:p w14:paraId="3560637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8.订单激活。</w:t>
            </w:r>
          </w:p>
          <w:p w14:paraId="126956F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9.支持HIS工作站及医生APP书写诊断、病历。结合患者咨询信息、医患聊天记录AI预生成门诊病历，医生审核后回写至HIS病历文书。</w:t>
            </w:r>
          </w:p>
        </w:tc>
      </w:tr>
      <w:tr w14:paraId="366EBB5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0C683BB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消息中心</w:t>
            </w:r>
          </w:p>
        </w:tc>
        <w:tc>
          <w:tcPr>
            <w:tcW w:w="7593" w:type="dxa"/>
            <w:tcBorders>
              <w:top w:val="single" w:color="auto" w:sz="4" w:space="0"/>
              <w:left w:val="single" w:color="auto" w:sz="4" w:space="0"/>
              <w:bottom w:val="single" w:color="auto" w:sz="4" w:space="0"/>
              <w:right w:val="single" w:color="auto" w:sz="6" w:space="0"/>
            </w:tcBorders>
            <w:vAlign w:val="center"/>
          </w:tcPr>
          <w:p w14:paraId="6B56E8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1.患者端消息提醒医生接诊、医生回复消息、医生开方等消息提醒。</w:t>
            </w:r>
          </w:p>
          <w:p w14:paraId="202C340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2.医生端：患者挂号提醒、患者退号提醒等。</w:t>
            </w:r>
          </w:p>
        </w:tc>
      </w:tr>
      <w:tr w14:paraId="5253FD6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4" w:type="dxa"/>
            <w:tcBorders>
              <w:top w:val="single" w:color="auto" w:sz="4" w:space="0"/>
              <w:left w:val="single" w:color="auto" w:sz="4" w:space="0"/>
              <w:bottom w:val="single" w:color="auto" w:sz="4" w:space="0"/>
              <w:right w:val="single" w:color="auto" w:sz="4" w:space="0"/>
            </w:tcBorders>
            <w:vAlign w:val="center"/>
          </w:tcPr>
          <w:p w14:paraId="32B5760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管理后台</w:t>
            </w:r>
          </w:p>
        </w:tc>
        <w:tc>
          <w:tcPr>
            <w:tcW w:w="7593" w:type="dxa"/>
            <w:tcBorders>
              <w:top w:val="single" w:color="auto" w:sz="4" w:space="0"/>
              <w:left w:val="single" w:color="auto" w:sz="4" w:space="0"/>
              <w:bottom w:val="single" w:color="auto" w:sz="4" w:space="0"/>
              <w:right w:val="single" w:color="auto" w:sz="6" w:space="0"/>
            </w:tcBorders>
            <w:vAlign w:val="center"/>
          </w:tcPr>
          <w:p w14:paraId="52121C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1.账号、密码。按不同管理角色分配登录账号权限。</w:t>
            </w:r>
          </w:p>
          <w:p w14:paraId="3AE3072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hint="eastAsia" w:ascii="宋体" w:hAnsi="宋体"/>
                <w:color w:val="auto"/>
                <w:highlight w:val="none"/>
                <w:lang w:val="en-US" w:eastAsia="zh-CN"/>
              </w:rPr>
              <w:t>.</w:t>
            </w:r>
            <w:r>
              <w:rPr>
                <w:rFonts w:hint="eastAsia" w:ascii="宋体" w:hAnsi="宋体" w:eastAsia="宋体"/>
                <w:color w:val="auto"/>
                <w:highlight w:val="none"/>
              </w:rPr>
              <w:t>接诊设置。后台批量处理科室、医生上下线接单。</w:t>
            </w:r>
          </w:p>
          <w:p w14:paraId="4E613D6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3.患者行为日志。患者信息、申请单、聊天记录可追溯。</w:t>
            </w:r>
          </w:p>
          <w:p w14:paraId="24ACC0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4.医护行为日志。医护接单信息、聊天信息、诊疗信息可追溯。</w:t>
            </w:r>
          </w:p>
          <w:p w14:paraId="0853B9B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5.支付日志。支付交易信息可追溯。</w:t>
            </w:r>
          </w:p>
          <w:p w14:paraId="70270DC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6.统计数据。按科室、按医生接诊数量统计、接诊数据分析及图表展现。</w:t>
            </w:r>
          </w:p>
        </w:tc>
      </w:tr>
    </w:tbl>
    <w:p w14:paraId="5BCDDDBF">
      <w:pPr>
        <w:rPr>
          <w:color w:val="auto"/>
          <w:highlight w:val="none"/>
        </w:rPr>
      </w:pPr>
    </w:p>
    <w:p w14:paraId="2338C26E">
      <w:pPr>
        <w:pStyle w:val="4"/>
        <w:numPr>
          <w:ilvl w:val="2"/>
          <w:numId w:val="2"/>
        </w:numPr>
        <w:rPr>
          <w:color w:val="auto"/>
          <w:highlight w:val="none"/>
        </w:rPr>
      </w:pPr>
      <w:r>
        <w:rPr>
          <w:rFonts w:hint="eastAsia"/>
          <w:color w:val="auto"/>
          <w:highlight w:val="none"/>
        </w:rPr>
        <w:t>消息平台</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392"/>
        <w:gridCol w:w="7103"/>
      </w:tblGrid>
      <w:tr w14:paraId="7C8CD54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48957732">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592" w:type="dxa"/>
            <w:tcBorders>
              <w:top w:val="single" w:color="auto" w:sz="4" w:space="0"/>
              <w:left w:val="single" w:color="auto" w:sz="4" w:space="0"/>
              <w:bottom w:val="single" w:color="auto" w:sz="4" w:space="0"/>
              <w:right w:val="single" w:color="auto" w:sz="6" w:space="0"/>
            </w:tcBorders>
            <w:vAlign w:val="center"/>
          </w:tcPr>
          <w:p w14:paraId="6D994E68">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755DFE6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FB8CABB">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消息通道接入</w:t>
            </w:r>
          </w:p>
        </w:tc>
        <w:tc>
          <w:tcPr>
            <w:tcW w:w="7592" w:type="dxa"/>
            <w:tcBorders>
              <w:top w:val="single" w:color="auto" w:sz="4" w:space="0"/>
              <w:left w:val="single" w:color="auto" w:sz="4" w:space="0"/>
              <w:bottom w:val="single" w:color="auto" w:sz="4" w:space="0"/>
              <w:right w:val="single" w:color="auto" w:sz="6" w:space="0"/>
            </w:tcBorders>
            <w:vAlign w:val="center"/>
          </w:tcPr>
          <w:p w14:paraId="76719A36">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微信消息整合整合：微信推送服务，包括消息模板、数据接口等</w:t>
            </w:r>
            <w:r>
              <w:rPr>
                <w:rFonts w:hint="eastAsia" w:ascii="宋体" w:hAnsi="宋体"/>
                <w:color w:val="auto"/>
                <w:highlight w:val="none"/>
                <w:lang w:eastAsia="zh-CN"/>
              </w:rPr>
              <w:t>。</w:t>
            </w:r>
          </w:p>
          <w:p w14:paraId="7B5E166B">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短信服务整合：集成短信通知服务，包括消息模板、数据接口等</w:t>
            </w:r>
            <w:r>
              <w:rPr>
                <w:rFonts w:hint="eastAsia" w:ascii="宋体" w:hAnsi="宋体"/>
                <w:color w:val="auto"/>
                <w:highlight w:val="none"/>
                <w:lang w:eastAsia="zh-CN"/>
              </w:rPr>
              <w:t>。</w:t>
            </w:r>
          </w:p>
          <w:p w14:paraId="5AFFFF3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通知消息群发：选择推送渠道，自定义推送内容，向多个接收人推送微信、短信或应用消息通知。</w:t>
            </w:r>
          </w:p>
        </w:tc>
      </w:tr>
      <w:tr w14:paraId="0EC2BAD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710CE49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消息发送服务</w:t>
            </w:r>
          </w:p>
        </w:tc>
        <w:tc>
          <w:tcPr>
            <w:tcW w:w="7592" w:type="dxa"/>
            <w:tcBorders>
              <w:top w:val="single" w:color="auto" w:sz="4" w:space="0"/>
              <w:left w:val="single" w:color="auto" w:sz="4" w:space="0"/>
              <w:bottom w:val="single" w:color="auto" w:sz="4" w:space="0"/>
              <w:right w:val="single" w:color="auto" w:sz="6" w:space="0"/>
            </w:tcBorders>
            <w:vAlign w:val="center"/>
          </w:tcPr>
          <w:p w14:paraId="1F812F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患者在线服务提醒：患者在线预约挂号、退号、停诊、就诊取号微信或短信提醒服务</w:t>
            </w:r>
          </w:p>
          <w:p w14:paraId="2CEEBDE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患者门诊就诊提醒：门诊报告领取提醒、缴费就诊引导患者微信提醒服务</w:t>
            </w:r>
            <w:r>
              <w:rPr>
                <w:rFonts w:hint="eastAsia" w:ascii="宋体" w:hAnsi="宋体"/>
                <w:color w:val="auto"/>
                <w:highlight w:val="none"/>
                <w:lang w:eastAsia="zh-CN"/>
              </w:rPr>
              <w:t>。</w:t>
            </w:r>
          </w:p>
          <w:p w14:paraId="7DA9EBE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患者住院服务提醒：住院入院通知、欠费提醒、出院带药微信提醒服务</w:t>
            </w:r>
          </w:p>
          <w:p w14:paraId="6391578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第三方业务通知：诊后随访、检查预约、体检服务等业务系统接入服务。</w:t>
            </w:r>
          </w:p>
          <w:p w14:paraId="43ECEA9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患者提醒场景：15个以内患者在线、门诊、住院或第三方消息推送。</w:t>
            </w:r>
          </w:p>
        </w:tc>
      </w:tr>
      <w:tr w14:paraId="2C963FD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8C0AF2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记录查询</w:t>
            </w:r>
          </w:p>
        </w:tc>
        <w:tc>
          <w:tcPr>
            <w:tcW w:w="7592" w:type="dxa"/>
            <w:tcBorders>
              <w:top w:val="single" w:color="auto" w:sz="4" w:space="0"/>
              <w:left w:val="single" w:color="auto" w:sz="4" w:space="0"/>
              <w:bottom w:val="single" w:color="auto" w:sz="4" w:space="0"/>
              <w:right w:val="single" w:color="auto" w:sz="6" w:space="0"/>
            </w:tcBorders>
            <w:vAlign w:val="center"/>
          </w:tcPr>
          <w:p w14:paraId="5433E65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发送记录查询：查询或筛选信息发送记录，包括发送场景、用户信息、发送状态、发送渠道及时间信息等。</w:t>
            </w:r>
          </w:p>
        </w:tc>
      </w:tr>
      <w:tr w14:paraId="086F249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17FE1C9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引擎配置管理</w:t>
            </w:r>
          </w:p>
        </w:tc>
        <w:tc>
          <w:tcPr>
            <w:tcW w:w="7592" w:type="dxa"/>
            <w:tcBorders>
              <w:top w:val="single" w:color="auto" w:sz="4" w:space="0"/>
              <w:left w:val="single" w:color="auto" w:sz="4" w:space="0"/>
              <w:bottom w:val="single" w:color="auto" w:sz="4" w:space="0"/>
              <w:right w:val="single" w:color="auto" w:sz="6" w:space="0"/>
            </w:tcBorders>
            <w:vAlign w:val="center"/>
          </w:tcPr>
          <w:p w14:paraId="7584BF42">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内容配置：新增模板并分配给相应子账号，删除模板</w:t>
            </w:r>
            <w:r>
              <w:rPr>
                <w:rFonts w:hint="eastAsia" w:ascii="宋体" w:hAnsi="宋体"/>
                <w:color w:val="auto"/>
                <w:highlight w:val="none"/>
                <w:lang w:eastAsia="zh-CN"/>
              </w:rPr>
              <w:t>。</w:t>
            </w:r>
          </w:p>
          <w:p w14:paraId="44A8994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模板创建：设置或修改模板类型、选择模板签名、设置模板适用范围、自定义维护模板内容。</w:t>
            </w:r>
          </w:p>
          <w:p w14:paraId="16583AFE">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模板管理：设置或修改模板类型、自定义维护模板内容；启用或停用模板；通过筛选条件（模板名称、状态、渠道）搜索相应的模板</w:t>
            </w:r>
            <w:r>
              <w:rPr>
                <w:rFonts w:hint="eastAsia" w:ascii="宋体" w:hAnsi="宋体"/>
                <w:color w:val="auto"/>
                <w:highlight w:val="none"/>
                <w:lang w:eastAsia="zh-CN"/>
              </w:rPr>
              <w:t>。</w:t>
            </w:r>
          </w:p>
          <w:p w14:paraId="29FD556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场景管理：创建或修改场景名称、描述，设置场景使用状态；通过筛选条件（名称、状态）搜索相应的内容；设置模板消息发送的优先级，当配置多渠道消息时根据优先级自动进行对应渠道推送。</w:t>
            </w:r>
          </w:p>
          <w:p w14:paraId="717ADF1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途径优先级配置：设置各个发送途径的优先级顺序，包括并行发送或按途径先后发送。</w:t>
            </w:r>
          </w:p>
        </w:tc>
      </w:tr>
      <w:tr w14:paraId="47E3FF1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23F085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数据统计</w:t>
            </w:r>
          </w:p>
        </w:tc>
        <w:tc>
          <w:tcPr>
            <w:tcW w:w="7592" w:type="dxa"/>
            <w:tcBorders>
              <w:top w:val="single" w:color="auto" w:sz="4" w:space="0"/>
              <w:left w:val="single" w:color="auto" w:sz="4" w:space="0"/>
              <w:bottom w:val="single" w:color="auto" w:sz="4" w:space="0"/>
              <w:right w:val="single" w:color="auto" w:sz="6" w:space="0"/>
            </w:tcBorders>
            <w:vAlign w:val="center"/>
          </w:tcPr>
          <w:p w14:paraId="75AE66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展示消息请求总数、发送总数、发送成功率等业务数据量及运行情况统计。</w:t>
            </w:r>
          </w:p>
        </w:tc>
      </w:tr>
      <w:tr w14:paraId="19CF4C3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50EBE59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系统设置</w:t>
            </w:r>
          </w:p>
        </w:tc>
        <w:tc>
          <w:tcPr>
            <w:tcW w:w="7592" w:type="dxa"/>
            <w:tcBorders>
              <w:top w:val="single" w:color="auto" w:sz="4" w:space="0"/>
              <w:left w:val="single" w:color="auto" w:sz="4" w:space="0"/>
              <w:bottom w:val="single" w:color="auto" w:sz="4" w:space="0"/>
              <w:right w:val="single" w:color="auto" w:sz="6" w:space="0"/>
            </w:tcBorders>
            <w:vAlign w:val="center"/>
          </w:tcPr>
          <w:p w14:paraId="1454E20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登录管理：管理员登录管理平台，管理个人信息，查看账号信息，修改登录密码。</w:t>
            </w:r>
          </w:p>
          <w:p w14:paraId="084FF953">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账号管理：管理员新增、删除子账号并设置子账号名和账号描述、登录信息</w:t>
            </w:r>
            <w:r>
              <w:rPr>
                <w:rFonts w:hint="eastAsia" w:ascii="宋体" w:hAnsi="宋体"/>
                <w:color w:val="auto"/>
                <w:highlight w:val="none"/>
                <w:lang w:eastAsia="zh-CN"/>
              </w:rPr>
              <w:t>。</w:t>
            </w:r>
          </w:p>
          <w:p w14:paraId="399A0C2D">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角色管理：管理员管理不同子账号的角色分配，快速赋予新账号角色</w:t>
            </w:r>
            <w:r>
              <w:rPr>
                <w:rFonts w:hint="eastAsia" w:ascii="宋体" w:hAnsi="宋体"/>
                <w:color w:val="auto"/>
                <w:highlight w:val="none"/>
                <w:lang w:eastAsia="zh-CN"/>
              </w:rPr>
              <w:t>。</w:t>
            </w:r>
          </w:p>
          <w:p w14:paraId="0E5E02AA">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角色权限管理：管理员设置不同角色，定义不同角色的访问和维护权限</w:t>
            </w:r>
            <w:r>
              <w:rPr>
                <w:rFonts w:hint="eastAsia" w:ascii="宋体" w:hAnsi="宋体"/>
                <w:color w:val="auto"/>
                <w:highlight w:val="none"/>
                <w:lang w:eastAsia="zh-CN"/>
              </w:rPr>
              <w:t>。</w:t>
            </w:r>
          </w:p>
          <w:p w14:paraId="7B295F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菜单管理：管理员对系统菜单进行个性化配置，包括上级菜单、菜单名称、跳转路由、文件名、图标、排序、状态等。</w:t>
            </w:r>
          </w:p>
          <w:p w14:paraId="7BD68D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术语管理：对消息引擎平台发送进行术语维护配置管理。</w:t>
            </w:r>
          </w:p>
          <w:p w14:paraId="755DA91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参数管理：管理员维护系统参数、包括添加、修改、查询等。</w:t>
            </w:r>
          </w:p>
          <w:p w14:paraId="57EB89E0">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应用接入管理：管理平台接入接口，分别对不同的服务商设置不同的权限及IP白名单信息</w:t>
            </w:r>
            <w:r>
              <w:rPr>
                <w:rFonts w:hint="eastAsia" w:ascii="宋体" w:hAnsi="宋体"/>
                <w:color w:val="auto"/>
                <w:highlight w:val="none"/>
                <w:lang w:eastAsia="zh-CN"/>
              </w:rPr>
              <w:t>。</w:t>
            </w:r>
          </w:p>
        </w:tc>
      </w:tr>
      <w:tr w14:paraId="1AB584A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383AF9E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用户信息管理</w:t>
            </w:r>
          </w:p>
        </w:tc>
        <w:tc>
          <w:tcPr>
            <w:tcW w:w="7592" w:type="dxa"/>
            <w:tcBorders>
              <w:top w:val="single" w:color="auto" w:sz="4" w:space="0"/>
              <w:left w:val="single" w:color="auto" w:sz="4" w:space="0"/>
              <w:bottom w:val="single" w:color="auto" w:sz="4" w:space="0"/>
              <w:right w:val="single" w:color="auto" w:sz="6" w:space="0"/>
            </w:tcBorders>
            <w:vAlign w:val="center"/>
          </w:tcPr>
          <w:p w14:paraId="47EAE06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用户信息管理：用户手机号、微信号、等基础信息查询管理。</w:t>
            </w:r>
          </w:p>
          <w:p w14:paraId="6197C4D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用户信息更新：实时同步更新获取接收人信息。</w:t>
            </w:r>
          </w:p>
        </w:tc>
      </w:tr>
      <w:tr w14:paraId="2994F9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65" w:type="dxa"/>
            <w:tcBorders>
              <w:top w:val="single" w:color="auto" w:sz="4" w:space="0"/>
              <w:left w:val="single" w:color="auto" w:sz="4" w:space="0"/>
              <w:bottom w:val="single" w:color="auto" w:sz="4" w:space="0"/>
              <w:right w:val="single" w:color="auto" w:sz="4" w:space="0"/>
            </w:tcBorders>
            <w:vAlign w:val="center"/>
          </w:tcPr>
          <w:p w14:paraId="3DE2BC8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安全运行控制</w:t>
            </w:r>
          </w:p>
        </w:tc>
        <w:tc>
          <w:tcPr>
            <w:tcW w:w="7592" w:type="dxa"/>
            <w:tcBorders>
              <w:top w:val="single" w:color="auto" w:sz="4" w:space="0"/>
              <w:left w:val="single" w:color="auto" w:sz="4" w:space="0"/>
              <w:bottom w:val="single" w:color="auto" w:sz="4" w:space="0"/>
              <w:right w:val="single" w:color="auto" w:sz="6" w:space="0"/>
            </w:tcBorders>
            <w:vAlign w:val="center"/>
          </w:tcPr>
          <w:p w14:paraId="395979F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服务运行控制：实时监控接口及方法调用情况、sql实行情况、系统信息及线程数。</w:t>
            </w:r>
          </w:p>
          <w:p w14:paraId="43BC060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日志管理：记录并支持查询管理平台操作及修改日志信息。</w:t>
            </w:r>
          </w:p>
        </w:tc>
      </w:tr>
    </w:tbl>
    <w:p w14:paraId="37D69793">
      <w:pPr>
        <w:pStyle w:val="3"/>
        <w:numPr>
          <w:ilvl w:val="1"/>
          <w:numId w:val="2"/>
        </w:numPr>
        <w:bidi w:val="0"/>
        <w:rPr>
          <w:rFonts w:hint="eastAsia"/>
          <w:color w:val="auto"/>
          <w:highlight w:val="none"/>
        </w:rPr>
      </w:pPr>
      <w:bookmarkStart w:id="57" w:name="_Toc187691848"/>
      <w:r>
        <w:rPr>
          <w:rFonts w:hint="eastAsia"/>
          <w:color w:val="auto"/>
          <w:highlight w:val="none"/>
        </w:rPr>
        <w:t>信息集成平台</w:t>
      </w:r>
      <w:bookmarkEnd w:id="57"/>
    </w:p>
    <w:p w14:paraId="471429F0">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信息集成引擎</w:t>
      </w:r>
    </w:p>
    <w:tbl>
      <w:tblPr>
        <w:tblStyle w:val="63"/>
        <w:tblW w:w="0" w:type="auto"/>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410"/>
        <w:gridCol w:w="7085"/>
      </w:tblGrid>
      <w:tr w14:paraId="66D7406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5FFAA67">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92" w:type="dxa"/>
            <w:tcBorders>
              <w:top w:val="single" w:color="auto" w:sz="4" w:space="0"/>
              <w:left w:val="single" w:color="auto" w:sz="4" w:space="0"/>
              <w:bottom w:val="single" w:color="auto" w:sz="4" w:space="0"/>
              <w:right w:val="single" w:color="auto" w:sz="6" w:space="0"/>
            </w:tcBorders>
            <w:vAlign w:val="center"/>
          </w:tcPr>
          <w:p w14:paraId="622AE522">
            <w:pPr>
              <w:adjustRightInd w:val="0"/>
              <w:snapToGrid w:val="0"/>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技术要求</w:t>
            </w:r>
          </w:p>
        </w:tc>
      </w:tr>
      <w:tr w14:paraId="3E726C2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410FF08">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支持多种协议</w:t>
            </w:r>
          </w:p>
        </w:tc>
        <w:tc>
          <w:tcPr>
            <w:tcW w:w="7792" w:type="dxa"/>
            <w:tcBorders>
              <w:top w:val="single" w:color="auto" w:sz="4" w:space="0"/>
              <w:left w:val="single" w:color="auto" w:sz="4" w:space="0"/>
              <w:bottom w:val="single" w:color="auto" w:sz="4" w:space="0"/>
              <w:right w:val="single" w:color="auto" w:sz="6" w:space="0"/>
            </w:tcBorders>
            <w:vAlign w:val="center"/>
          </w:tcPr>
          <w:p w14:paraId="0D9E559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具备Socket、WebService、</w:t>
            </w:r>
            <w:r>
              <w:rPr>
                <w:rFonts w:ascii="宋体" w:hAnsi="宋体" w:eastAsia="宋体"/>
                <w:color w:val="auto"/>
                <w:highlight w:val="none"/>
              </w:rPr>
              <w:t>TCP、SOAP、HTTP、FIlE</w:t>
            </w:r>
            <w:r>
              <w:rPr>
                <w:rFonts w:hint="eastAsia" w:ascii="宋体" w:hAnsi="宋体" w:eastAsia="宋体"/>
                <w:color w:val="auto"/>
                <w:highlight w:val="none"/>
              </w:rPr>
              <w:t>、FTP</w:t>
            </w:r>
            <w:r>
              <w:rPr>
                <w:rFonts w:ascii="宋体" w:hAnsi="宋体" w:eastAsia="宋体"/>
                <w:color w:val="auto"/>
                <w:highlight w:val="none"/>
              </w:rPr>
              <w:t>等</w:t>
            </w:r>
            <w:r>
              <w:rPr>
                <w:rFonts w:hint="eastAsia" w:ascii="宋体" w:hAnsi="宋体" w:eastAsia="宋体"/>
                <w:color w:val="auto"/>
                <w:highlight w:val="none"/>
              </w:rPr>
              <w:t>协议连接能力，以及与其他协议相互的转换能力。</w:t>
            </w:r>
          </w:p>
        </w:tc>
      </w:tr>
      <w:tr w14:paraId="05B4FB2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1F732F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数据库访问</w:t>
            </w:r>
          </w:p>
        </w:tc>
        <w:tc>
          <w:tcPr>
            <w:tcW w:w="7792" w:type="dxa"/>
            <w:tcBorders>
              <w:top w:val="single" w:color="auto" w:sz="4" w:space="0"/>
              <w:left w:val="single" w:color="auto" w:sz="4" w:space="0"/>
              <w:bottom w:val="single" w:color="auto" w:sz="4" w:space="0"/>
              <w:right w:val="single" w:color="auto" w:sz="6" w:space="0"/>
            </w:tcBorders>
            <w:vAlign w:val="center"/>
          </w:tcPr>
          <w:p w14:paraId="383058A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具备Database的连接能力,同时支持JDBC和ODBC连接方式，以及与Socket协议和WebService的相互转换能力。</w:t>
            </w:r>
          </w:p>
        </w:tc>
      </w:tr>
      <w:tr w14:paraId="0DB8753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280AB0A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动态路由</w:t>
            </w:r>
          </w:p>
        </w:tc>
        <w:tc>
          <w:tcPr>
            <w:tcW w:w="7792" w:type="dxa"/>
            <w:tcBorders>
              <w:top w:val="single" w:color="auto" w:sz="4" w:space="0"/>
              <w:left w:val="single" w:color="auto" w:sz="4" w:space="0"/>
              <w:bottom w:val="single" w:color="auto" w:sz="4" w:space="0"/>
              <w:right w:val="single" w:color="auto" w:sz="6" w:space="0"/>
            </w:tcBorders>
            <w:vAlign w:val="center"/>
          </w:tcPr>
          <w:p w14:paraId="768D814D">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提供图形化路由配置模块；</w:t>
            </w:r>
          </w:p>
          <w:p w14:paraId="207C1042">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提供动态调整路由机制，并支持不停服务动态调整；</w:t>
            </w:r>
          </w:p>
          <w:p w14:paraId="2920D9F2">
            <w:pPr>
              <w:numPr>
                <w:ilvl w:val="0"/>
                <w:numId w:val="32"/>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支持一对一、一对多、多对一路由转发。</w:t>
            </w:r>
          </w:p>
        </w:tc>
      </w:tr>
      <w:tr w14:paraId="531A4CC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09C4A812">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数据转换</w:t>
            </w:r>
          </w:p>
        </w:tc>
        <w:tc>
          <w:tcPr>
            <w:tcW w:w="7792" w:type="dxa"/>
            <w:tcBorders>
              <w:top w:val="single" w:color="auto" w:sz="4" w:space="0"/>
              <w:left w:val="single" w:color="auto" w:sz="4" w:space="0"/>
              <w:bottom w:val="single" w:color="auto" w:sz="4" w:space="0"/>
              <w:right w:val="single" w:color="auto" w:sz="6" w:space="0"/>
            </w:tcBorders>
            <w:vAlign w:val="center"/>
          </w:tcPr>
          <w:p w14:paraId="4954F0D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提供图形化向导驱动的异构信息模型动态映射配置；</w:t>
            </w:r>
          </w:p>
          <w:p w14:paraId="368B3B9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支持以拖拉动作完成数据模型映射；</w:t>
            </w:r>
          </w:p>
          <w:p w14:paraId="3948479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w:t>
            </w:r>
            <w:r>
              <w:rPr>
                <w:rFonts w:ascii="宋体" w:hAnsi="宋体" w:eastAsia="宋体"/>
                <w:color w:val="auto"/>
                <w:highlight w:val="none"/>
              </w:rPr>
              <w:t>、</w:t>
            </w:r>
            <w:r>
              <w:rPr>
                <w:rFonts w:hint="eastAsia" w:ascii="宋体" w:hAnsi="宋体" w:eastAsia="宋体"/>
                <w:color w:val="auto"/>
                <w:highlight w:val="none"/>
              </w:rPr>
              <w:t>支持异构系统之间的数据模型定义及处理；</w:t>
            </w:r>
          </w:p>
          <w:p w14:paraId="57C2072E">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支持XSLT数据模型定义及处理；</w:t>
            </w:r>
          </w:p>
          <w:p w14:paraId="3879657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w:t>
            </w:r>
            <w:r>
              <w:rPr>
                <w:rFonts w:hint="eastAsia" w:ascii="宋体" w:hAnsi="宋体" w:eastAsia="宋体"/>
                <w:color w:val="auto"/>
                <w:highlight w:val="none"/>
              </w:rPr>
              <w:t>支持HL7标准的解析与映射。</w:t>
            </w:r>
          </w:p>
        </w:tc>
      </w:tr>
      <w:tr w14:paraId="1241C11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989331D">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业务流程建模</w:t>
            </w:r>
          </w:p>
        </w:tc>
        <w:tc>
          <w:tcPr>
            <w:tcW w:w="7792" w:type="dxa"/>
            <w:tcBorders>
              <w:top w:val="single" w:color="auto" w:sz="4" w:space="0"/>
              <w:left w:val="single" w:color="auto" w:sz="4" w:space="0"/>
              <w:bottom w:val="single" w:color="auto" w:sz="4" w:space="0"/>
              <w:right w:val="single" w:color="auto" w:sz="6" w:space="0"/>
            </w:tcBorders>
            <w:vAlign w:val="center"/>
          </w:tcPr>
          <w:p w14:paraId="268FB58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1、具有面向对象的编程模型</w:t>
            </w:r>
            <w:r>
              <w:rPr>
                <w:rFonts w:hint="eastAsia" w:ascii="宋体" w:hAnsi="宋体" w:eastAsia="宋体"/>
                <w:color w:val="auto"/>
                <w:highlight w:val="none"/>
              </w:rPr>
              <w:t>；</w:t>
            </w:r>
          </w:p>
          <w:p w14:paraId="1EFAD9A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2、含有建模组件，允许业务用户定义、查看和管理复杂的跨应用流程</w:t>
            </w:r>
            <w:r>
              <w:rPr>
                <w:rFonts w:hint="eastAsia" w:ascii="宋体" w:hAnsi="宋体" w:eastAsia="宋体"/>
                <w:color w:val="auto"/>
                <w:highlight w:val="none"/>
              </w:rPr>
              <w:t>；</w:t>
            </w:r>
          </w:p>
          <w:p w14:paraId="7B9DC79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3、提供可视化流程编辑器和代码两种形式定义流程和整合逻辑，提供全过程服务</w:t>
            </w:r>
            <w:r>
              <w:rPr>
                <w:rFonts w:hint="eastAsia" w:ascii="宋体" w:hAnsi="宋体" w:eastAsia="宋体"/>
                <w:color w:val="auto"/>
                <w:highlight w:val="none"/>
              </w:rPr>
              <w:t>；</w:t>
            </w:r>
          </w:p>
          <w:p w14:paraId="168C9AB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4、平台内建图形建模工具</w:t>
            </w:r>
            <w:r>
              <w:rPr>
                <w:rFonts w:hint="eastAsia" w:ascii="宋体" w:hAnsi="宋体" w:eastAsia="宋体"/>
                <w:color w:val="auto"/>
                <w:highlight w:val="none"/>
              </w:rPr>
              <w:t>；</w:t>
            </w:r>
          </w:p>
          <w:p w14:paraId="152DE52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5、通过图形化的方式查看定义的所有流程信息，包括流程名称，运行状态，发送方，接收方等</w:t>
            </w:r>
            <w:r>
              <w:rPr>
                <w:rFonts w:hint="eastAsia" w:ascii="宋体" w:hAnsi="宋体" w:eastAsia="宋体"/>
                <w:color w:val="auto"/>
                <w:highlight w:val="none"/>
              </w:rPr>
              <w:t>；</w:t>
            </w:r>
          </w:p>
          <w:p w14:paraId="12428E2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6、具有流程注册，修改，删除功能</w:t>
            </w:r>
            <w:r>
              <w:rPr>
                <w:rFonts w:hint="eastAsia" w:ascii="宋体" w:hAnsi="宋体" w:eastAsia="宋体"/>
                <w:color w:val="auto"/>
                <w:highlight w:val="none"/>
              </w:rPr>
              <w:t>；</w:t>
            </w:r>
          </w:p>
          <w:p w14:paraId="1DD356D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7、具有流程配置及监控功能</w:t>
            </w:r>
            <w:r>
              <w:rPr>
                <w:rFonts w:hint="eastAsia" w:ascii="宋体" w:hAnsi="宋体" w:eastAsia="宋体"/>
                <w:color w:val="auto"/>
                <w:highlight w:val="none"/>
              </w:rPr>
              <w:t>；</w:t>
            </w:r>
          </w:p>
          <w:p w14:paraId="283247E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8、具有流程报警功能</w:t>
            </w:r>
            <w:r>
              <w:rPr>
                <w:rFonts w:hint="eastAsia" w:ascii="宋体" w:hAnsi="宋体" w:eastAsia="宋体"/>
                <w:color w:val="auto"/>
                <w:highlight w:val="none"/>
              </w:rPr>
              <w:t>；</w:t>
            </w:r>
          </w:p>
          <w:p w14:paraId="539A37B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9、提供图形化快速配置业务流程功能</w:t>
            </w:r>
            <w:r>
              <w:rPr>
                <w:rFonts w:hint="eastAsia" w:ascii="宋体" w:hAnsi="宋体" w:eastAsia="宋体"/>
                <w:color w:val="auto"/>
                <w:highlight w:val="none"/>
              </w:rPr>
              <w:t>；</w:t>
            </w:r>
          </w:p>
          <w:p w14:paraId="1828B6E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10、提供在线调整业务流程模型功能</w:t>
            </w:r>
            <w:r>
              <w:rPr>
                <w:rFonts w:hint="eastAsia" w:ascii="宋体" w:hAnsi="宋体" w:eastAsia="宋体"/>
                <w:color w:val="auto"/>
                <w:highlight w:val="none"/>
              </w:rPr>
              <w:t>。</w:t>
            </w:r>
          </w:p>
        </w:tc>
      </w:tr>
      <w:tr w14:paraId="2E44617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FAB7A0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开发与运行效率</w:t>
            </w:r>
          </w:p>
        </w:tc>
        <w:tc>
          <w:tcPr>
            <w:tcW w:w="7792" w:type="dxa"/>
            <w:tcBorders>
              <w:top w:val="single" w:color="auto" w:sz="4" w:space="0"/>
              <w:left w:val="single" w:color="auto" w:sz="4" w:space="0"/>
              <w:bottom w:val="single" w:color="auto" w:sz="4" w:space="0"/>
              <w:right w:val="single" w:color="auto" w:sz="6" w:space="0"/>
            </w:tcBorders>
            <w:vAlign w:val="center"/>
          </w:tcPr>
          <w:p w14:paraId="57F76A3E">
            <w:pPr>
              <w:widowControl w:val="0"/>
              <w:numPr>
                <w:ilvl w:val="0"/>
                <w:numId w:val="3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提供BS和CS版的开发工具，增强开发便捷性</w:t>
            </w:r>
            <w:r>
              <w:rPr>
                <w:rFonts w:hint="eastAsia" w:ascii="宋体" w:hAnsi="宋体" w:eastAsia="宋体"/>
                <w:color w:val="auto"/>
                <w:highlight w:val="none"/>
              </w:rPr>
              <w:t>；</w:t>
            </w:r>
          </w:p>
          <w:p w14:paraId="7F7D40C3">
            <w:pPr>
              <w:widowControl w:val="0"/>
              <w:numPr>
                <w:ilvl w:val="0"/>
                <w:numId w:val="3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内置消息中间件引擎,确保消息不丢失；</w:t>
            </w:r>
          </w:p>
          <w:p w14:paraId="278E61F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提供简单易用的web测试和调试功能，可以在节点连线和配置脚本上设置断点，在友好的图形界面展示消息的变化调试应用；</w:t>
            </w:r>
          </w:p>
          <w:p w14:paraId="5D145E4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4、</w:t>
            </w:r>
            <w:r>
              <w:rPr>
                <w:rFonts w:hint="eastAsia" w:ascii="宋体" w:hAnsi="宋体" w:eastAsia="宋体"/>
                <w:color w:val="auto"/>
                <w:highlight w:val="none"/>
              </w:rPr>
              <w:t>基于图形界面。</w:t>
            </w:r>
          </w:p>
        </w:tc>
      </w:tr>
      <w:tr w14:paraId="4927849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130291F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服务配置</w:t>
            </w:r>
          </w:p>
        </w:tc>
        <w:tc>
          <w:tcPr>
            <w:tcW w:w="7792" w:type="dxa"/>
            <w:tcBorders>
              <w:top w:val="single" w:color="auto" w:sz="4" w:space="0"/>
              <w:left w:val="single" w:color="auto" w:sz="4" w:space="0"/>
              <w:bottom w:val="single" w:color="auto" w:sz="4" w:space="0"/>
              <w:right w:val="single" w:color="auto" w:sz="6" w:space="0"/>
            </w:tcBorders>
            <w:vAlign w:val="center"/>
          </w:tcPr>
          <w:p w14:paraId="59B81F20">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提供服务超时配置</w:t>
            </w:r>
            <w:r>
              <w:rPr>
                <w:rFonts w:hint="eastAsia" w:ascii="宋体" w:hAnsi="宋体" w:eastAsia="宋体"/>
                <w:color w:val="auto"/>
                <w:highlight w:val="none"/>
              </w:rPr>
              <w:t>；</w:t>
            </w:r>
          </w:p>
          <w:p w14:paraId="55202C27">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提供服务重发配置</w:t>
            </w:r>
            <w:r>
              <w:rPr>
                <w:rFonts w:hint="eastAsia" w:ascii="宋体" w:hAnsi="宋体" w:eastAsia="宋体"/>
                <w:color w:val="auto"/>
                <w:highlight w:val="none"/>
              </w:rPr>
              <w:t>；</w:t>
            </w:r>
          </w:p>
          <w:p w14:paraId="45C178B3">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提供启用和关闭日志配置功能，方便单个服务排错调试</w:t>
            </w:r>
            <w:r>
              <w:rPr>
                <w:rFonts w:hint="eastAsia" w:ascii="宋体" w:hAnsi="宋体" w:eastAsia="宋体"/>
                <w:color w:val="auto"/>
                <w:highlight w:val="none"/>
              </w:rPr>
              <w:t>；</w:t>
            </w:r>
          </w:p>
          <w:p w14:paraId="2E4D8A2B">
            <w:pPr>
              <w:widowControl w:val="0"/>
              <w:numPr>
                <w:ilvl w:val="0"/>
                <w:numId w:val="34"/>
              </w:numPr>
              <w:adjustRightInd w:val="0"/>
              <w:snapToGrid w:val="0"/>
              <w:spacing w:line="360" w:lineRule="auto"/>
              <w:ind w:left="420" w:hanging="420"/>
              <w:jc w:val="both"/>
              <w:rPr>
                <w:rFonts w:hint="eastAsia" w:ascii="宋体" w:hAnsi="宋体" w:eastAsia="宋体"/>
                <w:color w:val="auto"/>
                <w:highlight w:val="none"/>
              </w:rPr>
            </w:pPr>
            <w:r>
              <w:rPr>
                <w:rFonts w:ascii="宋体" w:hAnsi="宋体" w:eastAsia="宋体"/>
                <w:color w:val="auto"/>
                <w:highlight w:val="none"/>
              </w:rPr>
              <w:t>支持服务并发数量配置</w:t>
            </w:r>
            <w:r>
              <w:rPr>
                <w:rFonts w:hint="eastAsia" w:ascii="宋体" w:hAnsi="宋体" w:eastAsia="宋体"/>
                <w:color w:val="auto"/>
                <w:highlight w:val="none"/>
              </w:rPr>
              <w:t>。</w:t>
            </w:r>
          </w:p>
        </w:tc>
      </w:tr>
      <w:tr w14:paraId="55EC004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8A9FB01">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交易跟踪</w:t>
            </w:r>
          </w:p>
        </w:tc>
        <w:tc>
          <w:tcPr>
            <w:tcW w:w="7792" w:type="dxa"/>
            <w:tcBorders>
              <w:top w:val="single" w:color="auto" w:sz="4" w:space="0"/>
              <w:left w:val="single" w:color="auto" w:sz="4" w:space="0"/>
              <w:bottom w:val="single" w:color="auto" w:sz="4" w:space="0"/>
              <w:right w:val="single" w:color="auto" w:sz="6" w:space="0"/>
            </w:tcBorders>
            <w:vAlign w:val="center"/>
          </w:tcPr>
          <w:p w14:paraId="00367AF2">
            <w:pPr>
              <w:widowControl w:val="0"/>
              <w:numPr>
                <w:ilvl w:val="0"/>
                <w:numId w:val="35"/>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提供交易的全流程跟踪，包括各节点详细出入参，交易时间等</w:t>
            </w:r>
            <w:r>
              <w:rPr>
                <w:rFonts w:hint="eastAsia" w:ascii="宋体" w:hAnsi="宋体" w:eastAsia="宋体"/>
                <w:color w:val="auto"/>
                <w:highlight w:val="none"/>
              </w:rPr>
              <w:t>；</w:t>
            </w:r>
          </w:p>
          <w:p w14:paraId="3F2CF0E6">
            <w:pPr>
              <w:widowControl w:val="0"/>
              <w:numPr>
                <w:ilvl w:val="0"/>
                <w:numId w:val="35"/>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提供交易跟踪可视化页面，页面包含错误告警信息，方便交易调试排错</w:t>
            </w:r>
            <w:r>
              <w:rPr>
                <w:rFonts w:hint="eastAsia" w:ascii="宋体" w:hAnsi="宋体" w:eastAsia="宋体"/>
                <w:color w:val="auto"/>
                <w:highlight w:val="none"/>
              </w:rPr>
              <w:t>。</w:t>
            </w:r>
          </w:p>
        </w:tc>
      </w:tr>
      <w:tr w14:paraId="5433EB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606ECB1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服务告警</w:t>
            </w:r>
          </w:p>
        </w:tc>
        <w:tc>
          <w:tcPr>
            <w:tcW w:w="7792" w:type="dxa"/>
            <w:tcBorders>
              <w:top w:val="single" w:color="auto" w:sz="4" w:space="0"/>
              <w:left w:val="single" w:color="auto" w:sz="4" w:space="0"/>
              <w:bottom w:val="single" w:color="auto" w:sz="4" w:space="0"/>
              <w:right w:val="single" w:color="auto" w:sz="6" w:space="0"/>
            </w:tcBorders>
            <w:vAlign w:val="center"/>
          </w:tcPr>
          <w:p w14:paraId="70E92E0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ESB平台对告警的功能支持，以及与统一监控平台的整合能力。监控系统提供告警与监控指标数据，服务告警信息、监控指标可以支持</w:t>
            </w:r>
            <w:r>
              <w:rPr>
                <w:rFonts w:ascii="宋体" w:hAnsi="宋体" w:eastAsia="宋体"/>
                <w:color w:val="auto"/>
                <w:highlight w:val="none"/>
              </w:rPr>
              <w:t>短信、微信、钉钉</w:t>
            </w:r>
            <w:r>
              <w:rPr>
                <w:rFonts w:hint="eastAsia" w:ascii="宋体" w:hAnsi="宋体" w:eastAsia="宋体"/>
                <w:color w:val="auto"/>
                <w:highlight w:val="none"/>
              </w:rPr>
              <w:t>和EMAIL等任意手段，服务监控信息可以提供给统一监控平台,提供RESTFul的监控API。</w:t>
            </w:r>
          </w:p>
        </w:tc>
      </w:tr>
      <w:tr w14:paraId="36A076B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54A4260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日志审计</w:t>
            </w:r>
          </w:p>
        </w:tc>
        <w:tc>
          <w:tcPr>
            <w:tcW w:w="7792" w:type="dxa"/>
            <w:tcBorders>
              <w:top w:val="single" w:color="auto" w:sz="4" w:space="0"/>
              <w:left w:val="single" w:color="auto" w:sz="4" w:space="0"/>
              <w:bottom w:val="single" w:color="auto" w:sz="4" w:space="0"/>
              <w:right w:val="single" w:color="auto" w:sz="6" w:space="0"/>
            </w:tcBorders>
            <w:vAlign w:val="center"/>
          </w:tcPr>
          <w:p w14:paraId="5EE11743">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ESB平台能够记录服务交互的输入、输出数据报文信息，支持记录开关配置功能；</w:t>
            </w:r>
          </w:p>
          <w:p w14:paraId="2CC034F9">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提供日志查询过滤功能</w:t>
            </w:r>
            <w:r>
              <w:rPr>
                <w:rFonts w:hint="eastAsia" w:ascii="宋体" w:hAnsi="宋体" w:eastAsia="宋体"/>
                <w:color w:val="auto"/>
                <w:highlight w:val="none"/>
              </w:rPr>
              <w:t>；</w:t>
            </w:r>
          </w:p>
          <w:p w14:paraId="62FD0136">
            <w:pPr>
              <w:widowControl w:val="0"/>
              <w:numPr>
                <w:ilvl w:val="0"/>
                <w:numId w:val="3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提供日志定期清理功能</w:t>
            </w:r>
            <w:r>
              <w:rPr>
                <w:rFonts w:hint="eastAsia" w:ascii="宋体" w:hAnsi="宋体" w:eastAsia="宋体"/>
                <w:color w:val="auto"/>
                <w:highlight w:val="none"/>
              </w:rPr>
              <w:t>。</w:t>
            </w:r>
          </w:p>
        </w:tc>
      </w:tr>
      <w:tr w14:paraId="364B168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A842FA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数据库方式认证和授权</w:t>
            </w:r>
          </w:p>
        </w:tc>
        <w:tc>
          <w:tcPr>
            <w:tcW w:w="7792" w:type="dxa"/>
            <w:tcBorders>
              <w:top w:val="single" w:color="auto" w:sz="4" w:space="0"/>
              <w:left w:val="single" w:color="auto" w:sz="4" w:space="0"/>
              <w:bottom w:val="single" w:color="auto" w:sz="4" w:space="0"/>
              <w:right w:val="single" w:color="auto" w:sz="6" w:space="0"/>
            </w:tcBorders>
            <w:vAlign w:val="center"/>
          </w:tcPr>
          <w:p w14:paraId="0BD0C71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在认证授权功能方面的表现情况，ESB总线的安全性能力，可以对外来访问WebService客户端进行用户认证和访问权限的控制，认证和授权采用数据库的方式。</w:t>
            </w:r>
          </w:p>
        </w:tc>
      </w:tr>
      <w:tr w14:paraId="42A701F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BEEF26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IP访问控制</w:t>
            </w:r>
          </w:p>
        </w:tc>
        <w:tc>
          <w:tcPr>
            <w:tcW w:w="7792" w:type="dxa"/>
            <w:tcBorders>
              <w:top w:val="single" w:color="auto" w:sz="4" w:space="0"/>
              <w:left w:val="single" w:color="auto" w:sz="4" w:space="0"/>
              <w:bottom w:val="single" w:color="auto" w:sz="4" w:space="0"/>
              <w:right w:val="single" w:color="auto" w:sz="6" w:space="0"/>
            </w:tcBorders>
            <w:vAlign w:val="center"/>
          </w:tcPr>
          <w:p w14:paraId="0A6EBE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在IP访问控制的表现情况，体现ESB总线的安全性能力。</w:t>
            </w:r>
          </w:p>
        </w:tc>
      </w:tr>
      <w:tr w14:paraId="1D27E91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268C15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HTTPS支持</w:t>
            </w:r>
          </w:p>
        </w:tc>
        <w:tc>
          <w:tcPr>
            <w:tcW w:w="7792" w:type="dxa"/>
            <w:tcBorders>
              <w:top w:val="single" w:color="auto" w:sz="4" w:space="0"/>
              <w:left w:val="single" w:color="auto" w:sz="4" w:space="0"/>
              <w:bottom w:val="single" w:color="auto" w:sz="4" w:space="0"/>
              <w:right w:val="single" w:color="auto" w:sz="6" w:space="0"/>
            </w:tcBorders>
            <w:vAlign w:val="center"/>
          </w:tcPr>
          <w:p w14:paraId="7084620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在HTTPS的表现情况，体现ESB总线的安全性能力。</w:t>
            </w:r>
          </w:p>
        </w:tc>
      </w:tr>
      <w:tr w14:paraId="7217E40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44F9046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优先级处理</w:t>
            </w:r>
          </w:p>
        </w:tc>
        <w:tc>
          <w:tcPr>
            <w:tcW w:w="7792" w:type="dxa"/>
            <w:tcBorders>
              <w:top w:val="single" w:color="auto" w:sz="4" w:space="0"/>
              <w:left w:val="single" w:color="auto" w:sz="4" w:space="0"/>
              <w:bottom w:val="single" w:color="auto" w:sz="4" w:space="0"/>
              <w:right w:val="single" w:color="auto" w:sz="6" w:space="0"/>
            </w:tcBorders>
            <w:vAlign w:val="center"/>
          </w:tcPr>
          <w:p w14:paraId="0454BEE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根据请求内容的优先级来分支到不同的处理流程。</w:t>
            </w:r>
          </w:p>
        </w:tc>
      </w:tr>
      <w:tr w14:paraId="391ED25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9F07CB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兼容性</w:t>
            </w:r>
          </w:p>
        </w:tc>
        <w:tc>
          <w:tcPr>
            <w:tcW w:w="7792" w:type="dxa"/>
            <w:tcBorders>
              <w:top w:val="single" w:color="auto" w:sz="4" w:space="0"/>
              <w:left w:val="single" w:color="auto" w:sz="4" w:space="0"/>
              <w:bottom w:val="single" w:color="auto" w:sz="4" w:space="0"/>
              <w:right w:val="single" w:color="auto" w:sz="6" w:space="0"/>
            </w:tcBorders>
            <w:vAlign w:val="center"/>
          </w:tcPr>
          <w:p w14:paraId="3435187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w:t>
            </w:r>
            <w:r>
              <w:rPr>
                <w:rFonts w:ascii="宋体" w:hAnsi="宋体" w:eastAsia="宋体"/>
                <w:color w:val="auto"/>
                <w:highlight w:val="none"/>
              </w:rPr>
              <w:t>、</w:t>
            </w:r>
            <w:r>
              <w:rPr>
                <w:rFonts w:hint="eastAsia" w:ascii="宋体" w:hAnsi="宋体" w:eastAsia="宋体"/>
                <w:color w:val="auto"/>
                <w:highlight w:val="none"/>
              </w:rPr>
              <w:t>支持32位、64位的操作系统和硬件平台；</w:t>
            </w:r>
          </w:p>
          <w:p w14:paraId="36DAE9A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2</w:t>
            </w:r>
            <w:r>
              <w:rPr>
                <w:rFonts w:ascii="宋体" w:hAnsi="宋体" w:eastAsia="宋体"/>
                <w:color w:val="auto"/>
                <w:highlight w:val="none"/>
              </w:rPr>
              <w:t>、</w:t>
            </w:r>
            <w:r>
              <w:rPr>
                <w:rFonts w:hint="eastAsia" w:ascii="宋体" w:hAnsi="宋体" w:eastAsia="宋体"/>
                <w:color w:val="auto"/>
                <w:highlight w:val="none"/>
              </w:rPr>
              <w:t>产品</w:t>
            </w:r>
            <w:r>
              <w:rPr>
                <w:rFonts w:ascii="宋体" w:hAnsi="宋体" w:eastAsia="宋体"/>
                <w:color w:val="auto"/>
                <w:highlight w:val="none"/>
              </w:rPr>
              <w:t>支持</w:t>
            </w:r>
            <w:r>
              <w:rPr>
                <w:rFonts w:hint="eastAsia" w:ascii="宋体" w:hAnsi="宋体" w:eastAsia="宋体"/>
                <w:color w:val="auto"/>
                <w:highlight w:val="none"/>
              </w:rPr>
              <w:t>虚拟化</w:t>
            </w:r>
            <w:r>
              <w:rPr>
                <w:rFonts w:ascii="宋体" w:hAnsi="宋体" w:eastAsia="宋体"/>
                <w:color w:val="auto"/>
                <w:highlight w:val="none"/>
              </w:rPr>
              <w:t>部署；</w:t>
            </w:r>
          </w:p>
          <w:p w14:paraId="21FF3AF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3</w:t>
            </w:r>
            <w:r>
              <w:rPr>
                <w:rFonts w:ascii="宋体" w:hAnsi="宋体" w:eastAsia="宋体"/>
                <w:color w:val="auto"/>
                <w:highlight w:val="none"/>
              </w:rPr>
              <w:t>、</w:t>
            </w:r>
            <w:r>
              <w:rPr>
                <w:rFonts w:hint="eastAsia" w:ascii="宋体" w:hAnsi="宋体" w:eastAsia="宋体"/>
                <w:color w:val="auto"/>
                <w:highlight w:val="none"/>
              </w:rPr>
              <w:t>提供各种接口，连接各种数据库、数据仓库、现有应用软件系统、主机系统。用户可以之间通过SQL进行和数据库的操作，如把数据存入数据库，从数据库中取数据等。</w:t>
            </w:r>
          </w:p>
        </w:tc>
      </w:tr>
      <w:tr w14:paraId="0F3013F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7692C40E">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稳定可靠性</w:t>
            </w:r>
          </w:p>
        </w:tc>
        <w:tc>
          <w:tcPr>
            <w:tcW w:w="7792" w:type="dxa"/>
            <w:tcBorders>
              <w:top w:val="single" w:color="auto" w:sz="4" w:space="0"/>
              <w:left w:val="single" w:color="auto" w:sz="4" w:space="0"/>
              <w:bottom w:val="single" w:color="auto" w:sz="4" w:space="0"/>
              <w:right w:val="single" w:color="auto" w:sz="6" w:space="0"/>
            </w:tcBorders>
            <w:vAlign w:val="center"/>
          </w:tcPr>
          <w:p w14:paraId="43DE156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提供高可用解决方案，保障系统级别的稳定性和可靠性；</w:t>
            </w:r>
          </w:p>
          <w:p w14:paraId="103B5BA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集成多维度监视器，队列，作业，托管告警，保障平台服务稳定运行；</w:t>
            </w:r>
          </w:p>
          <w:p w14:paraId="2A606E6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提供短信、邮件等智能化预警管理，提高故障处理的及时性和准确性。</w:t>
            </w:r>
          </w:p>
        </w:tc>
      </w:tr>
      <w:tr w14:paraId="17D28A1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1494" w:type="dxa"/>
            <w:tcBorders>
              <w:top w:val="single" w:color="auto" w:sz="4" w:space="0"/>
              <w:left w:val="single" w:color="auto" w:sz="4" w:space="0"/>
              <w:bottom w:val="single" w:color="auto" w:sz="4" w:space="0"/>
              <w:right w:val="single" w:color="auto" w:sz="4" w:space="0"/>
            </w:tcBorders>
            <w:vAlign w:val="center"/>
          </w:tcPr>
          <w:p w14:paraId="3F257FE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医疗连接包</w:t>
            </w:r>
          </w:p>
        </w:tc>
        <w:tc>
          <w:tcPr>
            <w:tcW w:w="7792" w:type="dxa"/>
            <w:tcBorders>
              <w:top w:val="single" w:color="auto" w:sz="4" w:space="0"/>
              <w:left w:val="single" w:color="auto" w:sz="4" w:space="0"/>
              <w:bottom w:val="single" w:color="auto" w:sz="4" w:space="0"/>
              <w:right w:val="single" w:color="auto" w:sz="6" w:space="0"/>
            </w:tcBorders>
            <w:vAlign w:val="center"/>
          </w:tcPr>
          <w:p w14:paraId="66C73BF9">
            <w:pPr>
              <w:numPr>
                <w:ilvl w:val="0"/>
                <w:numId w:val="3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支持国际标准和中国医疗数据标准HL7（Health Level Seven）v2.x、 v3.0等版本</w:t>
            </w:r>
            <w:r>
              <w:rPr>
                <w:rFonts w:ascii="宋体" w:hAnsi="宋体" w:eastAsia="宋体"/>
                <w:color w:val="auto"/>
                <w:highlight w:val="none"/>
              </w:rPr>
              <w:t>、支持FHIR消息</w:t>
            </w:r>
            <w:r>
              <w:rPr>
                <w:rFonts w:hint="eastAsia" w:ascii="宋体" w:hAnsi="宋体" w:eastAsia="宋体"/>
                <w:color w:val="auto"/>
                <w:highlight w:val="none"/>
              </w:rPr>
              <w:t>和DICOM标准；</w:t>
            </w:r>
          </w:p>
          <w:p w14:paraId="4A0FC11A">
            <w:pPr>
              <w:numPr>
                <w:ilvl w:val="0"/>
                <w:numId w:val="37"/>
              </w:num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支持Minimal Lower Layer Protocol (MLLP)等传输协议，连接各类医疗设备；</w:t>
            </w:r>
          </w:p>
          <w:p w14:paraId="03FF37D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3、参考IHE集成规范，完善和优化院内集成业务流程。</w:t>
            </w:r>
          </w:p>
        </w:tc>
      </w:tr>
    </w:tbl>
    <w:p w14:paraId="70C9D714">
      <w:pPr>
        <w:spacing w:line="360" w:lineRule="auto"/>
        <w:rPr>
          <w:rFonts w:hint="eastAsia" w:ascii="宋体" w:hAnsi="宋体" w:eastAsia="宋体"/>
          <w:color w:val="auto"/>
          <w:highlight w:val="none"/>
        </w:rPr>
      </w:pPr>
    </w:p>
    <w:p w14:paraId="199ED23C">
      <w:pPr>
        <w:pStyle w:val="4"/>
        <w:numPr>
          <w:ilvl w:val="2"/>
          <w:numId w:val="2"/>
        </w:numPr>
        <w:spacing w:line="360" w:lineRule="auto"/>
        <w:rPr>
          <w:rFonts w:hint="eastAsia" w:ascii="宋体" w:hAnsi="宋体" w:eastAsia="宋体"/>
          <w:color w:val="auto"/>
          <w:highlight w:val="none"/>
        </w:rPr>
      </w:pPr>
      <w:r>
        <w:rPr>
          <w:rFonts w:hint="eastAsia" w:ascii="宋体" w:hAnsi="宋体"/>
          <w:color w:val="auto"/>
          <w:highlight w:val="none"/>
          <w:lang w:val="en-US" w:eastAsia="zh-CN"/>
        </w:rPr>
        <w:t xml:space="preserve"> </w:t>
      </w:r>
      <w:r>
        <w:rPr>
          <w:rFonts w:hint="eastAsia" w:ascii="宋体" w:hAnsi="宋体" w:eastAsia="宋体"/>
          <w:color w:val="auto"/>
          <w:highlight w:val="none"/>
        </w:rPr>
        <w:t>准与规范服务</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7106"/>
      </w:tblGrid>
      <w:tr w14:paraId="1ED2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24DE78">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0" w:type="auto"/>
            <w:vAlign w:val="center"/>
          </w:tcPr>
          <w:p w14:paraId="37FF6CA0">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36E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2DFB379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临床管理系统集成</w:t>
            </w:r>
          </w:p>
        </w:tc>
        <w:tc>
          <w:tcPr>
            <w:tcW w:w="0" w:type="auto"/>
            <w:vAlign w:val="center"/>
          </w:tcPr>
          <w:p w14:paraId="6F70C4B8">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提供HIS、EMR、PACS、LIS、用血、心电、手麻等系统集成规范</w:t>
            </w:r>
            <w:r>
              <w:rPr>
                <w:rFonts w:hint="eastAsia" w:ascii="宋体" w:hAnsi="宋体" w:eastAsia="宋体"/>
                <w:color w:val="auto"/>
                <w:highlight w:val="none"/>
              </w:rPr>
              <w:t>；</w:t>
            </w:r>
          </w:p>
          <w:p w14:paraId="074E9EA0">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集成规范支持采用HL7交互协议、符合IHE要求的同时，能针对医院个性化业务流程做适当改造</w:t>
            </w:r>
            <w:r>
              <w:rPr>
                <w:rFonts w:hint="eastAsia" w:ascii="宋体" w:hAnsi="宋体" w:eastAsia="宋体"/>
                <w:color w:val="auto"/>
                <w:highlight w:val="none"/>
              </w:rPr>
              <w:t>；</w:t>
            </w:r>
          </w:p>
          <w:p w14:paraId="63DD5264">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提供通用API接口规范，如查询患者信息，查询检查报告，查询检验报告等场景</w:t>
            </w:r>
            <w:r>
              <w:rPr>
                <w:rFonts w:hint="eastAsia" w:ascii="宋体" w:hAnsi="宋体" w:eastAsia="宋体"/>
                <w:color w:val="auto"/>
                <w:highlight w:val="none"/>
              </w:rPr>
              <w:t>；</w:t>
            </w:r>
          </w:p>
          <w:p w14:paraId="11709414">
            <w:pPr>
              <w:widowControl w:val="0"/>
              <w:numPr>
                <w:ilvl w:val="0"/>
                <w:numId w:val="3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通过平台集成，使临床业务系统数据共享，状态流转、流程闭环。</w:t>
            </w:r>
          </w:p>
        </w:tc>
      </w:tr>
      <w:tr w14:paraId="098C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EF399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医疗管理系统集成</w:t>
            </w:r>
          </w:p>
        </w:tc>
        <w:tc>
          <w:tcPr>
            <w:tcW w:w="0" w:type="auto"/>
            <w:vAlign w:val="center"/>
          </w:tcPr>
          <w:p w14:paraId="445B3F27">
            <w:pPr>
              <w:widowControl w:val="0"/>
              <w:numPr>
                <w:ilvl w:val="0"/>
                <w:numId w:val="3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提供院感、护理管理，医务管理、消毒供应、分诊管理等系统集成规范</w:t>
            </w:r>
            <w:r>
              <w:rPr>
                <w:rFonts w:hint="eastAsia" w:ascii="宋体" w:hAnsi="宋体" w:eastAsia="宋体"/>
                <w:color w:val="auto"/>
                <w:highlight w:val="none"/>
              </w:rPr>
              <w:t>；</w:t>
            </w:r>
          </w:p>
          <w:p w14:paraId="62606536">
            <w:pPr>
              <w:widowControl w:val="0"/>
              <w:numPr>
                <w:ilvl w:val="0"/>
                <w:numId w:val="3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通过平台集成，使医疗管理系统数据准确，同时避免数据库直连临床系统，保障临床管理系统数据安全性。</w:t>
            </w:r>
          </w:p>
        </w:tc>
      </w:tr>
      <w:tr w14:paraId="4310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BFF463">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运营管理系统集成</w:t>
            </w:r>
          </w:p>
        </w:tc>
        <w:tc>
          <w:tcPr>
            <w:tcW w:w="0" w:type="auto"/>
            <w:vAlign w:val="center"/>
          </w:tcPr>
          <w:p w14:paraId="37955B61">
            <w:pPr>
              <w:widowControl w:val="0"/>
              <w:numPr>
                <w:ilvl w:val="0"/>
                <w:numId w:val="40"/>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提供人力资源、HRP、药品管理、物资供应等集成规范</w:t>
            </w:r>
            <w:r>
              <w:rPr>
                <w:rFonts w:hint="eastAsia" w:ascii="宋体" w:hAnsi="宋体" w:eastAsia="宋体"/>
                <w:color w:val="auto"/>
                <w:highlight w:val="none"/>
              </w:rPr>
              <w:t>；</w:t>
            </w:r>
          </w:p>
          <w:p w14:paraId="1D056FBA">
            <w:pPr>
              <w:widowControl w:val="0"/>
              <w:numPr>
                <w:ilvl w:val="0"/>
                <w:numId w:val="40"/>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通过平台集成，减少手工流程，提高运营系统管理效率和数据准确性。</w:t>
            </w:r>
          </w:p>
        </w:tc>
      </w:tr>
      <w:tr w14:paraId="640D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AE828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院外系统集成</w:t>
            </w:r>
          </w:p>
        </w:tc>
        <w:tc>
          <w:tcPr>
            <w:tcW w:w="0" w:type="auto"/>
            <w:vAlign w:val="center"/>
          </w:tcPr>
          <w:p w14:paraId="621BA92F">
            <w:pPr>
              <w:widowControl w:val="0"/>
              <w:numPr>
                <w:ilvl w:val="0"/>
                <w:numId w:val="41"/>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提供血液中心、支付宝、微信、短信等集成规范</w:t>
            </w:r>
            <w:r>
              <w:rPr>
                <w:rFonts w:hint="eastAsia" w:ascii="宋体" w:hAnsi="宋体" w:eastAsia="宋体"/>
                <w:color w:val="auto"/>
                <w:highlight w:val="none"/>
              </w:rPr>
              <w:t>；</w:t>
            </w:r>
          </w:p>
          <w:p w14:paraId="772F298E">
            <w:pPr>
              <w:widowControl w:val="0"/>
              <w:numPr>
                <w:ilvl w:val="0"/>
                <w:numId w:val="41"/>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提供互联网应用API接口规范，如建档、预约、挂号、门诊缴费、报告查看等。</w:t>
            </w:r>
          </w:p>
        </w:tc>
      </w:tr>
      <w:tr w14:paraId="3471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86EC1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互联互通标准服务</w:t>
            </w:r>
          </w:p>
        </w:tc>
        <w:tc>
          <w:tcPr>
            <w:tcW w:w="0" w:type="auto"/>
            <w:vAlign w:val="center"/>
          </w:tcPr>
          <w:p w14:paraId="63D7711C">
            <w:pPr>
              <w:pStyle w:val="19"/>
              <w:rPr>
                <w:rFonts w:hint="eastAsia" w:ascii="宋体" w:hAnsi="宋体" w:eastAsia="宋体"/>
                <w:color w:val="auto"/>
                <w:highlight w:val="none"/>
              </w:rPr>
            </w:pPr>
            <w:r>
              <w:rPr>
                <w:rFonts w:ascii="宋体" w:hAnsi="宋体" w:eastAsia="宋体"/>
                <w:color w:val="auto"/>
                <w:highlight w:val="none"/>
              </w:rPr>
              <w:t>提供互联互通</w:t>
            </w:r>
            <w:r>
              <w:rPr>
                <w:rFonts w:hint="eastAsia" w:ascii="宋体" w:hAnsi="宋体"/>
                <w:color w:val="auto"/>
                <w:highlight w:val="none"/>
                <w:lang w:val="en-US" w:eastAsia="zh-CN"/>
              </w:rPr>
              <w:t>四甲服务接口规范</w:t>
            </w:r>
            <w:r>
              <w:rPr>
                <w:rFonts w:hint="eastAsia" w:ascii="宋体" w:hAnsi="宋体" w:eastAsia="宋体"/>
                <w:color w:val="auto"/>
                <w:highlight w:val="none"/>
              </w:rPr>
              <w:t>。</w:t>
            </w:r>
          </w:p>
        </w:tc>
      </w:tr>
    </w:tbl>
    <w:p w14:paraId="11F450E2">
      <w:pPr>
        <w:spacing w:line="360" w:lineRule="auto"/>
        <w:rPr>
          <w:rFonts w:hint="eastAsia" w:ascii="宋体" w:hAnsi="宋体" w:eastAsia="宋体"/>
          <w:color w:val="auto"/>
          <w:highlight w:val="none"/>
        </w:rPr>
      </w:pPr>
    </w:p>
    <w:p w14:paraId="19AB5DE2">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异常服务处理平台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7123"/>
      </w:tblGrid>
      <w:tr w14:paraId="6F82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vAlign w:val="center"/>
          </w:tcPr>
          <w:p w14:paraId="47C3A13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736" w:type="dxa"/>
            <w:vAlign w:val="center"/>
          </w:tcPr>
          <w:p w14:paraId="45E894B6">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638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vAlign w:val="center"/>
          </w:tcPr>
          <w:p w14:paraId="3B15794A">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异常服务处理</w:t>
            </w:r>
          </w:p>
        </w:tc>
        <w:tc>
          <w:tcPr>
            <w:tcW w:w="7736" w:type="dxa"/>
            <w:vAlign w:val="center"/>
          </w:tcPr>
          <w:p w14:paraId="353BCA1A">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提供集成平台主备服务切换进行短信通知</w:t>
            </w:r>
            <w:r>
              <w:rPr>
                <w:rFonts w:hint="eastAsia" w:ascii="宋体" w:hAnsi="宋体" w:eastAsia="宋体"/>
                <w:color w:val="auto"/>
                <w:highlight w:val="none"/>
              </w:rPr>
              <w:t>；</w:t>
            </w:r>
          </w:p>
          <w:p w14:paraId="39EFD1A6">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提供集成平台流转的消息出现异常可按规则自动补发功能</w:t>
            </w:r>
            <w:r>
              <w:rPr>
                <w:rFonts w:hint="eastAsia" w:ascii="宋体" w:hAnsi="宋体" w:eastAsia="宋体"/>
                <w:color w:val="auto"/>
                <w:highlight w:val="none"/>
              </w:rPr>
              <w:t>；</w:t>
            </w:r>
          </w:p>
          <w:p w14:paraId="264EC295">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提供第三方服务定时监测功能，出现长时间异常进行短信通知</w:t>
            </w:r>
            <w:r>
              <w:rPr>
                <w:rFonts w:hint="eastAsia" w:ascii="宋体" w:hAnsi="宋体" w:eastAsia="宋体"/>
                <w:color w:val="auto"/>
                <w:highlight w:val="none"/>
              </w:rPr>
              <w:t>；</w:t>
            </w:r>
          </w:p>
          <w:p w14:paraId="2FABC250">
            <w:pPr>
              <w:widowControl w:val="0"/>
              <w:numPr>
                <w:ilvl w:val="0"/>
                <w:numId w:val="42"/>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提供集成平台队列监控功能，产生大量队列进行短信通知</w:t>
            </w:r>
            <w:r>
              <w:rPr>
                <w:rFonts w:hint="eastAsia" w:ascii="宋体" w:hAnsi="宋体" w:eastAsia="宋体"/>
                <w:color w:val="auto"/>
                <w:highlight w:val="none"/>
              </w:rPr>
              <w:t>。</w:t>
            </w:r>
          </w:p>
        </w:tc>
      </w:tr>
    </w:tbl>
    <w:p w14:paraId="2D65EF40">
      <w:pPr>
        <w:spacing w:line="360" w:lineRule="auto"/>
        <w:rPr>
          <w:rFonts w:hint="eastAsia" w:ascii="宋体" w:hAnsi="宋体" w:eastAsia="宋体"/>
          <w:color w:val="auto"/>
          <w:highlight w:val="none"/>
        </w:rPr>
      </w:pPr>
    </w:p>
    <w:p w14:paraId="095418BB">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消息检索平台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7093"/>
      </w:tblGrid>
      <w:tr w14:paraId="291E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Align w:val="center"/>
          </w:tcPr>
          <w:p w14:paraId="2722DCA3">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780" w:type="dxa"/>
            <w:vAlign w:val="center"/>
          </w:tcPr>
          <w:p w14:paraId="067DCD6D">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BB5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6" w:type="dxa"/>
            <w:vAlign w:val="center"/>
          </w:tcPr>
          <w:p w14:paraId="6762B7B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消息检索</w:t>
            </w:r>
          </w:p>
        </w:tc>
        <w:tc>
          <w:tcPr>
            <w:tcW w:w="7780" w:type="dxa"/>
            <w:vAlign w:val="center"/>
          </w:tcPr>
          <w:p w14:paraId="27EEE92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将集成平台与第三方的注册类服务消息进行采集，提供一套便于现场运维的可是化消息检索功能。支持根据患者id、就诊号、医嘱号、服务名称等条件进行消息检索和原生日志跳转查看功能</w:t>
            </w:r>
            <w:r>
              <w:rPr>
                <w:rFonts w:hint="eastAsia" w:ascii="宋体" w:hAnsi="宋体" w:eastAsia="宋体"/>
                <w:color w:val="auto"/>
                <w:highlight w:val="none"/>
              </w:rPr>
              <w:t>。（提供系统功能截图）</w:t>
            </w:r>
          </w:p>
        </w:tc>
      </w:tr>
    </w:tbl>
    <w:p w14:paraId="584ADCF6">
      <w:pPr>
        <w:spacing w:line="360" w:lineRule="auto"/>
        <w:rPr>
          <w:rFonts w:hint="eastAsia" w:ascii="宋体" w:hAnsi="宋体" w:eastAsia="宋体"/>
          <w:color w:val="auto"/>
          <w:highlight w:val="none"/>
        </w:rPr>
      </w:pPr>
    </w:p>
    <w:p w14:paraId="1FA7533F">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主数据管理系统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150"/>
      </w:tblGrid>
      <w:tr w14:paraId="5115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shd w:val="clear" w:color="auto" w:fill="auto"/>
            <w:noWrap/>
          </w:tcPr>
          <w:p w14:paraId="116CE416">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0" w:type="auto"/>
            <w:shd w:val="clear" w:color="auto" w:fill="auto"/>
            <w:noWrap/>
          </w:tcPr>
          <w:p w14:paraId="3C416738">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54E1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085446E8">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主数据字典管理</w:t>
            </w:r>
          </w:p>
        </w:tc>
        <w:tc>
          <w:tcPr>
            <w:tcW w:w="0" w:type="auto"/>
            <w:shd w:val="clear" w:color="auto" w:fill="auto"/>
            <w:noWrap/>
            <w:vAlign w:val="center"/>
          </w:tcPr>
          <w:p w14:paraId="409F5131">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主数据字典自定义管理，可以自主扩展主数据定义和主数据内容。</w:t>
            </w:r>
          </w:p>
        </w:tc>
      </w:tr>
      <w:tr w14:paraId="3A9A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3D067E15">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200FBE0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针对主数据字典中的内容可进行自主权限设置。</w:t>
            </w:r>
          </w:p>
        </w:tc>
      </w:tr>
      <w:tr w14:paraId="155A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383193A8">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主数据订阅</w:t>
            </w:r>
          </w:p>
        </w:tc>
        <w:tc>
          <w:tcPr>
            <w:tcW w:w="0" w:type="auto"/>
            <w:shd w:val="clear" w:color="auto" w:fill="auto"/>
            <w:noWrap/>
            <w:vAlign w:val="center"/>
          </w:tcPr>
          <w:p w14:paraId="76BBAB58">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多个系统可针对同一主数据进行注册，平台需要进行智能化区分管理。</w:t>
            </w:r>
          </w:p>
        </w:tc>
      </w:tr>
      <w:tr w14:paraId="0319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276971A4">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070B4840">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同一主数据可被多套系统进行订阅。</w:t>
            </w:r>
          </w:p>
        </w:tc>
      </w:tr>
      <w:tr w14:paraId="0A81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restart"/>
            <w:shd w:val="clear" w:color="auto" w:fill="auto"/>
            <w:noWrap/>
            <w:vAlign w:val="center"/>
          </w:tcPr>
          <w:p w14:paraId="12801B06">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主数据发布</w:t>
            </w:r>
          </w:p>
        </w:tc>
        <w:tc>
          <w:tcPr>
            <w:tcW w:w="0" w:type="auto"/>
            <w:shd w:val="clear" w:color="auto" w:fill="auto"/>
            <w:noWrap/>
            <w:vAlign w:val="center"/>
          </w:tcPr>
          <w:p w14:paraId="2E0F9BD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当主数据内容发生新增、修改、删除时，订阅系统可获得平台实时主档的数据推送。</w:t>
            </w:r>
          </w:p>
        </w:tc>
      </w:tr>
      <w:tr w14:paraId="5435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continue"/>
            <w:shd w:val="clear" w:color="auto" w:fill="auto"/>
            <w:vAlign w:val="center"/>
          </w:tcPr>
          <w:p w14:paraId="6CC9D8FA">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02454797">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可针对系统进行不同权限的维护，订阅同一主数据时根据权限的区别，平台可以推送不同的内容。</w:t>
            </w:r>
          </w:p>
        </w:tc>
      </w:tr>
      <w:tr w14:paraId="6923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restart"/>
            <w:shd w:val="clear" w:color="auto" w:fill="auto"/>
            <w:noWrap/>
            <w:vAlign w:val="center"/>
          </w:tcPr>
          <w:p w14:paraId="29BAE4CD">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主数据管理</w:t>
            </w:r>
          </w:p>
        </w:tc>
        <w:tc>
          <w:tcPr>
            <w:tcW w:w="0" w:type="auto"/>
            <w:shd w:val="clear" w:color="auto" w:fill="auto"/>
            <w:noWrap/>
            <w:vAlign w:val="center"/>
          </w:tcPr>
          <w:p w14:paraId="6D77956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针对主数据平台有内容监控、统计、可视化展示功能。</w:t>
            </w:r>
          </w:p>
        </w:tc>
      </w:tr>
      <w:tr w14:paraId="68DB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7115994C">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369037AF">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针对主数据有日志跟踪查询功能。</w:t>
            </w:r>
          </w:p>
        </w:tc>
      </w:tr>
      <w:tr w14:paraId="1298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0" w:type="auto"/>
            <w:vMerge w:val="continue"/>
            <w:shd w:val="clear" w:color="auto" w:fill="auto"/>
            <w:vAlign w:val="center"/>
          </w:tcPr>
          <w:p w14:paraId="0D359629">
            <w:pPr>
              <w:spacing w:line="360" w:lineRule="auto"/>
              <w:jc w:val="both"/>
              <w:rPr>
                <w:rFonts w:hint="eastAsia" w:ascii="宋体" w:hAnsi="宋体" w:eastAsia="宋体"/>
                <w:color w:val="auto"/>
                <w:highlight w:val="none"/>
              </w:rPr>
            </w:pPr>
          </w:p>
        </w:tc>
        <w:tc>
          <w:tcPr>
            <w:tcW w:w="0" w:type="auto"/>
            <w:shd w:val="clear" w:color="auto" w:fill="auto"/>
            <w:noWrap/>
            <w:vAlign w:val="center"/>
          </w:tcPr>
          <w:p w14:paraId="78428A9B">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针对异常消息有报警重发功能。</w:t>
            </w:r>
          </w:p>
        </w:tc>
      </w:tr>
    </w:tbl>
    <w:p w14:paraId="59F07F55">
      <w:pPr>
        <w:spacing w:line="360" w:lineRule="auto"/>
        <w:rPr>
          <w:rFonts w:hint="eastAsia" w:ascii="宋体" w:hAnsi="宋体" w:eastAsia="宋体"/>
          <w:color w:val="auto"/>
          <w:highlight w:val="none"/>
        </w:rPr>
      </w:pPr>
    </w:p>
    <w:p w14:paraId="295F200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一体化监控平台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150"/>
      </w:tblGrid>
      <w:tr w14:paraId="6FB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723407B6">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840" w:type="dxa"/>
            <w:vAlign w:val="center"/>
          </w:tcPr>
          <w:p w14:paraId="4C4728B3">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08E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F2DED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重要指标监控</w:t>
            </w:r>
          </w:p>
        </w:tc>
        <w:tc>
          <w:tcPr>
            <w:tcW w:w="7840" w:type="dxa"/>
            <w:vAlign w:val="center"/>
          </w:tcPr>
          <w:p w14:paraId="4B9DAAB0">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服务调用趋势展示，可按日、近7日、近30日展示及具体系统的统计图；</w:t>
            </w:r>
          </w:p>
          <w:p w14:paraId="75607982">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支持显示当前一小时</w:t>
            </w:r>
            <w:r>
              <w:rPr>
                <w:rFonts w:hint="eastAsia" w:ascii="宋体" w:hAnsi="宋体" w:eastAsia="宋体"/>
                <w:color w:val="auto"/>
                <w:highlight w:val="none"/>
              </w:rPr>
              <w:t>平台消息交换的压力；</w:t>
            </w:r>
          </w:p>
          <w:p w14:paraId="6A22C12F">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服务调用平均耗时</w:t>
            </w:r>
            <w:r>
              <w:rPr>
                <w:rFonts w:hint="eastAsia" w:ascii="宋体" w:hAnsi="宋体" w:eastAsia="宋体"/>
                <w:color w:val="auto"/>
                <w:highlight w:val="none"/>
              </w:rPr>
              <w:t>；</w:t>
            </w:r>
          </w:p>
          <w:p w14:paraId="755CE6D6">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展示当天服务种类的占比和调用次数占比（实时更新）：服务按类归总展示如：分为</w:t>
            </w:r>
            <w:r>
              <w:rPr>
                <w:rFonts w:ascii="宋体" w:hAnsi="宋体" w:eastAsia="宋体"/>
                <w:color w:val="auto"/>
                <w:highlight w:val="none"/>
              </w:rPr>
              <w:t>查询申请单服务，检查报告服务</w:t>
            </w:r>
            <w:r>
              <w:rPr>
                <w:rFonts w:hint="eastAsia" w:ascii="宋体" w:hAnsi="宋体" w:eastAsia="宋体"/>
                <w:color w:val="auto"/>
                <w:highlight w:val="none"/>
              </w:rPr>
              <w:t>；</w:t>
            </w:r>
          </w:p>
          <w:p w14:paraId="29C14E0A">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展示当天厂商所属的应用占比和服务调用次数占比；</w:t>
            </w:r>
          </w:p>
          <w:p w14:paraId="71EF7C8F">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服务告警与服务异常点击柱状统计图携带参数跳转至日志界面，显示日志详情，点击查看更多跳转到服务统计界面；</w:t>
            </w:r>
          </w:p>
          <w:p w14:paraId="25874D0C">
            <w:pPr>
              <w:widowControl w:val="0"/>
              <w:numPr>
                <w:ilvl w:val="0"/>
                <w:numId w:val="43"/>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服务调用延迟性统计（当日），显示服务调用延迟率前十的服务统计。</w:t>
            </w:r>
          </w:p>
        </w:tc>
      </w:tr>
      <w:tr w14:paraId="63F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435A843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w:t>
            </w:r>
            <w:r>
              <w:rPr>
                <w:rFonts w:ascii="宋体" w:hAnsi="宋体" w:eastAsia="宋体"/>
                <w:color w:val="auto"/>
                <w:highlight w:val="none"/>
              </w:rPr>
              <w:t>监控</w:t>
            </w:r>
          </w:p>
        </w:tc>
        <w:tc>
          <w:tcPr>
            <w:tcW w:w="7840" w:type="dxa"/>
            <w:vAlign w:val="center"/>
          </w:tcPr>
          <w:p w14:paraId="5B338AFD">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日志查询及列表查看，</w:t>
            </w:r>
            <w:r>
              <w:rPr>
                <w:rFonts w:ascii="宋体" w:hAnsi="宋体" w:eastAsia="宋体"/>
                <w:color w:val="auto"/>
                <w:highlight w:val="none"/>
              </w:rPr>
              <w:t>支持根据日志类型，服务，时间区间，关键字模糊等条件进行查询</w:t>
            </w:r>
            <w:r>
              <w:rPr>
                <w:rFonts w:hint="eastAsia" w:ascii="宋体" w:hAnsi="宋体" w:eastAsia="宋体"/>
                <w:color w:val="auto"/>
                <w:highlight w:val="none"/>
              </w:rPr>
              <w:t>；</w:t>
            </w:r>
          </w:p>
          <w:p w14:paraId="7905B086">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根据ESB消息流日志查询条件筛选，以列表形式展示目标结果数据；</w:t>
            </w:r>
          </w:p>
          <w:p w14:paraId="25D7309E">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有图形化全流程消息流追溯功能，能查看各交易耗时和出入参</w:t>
            </w:r>
            <w:r>
              <w:rPr>
                <w:rFonts w:hint="eastAsia" w:ascii="宋体" w:hAnsi="宋体" w:eastAsia="宋体"/>
                <w:color w:val="auto"/>
                <w:highlight w:val="none"/>
              </w:rPr>
              <w:t>；</w:t>
            </w:r>
          </w:p>
          <w:p w14:paraId="66BEA11A">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根据运维日志查询条件筛选，以列表形式展示目标结果数据；</w:t>
            </w:r>
          </w:p>
          <w:p w14:paraId="50CC55D3">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支持导出诊断日志，制定任务计划导出诊断日志，诊断日志包括服务器运行状态，平台运行状态，网络，磁盘，网络连接等状态</w:t>
            </w:r>
            <w:r>
              <w:rPr>
                <w:rFonts w:hint="eastAsia" w:ascii="宋体" w:hAnsi="宋体" w:eastAsia="宋体"/>
                <w:color w:val="auto"/>
                <w:highlight w:val="none"/>
              </w:rPr>
              <w:t>；</w:t>
            </w:r>
          </w:p>
          <w:p w14:paraId="360EAE92">
            <w:pPr>
              <w:widowControl w:val="0"/>
              <w:numPr>
                <w:ilvl w:val="0"/>
                <w:numId w:val="44"/>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日志检索字段配置，设置要在内容字段查询的关键字段索引，注意节点配置及是否多标签解析标记。</w:t>
            </w:r>
          </w:p>
        </w:tc>
      </w:tr>
      <w:tr w14:paraId="6D33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58CAB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服务</w:t>
            </w:r>
            <w:r>
              <w:rPr>
                <w:rFonts w:hint="eastAsia" w:ascii="宋体" w:hAnsi="宋体" w:eastAsia="宋体"/>
                <w:color w:val="auto"/>
                <w:highlight w:val="none"/>
              </w:rPr>
              <w:t>监控</w:t>
            </w:r>
          </w:p>
        </w:tc>
        <w:tc>
          <w:tcPr>
            <w:tcW w:w="7840" w:type="dxa"/>
            <w:vAlign w:val="center"/>
          </w:tcPr>
          <w:p w14:paraId="0AD68C4A">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服务器状态展示及预警，根据不同服务器展示位置进行归类放置，展示服务器关键参数；</w:t>
            </w:r>
          </w:p>
          <w:p w14:paraId="22916564">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数据库运行状态展示及预警，根据不同服务器展示位置进行归类放置，展示数据库运行参数；</w:t>
            </w:r>
          </w:p>
          <w:p w14:paraId="179C5778">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服务调用异常推送配置，</w:t>
            </w:r>
            <w:r>
              <w:rPr>
                <w:rFonts w:ascii="宋体" w:hAnsi="宋体" w:eastAsia="宋体"/>
                <w:color w:val="auto"/>
                <w:highlight w:val="none"/>
              </w:rPr>
              <w:t>可以通过短信，邮件等方式推送异常信息</w:t>
            </w:r>
            <w:r>
              <w:rPr>
                <w:rFonts w:hint="eastAsia" w:ascii="宋体" w:hAnsi="宋体" w:eastAsia="宋体"/>
                <w:color w:val="auto"/>
                <w:highlight w:val="none"/>
              </w:rPr>
              <w:t>；</w:t>
            </w:r>
          </w:p>
          <w:p w14:paraId="06CC3905">
            <w:pPr>
              <w:widowControl w:val="0"/>
              <w:numPr>
                <w:ilvl w:val="0"/>
                <w:numId w:val="45"/>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实现全局告警，全局服务调用告警阈值与队列告警阈值设置。</w:t>
            </w:r>
          </w:p>
        </w:tc>
      </w:tr>
      <w:tr w14:paraId="0D40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6AF94B4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队列</w:t>
            </w:r>
            <w:r>
              <w:rPr>
                <w:rFonts w:ascii="宋体" w:hAnsi="宋体" w:eastAsia="宋体"/>
                <w:color w:val="auto"/>
                <w:highlight w:val="none"/>
              </w:rPr>
              <w:t>监控</w:t>
            </w:r>
          </w:p>
        </w:tc>
        <w:tc>
          <w:tcPr>
            <w:tcW w:w="7840" w:type="dxa"/>
            <w:vAlign w:val="center"/>
          </w:tcPr>
          <w:p w14:paraId="632085FA">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队列管理器的新增、删除、修改实现队列管理器配置；</w:t>
            </w:r>
          </w:p>
          <w:p w14:paraId="63D75AE3">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对列等待数量监控</w:t>
            </w:r>
            <w:r>
              <w:rPr>
                <w:rFonts w:hint="eastAsia" w:ascii="宋体" w:hAnsi="宋体" w:eastAsia="宋体"/>
                <w:color w:val="auto"/>
                <w:highlight w:val="none"/>
              </w:rPr>
              <w:t>；</w:t>
            </w:r>
          </w:p>
          <w:p w14:paraId="730634CF">
            <w:pPr>
              <w:widowControl w:val="0"/>
              <w:numPr>
                <w:ilvl w:val="0"/>
                <w:numId w:val="46"/>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区别标识不同状态的队列，显示队列管理器所属队列列表。</w:t>
            </w:r>
          </w:p>
        </w:tc>
      </w:tr>
      <w:tr w14:paraId="592D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14:paraId="2574DEB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厂商信息</w:t>
            </w:r>
          </w:p>
        </w:tc>
        <w:tc>
          <w:tcPr>
            <w:tcW w:w="7840" w:type="dxa"/>
            <w:vAlign w:val="center"/>
          </w:tcPr>
          <w:p w14:paraId="567691FD">
            <w:pPr>
              <w:widowControl w:val="0"/>
              <w:numPr>
                <w:ilvl w:val="0"/>
                <w:numId w:val="47"/>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厂商所属系统调用信息查看，每个厂商显示其下属系统，针对每个系统显示其提供服务、消费服务状况；</w:t>
            </w:r>
          </w:p>
          <w:p w14:paraId="397EB053">
            <w:pPr>
              <w:widowControl w:val="0"/>
              <w:numPr>
                <w:ilvl w:val="0"/>
                <w:numId w:val="47"/>
              </w:numPr>
              <w:adjustRightInd w:val="0"/>
              <w:snapToGrid w:val="0"/>
              <w:spacing w:line="360" w:lineRule="auto"/>
              <w:jc w:val="both"/>
              <w:rPr>
                <w:rFonts w:hint="eastAsia" w:ascii="宋体" w:hAnsi="宋体" w:eastAsia="宋体"/>
                <w:color w:val="auto"/>
                <w:highlight w:val="none"/>
              </w:rPr>
            </w:pPr>
            <w:r>
              <w:rPr>
                <w:rFonts w:hint="eastAsia" w:ascii="宋体" w:hAnsi="宋体" w:eastAsia="宋体"/>
                <w:color w:val="auto"/>
                <w:highlight w:val="none"/>
              </w:rPr>
              <w:t>服务调用日志查看，以报表形式展示某个服务调用日志分为总调用、异常、告警。</w:t>
            </w:r>
          </w:p>
        </w:tc>
      </w:tr>
    </w:tbl>
    <w:p w14:paraId="508C5E71">
      <w:pPr>
        <w:spacing w:line="360" w:lineRule="auto"/>
        <w:rPr>
          <w:rFonts w:hint="eastAsia" w:ascii="宋体" w:hAnsi="宋体" w:eastAsia="宋体"/>
          <w:color w:val="auto"/>
          <w:highlight w:val="none"/>
        </w:rPr>
      </w:pPr>
    </w:p>
    <w:p w14:paraId="43ECE219">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服务、消息分析平台</w:t>
      </w:r>
    </w:p>
    <w:tbl>
      <w:tblPr>
        <w:tblStyle w:val="63"/>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51"/>
      </w:tblGrid>
      <w:tr w14:paraId="3CFE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14:paraId="5E2E772C">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651" w:type="dxa"/>
            <w:vAlign w:val="center"/>
          </w:tcPr>
          <w:p w14:paraId="30FA2572">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E14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14:paraId="1EE4E210">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服务分析</w:t>
            </w:r>
          </w:p>
        </w:tc>
        <w:tc>
          <w:tcPr>
            <w:tcW w:w="7651" w:type="dxa"/>
            <w:vAlign w:val="center"/>
          </w:tcPr>
          <w:p w14:paraId="5A47CA0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提供集成平台对接系统、交互服务统计功能</w:t>
            </w:r>
          </w:p>
          <w:p w14:paraId="6A7A8E20">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系统数量展示</w:t>
            </w:r>
            <w:r>
              <w:rPr>
                <w:rFonts w:hint="eastAsia" w:ascii="宋体" w:hAnsi="宋体" w:eastAsia="宋体"/>
                <w:color w:val="auto"/>
                <w:highlight w:val="none"/>
              </w:rPr>
              <w:t>；</w:t>
            </w:r>
          </w:p>
          <w:p w14:paraId="53EFA2CE">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服务数量展示</w:t>
            </w:r>
            <w:r>
              <w:rPr>
                <w:rFonts w:hint="eastAsia" w:ascii="宋体" w:hAnsi="宋体" w:eastAsia="宋体"/>
                <w:color w:val="auto"/>
                <w:highlight w:val="none"/>
              </w:rPr>
              <w:t>；</w:t>
            </w:r>
          </w:p>
          <w:p w14:paraId="19E1EBE0">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消费系统-服务分布展示</w:t>
            </w:r>
            <w:r>
              <w:rPr>
                <w:rFonts w:hint="eastAsia" w:ascii="宋体" w:hAnsi="宋体" w:eastAsia="宋体"/>
                <w:color w:val="auto"/>
                <w:highlight w:val="none"/>
              </w:rPr>
              <w:t>；</w:t>
            </w:r>
          </w:p>
          <w:p w14:paraId="1C05D806">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内联服务、外联服务展示</w:t>
            </w:r>
            <w:r>
              <w:rPr>
                <w:rFonts w:hint="eastAsia" w:ascii="宋体" w:hAnsi="宋体" w:eastAsia="宋体"/>
                <w:color w:val="auto"/>
                <w:highlight w:val="none"/>
              </w:rPr>
              <w:t>；</w:t>
            </w:r>
          </w:p>
          <w:p w14:paraId="457B08CD">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服务类型分布、注册消费关系分布</w:t>
            </w:r>
            <w:r>
              <w:rPr>
                <w:rFonts w:hint="eastAsia" w:ascii="宋体" w:hAnsi="宋体" w:eastAsia="宋体"/>
                <w:color w:val="auto"/>
                <w:highlight w:val="none"/>
              </w:rPr>
              <w:t>；</w:t>
            </w:r>
          </w:p>
          <w:p w14:paraId="3B87423B">
            <w:pPr>
              <w:widowControl w:val="0"/>
              <w:numPr>
                <w:ilvl w:val="0"/>
                <w:numId w:val="48"/>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服务类型分布排名、服务类型分布明细展示</w:t>
            </w:r>
            <w:r>
              <w:rPr>
                <w:rFonts w:hint="eastAsia" w:ascii="宋体" w:hAnsi="宋体" w:eastAsia="宋体"/>
                <w:color w:val="auto"/>
                <w:highlight w:val="none"/>
              </w:rPr>
              <w:t>。</w:t>
            </w:r>
          </w:p>
        </w:tc>
      </w:tr>
      <w:tr w14:paraId="64F6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14:paraId="62881DEC">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消息分析</w:t>
            </w:r>
          </w:p>
        </w:tc>
        <w:tc>
          <w:tcPr>
            <w:tcW w:w="7651" w:type="dxa"/>
            <w:vAlign w:val="center"/>
          </w:tcPr>
          <w:p w14:paraId="500562FE">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提供基于集成平台服务消息分析功能</w:t>
            </w:r>
          </w:p>
          <w:p w14:paraId="5C3CB69E">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服务数量、当日消息量分析</w:t>
            </w:r>
            <w:r>
              <w:rPr>
                <w:rFonts w:hint="eastAsia" w:ascii="宋体" w:hAnsi="宋体" w:eastAsia="宋体"/>
                <w:color w:val="auto"/>
                <w:highlight w:val="none"/>
              </w:rPr>
              <w:t>；</w:t>
            </w:r>
          </w:p>
          <w:p w14:paraId="4E4AB399">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5分钟内重点监控服务实时消息量分析</w:t>
            </w:r>
            <w:r>
              <w:rPr>
                <w:rFonts w:hint="eastAsia" w:ascii="宋体" w:hAnsi="宋体" w:eastAsia="宋体"/>
                <w:color w:val="auto"/>
                <w:highlight w:val="none"/>
              </w:rPr>
              <w:t>；</w:t>
            </w:r>
          </w:p>
          <w:p w14:paraId="0B01C110">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本日、7天、30天集成平台消息量分析</w:t>
            </w:r>
            <w:r>
              <w:rPr>
                <w:rFonts w:hint="eastAsia" w:ascii="宋体" w:hAnsi="宋体" w:eastAsia="宋体"/>
                <w:color w:val="auto"/>
                <w:highlight w:val="none"/>
              </w:rPr>
              <w:t>；</w:t>
            </w:r>
          </w:p>
          <w:p w14:paraId="1AEA747D">
            <w:pPr>
              <w:widowControl w:val="0"/>
              <w:numPr>
                <w:ilvl w:val="0"/>
                <w:numId w:val="49"/>
              </w:numPr>
              <w:adjustRightInd w:val="0"/>
              <w:snapToGrid w:val="0"/>
              <w:spacing w:line="360" w:lineRule="auto"/>
              <w:jc w:val="both"/>
              <w:rPr>
                <w:rFonts w:hint="eastAsia" w:ascii="宋体" w:hAnsi="宋体" w:eastAsia="宋体"/>
                <w:color w:val="auto"/>
                <w:highlight w:val="none"/>
              </w:rPr>
            </w:pPr>
            <w:r>
              <w:rPr>
                <w:rFonts w:ascii="宋体" w:hAnsi="宋体" w:eastAsia="宋体"/>
                <w:color w:val="auto"/>
                <w:highlight w:val="none"/>
              </w:rPr>
              <w:t>异常服务占比、错误消息日期分布</w:t>
            </w:r>
            <w:r>
              <w:rPr>
                <w:rFonts w:hint="eastAsia" w:ascii="宋体" w:hAnsi="宋体" w:eastAsia="宋体"/>
                <w:color w:val="auto"/>
                <w:highlight w:val="none"/>
              </w:rPr>
              <w:t>。</w:t>
            </w:r>
          </w:p>
        </w:tc>
      </w:tr>
    </w:tbl>
    <w:p w14:paraId="7A5BE824">
      <w:pPr>
        <w:spacing w:line="360" w:lineRule="auto"/>
        <w:rPr>
          <w:rFonts w:hint="eastAsia" w:ascii="宋体" w:hAnsi="宋体" w:eastAsia="宋体"/>
          <w:color w:val="auto"/>
          <w:highlight w:val="none"/>
        </w:rPr>
      </w:pPr>
    </w:p>
    <w:p w14:paraId="261994E4">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互联互通定量服务</w:t>
      </w:r>
    </w:p>
    <w:tbl>
      <w:tblPr>
        <w:tblStyle w:val="63"/>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7603"/>
      </w:tblGrid>
      <w:tr w14:paraId="270C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47271395">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603" w:type="dxa"/>
            <w:vAlign w:val="center"/>
          </w:tcPr>
          <w:p w14:paraId="78F72DE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B9A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18D42664">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注册类交互服务</w:t>
            </w:r>
          </w:p>
        </w:tc>
        <w:tc>
          <w:tcPr>
            <w:tcW w:w="7603" w:type="dxa"/>
            <w:vAlign w:val="center"/>
          </w:tcPr>
          <w:p w14:paraId="0736111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提供相对应的定量评级注册类交互服务数量</w:t>
            </w:r>
          </w:p>
          <w:p w14:paraId="024B6C17">
            <w:pPr>
              <w:numPr>
                <w:ilvl w:val="0"/>
                <w:numId w:val="50"/>
              </w:num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eastAsia="zh-CN"/>
              </w:rPr>
              <w:t>符合</w:t>
            </w:r>
            <w:r>
              <w:rPr>
                <w:rFonts w:ascii="宋体" w:hAnsi="宋体" w:eastAsia="宋体"/>
                <w:color w:val="auto"/>
                <w:highlight w:val="none"/>
              </w:rPr>
              <w:t>互联互通4甲注册类服务数</w:t>
            </w:r>
          </w:p>
        </w:tc>
      </w:tr>
      <w:tr w14:paraId="6AE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dxa"/>
            <w:vAlign w:val="center"/>
          </w:tcPr>
          <w:p w14:paraId="6CF30765">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非注册类交互服务</w:t>
            </w:r>
          </w:p>
        </w:tc>
        <w:tc>
          <w:tcPr>
            <w:tcW w:w="7603" w:type="dxa"/>
            <w:vAlign w:val="center"/>
          </w:tcPr>
          <w:p w14:paraId="396526F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提供相对应的定量评级非注册类交互服务数量</w:t>
            </w:r>
          </w:p>
          <w:p w14:paraId="2757439D">
            <w:pPr>
              <w:numPr>
                <w:ilvl w:val="0"/>
                <w:numId w:val="51"/>
              </w:numPr>
              <w:adjustRightInd w:val="0"/>
              <w:snapToGrid w:val="0"/>
              <w:spacing w:line="360" w:lineRule="auto"/>
              <w:rPr>
                <w:rFonts w:hint="eastAsia" w:ascii="宋体" w:hAnsi="宋体" w:eastAsia="宋体"/>
                <w:color w:val="auto"/>
                <w:highlight w:val="none"/>
              </w:rPr>
            </w:pPr>
            <w:r>
              <w:rPr>
                <w:rFonts w:hint="eastAsia" w:ascii="宋体" w:hAnsi="宋体"/>
                <w:color w:val="auto"/>
                <w:highlight w:val="none"/>
                <w:lang w:eastAsia="zh-CN"/>
              </w:rPr>
              <w:t>符合</w:t>
            </w:r>
            <w:r>
              <w:rPr>
                <w:rFonts w:ascii="宋体" w:hAnsi="宋体" w:eastAsia="宋体"/>
                <w:color w:val="auto"/>
                <w:highlight w:val="none"/>
              </w:rPr>
              <w:t>互联互通4甲非注册类服务数</w:t>
            </w:r>
          </w:p>
        </w:tc>
      </w:tr>
    </w:tbl>
    <w:p w14:paraId="6491C779">
      <w:pPr>
        <w:spacing w:line="360" w:lineRule="auto"/>
        <w:rPr>
          <w:rFonts w:hint="eastAsia" w:ascii="宋体" w:hAnsi="宋体" w:eastAsia="宋体"/>
          <w:color w:val="auto"/>
          <w:highlight w:val="none"/>
        </w:rPr>
      </w:pPr>
    </w:p>
    <w:p w14:paraId="5D7D1E51">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互联互通定性服务</w:t>
      </w:r>
    </w:p>
    <w:tbl>
      <w:tblPr>
        <w:tblStyle w:val="63"/>
        <w:tblW w:w="9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7595"/>
      </w:tblGrid>
      <w:tr w14:paraId="250B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0" w:type="dxa"/>
            <w:vAlign w:val="center"/>
          </w:tcPr>
          <w:p w14:paraId="15BD36A9">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595" w:type="dxa"/>
            <w:vAlign w:val="center"/>
          </w:tcPr>
          <w:p w14:paraId="03564E76">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6424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0" w:type="dxa"/>
            <w:vAlign w:val="center"/>
          </w:tcPr>
          <w:p w14:paraId="13E8EDB7">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定性交互服务改造</w:t>
            </w:r>
          </w:p>
        </w:tc>
        <w:tc>
          <w:tcPr>
            <w:tcW w:w="7595" w:type="dxa"/>
            <w:vAlign w:val="center"/>
          </w:tcPr>
          <w:p w14:paraId="12063E1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按照评级要求对服务进行升级改造或新增院内交互服务，直至满足互联互通定性要求为止</w:t>
            </w:r>
          </w:p>
        </w:tc>
      </w:tr>
    </w:tbl>
    <w:p w14:paraId="17218182">
      <w:pPr>
        <w:spacing w:line="360" w:lineRule="auto"/>
        <w:rPr>
          <w:rFonts w:hint="eastAsia" w:ascii="宋体" w:hAnsi="宋体" w:eastAsia="宋体"/>
          <w:color w:val="auto"/>
          <w:highlight w:val="none"/>
        </w:rPr>
      </w:pPr>
    </w:p>
    <w:p w14:paraId="61AE9CC4">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互联互通消息检索</w:t>
      </w:r>
    </w:p>
    <w:tbl>
      <w:tblPr>
        <w:tblStyle w:val="6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7499"/>
      </w:tblGrid>
      <w:tr w14:paraId="4389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78710BB">
            <w:pPr>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功能列表</w:t>
            </w:r>
          </w:p>
        </w:tc>
        <w:tc>
          <w:tcPr>
            <w:tcW w:w="7499" w:type="dxa"/>
            <w:vAlign w:val="center"/>
          </w:tcPr>
          <w:p w14:paraId="06AE1DFD">
            <w:pPr>
              <w:tabs>
                <w:tab w:val="left" w:pos="951"/>
              </w:tabs>
              <w:adjustRightInd w:val="0"/>
              <w:snapToGrid w:val="0"/>
              <w:spacing w:line="360" w:lineRule="auto"/>
              <w:jc w:val="center"/>
              <w:rPr>
                <w:rFonts w:hint="eastAsia" w:ascii="宋体" w:hAnsi="宋体" w:eastAsia="宋体"/>
                <w:b/>
                <w:bCs/>
                <w:color w:val="auto"/>
                <w:highlight w:val="none"/>
              </w:rPr>
            </w:pPr>
            <w:r>
              <w:rPr>
                <w:rFonts w:ascii="宋体" w:hAnsi="宋体" w:eastAsia="宋体"/>
                <w:b/>
                <w:bCs/>
                <w:color w:val="auto"/>
                <w:highlight w:val="none"/>
              </w:rPr>
              <w:t>技术要求</w:t>
            </w:r>
          </w:p>
        </w:tc>
      </w:tr>
      <w:tr w14:paraId="4F97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35E409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消息检索</w:t>
            </w:r>
          </w:p>
        </w:tc>
        <w:tc>
          <w:tcPr>
            <w:tcW w:w="7499" w:type="dxa"/>
            <w:vAlign w:val="center"/>
          </w:tcPr>
          <w:p w14:paraId="784D00DB">
            <w:pPr>
              <w:adjustRightInd w:val="0"/>
              <w:snapToGrid w:val="0"/>
              <w:spacing w:line="360" w:lineRule="auto"/>
              <w:rPr>
                <w:rFonts w:hint="eastAsia" w:ascii="宋体" w:hAnsi="宋体" w:eastAsia="宋体"/>
                <w:color w:val="auto"/>
                <w:highlight w:val="none"/>
                <w:lang w:eastAsia="zh-CN"/>
              </w:rPr>
            </w:pPr>
            <w:r>
              <w:rPr>
                <w:rFonts w:ascii="宋体" w:hAnsi="宋体" w:eastAsia="宋体"/>
                <w:color w:val="auto"/>
                <w:highlight w:val="none"/>
              </w:rPr>
              <w:t>提供一套互联互通交互服务日志的可视化检索界面，支持日期时间、服务名称、患者id、就诊号等条件进行消息检索</w:t>
            </w:r>
            <w:r>
              <w:rPr>
                <w:rFonts w:hint="eastAsia" w:ascii="宋体" w:hAnsi="宋体"/>
                <w:color w:val="auto"/>
                <w:highlight w:val="none"/>
                <w:lang w:eastAsia="zh-CN"/>
              </w:rPr>
              <w:t>。</w:t>
            </w:r>
          </w:p>
        </w:tc>
      </w:tr>
    </w:tbl>
    <w:p w14:paraId="6A09D723">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数据接入平台</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7552"/>
      </w:tblGrid>
      <w:tr w14:paraId="500C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1210968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shd w:val="clear" w:color="auto" w:fill="auto"/>
            <w:noWrap/>
            <w:vAlign w:val="center"/>
          </w:tcPr>
          <w:p w14:paraId="486D616D">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180F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1149458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数据获取</w:t>
            </w:r>
          </w:p>
        </w:tc>
        <w:tc>
          <w:tcPr>
            <w:tcW w:w="7552" w:type="dxa"/>
            <w:shd w:val="clear" w:color="auto" w:fill="auto"/>
            <w:noWrap/>
            <w:vAlign w:val="center"/>
          </w:tcPr>
          <w:p w14:paraId="4B59B9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采用国际知名品牌数据同步工具，采用数据库动态日志捕获同步技术，对生产系统的资源消耗控制在5%或以内，确保业务数据源和ODS数据的一致性控制在</w:t>
            </w:r>
            <w:r>
              <w:rPr>
                <w:rFonts w:ascii="宋体" w:hAnsi="宋体" w:eastAsia="宋体"/>
                <w:color w:val="auto"/>
                <w:highlight w:val="none"/>
              </w:rPr>
              <w:t>分钟</w:t>
            </w:r>
            <w:r>
              <w:rPr>
                <w:rFonts w:hint="eastAsia" w:ascii="宋体" w:hAnsi="宋体" w:eastAsia="宋体"/>
                <w:color w:val="auto"/>
                <w:highlight w:val="none"/>
              </w:rPr>
              <w:t>级。</w:t>
            </w:r>
          </w:p>
        </w:tc>
      </w:tr>
      <w:tr w14:paraId="708D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0D93425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数据清洗</w:t>
            </w:r>
          </w:p>
        </w:tc>
        <w:tc>
          <w:tcPr>
            <w:tcW w:w="7552" w:type="dxa"/>
            <w:shd w:val="clear" w:color="auto" w:fill="auto"/>
            <w:noWrap/>
            <w:vAlign w:val="center"/>
          </w:tcPr>
          <w:p w14:paraId="7244BDB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支持过滤不符合要求的数据。</w:t>
            </w:r>
          </w:p>
        </w:tc>
      </w:tr>
      <w:tr w14:paraId="3966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656BE4F4">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转换</w:t>
            </w:r>
          </w:p>
        </w:tc>
        <w:tc>
          <w:tcPr>
            <w:tcW w:w="7552" w:type="dxa"/>
            <w:shd w:val="clear" w:color="auto" w:fill="auto"/>
            <w:noWrap/>
            <w:vAlign w:val="center"/>
          </w:tcPr>
          <w:p w14:paraId="3CBB22D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支持对不一致的数据进行转换规则的计算。</w:t>
            </w:r>
          </w:p>
        </w:tc>
      </w:tr>
      <w:tr w14:paraId="6B5E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59BB4995">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装载</w:t>
            </w:r>
          </w:p>
        </w:tc>
        <w:tc>
          <w:tcPr>
            <w:tcW w:w="7552" w:type="dxa"/>
            <w:shd w:val="clear" w:color="auto" w:fill="auto"/>
            <w:noWrap/>
            <w:vAlign w:val="center"/>
          </w:tcPr>
          <w:p w14:paraId="04012DB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能够加载经转换和汇总的数据到目标数据仓库中，可实现SQL或批量加载。</w:t>
            </w:r>
          </w:p>
        </w:tc>
      </w:tr>
      <w:tr w14:paraId="23AF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2D6A98E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日志</w:t>
            </w:r>
          </w:p>
        </w:tc>
        <w:tc>
          <w:tcPr>
            <w:tcW w:w="7552" w:type="dxa"/>
            <w:shd w:val="clear" w:color="auto" w:fill="auto"/>
            <w:noWrap/>
            <w:vAlign w:val="center"/>
          </w:tcPr>
          <w:p w14:paraId="5BCEB37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提供记录日志，随时可以知道数据同步及抽取运行情况，以便于在错误发生的情况下，快速定位错误原因和位置。</w:t>
            </w:r>
          </w:p>
        </w:tc>
      </w:tr>
    </w:tbl>
    <w:p w14:paraId="2111ECDC">
      <w:pPr>
        <w:spacing w:line="360" w:lineRule="auto"/>
        <w:rPr>
          <w:rFonts w:hint="eastAsia" w:ascii="宋体" w:hAnsi="宋体" w:eastAsia="宋体"/>
          <w:color w:val="auto"/>
          <w:highlight w:val="none"/>
        </w:rPr>
      </w:pPr>
    </w:p>
    <w:p w14:paraId="383DC629">
      <w:pPr>
        <w:spacing w:line="360" w:lineRule="auto"/>
        <w:rPr>
          <w:rFonts w:hint="eastAsia" w:ascii="宋体" w:hAnsi="宋体" w:eastAsia="宋体"/>
          <w:color w:val="auto"/>
          <w:highlight w:val="none"/>
        </w:rPr>
      </w:pPr>
    </w:p>
    <w:p w14:paraId="530B4415">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前置业务存储数据库</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7552"/>
      </w:tblGrid>
      <w:tr w14:paraId="01A6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464BE015">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shd w:val="clear" w:color="auto" w:fill="auto"/>
            <w:noWrap/>
            <w:vAlign w:val="center"/>
          </w:tcPr>
          <w:p w14:paraId="170C785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5F8B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07E02F1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历史数据</w:t>
            </w:r>
          </w:p>
        </w:tc>
        <w:tc>
          <w:tcPr>
            <w:tcW w:w="7552" w:type="dxa"/>
            <w:shd w:val="clear" w:color="auto" w:fill="auto"/>
            <w:noWrap/>
            <w:vAlign w:val="center"/>
          </w:tcPr>
          <w:p w14:paraId="4FCF891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保存院内信息系统H</w:t>
            </w:r>
            <w:r>
              <w:rPr>
                <w:rFonts w:ascii="宋体" w:hAnsi="宋体" w:eastAsia="宋体"/>
                <w:color w:val="auto"/>
                <w:highlight w:val="none"/>
              </w:rPr>
              <w:t>IS</w:t>
            </w:r>
            <w:r>
              <w:rPr>
                <w:rFonts w:hint="eastAsia" w:ascii="宋体" w:hAnsi="宋体" w:eastAsia="宋体"/>
                <w:color w:val="auto"/>
                <w:highlight w:val="none"/>
              </w:rPr>
              <w:t>、E</w:t>
            </w:r>
            <w:r>
              <w:rPr>
                <w:rFonts w:ascii="宋体" w:hAnsi="宋体" w:eastAsia="宋体"/>
                <w:color w:val="auto"/>
                <w:highlight w:val="none"/>
              </w:rPr>
              <w:t>MR</w:t>
            </w:r>
            <w:r>
              <w:rPr>
                <w:rFonts w:hint="eastAsia" w:ascii="宋体" w:hAnsi="宋体" w:eastAsia="宋体"/>
                <w:color w:val="auto"/>
                <w:highlight w:val="none"/>
              </w:rPr>
              <w:t>、L</w:t>
            </w:r>
            <w:r>
              <w:rPr>
                <w:rFonts w:ascii="宋体" w:hAnsi="宋体" w:eastAsia="宋体"/>
                <w:color w:val="auto"/>
                <w:highlight w:val="none"/>
              </w:rPr>
              <w:t>IS</w:t>
            </w:r>
            <w:r>
              <w:rPr>
                <w:rFonts w:hint="eastAsia" w:ascii="宋体" w:hAnsi="宋体" w:eastAsia="宋体"/>
                <w:color w:val="auto"/>
                <w:highlight w:val="none"/>
              </w:rPr>
              <w:t>、P</w:t>
            </w:r>
            <w:r>
              <w:rPr>
                <w:rFonts w:ascii="宋体" w:hAnsi="宋体" w:eastAsia="宋体"/>
                <w:color w:val="auto"/>
                <w:highlight w:val="none"/>
              </w:rPr>
              <w:t>ACS</w:t>
            </w:r>
            <w:r>
              <w:rPr>
                <w:rFonts w:hint="eastAsia" w:ascii="宋体" w:hAnsi="宋体" w:eastAsia="宋体"/>
                <w:color w:val="auto"/>
                <w:highlight w:val="none"/>
              </w:rPr>
              <w:t>等系统有价值的历史数据，可以提供对外查询的能力，具备分担业务库查询的能力。</w:t>
            </w:r>
          </w:p>
        </w:tc>
      </w:tr>
      <w:tr w14:paraId="058A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shd w:val="clear" w:color="auto" w:fill="auto"/>
            <w:noWrap/>
            <w:vAlign w:val="center"/>
          </w:tcPr>
          <w:p w14:paraId="6DB3818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增量数据</w:t>
            </w:r>
          </w:p>
        </w:tc>
        <w:tc>
          <w:tcPr>
            <w:tcW w:w="7552" w:type="dxa"/>
            <w:shd w:val="clear" w:color="auto" w:fill="auto"/>
            <w:noWrap/>
            <w:vAlign w:val="center"/>
          </w:tcPr>
          <w:p w14:paraId="421B83C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保存院内信息系统H</w:t>
            </w:r>
            <w:r>
              <w:rPr>
                <w:rFonts w:ascii="宋体" w:hAnsi="宋体" w:eastAsia="宋体"/>
                <w:color w:val="auto"/>
                <w:highlight w:val="none"/>
              </w:rPr>
              <w:t>IS</w:t>
            </w:r>
            <w:r>
              <w:rPr>
                <w:rFonts w:hint="eastAsia" w:ascii="宋体" w:hAnsi="宋体" w:eastAsia="宋体"/>
                <w:color w:val="auto"/>
                <w:highlight w:val="none"/>
              </w:rPr>
              <w:t>、E</w:t>
            </w:r>
            <w:r>
              <w:rPr>
                <w:rFonts w:ascii="宋体" w:hAnsi="宋体" w:eastAsia="宋体"/>
                <w:color w:val="auto"/>
                <w:highlight w:val="none"/>
              </w:rPr>
              <w:t>MR</w:t>
            </w:r>
            <w:r>
              <w:rPr>
                <w:rFonts w:hint="eastAsia" w:ascii="宋体" w:hAnsi="宋体" w:eastAsia="宋体"/>
                <w:color w:val="auto"/>
                <w:highlight w:val="none"/>
              </w:rPr>
              <w:t>、L</w:t>
            </w:r>
            <w:r>
              <w:rPr>
                <w:rFonts w:ascii="宋体" w:hAnsi="宋体" w:eastAsia="宋体"/>
                <w:color w:val="auto"/>
                <w:highlight w:val="none"/>
              </w:rPr>
              <w:t>IS</w:t>
            </w:r>
            <w:r>
              <w:rPr>
                <w:rFonts w:hint="eastAsia" w:ascii="宋体" w:hAnsi="宋体" w:eastAsia="宋体"/>
                <w:color w:val="auto"/>
                <w:highlight w:val="none"/>
              </w:rPr>
              <w:t>、P</w:t>
            </w:r>
            <w:r>
              <w:rPr>
                <w:rFonts w:ascii="宋体" w:hAnsi="宋体" w:eastAsia="宋体"/>
                <w:color w:val="auto"/>
                <w:highlight w:val="none"/>
              </w:rPr>
              <w:t>ACS</w:t>
            </w:r>
            <w:r>
              <w:rPr>
                <w:rFonts w:hint="eastAsia" w:ascii="宋体" w:hAnsi="宋体" w:eastAsia="宋体"/>
                <w:color w:val="auto"/>
                <w:highlight w:val="none"/>
              </w:rPr>
              <w:t>等系统有价值的增量数据，能够达到</w:t>
            </w:r>
            <w:r>
              <w:rPr>
                <w:rFonts w:ascii="宋体" w:hAnsi="宋体" w:eastAsia="宋体"/>
                <w:color w:val="auto"/>
                <w:highlight w:val="none"/>
              </w:rPr>
              <w:t>分钟</w:t>
            </w:r>
            <w:r>
              <w:rPr>
                <w:rFonts w:hint="eastAsia" w:ascii="宋体" w:hAnsi="宋体" w:eastAsia="宋体"/>
                <w:color w:val="auto"/>
                <w:highlight w:val="none"/>
              </w:rPr>
              <w:t>级的同步水平。</w:t>
            </w:r>
          </w:p>
        </w:tc>
      </w:tr>
    </w:tbl>
    <w:p w14:paraId="3B9E4948">
      <w:pPr>
        <w:spacing w:line="360" w:lineRule="auto"/>
        <w:rPr>
          <w:rFonts w:hint="eastAsia" w:ascii="宋体" w:hAnsi="宋体" w:eastAsia="宋体"/>
          <w:color w:val="auto"/>
          <w:highlight w:val="none"/>
        </w:rPr>
      </w:pPr>
    </w:p>
    <w:p w14:paraId="38579E6E">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临床数据资源平台</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2840"/>
        <w:gridCol w:w="4195"/>
      </w:tblGrid>
      <w:tr w14:paraId="3C26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shd w:val="clear" w:color="auto" w:fill="auto"/>
            <w:vAlign w:val="center"/>
          </w:tcPr>
          <w:p w14:paraId="167A2322">
            <w:pPr>
              <w:tabs>
                <w:tab w:val="left" w:pos="1260"/>
              </w:tabs>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552" w:type="dxa"/>
            <w:gridSpan w:val="2"/>
            <w:shd w:val="clear" w:color="auto" w:fill="auto"/>
            <w:vAlign w:val="center"/>
          </w:tcPr>
          <w:p w14:paraId="3A08AFDC">
            <w:pPr>
              <w:tabs>
                <w:tab w:val="left" w:pos="1260"/>
              </w:tabs>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技术要求</w:t>
            </w:r>
          </w:p>
        </w:tc>
      </w:tr>
      <w:tr w14:paraId="7B2B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restart"/>
            <w:shd w:val="clear" w:color="auto" w:fill="auto"/>
            <w:vAlign w:val="center"/>
          </w:tcPr>
          <w:p w14:paraId="5C2CDA5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数据存储</w:t>
            </w:r>
          </w:p>
        </w:tc>
        <w:tc>
          <w:tcPr>
            <w:tcW w:w="7552" w:type="dxa"/>
            <w:gridSpan w:val="2"/>
            <w:shd w:val="clear" w:color="auto" w:fill="auto"/>
            <w:vAlign w:val="center"/>
          </w:tcPr>
          <w:p w14:paraId="021E684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提供临床业务模型输出患者数据。就诊数据、医嘱数据及各类报告文书等数据进行整合存储，建立关联关系。</w:t>
            </w:r>
          </w:p>
        </w:tc>
      </w:tr>
      <w:tr w14:paraId="5E82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1477507D">
            <w:pPr>
              <w:adjustRightInd w:val="0"/>
              <w:snapToGrid w:val="0"/>
              <w:spacing w:line="360" w:lineRule="auto"/>
              <w:jc w:val="center"/>
              <w:rPr>
                <w:rFonts w:hint="eastAsia" w:ascii="宋体" w:hAnsi="宋体" w:eastAsia="宋体"/>
                <w:color w:val="auto"/>
                <w:highlight w:val="none"/>
              </w:rPr>
            </w:pPr>
          </w:p>
        </w:tc>
        <w:tc>
          <w:tcPr>
            <w:tcW w:w="7552" w:type="dxa"/>
            <w:gridSpan w:val="2"/>
            <w:shd w:val="clear" w:color="auto" w:fill="auto"/>
            <w:vAlign w:val="center"/>
          </w:tcPr>
          <w:p w14:paraId="5878F71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支持对历史患者信息、医嘱、检查、检验、病理、手术、病案等数据进行抽取、清洗、转换，按标准化、结构化、分类存储。</w:t>
            </w:r>
          </w:p>
        </w:tc>
      </w:tr>
      <w:tr w14:paraId="3453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5AD1CC3F">
            <w:pPr>
              <w:adjustRightInd w:val="0"/>
              <w:snapToGrid w:val="0"/>
              <w:spacing w:line="360" w:lineRule="auto"/>
              <w:rPr>
                <w:rFonts w:hint="eastAsia" w:ascii="宋体" w:hAnsi="宋体" w:eastAsia="宋体"/>
                <w:color w:val="auto"/>
                <w:highlight w:val="none"/>
              </w:rPr>
            </w:pPr>
          </w:p>
        </w:tc>
        <w:tc>
          <w:tcPr>
            <w:tcW w:w="7552" w:type="dxa"/>
            <w:gridSpan w:val="2"/>
            <w:shd w:val="clear" w:color="auto" w:fill="auto"/>
            <w:vAlign w:val="center"/>
          </w:tcPr>
          <w:p w14:paraId="14C9202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临床数据集成以患者为中心，以就诊为索引的所有临床数据。数据接入可以支持多种数据接入形式与数据规范。</w:t>
            </w:r>
          </w:p>
        </w:tc>
      </w:tr>
      <w:tr w14:paraId="4FB7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79AE5A82">
            <w:pPr>
              <w:adjustRightInd w:val="0"/>
              <w:snapToGrid w:val="0"/>
              <w:spacing w:line="360" w:lineRule="auto"/>
              <w:jc w:val="center"/>
              <w:rPr>
                <w:rFonts w:hint="eastAsia" w:ascii="宋体" w:hAnsi="宋体" w:eastAsia="宋体"/>
                <w:color w:val="auto"/>
                <w:highlight w:val="none"/>
              </w:rPr>
            </w:pPr>
          </w:p>
        </w:tc>
        <w:tc>
          <w:tcPr>
            <w:tcW w:w="3424" w:type="dxa"/>
            <w:vMerge w:val="restart"/>
            <w:shd w:val="clear" w:color="auto" w:fill="auto"/>
            <w:vAlign w:val="center"/>
          </w:tcPr>
          <w:p w14:paraId="4C8647B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为患者全息视图提供数据：</w:t>
            </w:r>
          </w:p>
          <w:p w14:paraId="22BC348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作为患者全息视图的数据源，为其提供以患者为中心的患者临床全流程就诊数据。</w:t>
            </w:r>
          </w:p>
        </w:tc>
        <w:tc>
          <w:tcPr>
            <w:tcW w:w="0" w:type="auto"/>
            <w:shd w:val="clear" w:color="auto" w:fill="auto"/>
            <w:vAlign w:val="center"/>
          </w:tcPr>
          <w:p w14:paraId="1FAAE34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1</w:t>
            </w:r>
            <w:r>
              <w:rPr>
                <w:rFonts w:hint="eastAsia" w:ascii="宋体" w:hAnsi="宋体" w:eastAsia="宋体"/>
                <w:color w:val="auto"/>
                <w:highlight w:val="none"/>
              </w:rPr>
              <w:t>、支持多种数据采集的接入方式与规范：对接集成平台提供的各类接口。</w:t>
            </w:r>
          </w:p>
        </w:tc>
      </w:tr>
      <w:tr w14:paraId="11C6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7D7063E4">
            <w:pPr>
              <w:adjustRightInd w:val="0"/>
              <w:snapToGrid w:val="0"/>
              <w:spacing w:line="360" w:lineRule="auto"/>
              <w:jc w:val="center"/>
              <w:rPr>
                <w:rFonts w:hint="eastAsia" w:ascii="宋体" w:hAnsi="宋体" w:eastAsia="宋体"/>
                <w:color w:val="auto"/>
                <w:highlight w:val="none"/>
              </w:rPr>
            </w:pPr>
          </w:p>
        </w:tc>
        <w:tc>
          <w:tcPr>
            <w:tcW w:w="3424" w:type="dxa"/>
            <w:vMerge w:val="continue"/>
            <w:shd w:val="clear" w:color="auto" w:fill="auto"/>
            <w:vAlign w:val="center"/>
          </w:tcPr>
          <w:p w14:paraId="7B4563EA">
            <w:pPr>
              <w:adjustRightInd w:val="0"/>
              <w:snapToGrid w:val="0"/>
              <w:spacing w:line="360" w:lineRule="auto"/>
              <w:rPr>
                <w:rFonts w:hint="eastAsia" w:ascii="宋体" w:hAnsi="宋体" w:eastAsia="宋体"/>
                <w:color w:val="auto"/>
                <w:highlight w:val="none"/>
              </w:rPr>
            </w:pPr>
          </w:p>
        </w:tc>
        <w:tc>
          <w:tcPr>
            <w:tcW w:w="0" w:type="auto"/>
            <w:shd w:val="clear" w:color="auto" w:fill="auto"/>
            <w:vAlign w:val="center"/>
          </w:tcPr>
          <w:p w14:paraId="50E8F1C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、支持不同数据规范的接入：对接支持html、普通的txt等格式。</w:t>
            </w:r>
          </w:p>
        </w:tc>
      </w:tr>
      <w:tr w14:paraId="5BF4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Merge w:val="continue"/>
            <w:shd w:val="clear" w:color="auto" w:fill="auto"/>
            <w:vAlign w:val="center"/>
          </w:tcPr>
          <w:p w14:paraId="1345CA2D">
            <w:pPr>
              <w:adjustRightInd w:val="0"/>
              <w:snapToGrid w:val="0"/>
              <w:spacing w:line="360" w:lineRule="auto"/>
              <w:jc w:val="center"/>
              <w:rPr>
                <w:rFonts w:hint="eastAsia" w:ascii="宋体" w:hAnsi="宋体" w:eastAsia="宋体"/>
                <w:color w:val="auto"/>
                <w:highlight w:val="none"/>
              </w:rPr>
            </w:pPr>
          </w:p>
        </w:tc>
        <w:tc>
          <w:tcPr>
            <w:tcW w:w="3424" w:type="dxa"/>
            <w:vMerge w:val="continue"/>
            <w:shd w:val="clear" w:color="auto" w:fill="auto"/>
            <w:vAlign w:val="center"/>
          </w:tcPr>
          <w:p w14:paraId="365BAF57">
            <w:pPr>
              <w:adjustRightInd w:val="0"/>
              <w:snapToGrid w:val="0"/>
              <w:spacing w:line="360" w:lineRule="auto"/>
              <w:rPr>
                <w:rFonts w:hint="eastAsia" w:ascii="宋体" w:hAnsi="宋体" w:eastAsia="宋体"/>
                <w:color w:val="auto"/>
                <w:highlight w:val="none"/>
              </w:rPr>
            </w:pPr>
          </w:p>
        </w:tc>
        <w:tc>
          <w:tcPr>
            <w:tcW w:w="0" w:type="auto"/>
            <w:shd w:val="clear" w:color="auto" w:fill="auto"/>
            <w:vAlign w:val="center"/>
          </w:tcPr>
          <w:p w14:paraId="7419BF1B">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3</w:t>
            </w:r>
            <w:r>
              <w:rPr>
                <w:rFonts w:hint="eastAsia" w:ascii="宋体" w:hAnsi="宋体" w:eastAsia="宋体"/>
                <w:color w:val="auto"/>
                <w:highlight w:val="none"/>
              </w:rPr>
              <w:t>、数据接入程序支持分布式部署。</w:t>
            </w:r>
          </w:p>
        </w:tc>
      </w:tr>
    </w:tbl>
    <w:p w14:paraId="11764C72">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运营数据库</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
        <w:gridCol w:w="7074"/>
      </w:tblGrid>
      <w:tr w14:paraId="160A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5340624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功能列表</w:t>
            </w:r>
          </w:p>
        </w:tc>
        <w:tc>
          <w:tcPr>
            <w:tcW w:w="7744" w:type="dxa"/>
            <w:shd w:val="clear" w:color="auto" w:fill="auto"/>
            <w:vAlign w:val="center"/>
          </w:tcPr>
          <w:p w14:paraId="3092EC3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功能要求</w:t>
            </w:r>
          </w:p>
        </w:tc>
      </w:tr>
      <w:tr w14:paraId="38BB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restart"/>
            <w:shd w:val="clear" w:color="auto" w:fill="auto"/>
            <w:vAlign w:val="center"/>
          </w:tcPr>
          <w:p w14:paraId="43F1C74A">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color w:val="auto"/>
                <w:highlight w:val="none"/>
              </w:rPr>
              <w:t>运营指标数据仓库</w:t>
            </w:r>
          </w:p>
        </w:tc>
        <w:tc>
          <w:tcPr>
            <w:tcW w:w="7744" w:type="dxa"/>
            <w:shd w:val="clear" w:color="auto" w:fill="auto"/>
            <w:vAlign w:val="center"/>
          </w:tcPr>
          <w:p w14:paraId="43D34A21">
            <w:pPr>
              <w:adjustRightInd w:val="0"/>
              <w:snapToGrid w:val="0"/>
              <w:spacing w:line="360" w:lineRule="auto"/>
              <w:rPr>
                <w:rFonts w:hint="eastAsia" w:ascii="宋体" w:hAnsi="宋体" w:eastAsia="宋体"/>
                <w:b/>
                <w:color w:val="auto"/>
                <w:highlight w:val="none"/>
                <w:lang w:eastAsia="zh-CN"/>
              </w:rPr>
            </w:pPr>
            <w:r>
              <w:rPr>
                <w:rFonts w:hint="eastAsia" w:ascii="宋体" w:hAnsi="宋体" w:eastAsia="宋体"/>
                <w:color w:val="auto"/>
                <w:highlight w:val="none"/>
              </w:rPr>
              <w:t>提供统一的运营指标数据仓库，以提供指标持久化存储，基于指标的报表展现、汇总图表、分析能力均基于运营指标数据仓库</w:t>
            </w:r>
            <w:r>
              <w:rPr>
                <w:rFonts w:hint="eastAsia" w:ascii="宋体" w:hAnsi="宋体"/>
                <w:color w:val="auto"/>
                <w:highlight w:val="none"/>
                <w:lang w:eastAsia="zh-CN"/>
              </w:rPr>
              <w:t>。</w:t>
            </w:r>
          </w:p>
        </w:tc>
      </w:tr>
      <w:tr w14:paraId="5B20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continue"/>
            <w:shd w:val="clear" w:color="auto" w:fill="auto"/>
            <w:vAlign w:val="center"/>
          </w:tcPr>
          <w:p w14:paraId="41B6E788">
            <w:pPr>
              <w:adjustRightInd w:val="0"/>
              <w:snapToGrid w:val="0"/>
              <w:spacing w:line="360" w:lineRule="auto"/>
              <w:jc w:val="center"/>
              <w:rPr>
                <w:rFonts w:hint="eastAsia" w:ascii="宋体" w:hAnsi="宋体" w:eastAsia="宋体"/>
                <w:b/>
                <w:color w:val="auto"/>
                <w:highlight w:val="none"/>
              </w:rPr>
            </w:pPr>
          </w:p>
        </w:tc>
        <w:tc>
          <w:tcPr>
            <w:tcW w:w="7744" w:type="dxa"/>
            <w:shd w:val="clear" w:color="auto" w:fill="auto"/>
            <w:vAlign w:val="center"/>
          </w:tcPr>
          <w:p w14:paraId="5A4A187A">
            <w:pPr>
              <w:adjustRightInd w:val="0"/>
              <w:snapToGrid w:val="0"/>
              <w:spacing w:line="360" w:lineRule="auto"/>
              <w:rPr>
                <w:rFonts w:hint="eastAsia" w:ascii="宋体" w:hAnsi="宋体" w:eastAsia="宋体"/>
                <w:b/>
                <w:color w:val="auto"/>
                <w:highlight w:val="none"/>
                <w:lang w:eastAsia="zh-CN"/>
              </w:rPr>
            </w:pPr>
            <w:r>
              <w:rPr>
                <w:rFonts w:hint="eastAsia" w:ascii="宋体" w:hAnsi="宋体" w:eastAsia="宋体"/>
                <w:color w:val="auto"/>
                <w:highlight w:val="none"/>
              </w:rPr>
              <w:t>提供支撑指标统计数据的明细数据仓库</w:t>
            </w:r>
            <w:r>
              <w:rPr>
                <w:rFonts w:hint="eastAsia" w:ascii="宋体" w:hAnsi="宋体"/>
                <w:color w:val="auto"/>
                <w:highlight w:val="none"/>
                <w:lang w:eastAsia="zh-CN"/>
              </w:rPr>
              <w:t>。</w:t>
            </w:r>
          </w:p>
        </w:tc>
      </w:tr>
      <w:tr w14:paraId="6B4B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3F27F9D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指标管理</w:t>
            </w:r>
          </w:p>
        </w:tc>
        <w:tc>
          <w:tcPr>
            <w:tcW w:w="7744" w:type="dxa"/>
            <w:shd w:val="clear" w:color="auto" w:fill="auto"/>
            <w:vAlign w:val="center"/>
          </w:tcPr>
          <w:p w14:paraId="6DEB4F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针对医院关注对象建立指标，指标建立支持指标公式利用加、减、乘、除等算法计算合成指标，添加指标说明。支持指标建立、修改、删除基本功能；并可按照业务对指标建立多个目录，具备目录增删改基本功能。</w:t>
            </w:r>
          </w:p>
        </w:tc>
      </w:tr>
      <w:tr w14:paraId="7B9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6A8FB25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维度管理</w:t>
            </w:r>
          </w:p>
        </w:tc>
        <w:tc>
          <w:tcPr>
            <w:tcW w:w="7744" w:type="dxa"/>
            <w:shd w:val="clear" w:color="auto" w:fill="auto"/>
            <w:vAlign w:val="center"/>
          </w:tcPr>
          <w:p w14:paraId="2EF7206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可根据医院关注角度建立维度，对维度设置数据类型，选择字典名称。针对单一维度可新增或者引用其他维度方式以建立下钻维度。</w:t>
            </w:r>
          </w:p>
        </w:tc>
      </w:tr>
      <w:tr w14:paraId="0524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42" w:type="dxa"/>
            <w:vMerge w:val="restart"/>
            <w:shd w:val="clear" w:color="auto" w:fill="auto"/>
            <w:vAlign w:val="center"/>
          </w:tcPr>
          <w:p w14:paraId="1D0E83E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指标数据采集</w:t>
            </w:r>
          </w:p>
        </w:tc>
        <w:tc>
          <w:tcPr>
            <w:tcW w:w="7744" w:type="dxa"/>
            <w:shd w:val="clear" w:color="auto" w:fill="auto"/>
            <w:vAlign w:val="center"/>
          </w:tcPr>
          <w:p w14:paraId="430AEA4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提供指标数据的定时采集参数配置功能，支持批量配置，功能包括：数据源配置、采集模型配置、采集调度管理、错误日志查看等。</w:t>
            </w:r>
          </w:p>
        </w:tc>
      </w:tr>
      <w:tr w14:paraId="7B2B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42" w:type="dxa"/>
            <w:vMerge w:val="continue"/>
            <w:shd w:val="clear" w:color="auto" w:fill="auto"/>
            <w:vAlign w:val="center"/>
          </w:tcPr>
          <w:p w14:paraId="3B693386">
            <w:pPr>
              <w:adjustRightInd w:val="0"/>
              <w:snapToGrid w:val="0"/>
              <w:spacing w:line="360" w:lineRule="auto"/>
              <w:jc w:val="center"/>
              <w:rPr>
                <w:rFonts w:hint="eastAsia" w:ascii="宋体" w:hAnsi="宋体" w:eastAsia="宋体"/>
                <w:color w:val="auto"/>
                <w:highlight w:val="none"/>
              </w:rPr>
            </w:pPr>
          </w:p>
        </w:tc>
        <w:tc>
          <w:tcPr>
            <w:tcW w:w="7744" w:type="dxa"/>
            <w:shd w:val="clear" w:color="auto" w:fill="auto"/>
            <w:vAlign w:val="center"/>
          </w:tcPr>
          <w:p w14:paraId="0CABED5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日志保存，针对某区间指标，当发现问题时可快速定位到日志，并重新执行即可完成指标重采集。</w:t>
            </w:r>
          </w:p>
        </w:tc>
      </w:tr>
      <w:tr w14:paraId="3F72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20F43FB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数据二次核准与同步</w:t>
            </w:r>
          </w:p>
        </w:tc>
        <w:tc>
          <w:tcPr>
            <w:tcW w:w="7744" w:type="dxa"/>
            <w:shd w:val="clear" w:color="auto" w:fill="auto"/>
            <w:vAlign w:val="center"/>
          </w:tcPr>
          <w:p w14:paraId="05C53A4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支持数据仓库数据和源库（医院信息系统</w:t>
            </w:r>
            <w:r>
              <w:rPr>
                <w:rFonts w:ascii="宋体" w:hAnsi="宋体" w:eastAsia="宋体"/>
                <w:color w:val="auto"/>
                <w:highlight w:val="none"/>
              </w:rPr>
              <w:t>）数据结果随时校验核对，匹配不上的一键更新，数据</w:t>
            </w:r>
            <w:r>
              <w:rPr>
                <w:rFonts w:hint="eastAsia" w:ascii="宋体" w:hAnsi="宋体" w:eastAsia="宋体"/>
                <w:color w:val="auto"/>
                <w:highlight w:val="none"/>
              </w:rPr>
              <w:t>即可</w:t>
            </w:r>
            <w:r>
              <w:rPr>
                <w:rFonts w:ascii="宋体" w:hAnsi="宋体" w:eastAsia="宋体"/>
                <w:color w:val="auto"/>
                <w:highlight w:val="none"/>
              </w:rPr>
              <w:t>保持同步</w:t>
            </w:r>
            <w:r>
              <w:rPr>
                <w:rFonts w:hint="eastAsia" w:ascii="宋体" w:hAnsi="宋体" w:eastAsia="宋体"/>
                <w:color w:val="auto"/>
                <w:highlight w:val="none"/>
              </w:rPr>
              <w:t>。</w:t>
            </w:r>
          </w:p>
        </w:tc>
      </w:tr>
      <w:tr w14:paraId="2956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2BED954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指标权限管理</w:t>
            </w:r>
          </w:p>
        </w:tc>
        <w:tc>
          <w:tcPr>
            <w:tcW w:w="7744" w:type="dxa"/>
            <w:shd w:val="clear" w:color="auto" w:fill="auto"/>
            <w:vAlign w:val="center"/>
          </w:tcPr>
          <w:p w14:paraId="166E19E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支持针对运营指标可进行全院</w:t>
            </w:r>
            <w:r>
              <w:rPr>
                <w:rFonts w:ascii="宋体" w:hAnsi="宋体" w:eastAsia="宋体"/>
                <w:color w:val="auto"/>
                <w:highlight w:val="none"/>
              </w:rPr>
              <w:t>/科室/医生进行层级权限划分，不同人员的权限数据不同</w:t>
            </w:r>
            <w:r>
              <w:rPr>
                <w:rFonts w:hint="eastAsia" w:ascii="宋体" w:hAnsi="宋体" w:eastAsia="宋体"/>
                <w:color w:val="auto"/>
                <w:highlight w:val="none"/>
              </w:rPr>
              <w:t>。</w:t>
            </w:r>
          </w:p>
        </w:tc>
      </w:tr>
      <w:tr w14:paraId="1358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5D55ED7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指标数据导出</w:t>
            </w:r>
          </w:p>
        </w:tc>
        <w:tc>
          <w:tcPr>
            <w:tcW w:w="7744" w:type="dxa"/>
            <w:shd w:val="clear" w:color="auto" w:fill="auto"/>
            <w:vAlign w:val="center"/>
          </w:tcPr>
          <w:p w14:paraId="4019A91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提供每个院内指标逻辑后台保存，需要时可以一键导出，为院内后续数据追溯校验提供数据保障，减少后续不必要的工作量。</w:t>
            </w:r>
          </w:p>
        </w:tc>
      </w:tr>
      <w:tr w14:paraId="484E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restart"/>
            <w:shd w:val="clear" w:color="auto" w:fill="auto"/>
            <w:vAlign w:val="center"/>
          </w:tcPr>
          <w:p w14:paraId="5775E7C6">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指标数据服务</w:t>
            </w:r>
          </w:p>
        </w:tc>
        <w:tc>
          <w:tcPr>
            <w:tcW w:w="7744" w:type="dxa"/>
            <w:shd w:val="clear" w:color="auto" w:fill="auto"/>
            <w:vAlign w:val="center"/>
          </w:tcPr>
          <w:p w14:paraId="0F69F926">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提供指标数据的存储、获取服务；用于支撑基于指标仓库的综合分析系统。</w:t>
            </w:r>
          </w:p>
        </w:tc>
      </w:tr>
      <w:tr w14:paraId="5770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vMerge w:val="continue"/>
            <w:shd w:val="clear" w:color="auto" w:fill="auto"/>
            <w:vAlign w:val="center"/>
          </w:tcPr>
          <w:p w14:paraId="279AF6A8">
            <w:pPr>
              <w:adjustRightInd w:val="0"/>
              <w:snapToGrid w:val="0"/>
              <w:spacing w:line="360" w:lineRule="auto"/>
              <w:jc w:val="center"/>
              <w:rPr>
                <w:rFonts w:hint="eastAsia" w:ascii="宋体" w:hAnsi="宋体" w:eastAsia="宋体"/>
                <w:color w:val="auto"/>
                <w:highlight w:val="none"/>
              </w:rPr>
            </w:pPr>
          </w:p>
        </w:tc>
        <w:tc>
          <w:tcPr>
            <w:tcW w:w="7744" w:type="dxa"/>
            <w:shd w:val="clear" w:color="auto" w:fill="auto"/>
            <w:vAlign w:val="center"/>
          </w:tcPr>
          <w:p w14:paraId="73AC5F6C">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提供按条件、按权限的指标数据获取服务，用于提供给外部系统使用指标统计数据。</w:t>
            </w:r>
          </w:p>
        </w:tc>
      </w:tr>
      <w:tr w14:paraId="7DA0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71F130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指标预警</w:t>
            </w:r>
          </w:p>
        </w:tc>
        <w:tc>
          <w:tcPr>
            <w:tcW w:w="7744" w:type="dxa"/>
            <w:shd w:val="clear" w:color="auto" w:fill="auto"/>
            <w:vAlign w:val="center"/>
          </w:tcPr>
          <w:p w14:paraId="133E128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可为指标设置目标值（最小或最大），超过目标值后会有相应的指标提示（如颜色或大小区分）。</w:t>
            </w:r>
          </w:p>
        </w:tc>
      </w:tr>
      <w:tr w14:paraId="6AD7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3B86A0F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手工补录</w:t>
            </w:r>
          </w:p>
        </w:tc>
        <w:tc>
          <w:tcPr>
            <w:tcW w:w="7744" w:type="dxa"/>
            <w:shd w:val="clear" w:color="auto" w:fill="auto"/>
            <w:vAlign w:val="center"/>
          </w:tcPr>
          <w:p w14:paraId="1DF9EAA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对于无数据来源数据指标，提供用户手工补录界面，方便进行手工指标的补录，补录后的数据，可提供后续的所有数据应用。</w:t>
            </w:r>
          </w:p>
        </w:tc>
      </w:tr>
      <w:tr w14:paraId="2421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14:paraId="619A76E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其他数据来源指标采集</w:t>
            </w:r>
          </w:p>
        </w:tc>
        <w:tc>
          <w:tcPr>
            <w:tcW w:w="7744" w:type="dxa"/>
            <w:shd w:val="clear" w:color="auto" w:fill="auto"/>
            <w:vAlign w:val="center"/>
          </w:tcPr>
          <w:p w14:paraId="01733DE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对于并未采集到O</w:t>
            </w:r>
            <w:r>
              <w:rPr>
                <w:rFonts w:ascii="宋体" w:hAnsi="宋体" w:eastAsia="宋体"/>
                <w:color w:val="auto"/>
                <w:highlight w:val="none"/>
              </w:rPr>
              <w:t>DS</w:t>
            </w:r>
            <w:r>
              <w:rPr>
                <w:rFonts w:hint="eastAsia" w:ascii="宋体" w:hAnsi="宋体" w:eastAsia="宋体"/>
                <w:color w:val="auto"/>
                <w:highlight w:val="none"/>
              </w:rPr>
              <w:t>的指标数据，当确实无需经过O</w:t>
            </w:r>
            <w:r>
              <w:rPr>
                <w:rFonts w:ascii="宋体" w:hAnsi="宋体" w:eastAsia="宋体"/>
                <w:color w:val="auto"/>
                <w:highlight w:val="none"/>
              </w:rPr>
              <w:t>DS</w:t>
            </w:r>
            <w:r>
              <w:rPr>
                <w:rFonts w:hint="eastAsia" w:ascii="宋体" w:hAnsi="宋体" w:eastAsia="宋体"/>
                <w:color w:val="auto"/>
                <w:highlight w:val="none"/>
              </w:rPr>
              <w:t>进行处理时，可独立设置数据来源（</w:t>
            </w:r>
            <w:r>
              <w:rPr>
                <w:rFonts w:ascii="宋体" w:hAnsi="宋体" w:eastAsia="宋体"/>
                <w:color w:val="auto"/>
                <w:highlight w:val="none"/>
              </w:rPr>
              <w:t>Oracle、Sqlserver），</w:t>
            </w:r>
            <w:r>
              <w:rPr>
                <w:rFonts w:hint="eastAsia" w:ascii="宋体" w:hAnsi="宋体" w:eastAsia="宋体"/>
                <w:color w:val="auto"/>
                <w:highlight w:val="none"/>
              </w:rPr>
              <w:t>其他数据来源指标的指标进行数据采集。</w:t>
            </w:r>
          </w:p>
        </w:tc>
      </w:tr>
    </w:tbl>
    <w:p w14:paraId="325E7CFB">
      <w:pPr>
        <w:spacing w:line="360" w:lineRule="auto"/>
        <w:rPr>
          <w:rFonts w:hint="eastAsia" w:ascii="宋体" w:hAnsi="宋体" w:eastAsia="宋体"/>
          <w:color w:val="auto"/>
          <w:highlight w:val="none"/>
        </w:rPr>
      </w:pPr>
    </w:p>
    <w:p w14:paraId="0A4F1B67">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患者360全息视图</w:t>
      </w:r>
    </w:p>
    <w:tbl>
      <w:tblPr>
        <w:tblStyle w:val="63"/>
        <w:tblW w:w="0" w:type="auto"/>
        <w:tblInd w:w="0" w:type="dxa"/>
        <w:tblLayout w:type="fixed"/>
        <w:tblCellMar>
          <w:top w:w="0" w:type="dxa"/>
          <w:left w:w="108" w:type="dxa"/>
          <w:bottom w:w="0" w:type="dxa"/>
          <w:right w:w="108" w:type="dxa"/>
        </w:tblCellMar>
      </w:tblPr>
      <w:tblGrid>
        <w:gridCol w:w="1542"/>
        <w:gridCol w:w="7744"/>
      </w:tblGrid>
      <w:tr w14:paraId="2D8CC70B">
        <w:tblPrEx>
          <w:tblCellMar>
            <w:top w:w="0" w:type="dxa"/>
            <w:left w:w="108" w:type="dxa"/>
            <w:bottom w:w="0" w:type="dxa"/>
            <w:right w:w="108" w:type="dxa"/>
          </w:tblCellMar>
        </w:tblPrEx>
        <w:trPr>
          <w:trHeight w:val="90" w:hRule="atLeast"/>
        </w:trPr>
        <w:tc>
          <w:tcPr>
            <w:tcW w:w="1542" w:type="dxa"/>
            <w:tcBorders>
              <w:top w:val="single" w:color="auto" w:sz="4" w:space="0"/>
              <w:left w:val="single" w:color="auto" w:sz="4" w:space="0"/>
              <w:bottom w:val="single" w:color="auto" w:sz="4" w:space="0"/>
              <w:right w:val="single" w:color="auto" w:sz="4" w:space="0"/>
            </w:tcBorders>
            <w:vAlign w:val="center"/>
          </w:tcPr>
          <w:p w14:paraId="37FEC071">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744" w:type="dxa"/>
            <w:tcBorders>
              <w:top w:val="single" w:color="auto" w:sz="4" w:space="0"/>
              <w:left w:val="nil"/>
              <w:bottom w:val="single" w:color="auto" w:sz="4" w:space="0"/>
              <w:right w:val="single" w:color="auto" w:sz="4" w:space="0"/>
            </w:tcBorders>
            <w:noWrap/>
            <w:vAlign w:val="center"/>
          </w:tcPr>
          <w:p w14:paraId="2097E73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36981793">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44ABFD3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视图切换</w:t>
            </w:r>
          </w:p>
        </w:tc>
        <w:tc>
          <w:tcPr>
            <w:tcW w:w="7744" w:type="dxa"/>
            <w:tcBorders>
              <w:top w:val="nil"/>
              <w:left w:val="nil"/>
              <w:bottom w:val="single" w:color="auto" w:sz="4" w:space="0"/>
              <w:right w:val="single" w:color="auto" w:sz="4" w:space="0"/>
            </w:tcBorders>
            <w:noWrap/>
            <w:vAlign w:val="center"/>
          </w:tcPr>
          <w:p w14:paraId="6D7FEBA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能够通过点击综合视图、就诊履历、专科视图切换可进入相应的功能模块，以不同的角度查看病人的就诊信息。</w:t>
            </w:r>
          </w:p>
        </w:tc>
      </w:tr>
      <w:tr w14:paraId="0600D37C">
        <w:tblPrEx>
          <w:tblCellMar>
            <w:top w:w="0" w:type="dxa"/>
            <w:left w:w="108" w:type="dxa"/>
            <w:bottom w:w="0" w:type="dxa"/>
            <w:right w:w="108" w:type="dxa"/>
          </w:tblCellMar>
        </w:tblPrEx>
        <w:trPr>
          <w:trHeight w:val="458" w:hRule="atLeast"/>
        </w:trPr>
        <w:tc>
          <w:tcPr>
            <w:tcW w:w="1542" w:type="dxa"/>
            <w:tcBorders>
              <w:top w:val="nil"/>
              <w:left w:val="single" w:color="auto" w:sz="4" w:space="0"/>
              <w:bottom w:val="single" w:color="auto" w:sz="4" w:space="0"/>
              <w:right w:val="single" w:color="auto" w:sz="4" w:space="0"/>
            </w:tcBorders>
            <w:vAlign w:val="center"/>
          </w:tcPr>
          <w:p w14:paraId="40D0E2A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综合视图</w:t>
            </w:r>
          </w:p>
        </w:tc>
        <w:tc>
          <w:tcPr>
            <w:tcW w:w="7744" w:type="dxa"/>
            <w:tcBorders>
              <w:top w:val="nil"/>
              <w:left w:val="nil"/>
              <w:bottom w:val="single" w:color="auto" w:sz="4" w:space="0"/>
              <w:right w:val="single" w:color="auto" w:sz="4" w:space="0"/>
            </w:tcBorders>
            <w:noWrap/>
            <w:vAlign w:val="center"/>
          </w:tcPr>
          <w:p w14:paraId="6656FCE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支持以就诊、诊断、检验、检查、手麻、医嘱、处方、病历文书、护理记录、体温单、执行记录、费用等临床分类角度，展示患者各项临床数据。（提供系统功能截图）</w:t>
            </w:r>
          </w:p>
          <w:p w14:paraId="65E5881A">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并在首页提供当前患者总结性信息。</w:t>
            </w:r>
          </w:p>
        </w:tc>
      </w:tr>
      <w:tr w14:paraId="732C046F">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4C6FB59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专科视图</w:t>
            </w:r>
          </w:p>
        </w:tc>
        <w:tc>
          <w:tcPr>
            <w:tcW w:w="7744" w:type="dxa"/>
            <w:tcBorders>
              <w:top w:val="nil"/>
              <w:left w:val="nil"/>
              <w:bottom w:val="single" w:color="auto" w:sz="4" w:space="0"/>
              <w:right w:val="single" w:color="auto" w:sz="4" w:space="0"/>
            </w:tcBorders>
            <w:noWrap/>
            <w:vAlign w:val="center"/>
          </w:tcPr>
          <w:p w14:paraId="45DC689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提供展示页面，根据用户(医生、护士、检验科医师等)对在院患者的信息关注点不同，在一个页面以个性化的方式展现患者的信息。从而更有效的帮助医护人员掌握患者信息。</w:t>
            </w:r>
          </w:p>
          <w:p w14:paraId="514B398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能根据不同类型的患者要展现的内容进行设置。</w:t>
            </w:r>
          </w:p>
        </w:tc>
      </w:tr>
      <w:tr w14:paraId="0F6633D3">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3FE1596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检查报告</w:t>
            </w:r>
          </w:p>
        </w:tc>
        <w:tc>
          <w:tcPr>
            <w:tcW w:w="7744" w:type="dxa"/>
            <w:tcBorders>
              <w:top w:val="nil"/>
              <w:left w:val="nil"/>
              <w:bottom w:val="single" w:color="auto" w:sz="4" w:space="0"/>
              <w:right w:val="single" w:color="auto" w:sz="4" w:space="0"/>
            </w:tcBorders>
            <w:noWrap/>
            <w:vAlign w:val="center"/>
          </w:tcPr>
          <w:p w14:paraId="079D2F1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需提供具体报告影像的跳转链接；异常报告需要突出显示；</w:t>
            </w:r>
          </w:p>
          <w:p w14:paraId="4D7080CF">
            <w:pPr>
              <w:adjustRightInd w:val="0"/>
              <w:snapToGrid w:val="0"/>
              <w:spacing w:line="360" w:lineRule="auto"/>
              <w:rPr>
                <w:rFonts w:hint="eastAsia" w:ascii="宋体" w:hAnsi="宋体" w:eastAsia="宋体"/>
                <w:color w:val="auto"/>
                <w:highlight w:val="none"/>
                <w:lang w:eastAsia="zh-CN"/>
              </w:rPr>
            </w:pPr>
            <w:r>
              <w:rPr>
                <w:rFonts w:hint="eastAsia" w:ascii="宋体" w:hAnsi="宋体" w:eastAsia="宋体"/>
                <w:color w:val="auto"/>
                <w:highlight w:val="none"/>
              </w:rPr>
              <w:t>当前报告对应闭环进程可以直接查看；提供历次同种报告的对比分析</w:t>
            </w:r>
            <w:r>
              <w:rPr>
                <w:rFonts w:hint="eastAsia" w:ascii="宋体" w:hAnsi="宋体"/>
                <w:color w:val="auto"/>
                <w:highlight w:val="none"/>
                <w:lang w:eastAsia="zh-CN"/>
              </w:rPr>
              <w:t>。</w:t>
            </w:r>
          </w:p>
        </w:tc>
      </w:tr>
      <w:tr w14:paraId="4A7FE9C0">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62E1BCC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检验报告</w:t>
            </w:r>
          </w:p>
        </w:tc>
        <w:tc>
          <w:tcPr>
            <w:tcW w:w="7744" w:type="dxa"/>
            <w:tcBorders>
              <w:top w:val="nil"/>
              <w:left w:val="nil"/>
              <w:bottom w:val="single" w:color="auto" w:sz="4" w:space="0"/>
              <w:right w:val="single" w:color="auto" w:sz="4" w:space="0"/>
            </w:tcBorders>
            <w:noWrap/>
            <w:vAlign w:val="center"/>
          </w:tcPr>
          <w:p w14:paraId="2E8D39B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异常报告需要突出显示；当前报告对应闭环进程可以直接查看；</w:t>
            </w:r>
          </w:p>
          <w:p w14:paraId="38F6F0B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提供历次数值类型检验结果明细的对比分析；</w:t>
            </w:r>
          </w:p>
          <w:p w14:paraId="01229E97">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包含微生物、血培养等特殊检验的展现。</w:t>
            </w:r>
          </w:p>
        </w:tc>
      </w:tr>
      <w:tr w14:paraId="7B564F04">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5EE0CFBC">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综合首页</w:t>
            </w:r>
          </w:p>
        </w:tc>
        <w:tc>
          <w:tcPr>
            <w:tcW w:w="7744" w:type="dxa"/>
            <w:tcBorders>
              <w:top w:val="nil"/>
              <w:left w:val="nil"/>
              <w:bottom w:val="single" w:color="auto" w:sz="4" w:space="0"/>
              <w:right w:val="single" w:color="auto" w:sz="4" w:space="0"/>
            </w:tcBorders>
            <w:noWrap/>
            <w:vAlign w:val="center"/>
          </w:tcPr>
          <w:p w14:paraId="603CB66A">
            <w:pPr>
              <w:pStyle w:val="59"/>
              <w:spacing w:before="0" w:beforeAutospacing="0" w:after="0" w:afterAutospacing="0" w:line="360" w:lineRule="auto"/>
              <w:rPr>
                <w:rFonts w:hint="eastAsia" w:ascii="宋体" w:hAnsi="宋体" w:eastAsia="宋体"/>
                <w:color w:val="auto"/>
                <w:highlight w:val="none"/>
              </w:rPr>
            </w:pPr>
            <w:r>
              <w:rPr>
                <w:rFonts w:hint="eastAsia" w:ascii="宋体" w:hAnsi="宋体" w:eastAsia="宋体" w:cs="Times New Roman"/>
                <w:color w:val="auto"/>
                <w:kern w:val="2"/>
                <w:sz w:val="21"/>
                <w:szCs w:val="24"/>
                <w:highlight w:val="none"/>
                <w:lang w:val="en-US" w:eastAsia="zh-CN" w:bidi="ar-SA"/>
              </w:rPr>
              <w:t>需要体现患者的所有就诊过程中，根据预设的项目重要性权重*项目发生时间计算排序，包括手术记录（手术并发症、植入物、手术名称）、特殊药物（精毒麻+抗生素）、危急值、异常检验指标和过敏源的内容的展现。高频检查、检验的展示；历次主要手术情况的展示；异常检验检查的展示。</w:t>
            </w:r>
          </w:p>
        </w:tc>
      </w:tr>
      <w:tr w14:paraId="00514717">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336C613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病历文书</w:t>
            </w:r>
          </w:p>
        </w:tc>
        <w:tc>
          <w:tcPr>
            <w:tcW w:w="7744" w:type="dxa"/>
            <w:tcBorders>
              <w:top w:val="nil"/>
              <w:left w:val="nil"/>
              <w:bottom w:val="single" w:color="auto" w:sz="4" w:space="0"/>
              <w:right w:val="single" w:color="auto" w:sz="4" w:space="0"/>
            </w:tcBorders>
            <w:noWrap/>
            <w:vAlign w:val="center"/>
          </w:tcPr>
          <w:p w14:paraId="3B279F7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能够提供非结构化病历文书的展现，报告图片、html等形式；</w:t>
            </w:r>
          </w:p>
          <w:p w14:paraId="01C790D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数据范围包含所有电子化存储的病历；支持病历打印功能。</w:t>
            </w:r>
          </w:p>
        </w:tc>
      </w:tr>
      <w:tr w14:paraId="22E2CA7F">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71257A0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医嘱信息</w:t>
            </w:r>
          </w:p>
        </w:tc>
        <w:tc>
          <w:tcPr>
            <w:tcW w:w="7744" w:type="dxa"/>
            <w:tcBorders>
              <w:top w:val="nil"/>
              <w:left w:val="nil"/>
              <w:bottom w:val="single" w:color="auto" w:sz="4" w:space="0"/>
              <w:right w:val="single" w:color="auto" w:sz="4" w:space="0"/>
            </w:tcBorders>
            <w:noWrap/>
            <w:vAlign w:val="center"/>
          </w:tcPr>
          <w:p w14:paraId="760F4ED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需体现长期/临时、成组关系、医嘱状态、医嘱类型、母婴情况等；</w:t>
            </w:r>
          </w:p>
          <w:p w14:paraId="68605333">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对参与闭环管理的医嘱进行闭环查看跳转；可以查看医嘱执行情况；</w:t>
            </w:r>
          </w:p>
          <w:p w14:paraId="4C514F4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对精毒麻用药进行重点标注。</w:t>
            </w:r>
          </w:p>
        </w:tc>
      </w:tr>
      <w:tr w14:paraId="26263F8E">
        <w:tblPrEx>
          <w:tblCellMar>
            <w:top w:w="0" w:type="dxa"/>
            <w:left w:w="108" w:type="dxa"/>
            <w:bottom w:w="0" w:type="dxa"/>
            <w:right w:w="108" w:type="dxa"/>
          </w:tblCellMar>
        </w:tblPrEx>
        <w:tc>
          <w:tcPr>
            <w:tcW w:w="1542" w:type="dxa"/>
            <w:tcBorders>
              <w:top w:val="nil"/>
              <w:left w:val="single" w:color="auto" w:sz="4" w:space="0"/>
              <w:bottom w:val="single" w:color="auto" w:sz="4" w:space="0"/>
              <w:right w:val="single" w:color="auto" w:sz="4" w:space="0"/>
            </w:tcBorders>
            <w:vAlign w:val="center"/>
          </w:tcPr>
          <w:p w14:paraId="092F0D6A">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权限管理</w:t>
            </w:r>
          </w:p>
        </w:tc>
        <w:tc>
          <w:tcPr>
            <w:tcW w:w="7744" w:type="dxa"/>
            <w:tcBorders>
              <w:top w:val="nil"/>
              <w:left w:val="nil"/>
              <w:bottom w:val="single" w:color="auto" w:sz="4" w:space="0"/>
              <w:right w:val="single" w:color="auto" w:sz="4" w:space="0"/>
            </w:tcBorders>
            <w:noWrap/>
            <w:vAlign w:val="center"/>
          </w:tcPr>
          <w:p w14:paraId="310007B8">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可设置不同角色，针对不同用户的需求，将角色设置不同的查看权限。</w:t>
            </w:r>
          </w:p>
        </w:tc>
      </w:tr>
    </w:tbl>
    <w:p w14:paraId="44C34D1D">
      <w:pPr>
        <w:spacing w:line="360" w:lineRule="auto"/>
        <w:rPr>
          <w:rFonts w:hint="eastAsia" w:ascii="宋体" w:hAnsi="宋体" w:eastAsia="宋体"/>
          <w:color w:val="auto"/>
          <w:highlight w:val="none"/>
        </w:rPr>
      </w:pPr>
    </w:p>
    <w:p w14:paraId="6136F221">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闭环流程追溯管理系统</w:t>
      </w:r>
    </w:p>
    <w:tbl>
      <w:tblPr>
        <w:tblStyle w:val="63"/>
        <w:tblW w:w="0" w:type="auto"/>
        <w:tblInd w:w="0" w:type="dxa"/>
        <w:tblLayout w:type="fixed"/>
        <w:tblCellMar>
          <w:top w:w="0" w:type="dxa"/>
          <w:left w:w="108" w:type="dxa"/>
          <w:bottom w:w="0" w:type="dxa"/>
          <w:right w:w="108" w:type="dxa"/>
        </w:tblCellMar>
      </w:tblPr>
      <w:tblGrid>
        <w:gridCol w:w="1554"/>
        <w:gridCol w:w="7732"/>
      </w:tblGrid>
      <w:tr w14:paraId="343566CE">
        <w:tblPrEx>
          <w:tblCellMar>
            <w:top w:w="0" w:type="dxa"/>
            <w:left w:w="108" w:type="dxa"/>
            <w:bottom w:w="0" w:type="dxa"/>
            <w:right w:w="108" w:type="dxa"/>
          </w:tblCellMar>
        </w:tblPrEx>
        <w:trPr>
          <w:trHeight w:val="90" w:hRule="atLeast"/>
        </w:trPr>
        <w:tc>
          <w:tcPr>
            <w:tcW w:w="1554" w:type="dxa"/>
            <w:tcBorders>
              <w:top w:val="single" w:color="auto" w:sz="4" w:space="0"/>
              <w:left w:val="single" w:color="auto" w:sz="4" w:space="0"/>
              <w:bottom w:val="single" w:color="auto" w:sz="4" w:space="0"/>
              <w:right w:val="single" w:color="auto" w:sz="4" w:space="0"/>
            </w:tcBorders>
            <w:vAlign w:val="center"/>
          </w:tcPr>
          <w:p w14:paraId="243A265E">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功能列表</w:t>
            </w:r>
          </w:p>
        </w:tc>
        <w:tc>
          <w:tcPr>
            <w:tcW w:w="7732" w:type="dxa"/>
            <w:tcBorders>
              <w:top w:val="single" w:color="auto" w:sz="4" w:space="0"/>
              <w:left w:val="nil"/>
              <w:bottom w:val="single" w:color="auto" w:sz="4" w:space="0"/>
              <w:right w:val="single" w:color="auto" w:sz="4" w:space="0"/>
            </w:tcBorders>
            <w:noWrap/>
            <w:vAlign w:val="center"/>
          </w:tcPr>
          <w:p w14:paraId="2E0FFF9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73E260B9">
        <w:tblPrEx>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vAlign w:val="center"/>
          </w:tcPr>
          <w:p w14:paraId="44AC75C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节点管理</w:t>
            </w:r>
          </w:p>
        </w:tc>
        <w:tc>
          <w:tcPr>
            <w:tcW w:w="7732" w:type="dxa"/>
            <w:tcBorders>
              <w:top w:val="single" w:color="auto" w:sz="4" w:space="0"/>
              <w:left w:val="single" w:color="auto" w:sz="4" w:space="0"/>
              <w:bottom w:val="single" w:color="auto" w:sz="4" w:space="0"/>
              <w:right w:val="single" w:color="auto" w:sz="4" w:space="0"/>
            </w:tcBorders>
            <w:noWrap/>
            <w:vAlign w:val="center"/>
          </w:tcPr>
          <w:p w14:paraId="3B127D7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提供动态维护节点功能，可根据具体的节点事件新增修改。</w:t>
            </w:r>
          </w:p>
        </w:tc>
      </w:tr>
      <w:tr w14:paraId="6F29C06E">
        <w:tblPrEx>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vAlign w:val="center"/>
          </w:tcPr>
          <w:p w14:paraId="49308FC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流程管理</w:t>
            </w:r>
          </w:p>
        </w:tc>
        <w:tc>
          <w:tcPr>
            <w:tcW w:w="7732" w:type="dxa"/>
            <w:tcBorders>
              <w:top w:val="single" w:color="auto" w:sz="4" w:space="0"/>
              <w:left w:val="single" w:color="auto" w:sz="4" w:space="0"/>
              <w:bottom w:val="single" w:color="auto" w:sz="4" w:space="0"/>
              <w:right w:val="single" w:color="auto" w:sz="4" w:space="0"/>
            </w:tcBorders>
            <w:noWrap/>
            <w:vAlign w:val="center"/>
          </w:tcPr>
          <w:p w14:paraId="3E01A90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可以对节点执行顺序的进行设置；可以设定节点触发条件。</w:t>
            </w:r>
          </w:p>
        </w:tc>
      </w:tr>
      <w:tr w14:paraId="4EB53E5F">
        <w:tblPrEx>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vAlign w:val="center"/>
          </w:tcPr>
          <w:p w14:paraId="643C817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闭环展现</w:t>
            </w:r>
          </w:p>
        </w:tc>
        <w:tc>
          <w:tcPr>
            <w:tcW w:w="7732" w:type="dxa"/>
            <w:tcBorders>
              <w:top w:val="single" w:color="auto" w:sz="4" w:space="0"/>
              <w:left w:val="single" w:color="auto" w:sz="4" w:space="0"/>
              <w:bottom w:val="single" w:color="auto" w:sz="4" w:space="0"/>
              <w:right w:val="single" w:color="auto" w:sz="4" w:space="0"/>
            </w:tcBorders>
            <w:noWrap/>
            <w:vAlign w:val="center"/>
          </w:tcPr>
          <w:p w14:paraId="6F896031">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要求提供按照患者一次就诊查询所有相关闭环；要求提供单次闭环情况展示页面。</w:t>
            </w:r>
          </w:p>
        </w:tc>
      </w:tr>
    </w:tbl>
    <w:p w14:paraId="5FD367E9">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元数据管理系统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7FC3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2500668C">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655D9C6A">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4190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restart"/>
            <w:shd w:val="clear" w:color="auto" w:fill="auto"/>
            <w:noWrap/>
            <w:vAlign w:val="center"/>
          </w:tcPr>
          <w:p w14:paraId="3FFF0227">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元数据管理</w:t>
            </w:r>
          </w:p>
        </w:tc>
        <w:tc>
          <w:tcPr>
            <w:tcW w:w="7744" w:type="dxa"/>
            <w:shd w:val="clear" w:color="auto" w:fill="auto"/>
            <w:noWrap/>
            <w:vAlign w:val="center"/>
          </w:tcPr>
          <w:p w14:paraId="3529A19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具备国家标准数据元和值域具备结构化管理维护的功能。</w:t>
            </w:r>
          </w:p>
        </w:tc>
      </w:tr>
      <w:tr w14:paraId="4EAF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vMerge w:val="continue"/>
            <w:shd w:val="clear" w:color="auto" w:fill="auto"/>
            <w:vAlign w:val="center"/>
          </w:tcPr>
          <w:p w14:paraId="6238E1A8">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461ADAEA">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针对标准数据元和标准值域具备自定义映射功能。</w:t>
            </w:r>
          </w:p>
        </w:tc>
      </w:tr>
      <w:tr w14:paraId="7AFA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vMerge w:val="continue"/>
            <w:shd w:val="clear" w:color="auto" w:fill="auto"/>
            <w:vAlign w:val="center"/>
          </w:tcPr>
          <w:p w14:paraId="3305C725">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5CB2AA5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针对院内数据元和值域具备结构化管理和维护功能。</w:t>
            </w:r>
          </w:p>
        </w:tc>
      </w:tr>
      <w:tr w14:paraId="7E28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36069843">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元数据对照</w:t>
            </w:r>
          </w:p>
        </w:tc>
        <w:tc>
          <w:tcPr>
            <w:tcW w:w="7744" w:type="dxa"/>
            <w:shd w:val="clear" w:color="auto" w:fill="auto"/>
            <w:noWrap/>
            <w:vAlign w:val="center"/>
          </w:tcPr>
          <w:p w14:paraId="6EC74737">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针对不同数据元和值域具备对照功能，并可提供第三方服务应用。</w:t>
            </w:r>
          </w:p>
        </w:tc>
      </w:tr>
      <w:tr w14:paraId="271B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6ABE6E8D">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元数据审批</w:t>
            </w:r>
          </w:p>
        </w:tc>
        <w:tc>
          <w:tcPr>
            <w:tcW w:w="7744" w:type="dxa"/>
            <w:shd w:val="clear" w:color="auto" w:fill="auto"/>
            <w:noWrap/>
            <w:vAlign w:val="center"/>
          </w:tcPr>
          <w:p w14:paraId="44DF74C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针对元数据涉及的基础数据具备权限维护和审批功能。</w:t>
            </w:r>
          </w:p>
        </w:tc>
      </w:tr>
      <w:tr w14:paraId="0424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restart"/>
            <w:shd w:val="clear" w:color="auto" w:fill="auto"/>
            <w:noWrap/>
            <w:vAlign w:val="center"/>
          </w:tcPr>
          <w:p w14:paraId="2F413CA7">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元数据服务</w:t>
            </w:r>
          </w:p>
        </w:tc>
        <w:tc>
          <w:tcPr>
            <w:tcW w:w="7744" w:type="dxa"/>
            <w:shd w:val="clear" w:color="auto" w:fill="auto"/>
            <w:noWrap/>
            <w:vAlign w:val="center"/>
          </w:tcPr>
          <w:p w14:paraId="3B5ECDA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平台中数据元可再数据标准化治理、互联互通测评、电子病历测评等国内外标准中起到支撑数据作用。</w:t>
            </w:r>
          </w:p>
        </w:tc>
      </w:tr>
      <w:tr w14:paraId="71A2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vMerge w:val="continue"/>
            <w:shd w:val="clear" w:color="auto" w:fill="auto"/>
            <w:vAlign w:val="center"/>
          </w:tcPr>
          <w:p w14:paraId="3608F7F4">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53F6C4A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标准化数据元可被国家标准数据集和共享文档的结构化原子项目使用。</w:t>
            </w:r>
          </w:p>
        </w:tc>
      </w:tr>
    </w:tbl>
    <w:p w14:paraId="76B1B6F8">
      <w:pPr>
        <w:spacing w:line="360" w:lineRule="auto"/>
        <w:rPr>
          <w:rFonts w:hint="eastAsia" w:ascii="宋体" w:hAnsi="宋体" w:eastAsia="宋体"/>
          <w:color w:val="auto"/>
          <w:highlight w:val="none"/>
        </w:rPr>
      </w:pPr>
    </w:p>
    <w:p w14:paraId="243EE80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主索引管理系统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5E8A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1AE79F53">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4ACA985E">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278A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restart"/>
            <w:shd w:val="clear" w:color="auto" w:fill="auto"/>
            <w:noWrap/>
            <w:vAlign w:val="center"/>
          </w:tcPr>
          <w:p w14:paraId="354B51BF">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主索引规则</w:t>
            </w:r>
          </w:p>
        </w:tc>
        <w:tc>
          <w:tcPr>
            <w:tcW w:w="7744" w:type="dxa"/>
            <w:shd w:val="clear" w:color="auto" w:fill="auto"/>
            <w:noWrap/>
            <w:vAlign w:val="center"/>
          </w:tcPr>
          <w:p w14:paraId="30022BA3">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主索引管理需要具备不同患者的匹配识别功能，至少应有精确匹配和模糊匹配多种患者身份识别算法规则。</w:t>
            </w:r>
          </w:p>
        </w:tc>
      </w:tr>
      <w:tr w14:paraId="73B1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vMerge w:val="continue"/>
            <w:shd w:val="clear" w:color="auto" w:fill="auto"/>
            <w:vAlign w:val="center"/>
          </w:tcPr>
          <w:p w14:paraId="6065410B">
            <w:pPr>
              <w:spacing w:line="360" w:lineRule="auto"/>
              <w:jc w:val="center"/>
              <w:rPr>
                <w:rFonts w:hint="eastAsia" w:ascii="宋体" w:hAnsi="宋体" w:eastAsia="宋体"/>
                <w:color w:val="auto"/>
                <w:highlight w:val="none"/>
              </w:rPr>
            </w:pPr>
          </w:p>
        </w:tc>
        <w:tc>
          <w:tcPr>
            <w:tcW w:w="7744" w:type="dxa"/>
            <w:shd w:val="clear" w:color="auto" w:fill="auto"/>
            <w:noWrap/>
            <w:vAlign w:val="center"/>
          </w:tcPr>
          <w:p w14:paraId="38BEF468">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精确匹配算法可维护多种唯一识别标识供系统自动匹配。</w:t>
            </w:r>
          </w:p>
        </w:tc>
      </w:tr>
      <w:tr w14:paraId="284E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continue"/>
            <w:shd w:val="clear" w:color="auto" w:fill="auto"/>
            <w:vAlign w:val="center"/>
          </w:tcPr>
          <w:p w14:paraId="7982D7FD">
            <w:pPr>
              <w:spacing w:line="360" w:lineRule="auto"/>
              <w:jc w:val="center"/>
              <w:rPr>
                <w:rFonts w:hint="eastAsia" w:ascii="宋体" w:hAnsi="宋体" w:eastAsia="宋体"/>
                <w:color w:val="auto"/>
                <w:highlight w:val="none"/>
              </w:rPr>
            </w:pPr>
          </w:p>
        </w:tc>
        <w:tc>
          <w:tcPr>
            <w:tcW w:w="7744" w:type="dxa"/>
            <w:shd w:val="clear" w:color="auto" w:fill="auto"/>
            <w:noWrap/>
            <w:vAlign w:val="center"/>
          </w:tcPr>
          <w:p w14:paraId="1C9487AB">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模糊匹配算法可联合使用多种患者身份项目（例如：姓名、地址、联系方式、联系人）等进行模糊匹配。</w:t>
            </w:r>
          </w:p>
        </w:tc>
      </w:tr>
      <w:tr w14:paraId="37B5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7DD50484">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主索引合并</w:t>
            </w:r>
          </w:p>
        </w:tc>
        <w:tc>
          <w:tcPr>
            <w:tcW w:w="7744" w:type="dxa"/>
            <w:shd w:val="clear" w:color="auto" w:fill="auto"/>
            <w:noWrap/>
            <w:vAlign w:val="center"/>
          </w:tcPr>
          <w:p w14:paraId="1A2DE57C">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（提供系统功能截图）可提供自动或手动的患者合并功能。</w:t>
            </w:r>
          </w:p>
        </w:tc>
      </w:tr>
      <w:tr w14:paraId="11B8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42" w:type="dxa"/>
            <w:vMerge w:val="restart"/>
            <w:shd w:val="clear" w:color="auto" w:fill="auto"/>
            <w:noWrap/>
            <w:vAlign w:val="center"/>
          </w:tcPr>
          <w:p w14:paraId="785B7934">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主索引管理</w:t>
            </w:r>
          </w:p>
        </w:tc>
        <w:tc>
          <w:tcPr>
            <w:tcW w:w="7744" w:type="dxa"/>
            <w:shd w:val="clear" w:color="auto" w:fill="auto"/>
            <w:noWrap/>
            <w:vAlign w:val="center"/>
          </w:tcPr>
          <w:p w14:paraId="2E0D84F8">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主索引注册内容可提供业务系统对接，实时产生主索引新数据。</w:t>
            </w:r>
          </w:p>
        </w:tc>
      </w:tr>
      <w:tr w14:paraId="7CB1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vMerge w:val="continue"/>
            <w:shd w:val="clear" w:color="auto" w:fill="auto"/>
            <w:vAlign w:val="center"/>
          </w:tcPr>
          <w:p w14:paraId="075FEE7E">
            <w:pPr>
              <w:spacing w:line="360" w:lineRule="auto"/>
              <w:jc w:val="both"/>
              <w:rPr>
                <w:rFonts w:hint="eastAsia" w:ascii="宋体" w:hAnsi="宋体" w:eastAsia="宋体"/>
                <w:color w:val="auto"/>
                <w:highlight w:val="none"/>
              </w:rPr>
            </w:pPr>
          </w:p>
        </w:tc>
        <w:tc>
          <w:tcPr>
            <w:tcW w:w="7744" w:type="dxa"/>
            <w:shd w:val="clear" w:color="auto" w:fill="auto"/>
            <w:noWrap/>
            <w:vAlign w:val="center"/>
          </w:tcPr>
          <w:p w14:paraId="32FAF726">
            <w:pPr>
              <w:spacing w:line="360" w:lineRule="auto"/>
              <w:jc w:val="both"/>
              <w:rPr>
                <w:rFonts w:hint="eastAsia" w:ascii="宋体" w:hAnsi="宋体" w:eastAsia="宋体"/>
                <w:color w:val="auto"/>
                <w:highlight w:val="none"/>
              </w:rPr>
            </w:pPr>
            <w:r>
              <w:rPr>
                <w:rFonts w:hint="eastAsia" w:ascii="宋体" w:hAnsi="宋体" w:eastAsia="宋体"/>
                <w:color w:val="auto"/>
                <w:highlight w:val="none"/>
              </w:rPr>
              <w:t>主索引管理需具备日志监控、展示、合并、拆分等功能。</w:t>
            </w:r>
          </w:p>
        </w:tc>
      </w:tr>
    </w:tbl>
    <w:p w14:paraId="2BD1040D">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共享文档库</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7052"/>
      </w:tblGrid>
      <w:tr w14:paraId="7680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2379B438">
            <w:pPr>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功能列表</w:t>
            </w:r>
          </w:p>
        </w:tc>
        <w:tc>
          <w:tcPr>
            <w:tcW w:w="7732" w:type="dxa"/>
            <w:vAlign w:val="center"/>
          </w:tcPr>
          <w:p w14:paraId="151ABFA0">
            <w:pPr>
              <w:spacing w:line="360" w:lineRule="auto"/>
              <w:jc w:val="center"/>
              <w:rPr>
                <w:rFonts w:hint="eastAsia" w:ascii="宋体" w:hAnsi="宋体" w:eastAsia="宋体"/>
                <w:color w:val="auto"/>
                <w:highlight w:val="none"/>
              </w:rPr>
            </w:pPr>
            <w:r>
              <w:rPr>
                <w:rFonts w:hint="eastAsia" w:ascii="宋体" w:hAnsi="宋体" w:eastAsia="宋体"/>
                <w:b/>
                <w:color w:val="auto"/>
                <w:highlight w:val="none"/>
              </w:rPr>
              <w:t>功能要求</w:t>
            </w:r>
          </w:p>
        </w:tc>
      </w:tr>
      <w:tr w14:paraId="7D40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63EF20B9">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数据集和共享文档的值域映射</w:t>
            </w:r>
          </w:p>
        </w:tc>
        <w:tc>
          <w:tcPr>
            <w:tcW w:w="7732" w:type="dxa"/>
            <w:vAlign w:val="center"/>
          </w:tcPr>
          <w:p w14:paraId="0D8F2E0F">
            <w:pPr>
              <w:spacing w:line="360" w:lineRule="auto"/>
              <w:rPr>
                <w:rFonts w:hint="eastAsia" w:ascii="宋体" w:hAnsi="宋体" w:eastAsia="宋体"/>
                <w:color w:val="auto"/>
                <w:highlight w:val="none"/>
              </w:rPr>
            </w:pPr>
            <w:r>
              <w:rPr>
                <w:rFonts w:hint="eastAsia" w:ascii="宋体" w:hAnsi="宋体" w:eastAsia="宋体"/>
                <w:color w:val="auto"/>
                <w:highlight w:val="none"/>
              </w:rPr>
              <w:t>根据元数据管理和数据集管理中的国标或者行业标准，进行文档中的值域和标准值域的转换。</w:t>
            </w:r>
          </w:p>
        </w:tc>
      </w:tr>
      <w:tr w14:paraId="31FC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0F8AE0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数据集模板管理</w:t>
            </w:r>
          </w:p>
        </w:tc>
        <w:tc>
          <w:tcPr>
            <w:tcW w:w="7732" w:type="dxa"/>
            <w:vAlign w:val="center"/>
          </w:tcPr>
          <w:p w14:paraId="75C8FF78">
            <w:pPr>
              <w:spacing w:line="360" w:lineRule="auto"/>
              <w:rPr>
                <w:rFonts w:hint="eastAsia" w:ascii="宋体" w:hAnsi="宋体" w:eastAsia="宋体"/>
                <w:color w:val="auto"/>
                <w:highlight w:val="none"/>
              </w:rPr>
            </w:pPr>
            <w:r>
              <w:rPr>
                <w:rFonts w:hint="eastAsia" w:ascii="宋体" w:hAnsi="宋体" w:eastAsia="宋体"/>
                <w:color w:val="auto"/>
                <w:highlight w:val="none"/>
              </w:rPr>
              <w:t>基于元数据管理和国家制定的标准数据集（5</w:t>
            </w:r>
            <w:r>
              <w:rPr>
                <w:rFonts w:ascii="宋体" w:hAnsi="宋体" w:eastAsia="宋体"/>
                <w:color w:val="auto"/>
                <w:highlight w:val="none"/>
              </w:rPr>
              <w:t>8</w:t>
            </w:r>
            <w:r>
              <w:rPr>
                <w:rFonts w:hint="eastAsia" w:ascii="宋体" w:hAnsi="宋体" w:eastAsia="宋体"/>
                <w:color w:val="auto"/>
                <w:highlight w:val="none"/>
              </w:rPr>
              <w:t>种），可自定义配置标准数据集中的各项明细数据内容，保障院内数据集符合国家和行业标准要求。</w:t>
            </w:r>
          </w:p>
        </w:tc>
      </w:tr>
      <w:tr w14:paraId="07C4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43A3D8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共享文档模板管理</w:t>
            </w:r>
          </w:p>
        </w:tc>
        <w:tc>
          <w:tcPr>
            <w:tcW w:w="7732" w:type="dxa"/>
            <w:vAlign w:val="center"/>
          </w:tcPr>
          <w:p w14:paraId="45D91A17">
            <w:pPr>
              <w:spacing w:line="360" w:lineRule="auto"/>
              <w:rPr>
                <w:rFonts w:hint="eastAsia" w:ascii="宋体" w:hAnsi="宋体" w:eastAsia="宋体"/>
                <w:color w:val="auto"/>
                <w:highlight w:val="none"/>
              </w:rPr>
            </w:pPr>
            <w:r>
              <w:rPr>
                <w:rFonts w:hint="eastAsia" w:ascii="宋体" w:hAnsi="宋体" w:eastAsia="宋体"/>
                <w:color w:val="auto"/>
                <w:highlight w:val="none"/>
              </w:rPr>
              <w:t>根据OID、数据元、数据集生成共享文档模板，并可针对模板内容任一元素进行编辑管理。</w:t>
            </w:r>
          </w:p>
        </w:tc>
      </w:tr>
      <w:tr w14:paraId="2E1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1C3CEC3C">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共享文档生成</w:t>
            </w:r>
          </w:p>
        </w:tc>
        <w:tc>
          <w:tcPr>
            <w:tcW w:w="7732" w:type="dxa"/>
            <w:vAlign w:val="center"/>
          </w:tcPr>
          <w:p w14:paraId="5E1B608D">
            <w:pPr>
              <w:spacing w:line="360" w:lineRule="auto"/>
              <w:rPr>
                <w:rFonts w:hint="eastAsia" w:ascii="宋体" w:hAnsi="宋体" w:eastAsia="宋体"/>
                <w:color w:val="auto"/>
                <w:highlight w:val="none"/>
              </w:rPr>
            </w:pPr>
            <w:r>
              <w:rPr>
                <w:rFonts w:hint="eastAsia" w:ascii="宋体" w:hAnsi="宋体" w:eastAsia="宋体"/>
                <w:color w:val="auto"/>
                <w:highlight w:val="none"/>
              </w:rPr>
              <w:t>需支持多种文档生成模式，单一文档生成、单患者文档生成、选定时间文档生成、批量定时生成等多种文档生成模式。</w:t>
            </w:r>
          </w:p>
        </w:tc>
      </w:tr>
      <w:tr w14:paraId="26CD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14:paraId="2A53C899">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共享文档浏览</w:t>
            </w:r>
          </w:p>
        </w:tc>
        <w:tc>
          <w:tcPr>
            <w:tcW w:w="7732" w:type="dxa"/>
            <w:vAlign w:val="center"/>
          </w:tcPr>
          <w:p w14:paraId="0EE7CD0F">
            <w:pPr>
              <w:spacing w:line="360" w:lineRule="auto"/>
              <w:rPr>
                <w:rFonts w:hint="eastAsia" w:ascii="宋体" w:hAnsi="宋体" w:eastAsia="宋体"/>
                <w:color w:val="auto"/>
                <w:highlight w:val="none"/>
              </w:rPr>
            </w:pPr>
            <w:r>
              <w:rPr>
                <w:rFonts w:hint="eastAsia" w:ascii="宋体" w:hAnsi="宋体" w:eastAsia="宋体"/>
                <w:color w:val="auto"/>
                <w:highlight w:val="none"/>
              </w:rPr>
              <w:t>浏览选定文档的数据概览，也可以查看XML源文件、XSD转化文件内容。</w:t>
            </w:r>
          </w:p>
        </w:tc>
      </w:tr>
    </w:tbl>
    <w:p w14:paraId="28F6E72F">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共享文档管理系统</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744"/>
      </w:tblGrid>
      <w:tr w14:paraId="09CA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42" w:type="dxa"/>
            <w:shd w:val="clear" w:color="auto" w:fill="auto"/>
            <w:noWrap/>
            <w:vAlign w:val="center"/>
          </w:tcPr>
          <w:p w14:paraId="33928B66">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功能列表</w:t>
            </w:r>
          </w:p>
        </w:tc>
        <w:tc>
          <w:tcPr>
            <w:tcW w:w="7744" w:type="dxa"/>
            <w:shd w:val="clear" w:color="auto" w:fill="auto"/>
            <w:noWrap/>
            <w:vAlign w:val="center"/>
          </w:tcPr>
          <w:p w14:paraId="2EA7A678">
            <w:pPr>
              <w:spacing w:line="360" w:lineRule="auto"/>
              <w:jc w:val="center"/>
              <w:rPr>
                <w:rFonts w:hint="eastAsia" w:ascii="宋体" w:hAnsi="宋体" w:eastAsia="宋体"/>
                <w:b/>
                <w:bCs/>
                <w:color w:val="auto"/>
                <w:highlight w:val="none"/>
              </w:rPr>
            </w:pPr>
            <w:r>
              <w:rPr>
                <w:rFonts w:hint="eastAsia" w:ascii="宋体" w:hAnsi="宋体" w:eastAsia="宋体"/>
                <w:b/>
                <w:bCs/>
                <w:color w:val="auto"/>
                <w:highlight w:val="none"/>
              </w:rPr>
              <w:t>功能要求</w:t>
            </w:r>
          </w:p>
        </w:tc>
      </w:tr>
      <w:tr w14:paraId="5A98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48867EA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共享文档配置</w:t>
            </w:r>
          </w:p>
        </w:tc>
        <w:tc>
          <w:tcPr>
            <w:tcW w:w="7744" w:type="dxa"/>
            <w:shd w:val="clear" w:color="auto" w:fill="auto"/>
            <w:noWrap/>
            <w:vAlign w:val="center"/>
          </w:tcPr>
          <w:p w14:paraId="386E9CA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具备共享文档的可视化管理和配置功能，可针对文档中的项目进行自定义的配置和修改。</w:t>
            </w:r>
          </w:p>
        </w:tc>
      </w:tr>
      <w:tr w14:paraId="7CD2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542" w:type="dxa"/>
            <w:shd w:val="clear" w:color="auto" w:fill="auto"/>
            <w:noWrap/>
            <w:vAlign w:val="center"/>
          </w:tcPr>
          <w:p w14:paraId="3E1AD576">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共享文档校验</w:t>
            </w:r>
          </w:p>
        </w:tc>
        <w:tc>
          <w:tcPr>
            <w:tcW w:w="7744" w:type="dxa"/>
            <w:shd w:val="clear" w:color="auto" w:fill="auto"/>
            <w:noWrap/>
            <w:vAlign w:val="center"/>
          </w:tcPr>
          <w:p w14:paraId="7EB1BCA8">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具备针对单一或多个共享文档内容完整性、合理性、逻辑性的校验功能。校验规则满足国家互联互通各等级的要求。</w:t>
            </w:r>
          </w:p>
        </w:tc>
      </w:tr>
      <w:tr w14:paraId="57D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41D4604B">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共享文档检索</w:t>
            </w:r>
          </w:p>
        </w:tc>
        <w:tc>
          <w:tcPr>
            <w:tcW w:w="7744" w:type="dxa"/>
            <w:shd w:val="clear" w:color="auto" w:fill="auto"/>
            <w:noWrap/>
            <w:vAlign w:val="center"/>
          </w:tcPr>
          <w:p w14:paraId="417FCCB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具备共享文档按类型、患者信息、时间等各条件检索查询功能。</w:t>
            </w:r>
          </w:p>
        </w:tc>
      </w:tr>
      <w:tr w14:paraId="4B5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0933DACE">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共享文档展示</w:t>
            </w:r>
          </w:p>
        </w:tc>
        <w:tc>
          <w:tcPr>
            <w:tcW w:w="7744" w:type="dxa"/>
            <w:shd w:val="clear" w:color="auto" w:fill="auto"/>
            <w:noWrap/>
            <w:vAlign w:val="center"/>
          </w:tcPr>
          <w:p w14:paraId="2780622A">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具备共享文档可视化展示功能。</w:t>
            </w:r>
          </w:p>
        </w:tc>
      </w:tr>
      <w:tr w14:paraId="2448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75F516A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共享文档脱敏</w:t>
            </w:r>
          </w:p>
        </w:tc>
        <w:tc>
          <w:tcPr>
            <w:tcW w:w="7744" w:type="dxa"/>
            <w:shd w:val="clear" w:color="auto" w:fill="auto"/>
            <w:noWrap/>
            <w:vAlign w:val="center"/>
          </w:tcPr>
          <w:p w14:paraId="46E5BABC">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具备共享文档匿名脱敏功能。</w:t>
            </w:r>
          </w:p>
        </w:tc>
      </w:tr>
      <w:tr w14:paraId="4BDF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42" w:type="dxa"/>
            <w:shd w:val="clear" w:color="auto" w:fill="auto"/>
            <w:noWrap/>
            <w:vAlign w:val="center"/>
          </w:tcPr>
          <w:p w14:paraId="0673FA91">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共享文档交互</w:t>
            </w:r>
          </w:p>
        </w:tc>
        <w:tc>
          <w:tcPr>
            <w:tcW w:w="7744" w:type="dxa"/>
            <w:shd w:val="clear" w:color="auto" w:fill="auto"/>
            <w:noWrap/>
            <w:vAlign w:val="center"/>
          </w:tcPr>
          <w:p w14:paraId="4CE4ABE9">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具备与外部医疗机构或区域卫健单位针对共享文档进行交互展示的功能。</w:t>
            </w:r>
          </w:p>
        </w:tc>
      </w:tr>
      <w:tr w14:paraId="5DD3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42" w:type="dxa"/>
            <w:shd w:val="clear" w:color="auto" w:fill="auto"/>
            <w:noWrap/>
            <w:vAlign w:val="center"/>
          </w:tcPr>
          <w:p w14:paraId="4DCD6CAC">
            <w:pPr>
              <w:spacing w:line="360" w:lineRule="auto"/>
              <w:jc w:val="center"/>
              <w:rPr>
                <w:rFonts w:hint="eastAsia" w:ascii="宋体" w:hAnsi="宋体" w:eastAsia="宋体"/>
                <w:color w:val="auto"/>
                <w:highlight w:val="none"/>
              </w:rPr>
            </w:pPr>
            <w:r>
              <w:rPr>
                <w:rFonts w:hint="eastAsia" w:ascii="宋体" w:hAnsi="宋体" w:eastAsia="宋体"/>
                <w:color w:val="auto"/>
                <w:highlight w:val="none"/>
              </w:rPr>
              <w:t>共享文档管理</w:t>
            </w:r>
          </w:p>
        </w:tc>
        <w:tc>
          <w:tcPr>
            <w:tcW w:w="7744" w:type="dxa"/>
            <w:shd w:val="clear" w:color="auto" w:fill="auto"/>
            <w:noWrap/>
            <w:vAlign w:val="center"/>
          </w:tcPr>
          <w:p w14:paraId="445E9B6D">
            <w:pPr>
              <w:spacing w:line="360" w:lineRule="auto"/>
              <w:jc w:val="both"/>
              <w:rPr>
                <w:rFonts w:hint="eastAsia" w:ascii="宋体" w:hAnsi="宋体" w:eastAsia="宋体" w:cs="Times New Roman"/>
                <w:color w:val="auto"/>
                <w:highlight w:val="none"/>
              </w:rPr>
            </w:pPr>
            <w:r>
              <w:rPr>
                <w:rFonts w:hint="eastAsia" w:ascii="宋体" w:hAnsi="宋体" w:eastAsia="宋体" w:cs="Times New Roman"/>
                <w:color w:val="auto"/>
                <w:highlight w:val="none"/>
              </w:rPr>
              <w:t>具备针对共享文档整体的分析展示、日志监控等功能。</w:t>
            </w:r>
          </w:p>
        </w:tc>
      </w:tr>
    </w:tbl>
    <w:p w14:paraId="241FB82E">
      <w:pPr>
        <w:spacing w:line="360" w:lineRule="auto"/>
        <w:rPr>
          <w:rFonts w:hint="eastAsia" w:ascii="宋体" w:hAnsi="宋体" w:eastAsia="宋体"/>
          <w:color w:val="auto"/>
          <w:highlight w:val="none"/>
        </w:rPr>
      </w:pPr>
    </w:p>
    <w:p w14:paraId="14810CA8">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历史数据迁移</w:t>
      </w:r>
    </w:p>
    <w:p w14:paraId="6C1A207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对符合业务需求的、有价值的历史数据进行数据迁移，项目进场一个月内完成迁移。</w:t>
      </w:r>
    </w:p>
    <w:p w14:paraId="70170F0D">
      <w:pPr>
        <w:pStyle w:val="3"/>
        <w:numPr>
          <w:ilvl w:val="1"/>
          <w:numId w:val="2"/>
        </w:numPr>
        <w:bidi w:val="0"/>
        <w:rPr>
          <w:rFonts w:hint="eastAsia"/>
          <w:color w:val="auto"/>
          <w:highlight w:val="none"/>
        </w:rPr>
      </w:pPr>
      <w:bookmarkStart w:id="58" w:name="_Toc187691849"/>
      <w:r>
        <w:rPr>
          <w:rFonts w:hint="eastAsia"/>
          <w:color w:val="auto"/>
          <w:highlight w:val="none"/>
        </w:rPr>
        <w:t>医院系统应用统一管理</w:t>
      </w:r>
      <w:bookmarkEnd w:id="58"/>
    </w:p>
    <w:p w14:paraId="4077527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单点登录系统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071"/>
      </w:tblGrid>
      <w:tr w14:paraId="7688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05FA6550">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功能模块</w:t>
            </w:r>
          </w:p>
        </w:tc>
        <w:tc>
          <w:tcPr>
            <w:tcW w:w="7756" w:type="dxa"/>
            <w:vAlign w:val="center"/>
          </w:tcPr>
          <w:p w14:paraId="22C764B6">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455E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120280A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普通登录</w:t>
            </w:r>
          </w:p>
        </w:tc>
        <w:tc>
          <w:tcPr>
            <w:tcW w:w="7756" w:type="dxa"/>
            <w:vAlign w:val="center"/>
          </w:tcPr>
          <w:p w14:paraId="61989C2B">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输入账号、密码进行登录。</w:t>
            </w:r>
          </w:p>
        </w:tc>
      </w:tr>
      <w:tr w14:paraId="062C2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754256C3">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CA登录</w:t>
            </w:r>
          </w:p>
        </w:tc>
        <w:tc>
          <w:tcPr>
            <w:tcW w:w="7756" w:type="dxa"/>
            <w:vAlign w:val="center"/>
          </w:tcPr>
          <w:p w14:paraId="37C7C23E">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插入CA并输入用户密码 或CA扫码验证进行登录，登录成功后显示CA有效期。</w:t>
            </w:r>
          </w:p>
        </w:tc>
      </w:tr>
      <w:tr w14:paraId="7605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753A1CA7">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常用应用</w:t>
            </w:r>
          </w:p>
        </w:tc>
        <w:tc>
          <w:tcPr>
            <w:tcW w:w="7756" w:type="dxa"/>
            <w:vAlign w:val="center"/>
          </w:tcPr>
          <w:p w14:paraId="0158CAC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点击率最频繁的将被推荐为常用应用。</w:t>
            </w:r>
          </w:p>
        </w:tc>
      </w:tr>
      <w:tr w14:paraId="518E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15415D9">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所有应用</w:t>
            </w:r>
          </w:p>
        </w:tc>
        <w:tc>
          <w:tcPr>
            <w:tcW w:w="7756" w:type="dxa"/>
            <w:vAlign w:val="center"/>
          </w:tcPr>
          <w:p w14:paraId="44B8F94D">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显示用户权限范围内的所有应用列表。</w:t>
            </w:r>
          </w:p>
        </w:tc>
      </w:tr>
      <w:tr w14:paraId="0AEB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1559B20">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分类应用</w:t>
            </w:r>
          </w:p>
        </w:tc>
        <w:tc>
          <w:tcPr>
            <w:tcW w:w="7756" w:type="dxa"/>
            <w:vAlign w:val="center"/>
          </w:tcPr>
          <w:p w14:paraId="2BE5C760">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按不同的分组分类显示应用。</w:t>
            </w:r>
          </w:p>
        </w:tc>
      </w:tr>
      <w:tr w14:paraId="62AB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E8A1C5E">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应用跳转</w:t>
            </w:r>
          </w:p>
        </w:tc>
        <w:tc>
          <w:tcPr>
            <w:tcW w:w="7756" w:type="dxa"/>
            <w:vAlign w:val="center"/>
          </w:tcPr>
          <w:p w14:paraId="4EA748C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（提供系统功能截图）需要同时满足CS和BS架构的系统接入；提供多种改造方式供第三方系统改造；</w:t>
            </w:r>
          </w:p>
        </w:tc>
      </w:tr>
      <w:tr w14:paraId="6C5B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C08D578">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个人信息维护</w:t>
            </w:r>
          </w:p>
        </w:tc>
        <w:tc>
          <w:tcPr>
            <w:tcW w:w="7756" w:type="dxa"/>
            <w:vAlign w:val="center"/>
          </w:tcPr>
          <w:p w14:paraId="0E21014F">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维护个人基本信息。</w:t>
            </w:r>
          </w:p>
        </w:tc>
      </w:tr>
      <w:tr w14:paraId="0FF2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2C0118F">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密码修改</w:t>
            </w:r>
          </w:p>
        </w:tc>
        <w:tc>
          <w:tcPr>
            <w:tcW w:w="7756" w:type="dxa"/>
            <w:vAlign w:val="center"/>
          </w:tcPr>
          <w:p w14:paraId="033DD7E9">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修改个人密码。</w:t>
            </w:r>
          </w:p>
        </w:tc>
      </w:tr>
      <w:tr w14:paraId="34BD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B72E9FD">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应用配置</w:t>
            </w:r>
          </w:p>
        </w:tc>
        <w:tc>
          <w:tcPr>
            <w:tcW w:w="7756" w:type="dxa"/>
            <w:vAlign w:val="center"/>
          </w:tcPr>
          <w:p w14:paraId="41C6A882">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配置单点登录系统账户、密码等，配置是否显示单点应用。</w:t>
            </w:r>
          </w:p>
        </w:tc>
      </w:tr>
      <w:tr w14:paraId="2B2E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49FB1171">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下载控件</w:t>
            </w:r>
          </w:p>
        </w:tc>
        <w:tc>
          <w:tcPr>
            <w:tcW w:w="7756" w:type="dxa"/>
            <w:vAlign w:val="center"/>
          </w:tcPr>
          <w:p w14:paraId="39DC48C4">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下载单点登录系统运行所需客户端控件。</w:t>
            </w:r>
          </w:p>
        </w:tc>
      </w:tr>
      <w:tr w14:paraId="1CD1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611D6742">
            <w:pPr>
              <w:adjustRightInd w:val="0"/>
              <w:snapToGrid w:val="0"/>
              <w:spacing w:line="360" w:lineRule="auto"/>
              <w:jc w:val="center"/>
              <w:rPr>
                <w:rFonts w:hint="eastAsia" w:ascii="宋体" w:hAnsi="宋体" w:eastAsia="宋体"/>
                <w:color w:val="auto"/>
                <w:highlight w:val="none"/>
              </w:rPr>
            </w:pPr>
            <w:r>
              <w:rPr>
                <w:rFonts w:hint="eastAsia" w:ascii="宋体" w:hAnsi="宋体" w:eastAsia="宋体"/>
                <w:color w:val="auto"/>
                <w:highlight w:val="none"/>
              </w:rPr>
              <w:t>登录明细</w:t>
            </w:r>
          </w:p>
        </w:tc>
        <w:tc>
          <w:tcPr>
            <w:tcW w:w="7756" w:type="dxa"/>
            <w:vAlign w:val="center"/>
          </w:tcPr>
          <w:p w14:paraId="29E13150">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用户登录次数、使用天数以及登录方式等信息统计</w:t>
            </w:r>
            <w:r>
              <w:rPr>
                <w:rFonts w:hint="eastAsia" w:ascii="宋体" w:hAnsi="宋体" w:eastAsia="宋体"/>
                <w:color w:val="auto"/>
                <w:highlight w:val="none"/>
              </w:rPr>
              <w:t>。</w:t>
            </w:r>
          </w:p>
        </w:tc>
      </w:tr>
      <w:tr w14:paraId="08AE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D8A8349">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用户切换</w:t>
            </w:r>
          </w:p>
        </w:tc>
        <w:tc>
          <w:tcPr>
            <w:tcW w:w="7756" w:type="dxa"/>
            <w:vAlign w:val="center"/>
          </w:tcPr>
          <w:p w14:paraId="0B8DB32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管理员可切换不同用户进行系统登录</w:t>
            </w:r>
            <w:r>
              <w:rPr>
                <w:rFonts w:hint="eastAsia" w:ascii="宋体" w:hAnsi="宋体" w:eastAsia="宋体"/>
                <w:color w:val="auto"/>
                <w:highlight w:val="none"/>
              </w:rPr>
              <w:t>。</w:t>
            </w:r>
          </w:p>
        </w:tc>
      </w:tr>
      <w:tr w14:paraId="1BC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2BAD7ABB">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权限申请</w:t>
            </w:r>
          </w:p>
        </w:tc>
        <w:tc>
          <w:tcPr>
            <w:tcW w:w="7756" w:type="dxa"/>
            <w:vAlign w:val="center"/>
          </w:tcPr>
          <w:p w14:paraId="22C3E27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针对不同用户获取系统科室权限的申请功能</w:t>
            </w:r>
            <w:r>
              <w:rPr>
                <w:rFonts w:hint="eastAsia" w:ascii="宋体" w:hAnsi="宋体" w:eastAsia="宋体"/>
                <w:color w:val="auto"/>
                <w:highlight w:val="none"/>
              </w:rPr>
              <w:t>。</w:t>
            </w:r>
          </w:p>
        </w:tc>
      </w:tr>
      <w:tr w14:paraId="0CCD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0" w:type="dxa"/>
            <w:vAlign w:val="center"/>
          </w:tcPr>
          <w:p w14:paraId="3833CB16">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权限审核</w:t>
            </w:r>
          </w:p>
        </w:tc>
        <w:tc>
          <w:tcPr>
            <w:tcW w:w="7756" w:type="dxa"/>
            <w:vAlign w:val="center"/>
          </w:tcPr>
          <w:p w14:paraId="32E35CBA">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管理员对用户申请科室权限进行审核</w:t>
            </w:r>
            <w:r>
              <w:rPr>
                <w:rFonts w:hint="eastAsia" w:ascii="宋体" w:hAnsi="宋体" w:eastAsia="宋体"/>
                <w:color w:val="auto"/>
                <w:highlight w:val="none"/>
              </w:rPr>
              <w:t>。</w:t>
            </w:r>
          </w:p>
        </w:tc>
      </w:tr>
    </w:tbl>
    <w:p w14:paraId="1FF66C68">
      <w:pPr>
        <w:spacing w:line="360" w:lineRule="auto"/>
        <w:rPr>
          <w:rFonts w:hint="eastAsia" w:ascii="宋体" w:hAnsi="宋体" w:eastAsia="宋体"/>
          <w:color w:val="auto"/>
          <w:highlight w:val="none"/>
        </w:rPr>
      </w:pPr>
    </w:p>
    <w:p w14:paraId="105476AC">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后台管理系统</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2"/>
        <w:gridCol w:w="6091"/>
      </w:tblGrid>
      <w:tr w14:paraId="4897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3EDFE2">
            <w:pPr>
              <w:adjustRightInd w:val="0"/>
              <w:snapToGrid w:val="0"/>
              <w:spacing w:line="360" w:lineRule="auto"/>
              <w:jc w:val="center"/>
              <w:rPr>
                <w:rFonts w:hint="eastAsia" w:ascii="宋体" w:hAnsi="宋体" w:eastAsia="宋体"/>
                <w:b/>
                <w:color w:val="auto"/>
                <w:highlight w:val="none"/>
              </w:rPr>
            </w:pPr>
            <w:r>
              <w:rPr>
                <w:rFonts w:ascii="宋体" w:hAnsi="宋体" w:eastAsia="宋体"/>
                <w:b/>
                <w:color w:val="auto"/>
                <w:highlight w:val="none"/>
              </w:rPr>
              <w:t>产品</w:t>
            </w:r>
          </w:p>
        </w:tc>
        <w:tc>
          <w:tcPr>
            <w:tcW w:w="0" w:type="auto"/>
            <w:vAlign w:val="center"/>
          </w:tcPr>
          <w:p w14:paraId="44886DB4">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功能模块</w:t>
            </w:r>
          </w:p>
        </w:tc>
        <w:tc>
          <w:tcPr>
            <w:tcW w:w="0" w:type="auto"/>
            <w:vAlign w:val="center"/>
          </w:tcPr>
          <w:p w14:paraId="1536EBD2">
            <w:pPr>
              <w:adjustRightInd w:val="0"/>
              <w:snapToGrid w:val="0"/>
              <w:spacing w:line="360" w:lineRule="auto"/>
              <w:jc w:val="center"/>
              <w:rPr>
                <w:rFonts w:hint="eastAsia" w:ascii="宋体" w:hAnsi="宋体" w:eastAsia="宋体"/>
                <w:b/>
                <w:color w:val="auto"/>
                <w:highlight w:val="none"/>
              </w:rPr>
            </w:pPr>
            <w:r>
              <w:rPr>
                <w:rFonts w:hint="eastAsia" w:ascii="宋体" w:hAnsi="宋体" w:eastAsia="宋体"/>
                <w:b/>
                <w:color w:val="auto"/>
                <w:highlight w:val="none"/>
              </w:rPr>
              <w:t>功能要求</w:t>
            </w:r>
          </w:p>
        </w:tc>
      </w:tr>
      <w:tr w14:paraId="322C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4" w:space="0"/>
            </w:tcBorders>
            <w:vAlign w:val="center"/>
          </w:tcPr>
          <w:p w14:paraId="0E2F84CF">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临床数据仓库监控与管理</w:t>
            </w:r>
          </w:p>
        </w:tc>
        <w:tc>
          <w:tcPr>
            <w:tcW w:w="0" w:type="auto"/>
            <w:vAlign w:val="center"/>
          </w:tcPr>
          <w:p w14:paraId="01B6428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数据仓库监控</w:t>
            </w:r>
          </w:p>
        </w:tc>
        <w:tc>
          <w:tcPr>
            <w:tcW w:w="0" w:type="auto"/>
            <w:vAlign w:val="center"/>
          </w:tcPr>
          <w:p w14:paraId="051C3D7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监控数据仓库的运行情况，例如数据总量、新增数据信息、数据同步信息、异常数据信息等</w:t>
            </w:r>
            <w:r>
              <w:rPr>
                <w:rFonts w:hint="eastAsia" w:ascii="宋体" w:hAnsi="宋体" w:eastAsia="宋体"/>
                <w:color w:val="auto"/>
                <w:highlight w:val="none"/>
              </w:rPr>
              <w:t>。</w:t>
            </w:r>
          </w:p>
        </w:tc>
      </w:tr>
      <w:tr w14:paraId="5938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63A858AB">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2B317F85">
            <w:pPr>
              <w:adjustRightInd w:val="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前置业务存储数据库</w:t>
            </w:r>
            <w:r>
              <w:rPr>
                <w:rFonts w:ascii="宋体" w:hAnsi="宋体" w:eastAsia="宋体"/>
                <w:color w:val="auto"/>
                <w:highlight w:val="none"/>
              </w:rPr>
              <w:t>监控</w:t>
            </w:r>
          </w:p>
        </w:tc>
        <w:tc>
          <w:tcPr>
            <w:tcW w:w="0" w:type="auto"/>
            <w:vAlign w:val="center"/>
          </w:tcPr>
          <w:p w14:paraId="0136D729">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w:t>
            </w:r>
            <w:r>
              <w:rPr>
                <w:rFonts w:hint="eastAsia" w:ascii="宋体" w:hAnsi="宋体" w:eastAsia="宋体"/>
                <w:color w:val="auto"/>
                <w:highlight w:val="none"/>
              </w:rPr>
              <w:t>前置业务存储数据库</w:t>
            </w:r>
            <w:r>
              <w:rPr>
                <w:rFonts w:ascii="宋体" w:hAnsi="宋体" w:eastAsia="宋体"/>
                <w:color w:val="auto"/>
                <w:highlight w:val="none"/>
              </w:rPr>
              <w:t>的同步情况</w:t>
            </w:r>
            <w:r>
              <w:rPr>
                <w:rFonts w:hint="eastAsia" w:ascii="宋体" w:hAnsi="宋体" w:eastAsia="宋体"/>
                <w:color w:val="auto"/>
                <w:highlight w:val="none"/>
              </w:rPr>
              <w:t>。</w:t>
            </w:r>
          </w:p>
        </w:tc>
      </w:tr>
      <w:tr w14:paraId="04E6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EA1B619">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03A8136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服务器资源监控</w:t>
            </w:r>
          </w:p>
        </w:tc>
        <w:tc>
          <w:tcPr>
            <w:tcW w:w="0" w:type="auto"/>
            <w:vAlign w:val="center"/>
          </w:tcPr>
          <w:p w14:paraId="1B99195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监控服务器的资源消耗情况，满足针对Windows服务器和Linux服务器进行分开监控</w:t>
            </w:r>
            <w:r>
              <w:rPr>
                <w:rFonts w:hint="eastAsia" w:ascii="宋体" w:hAnsi="宋体" w:eastAsia="宋体"/>
                <w:color w:val="auto"/>
                <w:highlight w:val="none"/>
              </w:rPr>
              <w:t>。</w:t>
            </w:r>
          </w:p>
        </w:tc>
      </w:tr>
      <w:tr w14:paraId="480D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1343B4DD">
            <w:pPr>
              <w:adjustRightInd w:val="0"/>
              <w:snapToGrid w:val="0"/>
              <w:spacing w:line="360" w:lineRule="auto"/>
              <w:jc w:val="center"/>
              <w:rPr>
                <w:rFonts w:hint="eastAsia" w:ascii="宋体" w:hAnsi="宋体" w:eastAsia="宋体"/>
                <w:color w:val="auto"/>
                <w:highlight w:val="none"/>
              </w:rPr>
            </w:pPr>
          </w:p>
        </w:tc>
        <w:tc>
          <w:tcPr>
            <w:tcW w:w="0" w:type="auto"/>
            <w:vAlign w:val="center"/>
          </w:tcPr>
          <w:p w14:paraId="2AC09A26">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消息队列消费</w:t>
            </w:r>
          </w:p>
        </w:tc>
        <w:tc>
          <w:tcPr>
            <w:tcW w:w="0" w:type="auto"/>
            <w:vAlign w:val="center"/>
          </w:tcPr>
          <w:p w14:paraId="681FD8A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监控kafka的数据消费情况</w:t>
            </w:r>
            <w:r>
              <w:rPr>
                <w:rFonts w:hint="eastAsia" w:ascii="宋体" w:hAnsi="宋体" w:eastAsia="宋体"/>
                <w:color w:val="auto"/>
                <w:highlight w:val="none"/>
              </w:rPr>
              <w:t>。</w:t>
            </w:r>
          </w:p>
        </w:tc>
      </w:tr>
      <w:tr w14:paraId="7B67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4" w:space="0"/>
            </w:tcBorders>
            <w:vAlign w:val="center"/>
          </w:tcPr>
          <w:p w14:paraId="20F54041">
            <w:pPr>
              <w:adjustRightInd w:val="0"/>
              <w:snapToGrid w:val="0"/>
              <w:spacing w:line="360" w:lineRule="auto"/>
              <w:jc w:val="center"/>
              <w:rPr>
                <w:rFonts w:hint="eastAsia" w:ascii="宋体" w:hAnsi="宋体" w:eastAsia="宋体"/>
                <w:color w:val="auto"/>
                <w:highlight w:val="none"/>
              </w:rPr>
            </w:pPr>
            <w:r>
              <w:rPr>
                <w:rFonts w:ascii="宋体" w:hAnsi="宋体" w:eastAsia="宋体"/>
                <w:color w:val="auto"/>
                <w:highlight w:val="none"/>
              </w:rPr>
              <w:t>系统管理</w:t>
            </w:r>
          </w:p>
        </w:tc>
        <w:tc>
          <w:tcPr>
            <w:tcW w:w="0" w:type="auto"/>
            <w:vAlign w:val="center"/>
          </w:tcPr>
          <w:p w14:paraId="1DCF5F58">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用户管理</w:t>
            </w:r>
          </w:p>
        </w:tc>
        <w:tc>
          <w:tcPr>
            <w:tcW w:w="0" w:type="auto"/>
            <w:vAlign w:val="center"/>
          </w:tcPr>
          <w:p w14:paraId="67AD13C1">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提供用户信息查看信息，以及用户个人信息的修改维护，包括账号、姓名、登录密码、手机号、邮箱、CA标识、角色、用户分类、状态以及是否支持CA登录</w:t>
            </w:r>
            <w:r>
              <w:rPr>
                <w:rFonts w:hint="eastAsia" w:ascii="宋体" w:hAnsi="宋体" w:eastAsia="宋体"/>
                <w:color w:val="auto"/>
                <w:highlight w:val="none"/>
              </w:rPr>
              <w:t>。</w:t>
            </w:r>
          </w:p>
        </w:tc>
      </w:tr>
      <w:tr w14:paraId="7901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DE8164A">
            <w:pPr>
              <w:adjustRightInd w:val="0"/>
              <w:snapToGrid w:val="0"/>
              <w:spacing w:line="360" w:lineRule="auto"/>
              <w:rPr>
                <w:rFonts w:hint="eastAsia" w:ascii="宋体" w:hAnsi="宋体" w:eastAsia="宋体"/>
                <w:color w:val="auto"/>
                <w:highlight w:val="none"/>
              </w:rPr>
            </w:pPr>
          </w:p>
        </w:tc>
        <w:tc>
          <w:tcPr>
            <w:tcW w:w="0" w:type="auto"/>
            <w:vAlign w:val="center"/>
          </w:tcPr>
          <w:p w14:paraId="1B735D0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角色管理</w:t>
            </w:r>
          </w:p>
        </w:tc>
        <w:tc>
          <w:tcPr>
            <w:tcW w:w="0" w:type="auto"/>
            <w:vAlign w:val="center"/>
          </w:tcPr>
          <w:p w14:paraId="0D838192">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提供角色信息维护以及角色菜单权限、角色系统权限的分配维护</w:t>
            </w:r>
            <w:r>
              <w:rPr>
                <w:rFonts w:hint="eastAsia" w:ascii="宋体" w:hAnsi="宋体" w:eastAsia="宋体"/>
                <w:color w:val="auto"/>
                <w:highlight w:val="none"/>
              </w:rPr>
              <w:t>。</w:t>
            </w:r>
          </w:p>
        </w:tc>
      </w:tr>
      <w:tr w14:paraId="6D2C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4583C071">
            <w:pPr>
              <w:adjustRightInd w:val="0"/>
              <w:snapToGrid w:val="0"/>
              <w:spacing w:line="360" w:lineRule="auto"/>
              <w:rPr>
                <w:rFonts w:hint="eastAsia" w:ascii="宋体" w:hAnsi="宋体" w:eastAsia="宋体"/>
                <w:color w:val="auto"/>
                <w:highlight w:val="none"/>
              </w:rPr>
            </w:pPr>
          </w:p>
        </w:tc>
        <w:tc>
          <w:tcPr>
            <w:tcW w:w="0" w:type="auto"/>
            <w:vAlign w:val="center"/>
          </w:tcPr>
          <w:p w14:paraId="6752299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菜单管理</w:t>
            </w:r>
          </w:p>
        </w:tc>
        <w:tc>
          <w:tcPr>
            <w:tcW w:w="0" w:type="auto"/>
            <w:vAlign w:val="center"/>
          </w:tcPr>
          <w:p w14:paraId="0AC9869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提供系统菜单的维护（增加、修改、删除等功能）</w:t>
            </w:r>
            <w:r>
              <w:rPr>
                <w:rFonts w:hint="eastAsia" w:ascii="宋体" w:hAnsi="宋体" w:eastAsia="宋体"/>
                <w:color w:val="auto"/>
                <w:highlight w:val="none"/>
              </w:rPr>
              <w:t>。</w:t>
            </w:r>
          </w:p>
        </w:tc>
      </w:tr>
      <w:tr w14:paraId="5363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410F686">
            <w:pPr>
              <w:adjustRightInd w:val="0"/>
              <w:snapToGrid w:val="0"/>
              <w:spacing w:line="360" w:lineRule="auto"/>
              <w:rPr>
                <w:rFonts w:hint="eastAsia" w:ascii="宋体" w:hAnsi="宋体" w:eastAsia="宋体"/>
                <w:color w:val="auto"/>
                <w:highlight w:val="none"/>
              </w:rPr>
            </w:pPr>
          </w:p>
        </w:tc>
        <w:tc>
          <w:tcPr>
            <w:tcW w:w="0" w:type="auto"/>
            <w:vAlign w:val="center"/>
          </w:tcPr>
          <w:p w14:paraId="36E97C4F">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对接系统管理</w:t>
            </w:r>
          </w:p>
        </w:tc>
        <w:tc>
          <w:tcPr>
            <w:tcW w:w="0" w:type="auto"/>
            <w:vAlign w:val="center"/>
          </w:tcPr>
          <w:p w14:paraId="4DC4449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提供对已对接的系统的维护配置</w:t>
            </w:r>
            <w:r>
              <w:rPr>
                <w:rFonts w:hint="eastAsia" w:ascii="宋体" w:hAnsi="宋体" w:eastAsia="宋体"/>
                <w:color w:val="auto"/>
                <w:highlight w:val="none"/>
              </w:rPr>
              <w:t>。</w:t>
            </w:r>
          </w:p>
        </w:tc>
      </w:tr>
      <w:tr w14:paraId="2856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0FE6B7AC">
            <w:pPr>
              <w:adjustRightInd w:val="0"/>
              <w:snapToGrid w:val="0"/>
              <w:spacing w:line="360" w:lineRule="auto"/>
              <w:rPr>
                <w:rFonts w:hint="eastAsia" w:ascii="宋体" w:hAnsi="宋体" w:eastAsia="宋体"/>
                <w:color w:val="auto"/>
                <w:highlight w:val="none"/>
              </w:rPr>
            </w:pPr>
          </w:p>
        </w:tc>
        <w:tc>
          <w:tcPr>
            <w:tcW w:w="0" w:type="auto"/>
            <w:vAlign w:val="center"/>
          </w:tcPr>
          <w:p w14:paraId="607E5E9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科室审核</w:t>
            </w:r>
          </w:p>
        </w:tc>
        <w:tc>
          <w:tcPr>
            <w:tcW w:w="0" w:type="auto"/>
            <w:vAlign w:val="center"/>
          </w:tcPr>
          <w:p w14:paraId="54D4355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提供用户对科室的审核权限的配置</w:t>
            </w:r>
            <w:r>
              <w:rPr>
                <w:rFonts w:hint="eastAsia" w:ascii="宋体" w:hAnsi="宋体" w:eastAsia="宋体"/>
                <w:color w:val="auto"/>
                <w:highlight w:val="none"/>
              </w:rPr>
              <w:t>。</w:t>
            </w:r>
          </w:p>
        </w:tc>
      </w:tr>
      <w:tr w14:paraId="2479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09881EC">
            <w:pPr>
              <w:adjustRightInd w:val="0"/>
              <w:snapToGrid w:val="0"/>
              <w:spacing w:line="360" w:lineRule="auto"/>
              <w:rPr>
                <w:rFonts w:hint="eastAsia" w:ascii="宋体" w:hAnsi="宋体" w:eastAsia="宋体"/>
                <w:color w:val="auto"/>
                <w:highlight w:val="none"/>
              </w:rPr>
            </w:pPr>
          </w:p>
        </w:tc>
        <w:tc>
          <w:tcPr>
            <w:tcW w:w="0" w:type="auto"/>
            <w:vAlign w:val="center"/>
          </w:tcPr>
          <w:p w14:paraId="4A46E38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脱敏设置</w:t>
            </w:r>
          </w:p>
        </w:tc>
        <w:tc>
          <w:tcPr>
            <w:tcW w:w="0" w:type="auto"/>
            <w:vAlign w:val="center"/>
          </w:tcPr>
          <w:p w14:paraId="0399772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提供用户对患者360视图的病人相关信息脱敏处理</w:t>
            </w:r>
            <w:r>
              <w:rPr>
                <w:rFonts w:hint="eastAsia" w:ascii="宋体" w:hAnsi="宋体" w:eastAsia="宋体"/>
                <w:color w:val="auto"/>
                <w:highlight w:val="none"/>
              </w:rPr>
              <w:t>。</w:t>
            </w:r>
          </w:p>
        </w:tc>
      </w:tr>
      <w:tr w14:paraId="7694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3D1597C0">
            <w:pPr>
              <w:adjustRightInd w:val="0"/>
              <w:snapToGrid w:val="0"/>
              <w:spacing w:line="360" w:lineRule="auto"/>
              <w:rPr>
                <w:rFonts w:hint="eastAsia" w:ascii="宋体" w:hAnsi="宋体" w:eastAsia="宋体"/>
                <w:color w:val="auto"/>
                <w:highlight w:val="none"/>
              </w:rPr>
            </w:pPr>
          </w:p>
        </w:tc>
        <w:tc>
          <w:tcPr>
            <w:tcW w:w="0" w:type="auto"/>
            <w:vAlign w:val="center"/>
          </w:tcPr>
          <w:p w14:paraId="293686F5">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用户解锁</w:t>
            </w:r>
          </w:p>
        </w:tc>
        <w:tc>
          <w:tcPr>
            <w:tcW w:w="0" w:type="auto"/>
            <w:vAlign w:val="center"/>
          </w:tcPr>
          <w:p w14:paraId="0B92113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用户密码输入次数超过设定上限后会自动被锁，提供了用户解锁的功能</w:t>
            </w:r>
            <w:r>
              <w:rPr>
                <w:rFonts w:hint="eastAsia" w:ascii="宋体" w:hAnsi="宋体" w:eastAsia="宋体"/>
                <w:color w:val="auto"/>
                <w:highlight w:val="none"/>
              </w:rPr>
              <w:t>。</w:t>
            </w:r>
          </w:p>
        </w:tc>
      </w:tr>
      <w:tr w14:paraId="2BC5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00B7DE4C">
            <w:pPr>
              <w:adjustRightInd w:val="0"/>
              <w:snapToGrid w:val="0"/>
              <w:spacing w:line="360" w:lineRule="auto"/>
              <w:rPr>
                <w:rFonts w:hint="eastAsia" w:ascii="宋体" w:hAnsi="宋体" w:eastAsia="宋体"/>
                <w:color w:val="auto"/>
                <w:highlight w:val="none"/>
              </w:rPr>
            </w:pPr>
          </w:p>
        </w:tc>
        <w:tc>
          <w:tcPr>
            <w:tcW w:w="0" w:type="auto"/>
            <w:vAlign w:val="center"/>
          </w:tcPr>
          <w:p w14:paraId="0B36C67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登录背景</w:t>
            </w:r>
          </w:p>
        </w:tc>
        <w:tc>
          <w:tcPr>
            <w:tcW w:w="0" w:type="auto"/>
            <w:vAlign w:val="center"/>
          </w:tcPr>
          <w:p w14:paraId="347DFF4D">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提供界面的登录背景设置，可根据不同的节日设置不同的背景样式</w:t>
            </w:r>
            <w:r>
              <w:rPr>
                <w:rFonts w:hint="eastAsia" w:ascii="宋体" w:hAnsi="宋体" w:eastAsia="宋体"/>
                <w:color w:val="auto"/>
                <w:highlight w:val="none"/>
              </w:rPr>
              <w:t>。</w:t>
            </w:r>
          </w:p>
        </w:tc>
      </w:tr>
      <w:tr w14:paraId="3689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52AE08B4">
            <w:pPr>
              <w:adjustRightInd w:val="0"/>
              <w:snapToGrid w:val="0"/>
              <w:spacing w:line="360" w:lineRule="auto"/>
              <w:rPr>
                <w:rFonts w:hint="eastAsia" w:ascii="宋体" w:hAnsi="宋体" w:eastAsia="宋体"/>
                <w:color w:val="auto"/>
                <w:highlight w:val="none"/>
              </w:rPr>
            </w:pPr>
          </w:p>
        </w:tc>
        <w:tc>
          <w:tcPr>
            <w:tcW w:w="0" w:type="auto"/>
            <w:vAlign w:val="center"/>
          </w:tcPr>
          <w:p w14:paraId="2E6E1243">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单点科室</w:t>
            </w:r>
          </w:p>
        </w:tc>
        <w:tc>
          <w:tcPr>
            <w:tcW w:w="0" w:type="auto"/>
            <w:vAlign w:val="center"/>
          </w:tcPr>
          <w:p w14:paraId="3454C4F7">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提供单点科室信息查看信息，实时看到科室相关信息是否已完成同步</w:t>
            </w:r>
            <w:r>
              <w:rPr>
                <w:rFonts w:hint="eastAsia" w:ascii="宋体" w:hAnsi="宋体" w:eastAsia="宋体"/>
                <w:color w:val="auto"/>
                <w:highlight w:val="none"/>
              </w:rPr>
              <w:t>。</w:t>
            </w:r>
          </w:p>
        </w:tc>
      </w:tr>
      <w:tr w14:paraId="6EAD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tcBorders>
            <w:vAlign w:val="center"/>
          </w:tcPr>
          <w:p w14:paraId="674F42CF">
            <w:pPr>
              <w:adjustRightInd w:val="0"/>
              <w:snapToGrid w:val="0"/>
              <w:spacing w:line="360" w:lineRule="auto"/>
              <w:rPr>
                <w:rFonts w:hint="eastAsia" w:ascii="宋体" w:hAnsi="宋体" w:eastAsia="宋体"/>
                <w:color w:val="auto"/>
                <w:highlight w:val="none"/>
              </w:rPr>
            </w:pPr>
          </w:p>
        </w:tc>
        <w:tc>
          <w:tcPr>
            <w:tcW w:w="0" w:type="auto"/>
            <w:vAlign w:val="center"/>
          </w:tcPr>
          <w:p w14:paraId="1812171C">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系统参数</w:t>
            </w:r>
          </w:p>
        </w:tc>
        <w:tc>
          <w:tcPr>
            <w:tcW w:w="0" w:type="auto"/>
            <w:vAlign w:val="center"/>
          </w:tcPr>
          <w:p w14:paraId="7DB74A14">
            <w:pPr>
              <w:adjustRightInd w:val="0"/>
              <w:snapToGrid w:val="0"/>
              <w:spacing w:line="360" w:lineRule="auto"/>
              <w:rPr>
                <w:rFonts w:hint="eastAsia" w:ascii="宋体" w:hAnsi="宋体" w:eastAsia="宋体"/>
                <w:color w:val="auto"/>
                <w:highlight w:val="none"/>
              </w:rPr>
            </w:pPr>
            <w:r>
              <w:rPr>
                <w:rFonts w:ascii="宋体" w:hAnsi="宋体" w:eastAsia="宋体"/>
                <w:color w:val="auto"/>
                <w:highlight w:val="none"/>
              </w:rPr>
              <w:t>提供各个系统的统一参数配置维护</w:t>
            </w:r>
            <w:r>
              <w:rPr>
                <w:rFonts w:hint="eastAsia" w:ascii="宋体" w:hAnsi="宋体" w:eastAsia="宋体"/>
                <w:color w:val="auto"/>
                <w:highlight w:val="none"/>
              </w:rPr>
              <w:t>。</w:t>
            </w:r>
          </w:p>
        </w:tc>
      </w:tr>
    </w:tbl>
    <w:p w14:paraId="4C524C5E">
      <w:pPr>
        <w:spacing w:line="360" w:lineRule="auto"/>
        <w:rPr>
          <w:rFonts w:hint="eastAsia" w:ascii="宋体" w:hAnsi="宋体" w:eastAsia="宋体"/>
          <w:color w:val="auto"/>
          <w:highlight w:val="none"/>
        </w:rPr>
      </w:pPr>
    </w:p>
    <w:p w14:paraId="359A1C99">
      <w:pPr>
        <w:pStyle w:val="3"/>
        <w:numPr>
          <w:ilvl w:val="1"/>
          <w:numId w:val="2"/>
        </w:numPr>
        <w:bidi w:val="0"/>
        <w:rPr>
          <w:rFonts w:hint="eastAsia"/>
          <w:color w:val="auto"/>
          <w:highlight w:val="none"/>
        </w:rPr>
      </w:pPr>
      <w:r>
        <w:rPr>
          <w:rFonts w:hint="eastAsia"/>
          <w:color w:val="auto"/>
          <w:highlight w:val="none"/>
        </w:rPr>
        <w:t>互联互通四甲测评贴身服务</w:t>
      </w:r>
    </w:p>
    <w:p w14:paraId="06FEC4B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通过对医院信息系统进行整体评估，在满足医院现有业务需求和工作任务的基础上，对现有医院现有信息系统进行全面升级改造，查漏补缺，实现数据资源和信息服务的高度标准化规范化，实现医院内部信息系统全面互联互通和信息共享，实现与外部应用系统的标准化对接，提高医院信息系统整体应用水平，实现各级医疗机构医疗卫生服务与管理系统的标准化建设，促进实现医疗卫生机构之间标准化互联互通和信息共享，让信息化为医院带来更多的社会效益和经济效益。本次项目将为医院提供参评互联互通评审全流程贴身服务，提前一年进行对标及方案设计，保证系统功能运用时长最少半年，并且建设数据管控组织、管理、技术、执行等体系架构。具体的咨询服务内容介绍如下：</w:t>
      </w:r>
    </w:p>
    <w:p w14:paraId="0FE909D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1、整理第一版的报名材料，涉及医院自我评估的推动，在线内容填写，证明材料编写等。</w:t>
      </w:r>
    </w:p>
    <w:p w14:paraId="713E85A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2、证明材料对照医院内容，进行细节校准，并进行汇报PPT编写，涉及证明材料及PPT编写等。</w:t>
      </w:r>
    </w:p>
    <w:p w14:paraId="7C3B803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3、组织团队开展实验室测评准备+准备前往北京测评中心，需要就实验室测评12项材料进行准备。材料清单如下：</w:t>
      </w:r>
    </w:p>
    <w:p w14:paraId="31DE473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01-测试数据（用于数据集和共享文档测试）</w:t>
      </w:r>
    </w:p>
    <w:p w14:paraId="55C8B01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02-测试数据（用于交互服务测试）</w:t>
      </w:r>
    </w:p>
    <w:p w14:paraId="6E80392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03-产品说明文档</w:t>
      </w:r>
    </w:p>
    <w:p w14:paraId="1C7B7BB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04-业务系统全屏截屏</w:t>
      </w:r>
    </w:p>
    <w:p w14:paraId="3C8D08C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05-共享文档照片信息索引说明</w:t>
      </w:r>
    </w:p>
    <w:p w14:paraId="6D62CBFE">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06-共享文档数据元比例调查表</w:t>
      </w:r>
    </w:p>
    <w:p w14:paraId="5C5A594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07-交互服务日志截图</w:t>
      </w:r>
    </w:p>
    <w:p w14:paraId="53E3175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08-被测环境（虚拟机，用于交互服务测试）</w:t>
      </w:r>
    </w:p>
    <w:p w14:paraId="4A290612">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09-被测环境运行配置说明</w:t>
      </w:r>
    </w:p>
    <w:p w14:paraId="7CF136F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10-实验室测试配置表</w:t>
      </w:r>
    </w:p>
    <w:p w14:paraId="61825AE8">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11-实验室测试登记表</w:t>
      </w:r>
    </w:p>
    <w:p w14:paraId="5FB23E55">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12-申请机构测试数据声明</w:t>
      </w:r>
    </w:p>
    <w:p w14:paraId="7AE6407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4、实验室专家来医院开展定量查验工作。</w:t>
      </w:r>
    </w:p>
    <w:p w14:paraId="6820E1C7">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提前准备内容包括：</w:t>
      </w:r>
    </w:p>
    <w:p w14:paraId="14838E5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01-标准应用情况调查表</w:t>
      </w:r>
    </w:p>
    <w:p w14:paraId="1859FD5C">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02-平台联通业务</w:t>
      </w:r>
    </w:p>
    <w:p w14:paraId="4D20E47D">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03-基础信息调查表</w:t>
      </w:r>
    </w:p>
    <w:p w14:paraId="58A23FDA">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04-现场环境拓扑及配置表</w:t>
      </w:r>
    </w:p>
    <w:p w14:paraId="335A931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5、现场查验最终部分，卫计委邀请各5名以上专家到医院现场开展为期1到2天的现场查验工作，以及现场各项提早准备工作等。</w:t>
      </w:r>
    </w:p>
    <w:p w14:paraId="0DA3418D">
      <w:pPr>
        <w:pStyle w:val="3"/>
        <w:numPr>
          <w:ilvl w:val="1"/>
          <w:numId w:val="2"/>
        </w:numPr>
        <w:bidi w:val="0"/>
        <w:rPr>
          <w:rFonts w:hint="eastAsia"/>
          <w:color w:val="auto"/>
          <w:highlight w:val="none"/>
        </w:rPr>
      </w:pPr>
      <w:bookmarkStart w:id="59" w:name="_Toc187691851"/>
      <w:r>
        <w:rPr>
          <w:rFonts w:hint="eastAsia"/>
          <w:color w:val="auto"/>
          <w:highlight w:val="none"/>
        </w:rPr>
        <w:t>系统集成与升级</w:t>
      </w:r>
      <w:bookmarkEnd w:id="59"/>
    </w:p>
    <w:p w14:paraId="5060869E">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对以下系统进行升级与集成</w:t>
      </w:r>
      <w:r>
        <w:rPr>
          <w:rFonts w:hint="eastAsia" w:ascii="宋体" w:hAnsi="宋体"/>
          <w:color w:val="auto"/>
          <w:highlight w:val="none"/>
          <w:lang w:eastAsia="zh-CN"/>
        </w:rPr>
        <w:t>（总体要求</w:t>
      </w:r>
      <w:r>
        <w:rPr>
          <w:rFonts w:hint="eastAsia"/>
          <w:color w:val="auto"/>
          <w:highlight w:val="none"/>
          <w:lang w:val="en-US" w:eastAsia="zh-CN"/>
        </w:rPr>
        <w:t>达到电子病例四级，互联互通测评四甲评审要求</w:t>
      </w:r>
      <w:r>
        <w:rPr>
          <w:rFonts w:hint="eastAsia" w:ascii="宋体" w:hAnsi="宋体"/>
          <w:color w:val="auto"/>
          <w:highlight w:val="none"/>
          <w:lang w:eastAsia="zh-CN"/>
        </w:rPr>
        <w:t>）</w:t>
      </w:r>
      <w:r>
        <w:rPr>
          <w:rFonts w:hint="eastAsia" w:ascii="宋体" w:hAnsi="宋体" w:eastAsia="宋体"/>
          <w:color w:val="auto"/>
          <w:highlight w:val="none"/>
        </w:rPr>
        <w:t>：</w:t>
      </w:r>
    </w:p>
    <w:p w14:paraId="13550BF5">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RBRVS绩效考核系统</w:t>
      </w:r>
    </w:p>
    <w:p w14:paraId="0F42201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排队叫号系统</w:t>
      </w:r>
    </w:p>
    <w:p w14:paraId="0F48F80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病案系统</w:t>
      </w:r>
    </w:p>
    <w:p w14:paraId="2BBC7CC9">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LIS系统</w:t>
      </w:r>
    </w:p>
    <w:p w14:paraId="36A2B6E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PACS</w:t>
      </w:r>
    </w:p>
    <w:p w14:paraId="2178394F">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DRGS管理</w:t>
      </w:r>
    </w:p>
    <w:p w14:paraId="77B13821">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HRP</w:t>
      </w:r>
    </w:p>
    <w:p w14:paraId="3BE5F8B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不良事件上报</w:t>
      </w:r>
    </w:p>
    <w:p w14:paraId="334B23E4">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院感系统</w:t>
      </w:r>
    </w:p>
    <w:p w14:paraId="2CD38813">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供应室追溯系统、内镜追溯系统</w:t>
      </w:r>
    </w:p>
    <w:p w14:paraId="138CDB6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产科电子病历</w:t>
      </w:r>
    </w:p>
    <w:p w14:paraId="4246E8A7">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审方系统合理用药处方点评</w:t>
      </w:r>
    </w:p>
    <w:p w14:paraId="75F08260">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随访系统</w:t>
      </w:r>
    </w:p>
    <w:p w14:paraId="3DE7C9E8">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自助机接口（门诊、住院、自助开单）</w:t>
      </w:r>
    </w:p>
    <w:p w14:paraId="5BF84ED6">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微信预约，挂号</w:t>
      </w:r>
    </w:p>
    <w:p w14:paraId="0E6614DD">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输血管理</w:t>
      </w:r>
    </w:p>
    <w:p w14:paraId="42C1444B">
      <w:pPr>
        <w:spacing w:line="360" w:lineRule="auto"/>
        <w:ind w:firstLine="371" w:firstLineChars="177"/>
        <w:rPr>
          <w:rFonts w:hint="eastAsia" w:ascii="宋体" w:hAnsi="宋体" w:eastAsia="宋体"/>
          <w:color w:val="auto"/>
          <w:highlight w:val="none"/>
        </w:rPr>
      </w:pPr>
      <w:r>
        <w:rPr>
          <w:rFonts w:hint="eastAsia" w:ascii="宋体" w:hAnsi="宋体" w:eastAsia="宋体"/>
          <w:color w:val="auto"/>
          <w:highlight w:val="none"/>
        </w:rPr>
        <w:t>抖音预约小程序</w:t>
      </w:r>
    </w:p>
    <w:p w14:paraId="6A51BFD1">
      <w:pPr>
        <w:pStyle w:val="3"/>
        <w:numPr>
          <w:ilvl w:val="1"/>
          <w:numId w:val="2"/>
        </w:numPr>
        <w:bidi w:val="0"/>
        <w:rPr>
          <w:rFonts w:hint="eastAsia"/>
          <w:color w:val="auto"/>
          <w:highlight w:val="none"/>
        </w:rPr>
      </w:pPr>
      <w:r>
        <w:rPr>
          <w:rFonts w:hint="eastAsia"/>
          <w:color w:val="auto"/>
          <w:highlight w:val="none"/>
        </w:rPr>
        <w:t>其他系统</w:t>
      </w:r>
    </w:p>
    <w:p w14:paraId="2580169A">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体检系统（智能导诊）</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286"/>
      </w:tblGrid>
      <w:tr w14:paraId="7FE4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14:paraId="3D88ECC9">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产品名称</w:t>
            </w:r>
          </w:p>
        </w:tc>
        <w:tc>
          <w:tcPr>
            <w:tcW w:w="7985" w:type="dxa"/>
            <w:tcBorders>
              <w:top w:val="single" w:color="auto" w:sz="4" w:space="0"/>
              <w:left w:val="single" w:color="auto" w:sz="4" w:space="0"/>
              <w:bottom w:val="single" w:color="auto" w:sz="4" w:space="0"/>
              <w:right w:val="single" w:color="auto" w:sz="4" w:space="0"/>
            </w:tcBorders>
            <w:vAlign w:val="center"/>
          </w:tcPr>
          <w:p w14:paraId="33A713AE">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功能要求</w:t>
            </w:r>
          </w:p>
        </w:tc>
      </w:tr>
      <w:tr w14:paraId="1D97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6AD8C22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1、整体要求</w:t>
            </w:r>
          </w:p>
        </w:tc>
      </w:tr>
      <w:tr w14:paraId="0106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2B78B58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整体要求</w:t>
            </w:r>
          </w:p>
        </w:tc>
        <w:tc>
          <w:tcPr>
            <w:tcW w:w="7985" w:type="dxa"/>
            <w:tcBorders>
              <w:top w:val="single" w:color="auto" w:sz="4" w:space="0"/>
              <w:left w:val="single" w:color="auto" w:sz="4" w:space="0"/>
              <w:bottom w:val="single" w:color="auto" w:sz="4" w:space="0"/>
              <w:right w:val="single" w:color="auto" w:sz="4" w:space="0"/>
            </w:tcBorders>
          </w:tcPr>
          <w:p w14:paraId="696C6C3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项目与医院现有系统实现全数据共享，满足任一数据一点录入、多点共享原则；</w:t>
            </w:r>
          </w:p>
          <w:p w14:paraId="5E4967D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整体设计具有标准性、可用性、先进性、安全性、整合性等特点。</w:t>
            </w:r>
          </w:p>
        </w:tc>
      </w:tr>
      <w:tr w14:paraId="522D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D83EBF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3FFC8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系统符合国家结构化的、模块化的、稳定可靠的、实用的产品。必须符合《医院信息系统基本功能规范》新版标准的要求。必须符合《浙江省质控联合检查评分标准（健康体检专业）》的要求。</w:t>
            </w:r>
          </w:p>
        </w:tc>
      </w:tr>
      <w:tr w14:paraId="2EFC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CD984A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DEE819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内网服务器采用Windows2008 Server R2及以上版本操作系统。内、外网应用：健康体检管理系统、微信公众号平台须使用常规的大型数据库SQL SERVER。</w:t>
            </w:r>
          </w:p>
        </w:tc>
      </w:tr>
      <w:tr w14:paraId="751C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1" w:type="dxa"/>
            <w:vMerge w:val="continue"/>
            <w:tcBorders>
              <w:left w:val="single" w:color="auto" w:sz="4" w:space="0"/>
              <w:right w:val="single" w:color="auto" w:sz="4" w:space="0"/>
            </w:tcBorders>
            <w:vAlign w:val="center"/>
          </w:tcPr>
          <w:p w14:paraId="504B10D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E82899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拥有检前通过微信公众号实现个检和团检的个性化体检预约功能，实现在线支付功能，预约数据与内网预约管理同步；检中健康体检信息管理功能、自助取单功能；检后通过微信公众号查询体检报告功能（实现历年结果对比）、检后复检通知、疾病通知随访功能。</w:t>
            </w:r>
          </w:p>
        </w:tc>
      </w:tr>
      <w:tr w14:paraId="7DC4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900B35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503850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客户机支持 Windows 7及以上版本。</w:t>
            </w:r>
          </w:p>
        </w:tc>
      </w:tr>
      <w:tr w14:paraId="53B1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F3756C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FAD3F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系统性能应满足医院的要求，稳定、可靠、实用。人机界面友好，输出、输入方便，图表生成美观，检索、查询简单快捷。</w:t>
            </w:r>
          </w:p>
        </w:tc>
      </w:tr>
      <w:tr w14:paraId="38D8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left w:val="single" w:color="auto" w:sz="4" w:space="0"/>
              <w:bottom w:val="single" w:color="auto" w:sz="4" w:space="0"/>
              <w:right w:val="single" w:color="auto" w:sz="4" w:space="0"/>
            </w:tcBorders>
            <w:vAlign w:val="center"/>
          </w:tcPr>
          <w:p w14:paraId="5C82793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2、健康体检信息管理系统</w:t>
            </w:r>
          </w:p>
        </w:tc>
      </w:tr>
      <w:tr w14:paraId="0EC1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restart"/>
            <w:tcBorders>
              <w:top w:val="single" w:color="auto" w:sz="4" w:space="0"/>
              <w:left w:val="single" w:color="auto" w:sz="4" w:space="0"/>
              <w:right w:val="single" w:color="auto" w:sz="4" w:space="0"/>
            </w:tcBorders>
            <w:vAlign w:val="center"/>
          </w:tcPr>
          <w:p w14:paraId="336FC95C">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知识库</w:t>
            </w:r>
          </w:p>
        </w:tc>
        <w:tc>
          <w:tcPr>
            <w:tcW w:w="7985" w:type="dxa"/>
            <w:tcBorders>
              <w:top w:val="single" w:color="auto" w:sz="4" w:space="0"/>
              <w:left w:val="single" w:color="auto" w:sz="4" w:space="0"/>
              <w:bottom w:val="single" w:color="auto" w:sz="4" w:space="0"/>
              <w:right w:val="single" w:color="auto" w:sz="4" w:space="0"/>
            </w:tcBorders>
          </w:tcPr>
          <w:p w14:paraId="57C6345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①系统有内、外、眼、耳鼻喉、妇、口腔科，体检中心必备科室检查项目及项目结果模板库，体检结果和自动诊断绑定的专门知识库。</w:t>
            </w:r>
          </w:p>
        </w:tc>
      </w:tr>
      <w:tr w14:paraId="35D2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continue"/>
            <w:tcBorders>
              <w:left w:val="single" w:color="auto" w:sz="4" w:space="0"/>
              <w:right w:val="single" w:color="auto" w:sz="4" w:space="0"/>
            </w:tcBorders>
            <w:vAlign w:val="center"/>
          </w:tcPr>
          <w:p w14:paraId="69FF091B">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B10EB0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②系统有专门的检验知识库，医院所有用到的检验组合项目、体检项目，检验项目的判断标准，结果是否一般阳性、重大阳性、危急值的判断区间，自动生成诊断的知识库。</w:t>
            </w:r>
          </w:p>
        </w:tc>
      </w:tr>
      <w:tr w14:paraId="3CC2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1" w:type="dxa"/>
            <w:vMerge w:val="continue"/>
            <w:tcBorders>
              <w:left w:val="single" w:color="auto" w:sz="4" w:space="0"/>
              <w:right w:val="single" w:color="auto" w:sz="4" w:space="0"/>
            </w:tcBorders>
            <w:vAlign w:val="center"/>
          </w:tcPr>
          <w:p w14:paraId="7672670F">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E8B82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③系统有专门的超声、放射、MR、病理等医技检查每个部位的专业知识库，自动诊断</w:t>
            </w:r>
          </w:p>
        </w:tc>
      </w:tr>
      <w:tr w14:paraId="2854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01" w:type="dxa"/>
            <w:vMerge w:val="continue"/>
            <w:tcBorders>
              <w:left w:val="single" w:color="auto" w:sz="4" w:space="0"/>
              <w:right w:val="single" w:color="auto" w:sz="4" w:space="0"/>
            </w:tcBorders>
            <w:vAlign w:val="center"/>
          </w:tcPr>
          <w:p w14:paraId="5BBA2A19">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E620D6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④系统拥有不少于6000条实际有效的诊断知识库，每条诊断有性别、年龄段、体检次数不同的体检建议。</w:t>
            </w:r>
          </w:p>
        </w:tc>
      </w:tr>
      <w:tr w14:paraId="56A0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01" w:type="dxa"/>
            <w:vMerge w:val="continue"/>
            <w:tcBorders>
              <w:left w:val="single" w:color="auto" w:sz="4" w:space="0"/>
              <w:right w:val="single" w:color="auto" w:sz="4" w:space="0"/>
            </w:tcBorders>
            <w:vAlign w:val="center"/>
          </w:tcPr>
          <w:p w14:paraId="1D2AFFE2">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4C38D4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⑤系统有诊断互斥功能，同类诊断不会在总检时同时出现。</w:t>
            </w:r>
          </w:p>
        </w:tc>
      </w:tr>
      <w:tr w14:paraId="633C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1" w:type="dxa"/>
            <w:vMerge w:val="continue"/>
            <w:tcBorders>
              <w:left w:val="single" w:color="auto" w:sz="4" w:space="0"/>
              <w:right w:val="single" w:color="auto" w:sz="4" w:space="0"/>
            </w:tcBorders>
            <w:vAlign w:val="center"/>
          </w:tcPr>
          <w:p w14:paraId="668C70A6">
            <w:pPr>
              <w:spacing w:line="360" w:lineRule="auto"/>
              <w:jc w:val="center"/>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80C82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⑥系统有体检各种随访必须要有的短信库，预约短信、可领报告、体检时间及注意事项、生日短信、节日短信等。</w:t>
            </w:r>
          </w:p>
        </w:tc>
      </w:tr>
      <w:tr w14:paraId="1488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1686DAA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体检预约</w:t>
            </w:r>
          </w:p>
        </w:tc>
        <w:tc>
          <w:tcPr>
            <w:tcW w:w="7985" w:type="dxa"/>
            <w:tcBorders>
              <w:top w:val="single" w:color="auto" w:sz="4" w:space="0"/>
              <w:left w:val="single" w:color="auto" w:sz="4" w:space="0"/>
              <w:bottom w:val="single" w:color="auto" w:sz="4" w:space="0"/>
              <w:right w:val="single" w:color="auto" w:sz="4" w:space="0"/>
            </w:tcBorders>
          </w:tcPr>
          <w:p w14:paraId="4C37DA2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①实现个人或单位团体的来人预约、电话预约、微信的线上个性化智能体检预约等，实现在线支付及对账管理功能。线上预约数据及时同步到内网系统。</w:t>
            </w:r>
          </w:p>
        </w:tc>
      </w:tr>
      <w:tr w14:paraId="3C11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2D9E1B9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7F9F4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②内网系统有预约管理功能，在一个界面内直观的汇总显示每天个人预约人数、单位预约人数和总人数。直观的列出某一天已经预约好的人员名单，系统能汇总出特殊项目的已约人次数和科室人次数。</w:t>
            </w:r>
          </w:p>
        </w:tc>
      </w:tr>
      <w:tr w14:paraId="2F56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0F1F0F0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C70708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③个人可以在微信公众号里实现实名注册，单位团体可以由体检软件导入名单后，传到微信平台的后台操作，可以清楚区分同一个人，历年在不同单位的体检记录。</w:t>
            </w:r>
          </w:p>
        </w:tc>
      </w:tr>
      <w:tr w14:paraId="2972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634663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8C3667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④针对到医院现场的散客，能够快速、便捷的实现个性化体检预约。对于互联网用户，需兼顾到普通用户并不具备专业医疗知识的特点。在预约方式、措施上可以实现灵活应对。</w:t>
            </w:r>
          </w:p>
        </w:tc>
      </w:tr>
      <w:tr w14:paraId="2765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968335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BCA892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外网系统支持套餐推荐功能，支持套餐自定义排序，套餐支持客户加项或减项，支持必选项目、可选默认选中项目、可选默认不选中项目。支持套餐前台隐藏功能、支持套餐不可预约状态，支持套餐是否配置项目提醒功能，支持套餐性别限制、婚姻状况限制，支持套餐封面图功能。</w:t>
            </w:r>
          </w:p>
        </w:tc>
      </w:tr>
      <w:tr w14:paraId="1C1F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71D007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C867EF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实现线上预约的1+X+Y模式的体检套餐，实现个性化体检套餐预约；套餐预约、全项目选择预约。线上预约完成体检套餐制定后，经订单确定、可直接实现线上缴费；预约成功后立即收到短信信息所检项目所需要注意的事项提醒；自助打印导引单（可根据身份证号、体检号等不同信息识别打印）。</w:t>
            </w:r>
          </w:p>
        </w:tc>
      </w:tr>
      <w:tr w14:paraId="591A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807E41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3393B8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⑦团体线上预约同样支持个性化体检套餐制定，增减项目、超费部分线上实现直接缴费、退费。</w:t>
            </w:r>
          </w:p>
        </w:tc>
      </w:tr>
      <w:tr w14:paraId="402A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BF0A9D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49634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⑧各种途径的预约数据自动汇总生成预约统计表，实现预约数据统一管理，有每日体检个人、单位预约限额功能，对特殊人员的来检预约数据有相关标识（VIP，企事业单位领导等）。</w:t>
            </w:r>
          </w:p>
        </w:tc>
      </w:tr>
      <w:tr w14:paraId="3C15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821FE9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B09E7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⑨体检报告出来以后可以通过微信公众号平台，直接查看体检报告，实现体检最多跑一次功能。手机上体检报告可实现历年数据对比。</w:t>
            </w:r>
          </w:p>
        </w:tc>
      </w:tr>
      <w:tr w14:paraId="0426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6EEE8F33">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体检登记</w:t>
            </w:r>
          </w:p>
        </w:tc>
        <w:tc>
          <w:tcPr>
            <w:tcW w:w="7985" w:type="dxa"/>
            <w:tcBorders>
              <w:top w:val="single" w:color="auto" w:sz="4" w:space="0"/>
              <w:left w:val="single" w:color="auto" w:sz="4" w:space="0"/>
              <w:bottom w:val="single" w:color="auto" w:sz="4" w:space="0"/>
              <w:right w:val="single" w:color="auto" w:sz="4" w:space="0"/>
            </w:tcBorders>
          </w:tcPr>
          <w:p w14:paraId="2D1A21C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提供健康档案管理功能，自动生成健康档案号。实现一号制管理：通过二代身份证刷取或手工录入的方式完成个人信息的采集，支持直接读取身份证上照片或摄像头采集个人照片。根据身份证号码自动生成（或与往年健康档案绑定）健康档案；没有身份证号的，要有同名绑定功能：通过同名、工作单位相同、手机号相同、出生日期相同等条件进行手工绑定（或与往年健康档案绑定）。</w:t>
            </w:r>
          </w:p>
        </w:tc>
      </w:tr>
      <w:tr w14:paraId="1894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E83206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192F64">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②登记时在一个界面内就可以选择健康体检，登记完成后能按各体检类型完成不同的业务流程。</w:t>
            </w:r>
          </w:p>
        </w:tc>
      </w:tr>
      <w:tr w14:paraId="25A2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DCA1EF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BB24DCF">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③通过刷身份证，自动填写身份证上有的信息。根据身份证号调出该来检体人员的历史档案数据，档案数据须包含：疾病史、家族史、手术史、投诉建议记录、历年体检记录。</w:t>
            </w:r>
          </w:p>
        </w:tc>
      </w:tr>
      <w:tr w14:paraId="0B0F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282222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794222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个人体检登记：可以直接选择基础体检套餐，可以复制其他人的套餐，可以叠加选择体检套餐，可以在套餐基础上按拼音码（关键字）或科室过滤快速实现增、减体检项目，实现体检项目的确定，（自动分析抽血费、材料费，根据需要添加早餐费）。每个体检项目都有单价，体检总金额当场合计。内、外网实时联动，外网体检预约数据直接进行登记操作。可实现快速船员体检登记。</w:t>
            </w:r>
          </w:p>
        </w:tc>
      </w:tr>
      <w:tr w14:paraId="601E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42B1DA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FBBB8A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⑤登记界面内系统具备从人员档案内调出往年已经体检过的人的身份信息（黑名单、普通人、白名单）。</w:t>
            </w:r>
          </w:p>
        </w:tc>
      </w:tr>
      <w:tr w14:paraId="6EC0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43DE10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1BE1313">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单位体检登记：新来的单位创建单位信息，老单位找到原来单位信息后直接建立当年的单位体检记录，同一个单位多年体检记录都在一个目录下，可以清楚了解某个单位哪几年是在本院体检。针对集团单位、财政局、教育局等一个总单位下有无数子单位的，可以有单位分组功能管理功能（可以按总单位进行财务结算或生成总的单位团体报告）。</w:t>
            </w:r>
          </w:p>
        </w:tc>
      </w:tr>
      <w:tr w14:paraId="7A7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D6ECDC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86FB52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⑦能通过EXCEL文件导入单位体检名单，能自动识别名单内信息列，能判断性别、手机号、身份证号是否正确。</w:t>
            </w:r>
          </w:p>
        </w:tc>
      </w:tr>
      <w:tr w14:paraId="37F1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1C716B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71C647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⑧系统能针对某个单位的体检记录创建体检套餐（可以复制往年或其他单位的的套餐），套餐拥有协议单价功能。通过性别、年龄段、婚姻状况、单位内部门、接触的危害因素等多种条件，把套餐分配给每个人。</w:t>
            </w:r>
          </w:p>
        </w:tc>
      </w:tr>
      <w:tr w14:paraId="6F50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54F82B00">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结算收费</w:t>
            </w:r>
          </w:p>
        </w:tc>
        <w:tc>
          <w:tcPr>
            <w:tcW w:w="7985" w:type="dxa"/>
            <w:tcBorders>
              <w:top w:val="single" w:color="auto" w:sz="4" w:space="0"/>
              <w:left w:val="single" w:color="auto" w:sz="4" w:space="0"/>
              <w:bottom w:val="single" w:color="auto" w:sz="4" w:space="0"/>
              <w:right w:val="single" w:color="auto" w:sz="4" w:space="0"/>
            </w:tcBorders>
          </w:tcPr>
          <w:p w14:paraId="2E23E96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①个人体检一般都是先收费后体检，针对特殊情况可在主任审核同意后，先体检再收费或不收费，读取线上已经缴费的信息直接跳过此步骤。</w:t>
            </w:r>
          </w:p>
        </w:tc>
      </w:tr>
      <w:tr w14:paraId="788E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B2DC90D">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317194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个人体检结算:个人体检在登记完成后需先收费后体检，系统可以自动结算一个来检人员（或几个个检人员）的所有体检项目分项单价，自动汇总金额，可以选择结算人的体检号；可以按总价整体打折，可以单项打折或单项进行单价修改，可以总价摸零处理，得出最后付费金额。可以把几个人结算到一起开一张发票，发票的抬头可以手工输入，发票可以打印所有项目明细，可以按套餐打印，也可以只开一笔体检费。</w:t>
            </w:r>
          </w:p>
        </w:tc>
      </w:tr>
      <w:tr w14:paraId="4327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5651E5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506550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③单位体检一般先体检后与单位进行总体结算、收费，需要有单位挂账管理功能。</w:t>
            </w:r>
          </w:p>
        </w:tc>
      </w:tr>
      <w:tr w14:paraId="1CAD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21A71D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A5D4F9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单位体检结算：单位团体体检可先体检后结算收费，结算时支持单项打折、协议套餐结算、总价打折或摸零处理等多种折扣方式。可以直接打印出单位协议体检套餐、套餐项目明细、套餐金额、选择该套餐的人员名单；未检人员名单，未检（拒检）项目清单，套餐外加项人员及加项的项目清单等（个人已经付费的明确标识个人已经付费），以方便与单位进行结算。</w:t>
            </w:r>
          </w:p>
        </w:tc>
      </w:tr>
      <w:tr w14:paraId="2332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301" w:type="dxa"/>
            <w:vMerge w:val="continue"/>
            <w:tcBorders>
              <w:left w:val="single" w:color="auto" w:sz="4" w:space="0"/>
              <w:right w:val="single" w:color="auto" w:sz="4" w:space="0"/>
            </w:tcBorders>
            <w:vAlign w:val="center"/>
          </w:tcPr>
          <w:p w14:paraId="23FE463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63868C3">
            <w:pPr>
              <w:pStyle w:val="901"/>
              <w:spacing w:before="0"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rPr>
              <w:t>⑤具有单位挂账管理的功能，一个单位可以有多条体检记录，并根据体检记录支持开具多张不同抬头发票，对每张发票都有挂账、收款、坏账管理功能。</w:t>
            </w:r>
          </w:p>
        </w:tc>
      </w:tr>
      <w:tr w14:paraId="5359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D4072D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ED32DCE">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⑥系统开具的发票有领用、启用、缴销等管理功能。可以查询任何一张发票具体开具信息。</w:t>
            </w:r>
          </w:p>
        </w:tc>
      </w:tr>
      <w:tr w14:paraId="0D74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0F55B6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0CC2C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⑦使用体检系统收费，一笔体检费可以有现金、支付宝、微信、银行卡、会员卡等多种形式的混合收费。</w:t>
            </w:r>
          </w:p>
        </w:tc>
      </w:tr>
      <w:tr w14:paraId="37A9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49733E2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备单管理</w:t>
            </w:r>
          </w:p>
        </w:tc>
        <w:tc>
          <w:tcPr>
            <w:tcW w:w="7985" w:type="dxa"/>
            <w:tcBorders>
              <w:top w:val="single" w:color="auto" w:sz="4" w:space="0"/>
              <w:left w:val="single" w:color="auto" w:sz="4" w:space="0"/>
              <w:bottom w:val="single" w:color="auto" w:sz="4" w:space="0"/>
              <w:right w:val="single" w:color="auto" w:sz="4" w:space="0"/>
            </w:tcBorders>
          </w:tcPr>
          <w:p w14:paraId="26B7C2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①支持个人及单位团体的导检单、条码、医技科室的检查单的批量打印功能，打印后记录打印次数；具备导检单和条码补打操作（可以按单项或合并项选择补打），检查单补打功能。</w:t>
            </w:r>
          </w:p>
        </w:tc>
      </w:tr>
      <w:tr w14:paraId="2C56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56B3C1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C61E28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②所有打印的单据格式都具备自定义功能，支持不同类别的体检有不同格式导检单及条码打印格式，导检单上根据黑白名单打印相应的标识，以方便护士医生辨别。</w:t>
            </w:r>
          </w:p>
        </w:tc>
      </w:tr>
      <w:tr w14:paraId="0C11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44B74BC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34DC48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③支持使用二代身份证、或预约成功提示码自助打印导检单、条码、检查单。</w:t>
            </w:r>
          </w:p>
        </w:tc>
      </w:tr>
      <w:tr w14:paraId="108D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5C28FD3A">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来检确认管理</w:t>
            </w:r>
          </w:p>
        </w:tc>
        <w:tc>
          <w:tcPr>
            <w:tcW w:w="7985" w:type="dxa"/>
            <w:tcBorders>
              <w:top w:val="single" w:color="auto" w:sz="4" w:space="0"/>
              <w:left w:val="single" w:color="auto" w:sz="4" w:space="0"/>
              <w:bottom w:val="single" w:color="auto" w:sz="4" w:space="0"/>
              <w:right w:val="single" w:color="auto" w:sz="4" w:space="0"/>
            </w:tcBorders>
          </w:tcPr>
          <w:p w14:paraId="6C11D41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①来检确认功能：通过刷导检单或二代身份证，确认来检人员开始体检，确认时针对单位导入的名单信息不齐全的情况下，可补齐个人信息；自动拍下来检人员在前台的照片，以供后续科室确认身份。</w:t>
            </w:r>
          </w:p>
        </w:tc>
      </w:tr>
      <w:tr w14:paraId="4DAC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5F8397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9D5339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②收导检单功能：通过此功能可以确定来检人员是否所有科室都检查完毕，对拒检项目可以直接进行拒检标识及签字确认。</w:t>
            </w:r>
          </w:p>
        </w:tc>
      </w:tr>
      <w:tr w14:paraId="009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95F4DA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FCA325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③为了前台操作人员方便，来检确认和打印导检单功能必须在一个界面里完成。</w:t>
            </w:r>
          </w:p>
        </w:tc>
      </w:tr>
      <w:tr w14:paraId="3ED4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7D450B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543CA8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④来检人员到达健康管理中心后，可使用二代身份证在自助机上进行来检确认，确认时会自动拍下该人员的照片，以防止替检。</w:t>
            </w:r>
          </w:p>
        </w:tc>
      </w:tr>
      <w:tr w14:paraId="5B77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01" w:type="dxa"/>
            <w:vMerge w:val="continue"/>
            <w:tcBorders>
              <w:left w:val="single" w:color="auto" w:sz="4" w:space="0"/>
              <w:right w:val="single" w:color="auto" w:sz="4" w:space="0"/>
            </w:tcBorders>
            <w:vAlign w:val="center"/>
          </w:tcPr>
          <w:p w14:paraId="548B684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4AF22E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⑤系统具有体检挂起和解挂功能，对体检挂起人员有定时复检的通知功能。</w:t>
            </w:r>
          </w:p>
        </w:tc>
      </w:tr>
      <w:tr w14:paraId="5ABF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328646B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体检管理</w:t>
            </w:r>
          </w:p>
        </w:tc>
        <w:tc>
          <w:tcPr>
            <w:tcW w:w="7985" w:type="dxa"/>
            <w:tcBorders>
              <w:top w:val="single" w:color="auto" w:sz="4" w:space="0"/>
              <w:left w:val="single" w:color="auto" w:sz="4" w:space="0"/>
              <w:bottom w:val="single" w:color="auto" w:sz="4" w:space="0"/>
              <w:right w:val="single" w:color="auto" w:sz="4" w:space="0"/>
            </w:tcBorders>
          </w:tcPr>
          <w:p w14:paraId="213ADA1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①一般检查：实现与医院电子血压计，体重秤的接口，自动从设备获取结果数据，避免手工输入的差错，来检人员可自助进行一般检查。</w:t>
            </w:r>
          </w:p>
        </w:tc>
      </w:tr>
      <w:tr w14:paraId="73F6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B6EF6B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8BA1B8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抽血管理：抽血时刷导检单上的条码系统会显示该来检人员需要抽多少管血液样本，每支试管头什么颜色。每抽完一管，刷试管上的条码以确认该管血已抽，确保不会漏抽、错抽。同时抽血台拍照和展示前台已经拍取的照片功能，与前台拍的照片及身份证上照片进行比对，确认体检人身份。</w:t>
            </w:r>
          </w:p>
        </w:tc>
      </w:tr>
      <w:tr w14:paraId="0BB8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7338A4D">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760602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③血液、小便、大便、TCT病理样本等都可以进行采集确认。</w:t>
            </w:r>
          </w:p>
        </w:tc>
      </w:tr>
      <w:tr w14:paraId="1D3B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755EDB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B6279C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临床科室检查（内、外、眼、五官、眼、妇、口腔科等的临床科室体检结果当场录入）：通过刷来检人员导检单上条码，读取之前拍摄的照片以确认身份。各科室检查项目的正常结果值自动填，如有异常结果，医生通过鼠标拉选方式从结果模板中选取体检结果，实现零键盘输入出体检结果。体检结果模板有26个字母点击检索功能。自动生成科室小结，根据小结内容自动生成疾病诊断或异常信息。在界面上可以直接看到来检人员本次已经体检结束科室的体检结果以及历年所有项目的体检结果。可以直接知道本科室当天还有多少人没有检查。</w:t>
            </w:r>
          </w:p>
        </w:tc>
      </w:tr>
      <w:tr w14:paraId="3FC8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46476E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EF7CB7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⑥针对有图片的检查项目，科室结果录入界面必须有图片的查看功能，可以通过截图功能截取另外仪器的检查图片结果。</w:t>
            </w:r>
          </w:p>
        </w:tc>
      </w:tr>
      <w:tr w14:paraId="4CA9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033D4D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A426E7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⑦与医院的HIS、LIS、B超PACS、放射PACS（DR、CT、MR、内镜、病理、心电）等系统接口，实现医技科室体检结果的自动接收，同时具有防漏检，错检功能，对重大阳性或危急值体检结果调出重大阳性提醒处理功能。</w:t>
            </w:r>
          </w:p>
        </w:tc>
      </w:tr>
      <w:tr w14:paraId="5157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0744AA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755D14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⑧拥有专业的重大阳性、危急值结果设定库，医院有自己修改设定功能。在临床科室检查时或医技科室结果回收时，系统能自动判断体检结果是否为重大阳性或危急值，系统自动调出重大阳性提醒处理功能。</w:t>
            </w:r>
          </w:p>
        </w:tc>
      </w:tr>
      <w:tr w14:paraId="2627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CEB2F3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75F84C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⑨C13C14项目的倒时计：系统拥有C13、C14项目吃药以后的倒计时管理，时间到了，自动呼叫提醒来检人员回来吹气功能。</w:t>
            </w:r>
          </w:p>
        </w:tc>
      </w:tr>
      <w:tr w14:paraId="64D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1E47F69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1390D22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⑩实现与体检中心现有小仪器接口如：身高体重秤、血压计等体检设备的工作站的双向接口，在检查工作站上刷导检单上的条码可以自动往检查工作站软件中填写个人信息，集中收取所有辅助检查项目图文报告。实现体检报告中无纸张单页报告。</w:t>
            </w:r>
          </w:p>
        </w:tc>
      </w:tr>
      <w:tr w14:paraId="168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150B47CD">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总检处理</w:t>
            </w:r>
          </w:p>
        </w:tc>
        <w:tc>
          <w:tcPr>
            <w:tcW w:w="7985" w:type="dxa"/>
            <w:tcBorders>
              <w:top w:val="single" w:color="auto" w:sz="4" w:space="0"/>
              <w:left w:val="single" w:color="auto" w:sz="4" w:space="0"/>
              <w:bottom w:val="single" w:color="auto" w:sz="4" w:space="0"/>
              <w:right w:val="single" w:color="auto" w:sz="4" w:space="0"/>
            </w:tcBorders>
          </w:tcPr>
          <w:p w14:paraId="0F06DD2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预总检处理：具有检查所有体检项目结果是否齐全功能，是否有明显错误，应该有图片报告的项目图片是否收到的标识功能。项目结果不齐，但有先出体检报告需求的人，有强制结束，直接跳过总或直接进行总检的功能。对有明显的文字性错误，有进行修改或返回让该项目的检查医生修改的功能。</w:t>
            </w:r>
          </w:p>
        </w:tc>
      </w:tr>
      <w:tr w14:paraId="1389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E33355C">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518CB5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总检处理：总检界面可以查看所有体检项目结果功能，可以查看某些有图文报告的项目的图文报告。系统能自动收集所有体检阳性结果，并根据阳性结果自动生成体检综述功能。系统能对体检阳性结果进行分析，自动产生医生诊断及诊断建议，使主检医生可以很方便的完成总检操作。总检界面可以直接查看该体检人员历年体检结果。多个诊断可以自行合并给出体检建议，每个诊断可以设置星级。能直接登记随访任务。</w:t>
            </w:r>
          </w:p>
        </w:tc>
      </w:tr>
      <w:tr w14:paraId="2A0A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2F75314">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7C7210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系统具备丰富的诊断词库，且检查医生可以随时便捷对诊断词库进行修改。诊断及描述规范（诊断词库、健康建议知识库）等，实现体检报告及健康服务规范、专业、人性化。系统可以按性别、年龄、第几年在本中心体检，都可以产生不同的健康建议。</w:t>
            </w:r>
          </w:p>
        </w:tc>
      </w:tr>
      <w:tr w14:paraId="4804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0756D3F8">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3FA2A8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④总检界面上直接拥有复检信息登记功能，可以登记来检人员需要复检的项目，和复检日期及复检预通知日期。</w:t>
            </w:r>
          </w:p>
        </w:tc>
      </w:tr>
      <w:tr w14:paraId="2510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1CDBD71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BA1D0AA">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⑤总审处理：总检医生提交后由总审医生进行审核，对有问题的总检结论可以直接进行总审修改，或返回总检医生重新总检功能。</w:t>
            </w:r>
          </w:p>
        </w:tc>
      </w:tr>
      <w:tr w14:paraId="31C7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01" w:type="dxa"/>
            <w:vMerge w:val="continue"/>
            <w:tcBorders>
              <w:left w:val="single" w:color="auto" w:sz="4" w:space="0"/>
              <w:right w:val="single" w:color="auto" w:sz="4" w:space="0"/>
            </w:tcBorders>
            <w:vAlign w:val="center"/>
          </w:tcPr>
          <w:p w14:paraId="342D0BD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725052B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⑥复检管理：复检预通知日期到的时候，系统自动提醒对需要复检的人进行短信或电话通知，并记录随访结果。</w:t>
            </w:r>
          </w:p>
        </w:tc>
      </w:tr>
      <w:tr w14:paraId="1AC7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72E3D724">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体检报告发放</w:t>
            </w:r>
          </w:p>
        </w:tc>
        <w:tc>
          <w:tcPr>
            <w:tcW w:w="7985" w:type="dxa"/>
            <w:tcBorders>
              <w:top w:val="single" w:color="auto" w:sz="4" w:space="0"/>
              <w:left w:val="single" w:color="auto" w:sz="4" w:space="0"/>
              <w:bottom w:val="single" w:color="auto" w:sz="4" w:space="0"/>
              <w:right w:val="single" w:color="auto" w:sz="4" w:space="0"/>
            </w:tcBorders>
          </w:tcPr>
          <w:p w14:paraId="5578CF4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①能够同时兼容干部健康体检，普通人健康体检、各类招工体检等多种体检类型，根据体检类型匹配对应的体检报告格式。拥有个人体检报告和单位健康体检团体分析报告功能。</w:t>
            </w:r>
          </w:p>
        </w:tc>
      </w:tr>
      <w:tr w14:paraId="112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3F060EC2">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E641B2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②有复检人员信息管理功能，可以直接打印复检通知书和近三年体检对比报告。</w:t>
            </w:r>
          </w:p>
        </w:tc>
      </w:tr>
      <w:tr w14:paraId="1763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66504A71">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0ECF1DC">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③所有的体检报告格式都可以自定义，在不需要系统修改代码的情况下，由医院健康管理中心的操作人员可以自行修改。体检报告可以打印成纸质报告，可以生成HTML、CVS、PDF、JPG等电子文档传递。</w:t>
            </w:r>
          </w:p>
        </w:tc>
      </w:tr>
      <w:tr w14:paraId="43CA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5ADFA72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0D5FD7E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④具有单位打印或批量或选择一批进行打印的功能。有报告打印次数记录，报告打印完成后，直接生成短信通知，提醒来检人员领取。</w:t>
            </w:r>
          </w:p>
        </w:tc>
      </w:tr>
      <w:tr w14:paraId="1891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CDD7AB5">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691AB0C0">
            <w:pPr>
              <w:pStyle w:val="901"/>
              <w:spacing w:before="0"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w:t>
            </w:r>
            <w:r>
              <w:rPr>
                <w:rFonts w:hint="eastAsia" w:ascii="宋体" w:hAnsi="宋体" w:eastAsia="宋体" w:cs="宋体"/>
                <w:bCs/>
                <w:color w:val="auto"/>
                <w:kern w:val="2"/>
                <w:sz w:val="21"/>
                <w:szCs w:val="21"/>
                <w:highlight w:val="none"/>
              </w:rPr>
              <w:t>快递发放：如体检报告需要快递，可以在体检系统中录入快递信息。</w:t>
            </w:r>
          </w:p>
        </w:tc>
      </w:tr>
      <w:tr w14:paraId="4426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021DEEF">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9D84FB1">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⑥报告领取：体检报告有本人领、送单位、别人代领功能。若非本人领取报告，需要记录来领取报告人的身份信息，有电话身份确认记录。</w:t>
            </w:r>
          </w:p>
        </w:tc>
      </w:tr>
      <w:tr w14:paraId="7995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bottom w:val="single" w:color="auto" w:sz="4" w:space="0"/>
              <w:right w:val="single" w:color="auto" w:sz="4" w:space="0"/>
            </w:tcBorders>
            <w:vAlign w:val="center"/>
          </w:tcPr>
          <w:p w14:paraId="41F7C65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3207447">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⑦报告线上查询：体检报告生成以后，来检人员可以通过网站、微信来查询自己的体检报告，通过身份证号、预留手机号发送验证码方式进行报告查询。</w:t>
            </w:r>
          </w:p>
        </w:tc>
      </w:tr>
      <w:tr w14:paraId="07DA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148CB88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3、体检中心微信公众号平台（实现个性化团检预约、查询报告）  </w:t>
            </w:r>
          </w:p>
        </w:tc>
      </w:tr>
      <w:tr w14:paraId="1401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right w:val="single" w:color="auto" w:sz="4" w:space="0"/>
            </w:tcBorders>
            <w:vAlign w:val="center"/>
          </w:tcPr>
          <w:p w14:paraId="04EA897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3619CA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①工作人员在医院电脑端批量导入体检人员名单并针对单位建立体检卡，绑定个人电子体检卡。</w:t>
            </w:r>
          </w:p>
        </w:tc>
      </w:tr>
      <w:tr w14:paraId="16B9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5604E67">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05A684B">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②体检人员在移动端自己或帮他人预约体检，拥有按问卷自动推荐的个性化体检预约功能，有套餐预约和单项预约功能。预约时可以选择体检日期和体检时间段。</w:t>
            </w:r>
          </w:p>
        </w:tc>
      </w:tr>
      <w:tr w14:paraId="314B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02320FB">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7454E4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③手机端预约成功后，医院体检系统上能按预约信息进行预约排检管理。</w:t>
            </w:r>
          </w:p>
        </w:tc>
      </w:tr>
      <w:tr w14:paraId="5F41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CB6C7AE">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344D11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④支持检前注意事项和体检流程图推送和查询，支持体检满意度调查和意见反馈推送，支持移动端查询体检报告。</w:t>
            </w:r>
          </w:p>
        </w:tc>
      </w:tr>
      <w:tr w14:paraId="3A7E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4176751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31A0CBB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⑤支持电子体检卡管理、多维度查询统计等功能。</w:t>
            </w:r>
          </w:p>
        </w:tc>
      </w:tr>
      <w:tr w14:paraId="5116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3EB3FFB2">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4、体检中心现有小仪器接口</w:t>
            </w:r>
          </w:p>
        </w:tc>
      </w:tr>
      <w:tr w14:paraId="3B48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tcBorders>
              <w:top w:val="single" w:color="auto" w:sz="4" w:space="0"/>
              <w:left w:val="single" w:color="auto" w:sz="4" w:space="0"/>
              <w:bottom w:val="single" w:color="auto" w:sz="4" w:space="0"/>
              <w:right w:val="single" w:color="auto" w:sz="4" w:space="0"/>
            </w:tcBorders>
            <w:vAlign w:val="center"/>
          </w:tcPr>
          <w:p w14:paraId="15C20D73">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4FE6A74">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实现与健康管理中心现有的数字检查设备接口，使体检结果无需手工录入，实现与医院现有血压计、身高体重秤等电子检查设备的接口，病人信息不管对方系统是否提供接口都要能自动插入对方系统，不需要手工输入个人信息；图文报告自动回取到体检软件，实现体检报告无单页插入报告，由体检系统一次性生成，可多次打印体检报告。</w:t>
            </w:r>
          </w:p>
        </w:tc>
      </w:tr>
      <w:tr w14:paraId="3949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14:paraId="4249D0D0">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5、第三方系统接口</w:t>
            </w:r>
          </w:p>
        </w:tc>
      </w:tr>
      <w:tr w14:paraId="44C0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restart"/>
            <w:tcBorders>
              <w:top w:val="single" w:color="auto" w:sz="4" w:space="0"/>
              <w:left w:val="single" w:color="auto" w:sz="4" w:space="0"/>
              <w:bottom w:val="single" w:color="auto" w:sz="4" w:space="0"/>
              <w:right w:val="single" w:color="auto" w:sz="4" w:space="0"/>
            </w:tcBorders>
            <w:vAlign w:val="center"/>
          </w:tcPr>
          <w:p w14:paraId="4C24FF03">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接口要求</w:t>
            </w:r>
          </w:p>
        </w:tc>
        <w:tc>
          <w:tcPr>
            <w:tcW w:w="7985" w:type="dxa"/>
            <w:tcBorders>
              <w:top w:val="single" w:color="auto" w:sz="4" w:space="0"/>
              <w:left w:val="single" w:color="auto" w:sz="4" w:space="0"/>
              <w:bottom w:val="single" w:color="auto" w:sz="4" w:space="0"/>
              <w:right w:val="single" w:color="auto" w:sz="4" w:space="0"/>
            </w:tcBorders>
          </w:tcPr>
          <w:p w14:paraId="29D97E9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①实现与医院现有HIS、LIS、PACS、电生理等系统进行无缝连接，使系统实现完全的自动化，不再需要人工采集医技检查结果数据；</w:t>
            </w:r>
          </w:p>
          <w:p w14:paraId="532BB269">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提供标准的开放接口，以便同医院的其他管理信息系统交换数据。</w:t>
            </w:r>
          </w:p>
        </w:tc>
      </w:tr>
      <w:tr w14:paraId="2A2B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top w:val="single" w:color="auto" w:sz="4" w:space="0"/>
              <w:left w:val="single" w:color="auto" w:sz="4" w:space="0"/>
              <w:right w:val="single" w:color="auto" w:sz="4" w:space="0"/>
            </w:tcBorders>
            <w:vAlign w:val="center"/>
          </w:tcPr>
          <w:p w14:paraId="504F9896">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36FF96D">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②HIS接口：实现与医院HIS系统的双向对接，与医院一号制管理无缝融合，体检软件登记的人员与HIS系统建档人员同步。体检登记好以后可以直接通过HIS系统缴费。</w:t>
            </w:r>
          </w:p>
        </w:tc>
      </w:tr>
      <w:tr w14:paraId="5A34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27984102">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570E17D5">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LIS接口：实现体检软件与LIS系统的双向对接，由体检系统打印LIS条码，LIS系统直接刷条码进行样本检验，体检系统可以自动回取所有检验项目结果，能自动判断是否收集齐全、是否有漏检、误检，如果有重大阳性或危急值结果的能及时报警，采血台需要有拍照功能。</w:t>
            </w:r>
          </w:p>
        </w:tc>
      </w:tr>
      <w:tr w14:paraId="4B16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01" w:type="dxa"/>
            <w:vMerge w:val="continue"/>
            <w:tcBorders>
              <w:left w:val="single" w:color="auto" w:sz="4" w:space="0"/>
              <w:right w:val="single" w:color="auto" w:sz="4" w:space="0"/>
            </w:tcBorders>
            <w:vAlign w:val="center"/>
          </w:tcPr>
          <w:p w14:paraId="7A7BD3FA">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46E3B4B8">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④PACS系统接口：实现与医院现用PACS系统的双向接口，使B超、放射、心电、内镜、病理科系统无需二次登记，检查的结果可以自动回传体检系统，能自动判断是否有漏检、误检，如果有重大阳性或危急值结果的能及时报警。</w:t>
            </w:r>
          </w:p>
        </w:tc>
      </w:tr>
      <w:tr w14:paraId="2C7C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301" w:type="dxa"/>
            <w:vMerge w:val="continue"/>
            <w:tcBorders>
              <w:left w:val="single" w:color="auto" w:sz="4" w:space="0"/>
              <w:right w:val="single" w:color="auto" w:sz="4" w:space="0"/>
            </w:tcBorders>
            <w:vAlign w:val="center"/>
          </w:tcPr>
          <w:p w14:paraId="402EE9C0">
            <w:pPr>
              <w:spacing w:line="360" w:lineRule="auto"/>
              <w:rPr>
                <w:rFonts w:hint="eastAsia" w:ascii="宋体" w:hAnsi="宋体" w:eastAsia="宋体" w:cs="宋体"/>
                <w:bCs/>
                <w:color w:val="auto"/>
                <w:sz w:val="21"/>
                <w:szCs w:val="21"/>
                <w:highlight w:val="none"/>
              </w:rPr>
            </w:pPr>
          </w:p>
        </w:tc>
        <w:tc>
          <w:tcPr>
            <w:tcW w:w="7985" w:type="dxa"/>
            <w:tcBorders>
              <w:top w:val="single" w:color="auto" w:sz="4" w:space="0"/>
              <w:left w:val="single" w:color="auto" w:sz="4" w:space="0"/>
              <w:bottom w:val="single" w:color="auto" w:sz="4" w:space="0"/>
              <w:right w:val="single" w:color="auto" w:sz="4" w:space="0"/>
            </w:tcBorders>
          </w:tcPr>
          <w:p w14:paraId="2846ED26">
            <w:pP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⑤体检数据平台接口： 根据要求，实现体检数据平台上可以进行体检预约、报告查询功能，并对医院工作人员进行相关操作培训。</w:t>
            </w:r>
          </w:p>
        </w:tc>
      </w:tr>
    </w:tbl>
    <w:p w14:paraId="534ABC39">
      <w:pPr>
        <w:rPr>
          <w:color w:val="auto"/>
          <w:highlight w:val="none"/>
        </w:rPr>
      </w:pPr>
    </w:p>
    <w:p w14:paraId="60C78847">
      <w:pPr>
        <w:numPr>
          <w:ilvl w:val="0"/>
          <w:numId w:val="0"/>
        </w:numPr>
        <w:bidi w:val="0"/>
        <w:spacing w:line="240" w:lineRule="auto"/>
        <w:ind w:leftChars="0"/>
        <w:rPr>
          <w:rFonts w:hint="eastAsia" w:asciiTheme="minorEastAsia" w:hAnsiTheme="minorEastAsia" w:cstheme="minorEastAsia"/>
          <w:b w:val="0"/>
          <w:bCs/>
          <w:color w:val="auto"/>
          <w:kern w:val="2"/>
          <w:sz w:val="22"/>
          <w:szCs w:val="22"/>
          <w:highlight w:val="none"/>
          <w:lang w:val="en-US" w:eastAsia="zh-CN" w:bidi="ar-SA"/>
        </w:rPr>
      </w:pPr>
      <w:r>
        <w:rPr>
          <w:rFonts w:hint="eastAsia" w:asciiTheme="minorEastAsia" w:hAnsiTheme="minorEastAsia" w:cstheme="minorEastAsia"/>
          <w:b w:val="0"/>
          <w:bCs/>
          <w:color w:val="auto"/>
          <w:kern w:val="2"/>
          <w:sz w:val="22"/>
          <w:szCs w:val="22"/>
          <w:highlight w:val="none"/>
          <w:lang w:val="en-US" w:eastAsia="zh-CN" w:bidi="ar-SA"/>
        </w:rPr>
        <w:t>全流程智能导检功能要求</w:t>
      </w:r>
    </w:p>
    <w:tbl>
      <w:tblPr>
        <w:tblStyle w:val="63"/>
        <w:tblpPr w:leftFromText="180" w:rightFromText="180" w:vertAnchor="text" w:horzAnchor="page" w:tblpX="1806" w:tblpY="436"/>
        <w:tblOverlap w:val="never"/>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7528"/>
      </w:tblGrid>
      <w:tr w14:paraId="32D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535" w:type="dxa"/>
            <w:gridSpan w:val="2"/>
            <w:noWrap w:val="0"/>
            <w:vAlign w:val="center"/>
          </w:tcPr>
          <w:p w14:paraId="2F0D5B85">
            <w:pPr>
              <w:pStyle w:val="62"/>
              <w:ind w:left="0" w:leftChars="0" w:firstLine="0" w:firstLineChars="0"/>
              <w:rPr>
                <w:rFonts w:hint="eastAsia" w:asciiTheme="minorEastAsia" w:hAnsiTheme="minorEastAsia" w:eastAsiaTheme="minorEastAsia" w:cstheme="minorEastAsia"/>
                <w:b w:val="0"/>
                <w:bCs w:val="0"/>
                <w:color w:val="auto"/>
                <w:kern w:val="0"/>
                <w:sz w:val="21"/>
                <w:szCs w:val="21"/>
                <w:highlight w:val="none"/>
                <w:lang w:val="en-US"/>
              </w:rPr>
            </w:pPr>
            <w:r>
              <w:rPr>
                <w:rFonts w:hint="eastAsia" w:asciiTheme="minorEastAsia" w:hAnsiTheme="minorEastAsia" w:eastAsiaTheme="minorEastAsia" w:cstheme="minorEastAsia"/>
                <w:b/>
                <w:bCs/>
                <w:color w:val="auto"/>
                <w:sz w:val="21"/>
                <w:szCs w:val="21"/>
                <w:highlight w:val="none"/>
                <w:lang w:val="en-US" w:eastAsia="zh-CN"/>
              </w:rPr>
              <w:t>&lt;</w:t>
            </w:r>
            <w:r>
              <w:rPr>
                <w:rFonts w:hint="eastAsia" w:asciiTheme="minorEastAsia" w:hAnsiTheme="minorEastAsia" w:eastAsiaTheme="minorEastAsia" w:cstheme="minorEastAsia"/>
                <w:b/>
                <w:bCs/>
                <w:color w:val="auto"/>
                <w:kern w:val="2"/>
                <w:sz w:val="21"/>
                <w:szCs w:val="21"/>
                <w:highlight w:val="none"/>
                <w:lang w:val="en-US" w:eastAsia="zh-CN" w:bidi="ar-SA"/>
              </w:rPr>
              <w:t>全流程智能导检软件功能</w:t>
            </w:r>
            <w:r>
              <w:rPr>
                <w:rFonts w:hint="eastAsia" w:asciiTheme="minorEastAsia" w:hAnsiTheme="minorEastAsia" w:eastAsiaTheme="minorEastAsia" w:cstheme="minorEastAsia"/>
                <w:b/>
                <w:bCs/>
                <w:color w:val="auto"/>
                <w:sz w:val="21"/>
                <w:szCs w:val="21"/>
                <w:highlight w:val="none"/>
                <w:lang w:val="en-US" w:eastAsia="zh-CN"/>
              </w:rPr>
              <w:t>&gt;</w:t>
            </w:r>
          </w:p>
        </w:tc>
      </w:tr>
      <w:tr w14:paraId="19C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07" w:type="dxa"/>
            <w:noWrap w:val="0"/>
            <w:vAlign w:val="center"/>
          </w:tcPr>
          <w:p w14:paraId="0AAE59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rPr>
              <w:t>功能分类</w:t>
            </w:r>
          </w:p>
        </w:tc>
        <w:tc>
          <w:tcPr>
            <w:tcW w:w="7528" w:type="dxa"/>
            <w:noWrap w:val="0"/>
            <w:vAlign w:val="top"/>
          </w:tcPr>
          <w:p w14:paraId="333402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rPr>
              <w:t>功能要求说明</w:t>
            </w:r>
          </w:p>
        </w:tc>
      </w:tr>
      <w:tr w14:paraId="0132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vMerge w:val="restart"/>
            <w:noWrap w:val="0"/>
            <w:vAlign w:val="center"/>
          </w:tcPr>
          <w:p w14:paraId="2BD106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登记台</w:t>
            </w:r>
          </w:p>
        </w:tc>
        <w:tc>
          <w:tcPr>
            <w:tcW w:w="7528" w:type="dxa"/>
            <w:noWrap w:val="0"/>
            <w:vAlign w:val="top"/>
          </w:tcPr>
          <w:p w14:paraId="3639D287">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与体检系统无缝对接</w:t>
            </w:r>
            <w:r>
              <w:rPr>
                <w:rFonts w:hint="eastAsia" w:asciiTheme="minorEastAsia" w:hAnsiTheme="minorEastAsia" w:eastAsiaTheme="minorEastAsia" w:cstheme="minorEastAsia"/>
                <w:b w:val="0"/>
                <w:bCs w:val="0"/>
                <w:color w:val="auto"/>
                <w:sz w:val="21"/>
                <w:szCs w:val="21"/>
                <w:highlight w:val="none"/>
              </w:rPr>
              <w:t>。</w:t>
            </w:r>
          </w:p>
        </w:tc>
      </w:tr>
      <w:tr w14:paraId="4723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7EA25D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6D0165F">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支持设置独立的分诊台加入队列。</w:t>
            </w:r>
          </w:p>
        </w:tc>
      </w:tr>
      <w:tr w14:paraId="032B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7141AD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A6BCAD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体检系统中做完项目的增、减后，能立即同步给导检系统并提示客户当前待检的科室名称。</w:t>
            </w:r>
          </w:p>
        </w:tc>
      </w:tr>
      <w:tr w14:paraId="373B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3BB5C801">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总导诊台/分诊导诊台</w:t>
            </w:r>
          </w:p>
          <w:p w14:paraId="078ECDB0">
            <w:pPr>
              <w:keepNext w:val="0"/>
              <w:keepLines w:val="0"/>
              <w:pageBreakBefore w:val="0"/>
              <w:widowControl/>
              <w:tabs>
                <w:tab w:val="left" w:pos="507"/>
              </w:tabs>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（护士站）</w:t>
            </w:r>
          </w:p>
        </w:tc>
        <w:tc>
          <w:tcPr>
            <w:tcW w:w="7528" w:type="dxa"/>
            <w:noWrap w:val="0"/>
            <w:vAlign w:val="top"/>
          </w:tcPr>
          <w:p w14:paraId="4E8CF794">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可独立设置科室的在线与离线状态、可设置各科室的开诊时间以及优先级，达到预排队的效果，缩短医生的闲置时间。</w:t>
            </w:r>
          </w:p>
        </w:tc>
      </w:tr>
      <w:tr w14:paraId="6BA3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F45A5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3143D54">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可灵活设置各科室初始队列的在线量。</w:t>
            </w:r>
          </w:p>
        </w:tc>
      </w:tr>
      <w:tr w14:paraId="46F7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3BAC1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02C1255">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可灵活的单人或批量调配人员队列、起到灵活的疏导。</w:t>
            </w:r>
          </w:p>
        </w:tc>
      </w:tr>
      <w:tr w14:paraId="493B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D742B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95B3C9E">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支持插队、指定到某科室。</w:t>
            </w:r>
          </w:p>
        </w:tc>
      </w:tr>
      <w:tr w14:paraId="173B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4D6F0F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C5740C0">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支持扫描条形码、二维码查询人员所在科室、并定位的所在的科室。</w:t>
            </w:r>
          </w:p>
        </w:tc>
      </w:tr>
      <w:tr w14:paraId="0CB3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53CD6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42231B">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动态显示各科室的人员在线量以及队列变化情况。</w:t>
            </w:r>
          </w:p>
        </w:tc>
      </w:tr>
      <w:tr w14:paraId="7084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048AF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9177512">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支持独立队列与全科导检队列的同屏显示。</w:t>
            </w:r>
          </w:p>
        </w:tc>
      </w:tr>
      <w:tr w14:paraId="2FD0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605DB6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7A8CFF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可随时查阅，统计导检状态、以及医生工作的实效性、控制就诊的时间、评价医生的服务标准。</w:t>
            </w:r>
          </w:p>
        </w:tc>
      </w:tr>
      <w:tr w14:paraId="7A2C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00A11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26E25C">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能够合理处理特殊客户的情况，导检系统会让特殊客户优先完成某个项目或者所有项目的检查。</w:t>
            </w:r>
          </w:p>
        </w:tc>
      </w:tr>
      <w:tr w14:paraId="1249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B255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2A7CDD2">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支持广播通知功能，可定向广播，和全网广播。</w:t>
            </w:r>
          </w:p>
        </w:tc>
      </w:tr>
      <w:tr w14:paraId="3F6F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B9FB8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1C05EF3">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能够批量转移科室。</w:t>
            </w:r>
          </w:p>
        </w:tc>
      </w:tr>
      <w:tr w14:paraId="1F4B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ACC96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65F8EBF">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调整队列时，可以指定上移、下移的人数。</w:t>
            </w:r>
          </w:p>
        </w:tc>
      </w:tr>
      <w:tr w14:paraId="2679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179A4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74BCA28">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增加查询指定科室的功能，输入科室名称后，可以定位到这个科室的人员列表。</w:t>
            </w:r>
          </w:p>
        </w:tc>
      </w:tr>
      <w:tr w14:paraId="6189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C65B8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FFBCDA7">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支持科室检查项目限制功能，可在护士台灵活配置，智能分配人员到相应科室进行检查，如：彩超部分科室不能做心脏，阴超等进行限制。</w:t>
            </w:r>
          </w:p>
        </w:tc>
      </w:tr>
      <w:tr w14:paraId="2620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07" w:type="dxa"/>
            <w:vMerge w:val="continue"/>
            <w:noWrap w:val="0"/>
            <w:vAlign w:val="center"/>
          </w:tcPr>
          <w:p w14:paraId="7E37BC7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D906F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参数增加默认值设置，隔天自动恢复默认值</w:t>
            </w:r>
            <w:r>
              <w:rPr>
                <w:rFonts w:hint="eastAsia" w:asciiTheme="minorEastAsia" w:hAnsiTheme="minorEastAsia" w:eastAsiaTheme="minorEastAsia" w:cstheme="minorEastAsia"/>
                <w:b w:val="0"/>
                <w:bCs w:val="0"/>
                <w:color w:val="auto"/>
                <w:sz w:val="21"/>
                <w:szCs w:val="21"/>
                <w:highlight w:val="none"/>
              </w:rPr>
              <w:t>。</w:t>
            </w:r>
          </w:p>
        </w:tc>
      </w:tr>
      <w:tr w14:paraId="65BD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336798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FB47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支持查看操作者的详细记录</w:t>
            </w:r>
            <w:r>
              <w:rPr>
                <w:rFonts w:hint="eastAsia" w:asciiTheme="minorEastAsia" w:hAnsiTheme="minorEastAsia" w:eastAsiaTheme="minorEastAsia" w:cstheme="minorEastAsia"/>
                <w:b w:val="0"/>
                <w:bCs w:val="0"/>
                <w:color w:val="auto"/>
                <w:sz w:val="21"/>
                <w:szCs w:val="21"/>
                <w:highlight w:val="none"/>
              </w:rPr>
              <w:t>。</w:t>
            </w:r>
          </w:p>
        </w:tc>
      </w:tr>
      <w:tr w14:paraId="6250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4E3D7F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F30817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支持陪检，可设置多人为一组，统一检查流程</w:t>
            </w:r>
            <w:r>
              <w:rPr>
                <w:rFonts w:hint="eastAsia" w:asciiTheme="minorEastAsia" w:hAnsiTheme="minorEastAsia" w:eastAsiaTheme="minorEastAsia" w:cstheme="minorEastAsia"/>
                <w:b w:val="0"/>
                <w:bCs w:val="0"/>
                <w:color w:val="auto"/>
                <w:sz w:val="21"/>
                <w:szCs w:val="21"/>
                <w:highlight w:val="none"/>
              </w:rPr>
              <w:t>。</w:t>
            </w:r>
          </w:p>
        </w:tc>
      </w:tr>
      <w:tr w14:paraId="52B4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68A34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F92C2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转移特殊人群支持自定义选择检查轨迹，按照所选轨迹进行体检</w:t>
            </w:r>
            <w:r>
              <w:rPr>
                <w:rFonts w:hint="eastAsia" w:asciiTheme="minorEastAsia" w:hAnsiTheme="minorEastAsia" w:eastAsiaTheme="minorEastAsia" w:cstheme="minorEastAsia"/>
                <w:b w:val="0"/>
                <w:bCs w:val="0"/>
                <w:color w:val="auto"/>
                <w:sz w:val="21"/>
                <w:szCs w:val="21"/>
                <w:highlight w:val="none"/>
              </w:rPr>
              <w:t>。</w:t>
            </w:r>
          </w:p>
        </w:tc>
      </w:tr>
      <w:tr w14:paraId="3CC7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B523B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D5B07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支持人员查询，查询所在科室，当前排队位置、已检/未检项目等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EE1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13D54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EAA6A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支持人员的科室转移，从A科室转移到B科室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428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AE8E15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97586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支持现队列顺序调整，将体检客户从当前排队位置进行上移或下移</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782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BF806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D932E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支持现客户类型的变更，将普通用户升级为VIP用户、军属、复检等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952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5B68BD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FB7BD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可实现检查项目的放弃与恢复，将某位客户的某个项目进行放弃，不再进行导检</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9B2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73C8B8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A3834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可灵活控制科室开启/关闭状态，由护士根据体检现场情况进行临时调整</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446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CBFF3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6BF98B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可对某位体检客户进行放弃本次体检操作，将弃检人员从导检队列移除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A2F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15E6FF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8933E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可实时统计汇总当日体检人数情况，统计当日体检总人数，男女比例，已检/未检人数，未检男女人数等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C5A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67838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7A22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可实时查看各科室实时排队人数、男女比例等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A2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619390B1">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呼叫台</w:t>
            </w:r>
          </w:p>
          <w:p w14:paraId="16B7B6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（医生站）</w:t>
            </w:r>
          </w:p>
        </w:tc>
        <w:tc>
          <w:tcPr>
            <w:tcW w:w="7528" w:type="dxa"/>
            <w:noWrap w:val="0"/>
            <w:vAlign w:val="top"/>
          </w:tcPr>
          <w:p w14:paraId="39AD033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实时展现当前的待检队列以及已检队列情况。</w:t>
            </w:r>
          </w:p>
        </w:tc>
      </w:tr>
      <w:tr w14:paraId="1E5E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DD6F8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E458C14">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实时展示当前就检人员的就检项目，并可随时设置项目的完成情况，标注弃检项目以及憋尿、妇检等特殊项目的二次检查状态。</w:t>
            </w:r>
          </w:p>
        </w:tc>
      </w:tr>
      <w:tr w14:paraId="702F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493EBA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B85C5DF">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一键呼叫“下一位”完成当前就检人员的检查状态标注的同时，呼叫下一人，同时具备“重呼”、“延后”、“跳过”等辅助功能，操作简单、按键明显突出。</w:t>
            </w:r>
          </w:p>
        </w:tc>
      </w:tr>
      <w:tr w14:paraId="0E4C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3846D6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42CECC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以显著位置，告知完成体检者的下一站科室。</w:t>
            </w:r>
          </w:p>
        </w:tc>
      </w:tr>
      <w:tr w14:paraId="451D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63068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36798D7">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支持随时扫码插队，重新调整就检人员的体检序列并重新合理规划，在保证系统化的体检流程同时，不失灵活性。</w:t>
            </w:r>
          </w:p>
        </w:tc>
      </w:tr>
      <w:tr w14:paraId="4ED9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EB085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CA9ECA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医生台职能（按性别、项目）可自行定义，或一次性定义，可用于医生不固定的场景使用。</w:t>
            </w:r>
          </w:p>
        </w:tc>
      </w:tr>
      <w:tr w14:paraId="527D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5442F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BF37E78">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“暂停”键的设置，在考虑医生连续工作的同时，留出小息的时间。</w:t>
            </w:r>
          </w:p>
        </w:tc>
      </w:tr>
      <w:tr w14:paraId="02AD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F7553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A45D98C">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支持非连续的可选择性的呼叫。</w:t>
            </w:r>
          </w:p>
        </w:tc>
      </w:tr>
      <w:tr w14:paraId="515B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F637D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7C70582">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界面自动隐藏，感应唤醒、不影响主业务的操作、可与各系统同时使用。</w:t>
            </w:r>
          </w:p>
        </w:tc>
      </w:tr>
      <w:tr w14:paraId="2E86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E2A8B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101F8F">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支持定向广播功能。</w:t>
            </w:r>
          </w:p>
        </w:tc>
      </w:tr>
      <w:tr w14:paraId="4FA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99FDD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F391DC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医生能够自主决定科室检查性别，根据需求自由切换性别限制，同时同步修改科室名称后的男女字样</w:t>
            </w:r>
            <w:r>
              <w:rPr>
                <w:rFonts w:hint="eastAsia" w:asciiTheme="minorEastAsia" w:hAnsiTheme="minorEastAsia" w:eastAsiaTheme="minorEastAsia" w:cstheme="minorEastAsia"/>
                <w:b w:val="0"/>
                <w:bCs w:val="0"/>
                <w:color w:val="auto"/>
                <w:sz w:val="21"/>
                <w:szCs w:val="21"/>
                <w:highlight w:val="none"/>
                <w:lang w:eastAsia="zh-CN"/>
              </w:rPr>
              <w:t>。</w:t>
            </w:r>
          </w:p>
        </w:tc>
      </w:tr>
      <w:tr w14:paraId="35D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F7994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58443F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当诊室内不小心误点下一位时，可手动将该体检人员从已检列表召回至待检列表并可以进行重新呼叫</w:t>
            </w:r>
            <w:r>
              <w:rPr>
                <w:rFonts w:hint="eastAsia" w:asciiTheme="minorEastAsia" w:hAnsiTheme="minorEastAsia" w:eastAsiaTheme="minorEastAsia" w:cstheme="minorEastAsia"/>
                <w:b w:val="0"/>
                <w:bCs w:val="0"/>
                <w:color w:val="auto"/>
                <w:sz w:val="21"/>
                <w:szCs w:val="21"/>
                <w:highlight w:val="none"/>
                <w:lang w:eastAsia="zh-CN"/>
              </w:rPr>
              <w:t>。</w:t>
            </w:r>
          </w:p>
        </w:tc>
      </w:tr>
      <w:tr w14:paraId="40DA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C90B0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517E5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诊室点击下一位时会提示所去诊室。</w:t>
            </w:r>
          </w:p>
        </w:tc>
      </w:tr>
      <w:tr w14:paraId="4B60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08289A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E31F409">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“暂停”功能改变：暂停后系统不再往本科室排人，但是医生端其他功能还要能继续使用。</w:t>
            </w:r>
          </w:p>
        </w:tc>
      </w:tr>
      <w:tr w14:paraId="16CC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04EBD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7E2CD06">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增加体检人员下一个诊室去哪里的语音播报功能，医生点下一位时，系统自动语音播报已经完成人员下一个诊室。</w:t>
            </w:r>
          </w:p>
        </w:tc>
      </w:tr>
      <w:tr w14:paraId="7DCA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BC25E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8397BD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增加“全网重呼”功能：医生叫号时如果客户没能及时到诊室检查，医生可以使用此功能呼叫客户。医生点击此按钮后，系统自动在所有诊间屏、区域大屏上播放叫号信息，例如“xxx请到xx科检查”，实现呼叫无死角覆盖。 </w:t>
            </w:r>
          </w:p>
        </w:tc>
      </w:tr>
      <w:tr w14:paraId="28AE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F0DA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D51DDDB">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支持过号功能，多次呼叫未能到达科室检查的体检客户自动转移到过号队列，同时呼叫下一位进行检查。</w:t>
            </w:r>
          </w:p>
        </w:tc>
      </w:tr>
      <w:tr w14:paraId="4579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839D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90190F0">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支持碳13或碳14项目检查二次导检，即过半小时后再次排入C13或C14科室。</w:t>
            </w:r>
          </w:p>
        </w:tc>
      </w:tr>
      <w:tr w14:paraId="3C09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DA114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652F35A">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支持碳13或碳14项目检查过半小时后医生端提示客户进行二次呼气，然后去下一科室功能。</w:t>
            </w:r>
          </w:p>
        </w:tc>
      </w:tr>
      <w:tr w14:paraId="4EC2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426F5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CC4B9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支持碳13或碳14项目倒计时提醒功能</w:t>
            </w:r>
            <w:r>
              <w:rPr>
                <w:rFonts w:hint="eastAsia" w:asciiTheme="minorEastAsia" w:hAnsiTheme="minorEastAsia" w:eastAsiaTheme="minorEastAsia" w:cstheme="minorEastAsia"/>
                <w:b w:val="0"/>
                <w:bCs w:val="0"/>
                <w:color w:val="auto"/>
                <w:sz w:val="21"/>
                <w:szCs w:val="21"/>
                <w:highlight w:val="none"/>
                <w:lang w:eastAsia="zh-CN"/>
              </w:rPr>
              <w:t>。</w:t>
            </w:r>
          </w:p>
        </w:tc>
      </w:tr>
      <w:tr w14:paraId="1E0E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78F44C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9505A97">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憋尿人员返回时间设置，到达设定时间自动排入科室</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F51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98160E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1FFA66D">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当天检查进度显示，当日、单项目、已检人数/总人数</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0D6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3E44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D835A6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支持一次同时呼叫多个体检者，可设置呼叫数量</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CA6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D3182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6C6E68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支持切换普通模式和迷你模式显示及切换</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F69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AFE8F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E7DB6A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家庭伴随体检：支持客户选择伴随人员，可以同时前往同一检查科室。</w:t>
            </w:r>
          </w:p>
        </w:tc>
      </w:tr>
      <w:tr w14:paraId="227B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709571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p>
          <w:p w14:paraId="24E80F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诊间屏</w:t>
            </w:r>
          </w:p>
        </w:tc>
        <w:tc>
          <w:tcPr>
            <w:tcW w:w="7528" w:type="dxa"/>
            <w:noWrap w:val="0"/>
            <w:vAlign w:val="top"/>
          </w:tcPr>
          <w:p w14:paraId="098F0A75">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可以设置LOGO、科室名称、定义字体、颜色、背景、行数。</w:t>
            </w:r>
          </w:p>
        </w:tc>
      </w:tr>
      <w:tr w14:paraId="4A83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89539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39CE0E0">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可一屏分割多个科室队列显示。</w:t>
            </w:r>
          </w:p>
        </w:tc>
      </w:tr>
      <w:tr w14:paraId="32F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AAE29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CC6830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可显示队列顺序、人员姓名。</w:t>
            </w:r>
          </w:p>
        </w:tc>
      </w:tr>
      <w:tr w14:paraId="3F94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BE3CF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742E5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支持视频、图片播放及轮播。</w:t>
            </w:r>
          </w:p>
        </w:tc>
      </w:tr>
      <w:tr w14:paraId="1A1E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5AAC9C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9D9E8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支持windows，各屏幕语音独立播报、规避了显示与发音的不同步问题，支持男女声。</w:t>
            </w:r>
          </w:p>
        </w:tc>
      </w:tr>
      <w:tr w14:paraId="7DC7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D8308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058772">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支持各种尺寸、可灵活定义。</w:t>
            </w:r>
          </w:p>
        </w:tc>
      </w:tr>
      <w:tr w14:paraId="7A1F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361F3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151A695">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支持定时开关机，无需人员参与。</w:t>
            </w:r>
          </w:p>
        </w:tc>
      </w:tr>
      <w:tr w14:paraId="184A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8656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3FEEB4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呼叫方式分多种：1、只叫正检2、叫正检然后同时提醒下一位等待3、同时叫2位进入诊室检查。</w:t>
            </w:r>
          </w:p>
        </w:tc>
      </w:tr>
      <w:tr w14:paraId="37A3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39C13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ED5D5A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显示待检人员总人数。</w:t>
            </w:r>
          </w:p>
        </w:tc>
      </w:tr>
      <w:tr w14:paraId="1A4C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FE3B9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EFDD01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支持语音播报次数设置功能，可自动语音播报1次或2次等。</w:t>
            </w:r>
          </w:p>
        </w:tc>
      </w:tr>
      <w:tr w14:paraId="11A0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630943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9A43168">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支持显示医生头像，职称，姓名，工号等信息。</w:t>
            </w:r>
          </w:p>
        </w:tc>
      </w:tr>
      <w:tr w14:paraId="0EC6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CC185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B4555C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支持显示体检客户下一检查科室提示信息。</w:t>
            </w:r>
          </w:p>
        </w:tc>
      </w:tr>
      <w:tr w14:paraId="09BB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05BA10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095BD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可灵活设置温馨提示、注意事项等信息，可滚动播放。</w:t>
            </w:r>
          </w:p>
        </w:tc>
      </w:tr>
      <w:tr w14:paraId="1972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49C4B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E3052D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支持暂停提醒功能，医生端暂停后诊室屏自动弹窗提示科室暂停请稍后。</w:t>
            </w:r>
          </w:p>
        </w:tc>
      </w:tr>
      <w:tr w14:paraId="320A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A6E29A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A49EA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支持</w:t>
            </w:r>
            <w:r>
              <w:rPr>
                <w:rFonts w:hint="eastAsia" w:asciiTheme="minorEastAsia" w:hAnsiTheme="minorEastAsia" w:eastAsiaTheme="minorEastAsia" w:cstheme="minorEastAsia"/>
                <w:b w:val="0"/>
                <w:bCs w:val="0"/>
                <w:color w:val="auto"/>
                <w:kern w:val="0"/>
                <w:sz w:val="21"/>
                <w:szCs w:val="21"/>
                <w:highlight w:val="none"/>
              </w:rPr>
              <w:t>客户类型显示，如：军人，VIP，憋尿，复检，80+等，可设置开启或关闭</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1D3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D2B20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30CD3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碳13/14呼气试验，二次呼气可以倒计时提醒</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836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07" w:type="dxa"/>
            <w:vMerge w:val="restart"/>
            <w:noWrap w:val="0"/>
            <w:vAlign w:val="center"/>
          </w:tcPr>
          <w:p w14:paraId="54449337">
            <w:pPr>
              <w:keepNext w:val="0"/>
              <w:keepLines w:val="0"/>
              <w:pageBreakBefore w:val="0"/>
              <w:kinsoku/>
              <w:wordWrap/>
              <w:overflowPunct/>
              <w:topLinePunct w:val="0"/>
              <w:autoSpaceDE/>
              <w:autoSpaceDN/>
              <w:bidi w:val="0"/>
              <w:adjustRightInd/>
              <w:snapToGrid/>
              <w:spacing w:before="156" w:beforeLines="50" w:line="40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区域屏</w:t>
            </w:r>
          </w:p>
          <w:p w14:paraId="72B2D6CD">
            <w:pPr>
              <w:pStyle w:val="55"/>
              <w:keepNext w:val="0"/>
              <w:keepLines w:val="0"/>
              <w:pageBreakBefore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（广告屏）</w:t>
            </w:r>
          </w:p>
        </w:tc>
        <w:tc>
          <w:tcPr>
            <w:tcW w:w="7528" w:type="dxa"/>
            <w:noWrap w:val="0"/>
            <w:vAlign w:val="top"/>
          </w:tcPr>
          <w:p w14:paraId="75FD81E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可以设置LOGO、科室名称、定义字体、颜色、背景、行数。</w:t>
            </w:r>
          </w:p>
          <w:p w14:paraId="39ECDC6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可一屏分割多个科室队列显示。</w:t>
            </w:r>
          </w:p>
        </w:tc>
      </w:tr>
      <w:tr w14:paraId="5203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AF483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563B9B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可显示队列顺序、人员姓名。</w:t>
            </w:r>
          </w:p>
        </w:tc>
      </w:tr>
      <w:tr w14:paraId="3A36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E0A0D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554422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支持视频、图片播放及轮播。</w:t>
            </w:r>
          </w:p>
        </w:tc>
      </w:tr>
      <w:tr w14:paraId="13A8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13A4B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BF77D2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支持windows、安卓屏，各屏幕语音独立播报、规避了显示与发音的不同步问题，支持男女声。</w:t>
            </w:r>
          </w:p>
        </w:tc>
      </w:tr>
      <w:tr w14:paraId="7FCB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8730D8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6ECA36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支持各种尺寸、可灵活定义。</w:t>
            </w:r>
          </w:p>
        </w:tc>
      </w:tr>
      <w:tr w14:paraId="2663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E2AF3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391FC38">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支持定时开关机，无需人员参与。</w:t>
            </w:r>
          </w:p>
        </w:tc>
      </w:tr>
      <w:tr w14:paraId="27D7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BAF2B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2F48C9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显示待检人员总人数</w:t>
            </w:r>
            <w:r>
              <w:rPr>
                <w:rFonts w:hint="eastAsia" w:asciiTheme="minorEastAsia" w:hAnsiTheme="minorEastAsia" w:eastAsiaTheme="minorEastAsia" w:cstheme="minorEastAsia"/>
                <w:b w:val="0"/>
                <w:bCs w:val="0"/>
                <w:color w:val="auto"/>
                <w:sz w:val="21"/>
                <w:szCs w:val="21"/>
                <w:highlight w:val="none"/>
                <w:lang w:eastAsia="zh-CN"/>
              </w:rPr>
              <w:t>。</w:t>
            </w:r>
          </w:p>
        </w:tc>
      </w:tr>
      <w:tr w14:paraId="5C5F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C7261B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02DC3D4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人员信息综合屏，可显示人员排队号、当前就检科室、检查状态</w:t>
            </w:r>
            <w:r>
              <w:rPr>
                <w:rFonts w:hint="eastAsia" w:asciiTheme="minorEastAsia" w:hAnsiTheme="minorEastAsia" w:eastAsiaTheme="minorEastAsia" w:cstheme="minorEastAsia"/>
                <w:b w:val="0"/>
                <w:bCs w:val="0"/>
                <w:color w:val="auto"/>
                <w:sz w:val="21"/>
                <w:szCs w:val="21"/>
                <w:highlight w:val="none"/>
                <w:lang w:eastAsia="zh-CN"/>
              </w:rPr>
              <w:t>。</w:t>
            </w:r>
          </w:p>
        </w:tc>
      </w:tr>
      <w:tr w14:paraId="555C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96256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7ACEEF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科室信息综合屏，动态显示每个科室人员分布情况，实时动态显示体检总人数，男女人数，已检人数，未检人数等信息</w:t>
            </w:r>
            <w:r>
              <w:rPr>
                <w:rFonts w:hint="eastAsia" w:asciiTheme="minorEastAsia" w:hAnsiTheme="minorEastAsia" w:eastAsiaTheme="minorEastAsia" w:cstheme="minorEastAsia"/>
                <w:b w:val="0"/>
                <w:bCs w:val="0"/>
                <w:color w:val="auto"/>
                <w:sz w:val="21"/>
                <w:szCs w:val="21"/>
                <w:highlight w:val="none"/>
                <w:lang w:eastAsia="zh-CN"/>
              </w:rPr>
              <w:t>。</w:t>
            </w:r>
          </w:p>
        </w:tc>
      </w:tr>
      <w:tr w14:paraId="546F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6049A7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系统设置</w:t>
            </w:r>
          </w:p>
        </w:tc>
        <w:tc>
          <w:tcPr>
            <w:tcW w:w="7528" w:type="dxa"/>
            <w:noWrap w:val="0"/>
            <w:vAlign w:val="top"/>
          </w:tcPr>
          <w:p w14:paraId="2FEE35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可灵活设置导检科室、定义科室优先级。</w:t>
            </w:r>
          </w:p>
        </w:tc>
      </w:tr>
      <w:tr w14:paraId="2313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39CD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62639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可灵活设置导检项目、定义餐前、餐后、憋尿、妇检等特殊项目、设置项目检查时间，分配执行科室。</w:t>
            </w:r>
          </w:p>
        </w:tc>
      </w:tr>
      <w:tr w14:paraId="49ED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FD65B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D9460A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可灵活设置导检方案、根据体检中心的业务模式</w:t>
            </w:r>
            <w:r>
              <w:rPr>
                <w:rFonts w:hint="eastAsia" w:asciiTheme="minorEastAsia" w:hAnsiTheme="minorEastAsia" w:eastAsiaTheme="minorEastAsia" w:cstheme="minorEastAsia"/>
                <w:b w:val="0"/>
                <w:bCs w:val="0"/>
                <w:color w:val="auto"/>
                <w:sz w:val="21"/>
                <w:szCs w:val="21"/>
                <w:highlight w:val="none"/>
                <w:lang w:eastAsia="zh-CN"/>
              </w:rPr>
              <w:t>。</w:t>
            </w:r>
          </w:p>
        </w:tc>
      </w:tr>
      <w:tr w14:paraId="7DE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535CD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A83CDD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定义与体检系统的接口、实现首检科室的显示方式</w:t>
            </w:r>
          </w:p>
        </w:tc>
      </w:tr>
      <w:tr w14:paraId="49AF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CDF5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1CA84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sz w:val="21"/>
                <w:szCs w:val="21"/>
                <w:highlight w:val="none"/>
              </w:rPr>
              <w:t>设置某个科室为特殊科室，实现“虚拟队列”功能。用于解决个别检查时间较长的科室对整体排队时间的影响。设置为特殊科室的科室，系统自动为每个体检客户进行虚拟排队，这样做到客户在特殊客户能够虚拟排队，同时也在其他科室进行排队检查，互不影响，提高排队检查效率</w:t>
            </w:r>
            <w:r>
              <w:rPr>
                <w:rFonts w:hint="eastAsia" w:asciiTheme="minorEastAsia" w:hAnsiTheme="minorEastAsia" w:eastAsiaTheme="minorEastAsia" w:cstheme="minorEastAsia"/>
                <w:b w:val="0"/>
                <w:bCs w:val="0"/>
                <w:color w:val="auto"/>
                <w:sz w:val="21"/>
                <w:szCs w:val="21"/>
                <w:highlight w:val="none"/>
                <w:lang w:eastAsia="zh-CN"/>
              </w:rPr>
              <w:t>。</w:t>
            </w:r>
          </w:p>
        </w:tc>
      </w:tr>
      <w:tr w14:paraId="3ADC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5AA3B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8F12C5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可灵活设置超声、采血等科室排队模式，在预分配人员模式或潮汐模式下自由切换。</w:t>
            </w:r>
          </w:p>
        </w:tc>
      </w:tr>
      <w:tr w14:paraId="2578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10A8D5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35BC2B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支持瓶颈科室最大排队人数限定功能，当达到最大人数时优先完成其他科室项目检查。</w:t>
            </w:r>
          </w:p>
          <w:p w14:paraId="462F09C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支持自定义客户类型，比如军属、复检、老人、孕妇、残疾人等</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084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5B53BA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8D02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支持自定义客户类型的优先级，低优先级不能插队高优先级的客户</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B18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5D2DC5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候检功能</w:t>
            </w:r>
          </w:p>
        </w:tc>
        <w:tc>
          <w:tcPr>
            <w:tcW w:w="7528" w:type="dxa"/>
            <w:noWrap w:val="0"/>
            <w:vAlign w:val="top"/>
          </w:tcPr>
          <w:p w14:paraId="2ADE192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支持自定义体检中心最大承载量，最大人数可随时进行灵活设置</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432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33F18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60357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到达最大承载量后所登记的人员分配到指定候诊区进行候检</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B8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3E26F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E8C36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体检中心每完成一人检查，自动分配一名候诊人员进入检查队列</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EB0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092359B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餐厅管理</w:t>
            </w:r>
          </w:p>
        </w:tc>
        <w:tc>
          <w:tcPr>
            <w:tcW w:w="7528" w:type="dxa"/>
            <w:noWrap w:val="0"/>
            <w:vAlign w:val="top"/>
          </w:tcPr>
          <w:p w14:paraId="60243C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支持查看客户就餐时变更状态，继续排队的同时到了指定位置后锁定</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07DA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E5EC4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4CD6E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实时统计就餐，未就餐，已检查完空腹项目人员数量</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4CD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7" w:type="dxa"/>
            <w:vMerge w:val="continue"/>
            <w:noWrap w:val="0"/>
            <w:vAlign w:val="center"/>
          </w:tcPr>
          <w:p w14:paraId="4656167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6B4291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支持解除用户的就餐状态，如果已锁定，解除锁定</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7003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22C91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36D84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医生端，增加“就餐”提示</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2927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46AA5B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餐厅就餐</w:t>
            </w:r>
          </w:p>
        </w:tc>
        <w:tc>
          <w:tcPr>
            <w:tcW w:w="7528" w:type="dxa"/>
            <w:noWrap w:val="0"/>
            <w:vAlign w:val="top"/>
          </w:tcPr>
          <w:p w14:paraId="148F7A7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支持自助扫码识别空腹项目是否已检完，提示是否可就餐</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30B7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25367E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303C9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支持自助扫码进入就餐模式，暂停体检排队</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1D3C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08E90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616BD6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支持就餐完毕恢复排队</w:t>
            </w:r>
            <w:r>
              <w:rPr>
                <w:rFonts w:hint="eastAsia" w:asciiTheme="minorEastAsia" w:hAnsiTheme="minorEastAsia" w:eastAsiaTheme="minorEastAsia" w:cstheme="minorEastAsia"/>
                <w:b w:val="0"/>
                <w:bCs w:val="0"/>
                <w:color w:val="auto"/>
                <w:kern w:val="0"/>
                <w:sz w:val="21"/>
                <w:szCs w:val="21"/>
                <w:highlight w:val="none"/>
                <w:lang w:eastAsia="zh-CN"/>
              </w:rPr>
              <w:t>。</w:t>
            </w:r>
          </w:p>
        </w:tc>
      </w:tr>
      <w:tr w14:paraId="6C22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noWrap w:val="0"/>
            <w:vAlign w:val="center"/>
          </w:tcPr>
          <w:p w14:paraId="128713D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统计功能</w:t>
            </w:r>
          </w:p>
        </w:tc>
        <w:tc>
          <w:tcPr>
            <w:tcW w:w="7528" w:type="dxa"/>
            <w:noWrap w:val="0"/>
            <w:vAlign w:val="top"/>
          </w:tcPr>
          <w:p w14:paraId="12A0B23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可随时查阅，统计导检状态、以及医生工作的实效性、控制就诊的时间、评价医生的服务标准。</w:t>
            </w:r>
          </w:p>
        </w:tc>
      </w:tr>
      <w:tr w14:paraId="319D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64D3E6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3585016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导检系统中可从各个角度统计出体检者检查明细、医护人员工作量。</w:t>
            </w:r>
          </w:p>
        </w:tc>
      </w:tr>
      <w:tr w14:paraId="6626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2E9F2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4293AE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统计功能可以在平台和微信上实时查询，可以分科室、分项目、分管理者。</w:t>
            </w:r>
          </w:p>
        </w:tc>
      </w:tr>
      <w:tr w14:paraId="5DE2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48B862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4541DDD">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全面监控检查的现场状况及近期的检查人员结构及趋势。</w:t>
            </w:r>
          </w:p>
        </w:tc>
      </w:tr>
      <w:tr w14:paraId="5069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7407C0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30F749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支持排对时间过长体检者的监控、人工分配体检者到其他科室体检。</w:t>
            </w:r>
          </w:p>
        </w:tc>
      </w:tr>
      <w:tr w14:paraId="3EF0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95092B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1ECC217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支持定义科室办理时间。</w:t>
            </w:r>
          </w:p>
          <w:p w14:paraId="09416281">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支持定义餐前项目，餐后项目。</w:t>
            </w:r>
          </w:p>
        </w:tc>
      </w:tr>
      <w:tr w14:paraId="5726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47657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2B3E5E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支持定义各个项目之间的依赖关系。</w:t>
            </w:r>
          </w:p>
        </w:tc>
      </w:tr>
      <w:tr w14:paraId="3D5C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B2B2D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6B74DD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支持定义项目等候区，并且分别定义各个等候区之间走动的预计时间。</w:t>
            </w:r>
          </w:p>
        </w:tc>
      </w:tr>
      <w:tr w14:paraId="7703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350354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0961A5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智能分检，例如多个超声科室，有些不能做特定的部位，系统能够根据设置，分配合适的人到不同的超声诊室做检查。</w:t>
            </w:r>
          </w:p>
        </w:tc>
      </w:tr>
      <w:tr w14:paraId="30A0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59FD40B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212439D">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支持检查项目分级，优先检查级别高的项目。</w:t>
            </w:r>
          </w:p>
        </w:tc>
      </w:tr>
      <w:tr w14:paraId="5C48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72DD3C3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576DC80B">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支持医生工作量及工作效率统计，检查人数、检查时间、平均检查时间、最长检查时间、最短检查时间。</w:t>
            </w:r>
          </w:p>
        </w:tc>
      </w:tr>
      <w:tr w14:paraId="3782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4A473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7C16915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完善方便的数据统计分析系统，功能强大，可以远程监控,远程分析，下载，打印。</w:t>
            </w:r>
          </w:p>
        </w:tc>
      </w:tr>
      <w:tr w14:paraId="6789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1E2AC2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2B0AE19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可以进行远程设置,系统的所有功能都可以远程设置。</w:t>
            </w:r>
          </w:p>
        </w:tc>
      </w:tr>
      <w:tr w14:paraId="307B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32D163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6160B7B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支持统计所有体检人员的体检时长、检查项目数量、登记时间、检查结束时间，自动生成报表。</w:t>
            </w:r>
          </w:p>
        </w:tc>
      </w:tr>
      <w:tr w14:paraId="252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noWrap w:val="0"/>
            <w:vAlign w:val="center"/>
          </w:tcPr>
          <w:p w14:paraId="07F91D8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color w:val="auto"/>
                <w:kern w:val="0"/>
                <w:sz w:val="21"/>
                <w:szCs w:val="21"/>
                <w:highlight w:val="none"/>
              </w:rPr>
            </w:pPr>
          </w:p>
        </w:tc>
        <w:tc>
          <w:tcPr>
            <w:tcW w:w="7528" w:type="dxa"/>
            <w:noWrap w:val="0"/>
            <w:vAlign w:val="top"/>
          </w:tcPr>
          <w:p w14:paraId="45CE05B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sz w:val="21"/>
                <w:szCs w:val="21"/>
                <w:highlight w:val="none"/>
              </w:rPr>
              <w:t>支持按人员统计体检流程、检查时长等，自动生成报表。</w:t>
            </w:r>
          </w:p>
        </w:tc>
      </w:tr>
    </w:tbl>
    <w:tbl>
      <w:tblPr>
        <w:tblStyle w:val="63"/>
        <w:tblW w:w="853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45"/>
        <w:gridCol w:w="717"/>
        <w:gridCol w:w="6378"/>
      </w:tblGrid>
      <w:tr w14:paraId="6FD9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35" w:type="dxa"/>
            <w:gridSpan w:val="4"/>
            <w:noWrap w:val="0"/>
            <w:vAlign w:val="center"/>
          </w:tcPr>
          <w:p w14:paraId="3B393BB0">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&lt;导检硬件参数&gt;</w:t>
            </w:r>
            <w:r>
              <w:rPr>
                <w:rFonts w:hint="eastAsia" w:asciiTheme="minorEastAsia" w:hAnsiTheme="minorEastAsia" w:eastAsiaTheme="minorEastAsia" w:cstheme="minorEastAsia"/>
                <w:b/>
                <w:bCs/>
                <w:color w:val="auto"/>
                <w:kern w:val="2"/>
                <w:sz w:val="21"/>
                <w:szCs w:val="21"/>
                <w:highlight w:val="none"/>
                <w:lang w:val="en-US" w:eastAsia="zh-CN" w:bidi="ar-SA"/>
              </w:rPr>
              <w:t xml:space="preserve"> </w:t>
            </w:r>
          </w:p>
        </w:tc>
      </w:tr>
      <w:tr w14:paraId="339D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5" w:type="dxa"/>
            <w:noWrap w:val="0"/>
            <w:vAlign w:val="center"/>
          </w:tcPr>
          <w:p w14:paraId="77DA248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序号</w:t>
            </w:r>
          </w:p>
        </w:tc>
        <w:tc>
          <w:tcPr>
            <w:tcW w:w="745" w:type="dxa"/>
            <w:noWrap w:val="0"/>
            <w:vAlign w:val="center"/>
          </w:tcPr>
          <w:p w14:paraId="6B66B14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名称</w:t>
            </w:r>
          </w:p>
        </w:tc>
        <w:tc>
          <w:tcPr>
            <w:tcW w:w="717" w:type="dxa"/>
            <w:noWrap w:val="0"/>
            <w:vAlign w:val="center"/>
          </w:tcPr>
          <w:p w14:paraId="628738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数量</w:t>
            </w:r>
          </w:p>
        </w:tc>
        <w:tc>
          <w:tcPr>
            <w:tcW w:w="6378" w:type="dxa"/>
            <w:noWrap w:val="0"/>
            <w:vAlign w:val="center"/>
          </w:tcPr>
          <w:p w14:paraId="69851530">
            <w:pPr>
              <w:keepNext w:val="0"/>
              <w:keepLines w:val="0"/>
              <w:pageBreakBefore w:val="0"/>
              <w:kinsoku/>
              <w:wordWrap/>
              <w:overflowPunct/>
              <w:topLinePunct w:val="0"/>
              <w:autoSpaceDE/>
              <w:autoSpaceDN/>
              <w:bidi w:val="0"/>
              <w:adjustRightInd/>
              <w:snapToGrid/>
              <w:spacing w:line="400" w:lineRule="exact"/>
              <w:ind w:right="-99" w:rightChars="-47"/>
              <w:jc w:val="center"/>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rPr>
              <w:t>配置</w:t>
            </w:r>
          </w:p>
        </w:tc>
      </w:tr>
      <w:tr w14:paraId="3EDD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695" w:type="dxa"/>
            <w:noWrap w:val="0"/>
            <w:vAlign w:val="center"/>
          </w:tcPr>
          <w:p w14:paraId="0F1382E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1</w:t>
            </w:r>
          </w:p>
        </w:tc>
        <w:tc>
          <w:tcPr>
            <w:tcW w:w="745" w:type="dxa"/>
            <w:noWrap w:val="0"/>
            <w:vAlign w:val="center"/>
          </w:tcPr>
          <w:p w14:paraId="728C8C3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诊间屏</w:t>
            </w:r>
          </w:p>
          <w:p w14:paraId="5B57E85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p>
        </w:tc>
        <w:tc>
          <w:tcPr>
            <w:tcW w:w="717" w:type="dxa"/>
            <w:noWrap w:val="0"/>
            <w:vAlign w:val="center"/>
          </w:tcPr>
          <w:p w14:paraId="1DF3193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1"/>
                <w:szCs w:val="21"/>
                <w:highlight w:val="none"/>
                <w:lang w:val="en-US" w:eastAsia="zh-CN"/>
              </w:rPr>
              <w:t>5</w:t>
            </w:r>
          </w:p>
        </w:tc>
        <w:tc>
          <w:tcPr>
            <w:tcW w:w="6378" w:type="dxa"/>
            <w:noWrap w:val="0"/>
            <w:vAlign w:val="top"/>
          </w:tcPr>
          <w:p w14:paraId="7C77785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显示屏尺寸：≥22英寸</w:t>
            </w:r>
          </w:p>
          <w:p w14:paraId="275B4780">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处理器要求：四核，≥1.5GHZ</w:t>
            </w:r>
          </w:p>
          <w:p w14:paraId="59E4C31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内存要求：≥1GB</w:t>
            </w:r>
          </w:p>
          <w:p w14:paraId="41F43E2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外存储：≥8GB</w:t>
            </w:r>
          </w:p>
          <w:p w14:paraId="2C5CCC1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操作系统：Android，且操作系统需为厂家深度开发定制产品，稳定性高，不易遭受病毒</w:t>
            </w:r>
          </w:p>
          <w:p w14:paraId="472187B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分辨率≥1920*1080</w:t>
            </w:r>
          </w:p>
          <w:p w14:paraId="39C9138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亮度≥250 cd/m²</w:t>
            </w:r>
          </w:p>
          <w:p w14:paraId="6D4C11A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音频格式:MP3/WMA/AAC</w:t>
            </w:r>
          </w:p>
          <w:p w14:paraId="337EEB1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视频格式:MPEG-1/2/4/WMV/H.264/RM/DivX/FLV</w:t>
            </w:r>
          </w:p>
          <w:p w14:paraId="5497405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支持分屏显示，可划分多个显示区域</w:t>
            </w:r>
          </w:p>
          <w:p w14:paraId="10257F17">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支持分布式部署，集中化管理</w:t>
            </w:r>
          </w:p>
          <w:p w14:paraId="629FD88D">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支持定时开关机，支持定时下载、定时播放、下载限速、断点续传</w:t>
            </w:r>
          </w:p>
          <w:p w14:paraId="43F0233B">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工作电压要求：220V 50Hz</w:t>
            </w:r>
          </w:p>
          <w:p w14:paraId="7BE32EBC">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安装方式要求：吊挂/壁挂安装</w:t>
            </w:r>
          </w:p>
        </w:tc>
      </w:tr>
    </w:tbl>
    <w:p w14:paraId="5112CD2D">
      <w:pPr>
        <w:rPr>
          <w:color w:val="auto"/>
          <w:highlight w:val="none"/>
        </w:rPr>
      </w:pPr>
    </w:p>
    <w:p w14:paraId="4CB151AE">
      <w:pPr>
        <w:pStyle w:val="4"/>
        <w:numPr>
          <w:ilvl w:val="2"/>
          <w:numId w:val="2"/>
        </w:numPr>
        <w:spacing w:line="360" w:lineRule="auto"/>
        <w:rPr>
          <w:rFonts w:hint="eastAsia" w:ascii="宋体" w:hAnsi="宋体" w:eastAsia="宋体"/>
          <w:color w:val="auto"/>
          <w:highlight w:val="none"/>
        </w:rPr>
      </w:pPr>
      <w:r>
        <w:rPr>
          <w:rFonts w:hint="eastAsia" w:ascii="宋体" w:hAnsi="宋体" w:eastAsia="宋体"/>
          <w:color w:val="auto"/>
          <w:highlight w:val="none"/>
        </w:rPr>
        <w:t>手术麻醉系统</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6"/>
        <w:gridCol w:w="7509"/>
      </w:tblGrid>
      <w:tr w14:paraId="101F9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67B02BC9">
            <w:pPr>
              <w:spacing w:line="360" w:lineRule="auto"/>
              <w:jc w:val="center"/>
              <w:rPr>
                <w:rFonts w:hint="eastAsia" w:ascii="宋体" w:hAnsi="宋体" w:eastAsia="宋体" w:cs="宋体"/>
                <w:b/>
                <w:bCs/>
                <w:color w:val="auto"/>
                <w:sz w:val="21"/>
                <w:szCs w:val="21"/>
                <w:highlight w:val="none"/>
              </w:rPr>
            </w:pPr>
            <w:r>
              <w:rPr>
                <w:rFonts w:ascii="宋体" w:hAnsi="宋体" w:eastAsia="宋体" w:cs="宋体"/>
                <w:b/>
                <w:bCs/>
                <w:color w:val="auto"/>
                <w:sz w:val="21"/>
                <w:szCs w:val="21"/>
                <w:highlight w:val="none"/>
              </w:rPr>
              <w:t>功能</w:t>
            </w:r>
          </w:p>
        </w:tc>
        <w:tc>
          <w:tcPr>
            <w:tcW w:w="0" w:type="auto"/>
            <w:vAlign w:val="center"/>
          </w:tcPr>
          <w:p w14:paraId="31B822AB">
            <w:pPr>
              <w:spacing w:line="360" w:lineRule="auto"/>
              <w:jc w:val="center"/>
              <w:rPr>
                <w:rFonts w:hint="eastAsia" w:ascii="宋体" w:hAnsi="宋体" w:eastAsia="宋体" w:cs="宋体"/>
                <w:b/>
                <w:bCs/>
                <w:color w:val="auto"/>
                <w:sz w:val="21"/>
                <w:szCs w:val="21"/>
                <w:highlight w:val="none"/>
              </w:rPr>
            </w:pPr>
            <w:r>
              <w:rPr>
                <w:rFonts w:ascii="宋体" w:hAnsi="宋体" w:eastAsia="宋体" w:cs="宋体"/>
                <w:b/>
                <w:bCs/>
                <w:color w:val="auto"/>
                <w:sz w:val="21"/>
                <w:szCs w:val="21"/>
                <w:highlight w:val="none"/>
              </w:rPr>
              <w:t>功能要求</w:t>
            </w:r>
          </w:p>
        </w:tc>
      </w:tr>
      <w:tr w14:paraId="42D5B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D42DA58">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手术排班需求</w:t>
            </w:r>
          </w:p>
        </w:tc>
        <w:tc>
          <w:tcPr>
            <w:tcW w:w="0" w:type="auto"/>
            <w:vAlign w:val="center"/>
          </w:tcPr>
          <w:p w14:paraId="39D64F53">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能够批量接收HIS下达的手术申请信息。</w:t>
            </w:r>
            <w:r>
              <w:rPr>
                <w:rFonts w:ascii="宋体" w:hAnsi="Times New Roman" w:cs="宋体"/>
                <w:color w:val="auto"/>
                <w:sz w:val="21"/>
                <w:szCs w:val="21"/>
                <w:highlight w:val="none"/>
                <w:lang w:val="zh-CN"/>
              </w:rPr>
              <w:t>包括门诊、急诊、病区所有的手术通知单，下达手术室前需由该科室主任或上级医生审核手术，护士核对手术后，下达至手术室。</w:t>
            </w:r>
          </w:p>
          <w:p w14:paraId="20AF7794">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能够接收指定时间段内HIS下达的手术申请信息；根据手术自动区分手术级别。</w:t>
            </w:r>
          </w:p>
          <w:p w14:paraId="391B652B">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能够查看临床科室申请的手术申请单详细信息。可显示临床科室对手术的特殊要求，需要有必填项的设置。</w:t>
            </w:r>
          </w:p>
          <w:p w14:paraId="70A3D9D5">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能够批量安排HIS下达的手术申请信息，对手术申请进行统筹处理，分配手术资源，完成麻醉的排班过程。</w:t>
            </w:r>
          </w:p>
          <w:p w14:paraId="111D6BA1">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为手术申请信息分配麻醉医生及助手。</w:t>
            </w:r>
          </w:p>
          <w:p w14:paraId="6CC24860">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能够显示手术的特殊要求等。</w:t>
            </w:r>
          </w:p>
          <w:p w14:paraId="2795A77E">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能够为手术申请安排洗手护士、巡回护士；能体现交接过程及带教过程，并能按要求统计功能。</w:t>
            </w:r>
          </w:p>
          <w:p w14:paraId="6BAF66D0">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能够根据手术安排情况自动生成符合医院要求的患者接送单，下送手术，病区电脑能显示并提醒，并反馈手术室病区是否接受处理信息。</w:t>
            </w:r>
          </w:p>
          <w:p w14:paraId="02FFF14E">
            <w:pPr>
              <w:pStyle w:val="966"/>
              <w:widowControl/>
              <w:numPr>
                <w:ilvl w:val="0"/>
                <w:numId w:val="52"/>
              </w:numPr>
              <w:spacing w:line="360" w:lineRule="auto"/>
              <w:ind w:left="0" w:firstLine="0" w:firstLineChars="0"/>
              <w:contextualSpacing/>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能够根据手术安排情况自动生成符合医院要求的手术通知单；整体及具体的手术通知单，手术通知单要区分择期手术，急诊手术及日间手术，并能按要求统计功能。</w:t>
            </w:r>
          </w:p>
        </w:tc>
      </w:tr>
      <w:tr w14:paraId="0437D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540C90C4">
            <w:pPr>
              <w:spacing w:line="360" w:lineRule="auto"/>
              <w:jc w:val="center"/>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术前准备需求</w:t>
            </w:r>
          </w:p>
        </w:tc>
        <w:tc>
          <w:tcPr>
            <w:tcW w:w="0" w:type="auto"/>
            <w:vAlign w:val="center"/>
          </w:tcPr>
          <w:p w14:paraId="2D665AE8">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能够批量接收HIS下达的手术排班信息，手术室完成排班确认后，病区医生及护士能查看到手术安排信息。</w:t>
            </w:r>
          </w:p>
          <w:p w14:paraId="4156F5C9">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能够按照医院要求的格式自动生成术前访视单，护理术前访视单，部分信息自动导入。</w:t>
            </w:r>
          </w:p>
          <w:p w14:paraId="0C97B205">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通过与医院信息系统集成，查看患者的病历信息、检查检验信息、医嘱信息等；自动导入以上信息:术前术后手术护理访视单，压力性损伤评估单、手术护理清点单、护理记录单、手术收费记录单、新生儿出生记录单、产时记录单等。</w:t>
            </w:r>
          </w:p>
          <w:p w14:paraId="46C7C092">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能够提供麻醉计划单，辅助麻醉医生通过系统查看患者病情、病史，便于拟定患者麻醉计划。</w:t>
            </w:r>
          </w:p>
          <w:p w14:paraId="1F44A719">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能够支持安排急诊患者进行手术，下达手术室前需由该科室主任或上级医生审核手术，护士核对手术后，下达至手术室。同时能接收门诊手术通知单。</w:t>
            </w:r>
          </w:p>
          <w:p w14:paraId="64286904">
            <w:pPr>
              <w:pStyle w:val="966"/>
              <w:widowControl/>
              <w:numPr>
                <w:ilvl w:val="0"/>
                <w:numId w:val="53"/>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能够按照医院要求的格式自动生成患者知情同意书。</w:t>
            </w:r>
          </w:p>
          <w:p w14:paraId="67A86365">
            <w:pPr>
              <w:pStyle w:val="257"/>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ascii="宋体" w:hAnsi="宋体" w:eastAsia="宋体" w:cs="宋体"/>
                <w:color w:val="auto"/>
                <w:sz w:val="21"/>
                <w:szCs w:val="21"/>
                <w:highlight w:val="none"/>
              </w:rPr>
              <w:t>能够通过系统集成查看患者信息，配合麻醉术前访视结果，辅助麻醉医生快速完成麻醉术前评估及评分功能。</w:t>
            </w:r>
          </w:p>
          <w:p w14:paraId="365256AC">
            <w:pPr>
              <w:pStyle w:val="257"/>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术前医嘱可按要求进行查询并执行。增加术前手术交接单并实现</w:t>
            </w:r>
            <w:r>
              <w:rPr>
                <w:rFonts w:ascii="宋体" w:hAnsi="宋体" w:eastAsia="宋体" w:cs="宋体"/>
                <w:color w:val="auto"/>
                <w:sz w:val="21"/>
                <w:szCs w:val="21"/>
                <w:highlight w:val="none"/>
              </w:rPr>
              <w:t>PDA</w:t>
            </w:r>
            <w:r>
              <w:rPr>
                <w:rFonts w:hint="eastAsia" w:ascii="宋体" w:hAnsi="宋体" w:eastAsia="宋体" w:cs="宋体"/>
                <w:color w:val="auto"/>
                <w:sz w:val="21"/>
                <w:szCs w:val="21"/>
                <w:highlight w:val="none"/>
              </w:rPr>
              <w:t>进行交接，包括病区来的手术、门诊来的手术、急诊科来的手术。</w:t>
            </w:r>
          </w:p>
        </w:tc>
      </w:tr>
      <w:tr w14:paraId="0B36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7854BD8">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术中麻醉管理需求</w:t>
            </w:r>
          </w:p>
        </w:tc>
        <w:tc>
          <w:tcPr>
            <w:tcW w:w="0" w:type="auto"/>
            <w:vAlign w:val="center"/>
          </w:tcPr>
          <w:p w14:paraId="41D4C1C7">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支持设置体征参数在麻醉单上的显示方式。</w:t>
            </w:r>
          </w:p>
          <w:p w14:paraId="5D435319">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能够从手术申请中提取患者基本信息、手术人员信息自动填充到麻醉记录单中。</w:t>
            </w:r>
          </w:p>
          <w:p w14:paraId="2B563C80">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能够自动记取该点对应的时间作为事件发生时间（或持续事件的起始时间），自动匹配该事件对应的剂量、途径、持续情况等。</w:t>
            </w:r>
          </w:p>
          <w:p w14:paraId="67D77AEE">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能够通过下拉菜单、拼音检索等方式，实现麻醉事件及用药的快速录入。</w:t>
            </w:r>
          </w:p>
          <w:p w14:paraId="0A8F4DA6">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能够在药品录入时自动匹配录入的药品剂量、浓度、速度单位；术中用药医嘱按要求进行查询并执行。</w:t>
            </w:r>
          </w:p>
          <w:p w14:paraId="69B4BBC3">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能够实现麻醉单模板套用，并支持以公有和私有的方式管理麻醉记录单模板。</w:t>
            </w:r>
          </w:p>
          <w:p w14:paraId="0E178EAF">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能够将术中麻醉操作以数字序号方式标记在治疗序号区域对应时间点，对应麻醉备注区域事件详情。</w:t>
            </w:r>
          </w:p>
          <w:p w14:paraId="2CFFC203">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能够辅助用户对受到干扰的伪差生命体征数据进行修正的功能。</w:t>
            </w:r>
          </w:p>
          <w:p w14:paraId="44974885">
            <w:pPr>
              <w:pStyle w:val="966"/>
              <w:widowControl/>
              <w:numPr>
                <w:ilvl w:val="0"/>
                <w:numId w:val="54"/>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模拟监护仪对体征参数进行动态显示。</w:t>
            </w:r>
          </w:p>
          <w:p w14:paraId="2B16BC7B">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修正前原始数据的保存功能。</w:t>
            </w:r>
          </w:p>
          <w:p w14:paraId="6B5F5192">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能够支持麻醉记录界面缩放功能。</w:t>
            </w:r>
          </w:p>
          <w:p w14:paraId="223F6892">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12、</w:t>
            </w:r>
            <w:r>
              <w:rPr>
                <w:rFonts w:ascii="宋体" w:hAnsi="宋体" w:cs="宋体"/>
                <w:color w:val="auto"/>
                <w:sz w:val="21"/>
                <w:szCs w:val="21"/>
                <w:highlight w:val="none"/>
              </w:rPr>
              <w:t>能够实现直接在麻醉记录单上拖动调整用药时间。</w:t>
            </w:r>
          </w:p>
          <w:p w14:paraId="61212B11">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13、</w:t>
            </w:r>
            <w:r>
              <w:rPr>
                <w:rFonts w:ascii="宋体" w:hAnsi="宋体" w:cs="宋体"/>
                <w:color w:val="auto"/>
                <w:sz w:val="21"/>
                <w:szCs w:val="21"/>
                <w:highlight w:val="none"/>
              </w:rPr>
              <w:t>能够实现直接在麻醉记录单上拖动快速调整输血、出量、入量时间。</w:t>
            </w:r>
          </w:p>
          <w:p w14:paraId="63386829">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14、</w:t>
            </w:r>
            <w:r>
              <w:rPr>
                <w:rFonts w:ascii="宋体" w:hAnsi="宋体" w:cs="宋体"/>
                <w:color w:val="auto"/>
                <w:sz w:val="21"/>
                <w:szCs w:val="21"/>
                <w:highlight w:val="none"/>
              </w:rPr>
              <w:t>能够实现术中出入量汇总自动计算。</w:t>
            </w:r>
          </w:p>
          <w:p w14:paraId="3EE04147">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15、</w:t>
            </w:r>
            <w:r>
              <w:rPr>
                <w:rFonts w:ascii="宋体" w:hAnsi="宋体" w:cs="宋体"/>
                <w:color w:val="auto"/>
                <w:sz w:val="21"/>
                <w:szCs w:val="21"/>
                <w:highlight w:val="none"/>
              </w:rPr>
              <w:t>能够支持患者体征的密集采集。</w:t>
            </w:r>
          </w:p>
          <w:p w14:paraId="6EB9B20F">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16、</w:t>
            </w:r>
            <w:r>
              <w:rPr>
                <w:rFonts w:ascii="宋体" w:hAnsi="宋体" w:cs="宋体"/>
                <w:color w:val="auto"/>
                <w:sz w:val="21"/>
                <w:szCs w:val="21"/>
                <w:highlight w:val="none"/>
              </w:rPr>
              <w:t>能够实现交接班麻醉医生的记录。</w:t>
            </w:r>
          </w:p>
          <w:p w14:paraId="4AF48C53">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17、</w:t>
            </w:r>
            <w:r>
              <w:rPr>
                <w:rFonts w:ascii="宋体" w:hAnsi="宋体" w:cs="宋体"/>
                <w:color w:val="auto"/>
                <w:sz w:val="21"/>
                <w:szCs w:val="21"/>
                <w:highlight w:val="none"/>
              </w:rPr>
              <w:t>提供转出手术时，可选择转出至病房、PACU、ICU；支持PDA实现。</w:t>
            </w:r>
          </w:p>
          <w:p w14:paraId="741FE454">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18、</w:t>
            </w:r>
            <w:r>
              <w:rPr>
                <w:rFonts w:ascii="宋体" w:hAnsi="宋体" w:cs="宋体"/>
                <w:color w:val="auto"/>
                <w:sz w:val="21"/>
                <w:szCs w:val="21"/>
                <w:highlight w:val="none"/>
              </w:rPr>
              <w:t>能够按照医院要求的格式生成护理记录单，支持同步麻醉单上相关信息，并记录患者手术过程中的护理信息，部分信息自动导入。</w:t>
            </w:r>
          </w:p>
          <w:p w14:paraId="0B633D00">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19、</w:t>
            </w:r>
            <w:r>
              <w:rPr>
                <w:rFonts w:ascii="宋体" w:hAnsi="宋体" w:cs="宋体"/>
                <w:color w:val="auto"/>
                <w:sz w:val="21"/>
                <w:szCs w:val="21"/>
                <w:highlight w:val="none"/>
              </w:rPr>
              <w:t>能够生成器械清点单，记录术中手术器械名称和数量，并可记录核对后的器械数量。支持通过模板套用录入；部分信息自动导入；支持PDA实现；支持追溯系统信息导入。</w:t>
            </w:r>
          </w:p>
          <w:p w14:paraId="6DC8B9E5">
            <w:pPr>
              <w:pStyle w:val="966"/>
              <w:widowControl/>
              <w:numPr>
                <w:ilvl w:val="0"/>
                <w:numId w:val="0"/>
              </w:numPr>
              <w:spacing w:line="360" w:lineRule="auto"/>
              <w:ind w:leftChars="0"/>
              <w:contextualSpacing/>
              <w:jc w:val="left"/>
              <w:rPr>
                <w:rFonts w:ascii="宋体" w:hAnsi="宋体" w:cs="宋体"/>
                <w:color w:val="auto"/>
                <w:sz w:val="21"/>
                <w:szCs w:val="21"/>
                <w:highlight w:val="none"/>
              </w:rPr>
            </w:pPr>
            <w:r>
              <w:rPr>
                <w:rFonts w:hint="eastAsia" w:ascii="宋体" w:hAnsi="Times New Roman" w:cs="宋体"/>
                <w:color w:val="auto"/>
                <w:sz w:val="21"/>
                <w:szCs w:val="21"/>
                <w:highlight w:val="none"/>
                <w:lang w:val="en-US" w:eastAsia="zh-CN"/>
              </w:rPr>
              <w:t>20、</w:t>
            </w:r>
            <w:r>
              <w:rPr>
                <w:rFonts w:ascii="宋体" w:hAnsi="Times New Roman" w:cs="宋体"/>
                <w:color w:val="auto"/>
                <w:sz w:val="21"/>
                <w:szCs w:val="21"/>
                <w:highlight w:val="none"/>
                <w:lang w:val="zh-CN"/>
              </w:rPr>
              <w:t>手术装状态病区及手术室门口实时显示。</w:t>
            </w:r>
          </w:p>
        </w:tc>
      </w:tr>
      <w:tr w14:paraId="452D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3E19AE9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术后管理需求</w:t>
            </w:r>
          </w:p>
        </w:tc>
        <w:tc>
          <w:tcPr>
            <w:tcW w:w="0" w:type="auto"/>
            <w:vAlign w:val="center"/>
          </w:tcPr>
          <w:p w14:paraId="0556AF3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1、能够自动采集患者苏醒过程中的生命体征趋势并自动绘制在复苏记录单上。</w:t>
            </w:r>
          </w:p>
          <w:p w14:paraId="7F1E3AD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2、能够支持复苏记录单延续术中麻醉记录单。</w:t>
            </w:r>
          </w:p>
          <w:p w14:paraId="2F90A21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3、能够对手术患者进行术后手术信息登记和统计</w:t>
            </w:r>
            <w:r>
              <w:rPr>
                <w:rFonts w:hint="eastAsia" w:ascii="宋体" w:hAnsi="宋体" w:eastAsia="宋体" w:cs="宋体"/>
                <w:color w:val="auto"/>
                <w:sz w:val="21"/>
                <w:szCs w:val="21"/>
                <w:highlight w:val="none"/>
              </w:rPr>
              <w:t>；护理报表：手术台次、手术级别、手术医生、手术名称、病区、时间等按要求进行统计并导出。洗手护士及巡回护士工作时间统计并导出。</w:t>
            </w:r>
          </w:p>
          <w:p w14:paraId="049763AA">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4、能够按照医院要求的格式生成术后随访单，记录患者术后随访信息</w:t>
            </w:r>
            <w:r>
              <w:rPr>
                <w:rFonts w:hint="eastAsia" w:ascii="宋体" w:hAnsi="宋体" w:eastAsia="宋体" w:cs="宋体"/>
                <w:color w:val="auto"/>
                <w:sz w:val="21"/>
                <w:szCs w:val="21"/>
                <w:highlight w:val="none"/>
              </w:rPr>
              <w:t>；护理也需术后访视单，部分信息自动导入。</w:t>
            </w:r>
          </w:p>
          <w:p w14:paraId="3F92FEB1">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5、能够按照医院要求的格式生成术后镇痛记录单，记录患者术后镇痛效果。</w:t>
            </w:r>
          </w:p>
          <w:p w14:paraId="17D8319C">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6、能够按照医院要求的格式生成麻醉总结记录单，记录对患者的麻醉过程、麻醉效果进行总结。</w:t>
            </w:r>
          </w:p>
          <w:p w14:paraId="2E050470">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7、能够提供麻醉Steward苏醒评分。</w:t>
            </w:r>
          </w:p>
          <w:p w14:paraId="6CC4420D">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8、能够提供疼痛评分。</w:t>
            </w:r>
          </w:p>
          <w:p w14:paraId="684475B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Times New Roman" w:eastAsia="宋体" w:cs="宋体"/>
                <w:color w:val="auto"/>
                <w:sz w:val="21"/>
                <w:szCs w:val="21"/>
                <w:highlight w:val="none"/>
                <w:lang w:val="zh-CN"/>
              </w:rPr>
              <w:t>患者回病区能电脑显示及提醒，并能反馈病区是否接收处理。</w:t>
            </w:r>
          </w:p>
        </w:tc>
      </w:tr>
      <w:tr w14:paraId="4E77F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40EE982">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手术取消管理需求</w:t>
            </w:r>
          </w:p>
        </w:tc>
        <w:tc>
          <w:tcPr>
            <w:tcW w:w="0" w:type="auto"/>
            <w:vAlign w:val="center"/>
          </w:tcPr>
          <w:p w14:paraId="694C7EF1">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1、能够对未安排的手术申请可以进行取消操作。</w:t>
            </w:r>
          </w:p>
          <w:p w14:paraId="65D58A7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2、能够对已安排的手术申请可以进行撤销操作。</w:t>
            </w:r>
          </w:p>
          <w:p w14:paraId="096C964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3、能够记录手术申请取消原因。</w:t>
            </w:r>
          </w:p>
        </w:tc>
      </w:tr>
      <w:tr w14:paraId="405B1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3847D9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病案管理需求</w:t>
            </w:r>
          </w:p>
        </w:tc>
        <w:tc>
          <w:tcPr>
            <w:tcW w:w="0" w:type="auto"/>
            <w:vAlign w:val="center"/>
          </w:tcPr>
          <w:p w14:paraId="2B084086">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能够支持病案单独打印和集中打印。</w:t>
            </w:r>
          </w:p>
          <w:p w14:paraId="1524CC71">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能够支持病案的归档。</w:t>
            </w:r>
          </w:p>
          <w:p w14:paraId="1C2330F5">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能够显示病案归档时间和归档状态。</w:t>
            </w:r>
          </w:p>
          <w:p w14:paraId="7F428D73">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能够控制提交病案操作权限。</w:t>
            </w:r>
          </w:p>
          <w:p w14:paraId="0CC92D4A">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能够在提交病案时进行病案完整情况校验和提醒。</w:t>
            </w:r>
          </w:p>
          <w:p w14:paraId="6ADDF97B">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能够检索指定患者病案信息。</w:t>
            </w:r>
          </w:p>
          <w:p w14:paraId="62146B2E">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能够查阅指定患者历史住院的手术麻醉记录。</w:t>
            </w:r>
          </w:p>
          <w:p w14:paraId="1403789A">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能够浏览指定患者所有历史麻醉病案。</w:t>
            </w:r>
          </w:p>
          <w:p w14:paraId="2B550B0E">
            <w:pPr>
              <w:pStyle w:val="966"/>
              <w:widowControl/>
              <w:numPr>
                <w:ilvl w:val="0"/>
                <w:numId w:val="55"/>
              </w:numPr>
              <w:spacing w:line="360" w:lineRule="auto"/>
              <w:ind w:left="40" w:firstLine="0" w:firstLineChars="0"/>
              <w:contextualSpacing/>
              <w:jc w:val="left"/>
              <w:rPr>
                <w:rFonts w:ascii="宋体" w:hAnsi="宋体" w:cs="宋体"/>
                <w:color w:val="auto"/>
                <w:sz w:val="21"/>
                <w:szCs w:val="21"/>
                <w:highlight w:val="none"/>
              </w:rPr>
            </w:pPr>
            <w:r>
              <w:rPr>
                <w:rFonts w:ascii="宋体" w:hAnsi="Times New Roman" w:cs="宋体"/>
                <w:color w:val="auto"/>
                <w:sz w:val="21"/>
                <w:szCs w:val="21"/>
                <w:highlight w:val="none"/>
                <w:lang w:val="zh-CN"/>
              </w:rPr>
              <w:t>手术护理记录单、手术清点记录单、压力性损伤评估单、护理术前术后访视单、收费记录单、植入物记录单、病理记录单可单独、集中打印并支持以上麻醉记录单的功能。</w:t>
            </w:r>
          </w:p>
        </w:tc>
      </w:tr>
      <w:tr w14:paraId="197BE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B6C5E7D">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系统支持管理需求</w:t>
            </w:r>
          </w:p>
        </w:tc>
        <w:tc>
          <w:tcPr>
            <w:tcW w:w="0" w:type="auto"/>
            <w:vAlign w:val="center"/>
          </w:tcPr>
          <w:p w14:paraId="49D933E7">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能够支持WEB services、视图等多种集成方式。</w:t>
            </w:r>
          </w:p>
          <w:p w14:paraId="6735CF2C">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HIS获取患者基本信息、医嘱信息、住院信息、手术申请信息；自动导入以上信息：术前术后手术护理访视单，压力性损伤评估单、手术护理清点单、护理记录单、手术收费记录单、新生儿出生记录单、产时记录单等。</w:t>
            </w:r>
          </w:p>
          <w:p w14:paraId="4CECC641">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能够支持通过LIS获取患者检验报告。</w:t>
            </w:r>
          </w:p>
          <w:p w14:paraId="2EB7617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能够获取监护仪上的血压、脉搏、心率、SPO2等患者生命体征信息。</w:t>
            </w:r>
          </w:p>
          <w:p w14:paraId="49E8F72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能够记录断网情况下的当台患者体征数据。</w:t>
            </w:r>
          </w:p>
          <w:p w14:paraId="468BDCAD">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能够支持通过HIS更新本地字典。</w:t>
            </w:r>
          </w:p>
          <w:p w14:paraId="236C77F6">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能够支持用户手工维护本地字典。</w:t>
            </w:r>
          </w:p>
          <w:p w14:paraId="67F8797C">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能够支持维护科室手术间。具体有哪些</w:t>
            </w:r>
          </w:p>
          <w:p w14:paraId="238816DF">
            <w:pPr>
              <w:pStyle w:val="966"/>
              <w:widowControl/>
              <w:numPr>
                <w:ilvl w:val="0"/>
                <w:numId w:val="56"/>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能够配置麻醉记录字典，包括麻醉事件、麻醉常用量、麻醉方法。</w:t>
            </w:r>
          </w:p>
          <w:p w14:paraId="403A49B3">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能够离线保存采集到的体征数据。</w:t>
            </w:r>
          </w:p>
          <w:p w14:paraId="60B63C1D">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能够提供数据库备份机制，定期对数据进行备份。</w:t>
            </w:r>
          </w:p>
          <w:p w14:paraId="2E33D58A">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Times New Roman" w:cs="宋体"/>
                <w:color w:val="auto"/>
                <w:sz w:val="21"/>
                <w:szCs w:val="21"/>
                <w:highlight w:val="none"/>
                <w:lang w:val="en-US" w:eastAsia="zh-CN"/>
              </w:rPr>
              <w:t>12、</w:t>
            </w:r>
            <w:r>
              <w:rPr>
                <w:rFonts w:ascii="宋体" w:hAnsi="Times New Roman" w:cs="宋体"/>
                <w:color w:val="auto"/>
                <w:sz w:val="21"/>
                <w:szCs w:val="21"/>
                <w:highlight w:val="none"/>
                <w:lang w:val="zh-CN"/>
              </w:rPr>
              <w:t>支持与急诊系统、病理系统、追溯系统的信息及连接操作。</w:t>
            </w:r>
          </w:p>
        </w:tc>
      </w:tr>
      <w:tr w14:paraId="39385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1F8E021D">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用户权限管理需求</w:t>
            </w:r>
          </w:p>
        </w:tc>
        <w:tc>
          <w:tcPr>
            <w:tcW w:w="0" w:type="auto"/>
            <w:vAlign w:val="center"/>
          </w:tcPr>
          <w:p w14:paraId="1BC1B69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1、能够为指定用户分配角色以获得相应的程序访问权限。</w:t>
            </w:r>
          </w:p>
          <w:p w14:paraId="4867B3C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2、能够编辑系统角色的名称，用于分配一系列的程序功能访问权限。</w:t>
            </w:r>
          </w:p>
          <w:p w14:paraId="54E1E8C7">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3、能够根据医院信息化管理的要求创建用户，包括登陆用户名、密码及所在科室。</w:t>
            </w:r>
          </w:p>
          <w:p w14:paraId="493D3642">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4、能够修改指定用户的登陆密码。</w:t>
            </w:r>
          </w:p>
          <w:p w14:paraId="4F0D13F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5、能够分配指定角色所具备的系统权限。</w:t>
            </w:r>
          </w:p>
        </w:tc>
      </w:tr>
      <w:tr w14:paraId="522EA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132F9A4">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统计查询需求</w:t>
            </w:r>
          </w:p>
        </w:tc>
        <w:tc>
          <w:tcPr>
            <w:tcW w:w="0" w:type="auto"/>
            <w:vAlign w:val="center"/>
          </w:tcPr>
          <w:p w14:paraId="6D982ED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1、能够根据指定条件统计麻醉医生例数及平均麻醉时长。</w:t>
            </w:r>
          </w:p>
          <w:p w14:paraId="46849AF0">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2、能够根据指定条件统计护士例数及平均手术时长。</w:t>
            </w:r>
            <w:r>
              <w:rPr>
                <w:rFonts w:hint="eastAsia" w:ascii="宋体" w:hAnsi="宋体" w:eastAsia="宋体" w:cs="宋体"/>
                <w:color w:val="auto"/>
                <w:sz w:val="21"/>
                <w:szCs w:val="21"/>
                <w:highlight w:val="none"/>
              </w:rPr>
              <w:t>及时间要求内的总时长统计的报表并能导出。</w:t>
            </w:r>
          </w:p>
          <w:p w14:paraId="3F18DE06">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3、能够根据指定条件统计手术医生例数及平均手术时长。</w:t>
            </w:r>
          </w:p>
          <w:p w14:paraId="4F6AE97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4、能够根据指定条件统计麻醉科麻醉例数及平均麻醉时长。</w:t>
            </w:r>
          </w:p>
          <w:p w14:paraId="3F6F4E0F">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5、能够统计指定日期范围内的ASA不同等级的例数。</w:t>
            </w:r>
          </w:p>
          <w:p w14:paraId="3C7C054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6、能够统计指定日期范围内全科或者指定医生不同麻醉方法的手术例数。</w:t>
            </w:r>
          </w:p>
          <w:p w14:paraId="37F0AC2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7、能够根据指定条件实现手术总例数及临床手术科室分类例数</w:t>
            </w:r>
            <w:r>
              <w:rPr>
                <w:rFonts w:hint="eastAsia" w:ascii="宋体" w:hAnsi="宋体" w:eastAsia="宋体" w:cs="宋体"/>
                <w:color w:val="auto"/>
                <w:sz w:val="21"/>
                <w:szCs w:val="21"/>
                <w:highlight w:val="none"/>
              </w:rPr>
              <w:t>，统计的报表并能导出。</w:t>
            </w:r>
          </w:p>
          <w:p w14:paraId="780E8E1E">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8、能够根据患者信息、医护人员、科室、手术时间、</w:t>
            </w:r>
            <w:r>
              <w:rPr>
                <w:rFonts w:hint="eastAsia" w:ascii="宋体" w:hAnsi="宋体" w:eastAsia="宋体" w:cs="宋体"/>
                <w:color w:val="auto"/>
                <w:sz w:val="21"/>
                <w:szCs w:val="21"/>
                <w:highlight w:val="none"/>
              </w:rPr>
              <w:t>手术级别、手术名称、</w:t>
            </w:r>
            <w:r>
              <w:rPr>
                <w:rFonts w:ascii="宋体" w:hAnsi="宋体" w:eastAsia="宋体" w:cs="宋体"/>
                <w:color w:val="auto"/>
                <w:sz w:val="21"/>
                <w:szCs w:val="21"/>
                <w:highlight w:val="none"/>
              </w:rPr>
              <w:t>手术状态、麻醉效果条件实现手术信息的查询</w:t>
            </w:r>
            <w:r>
              <w:rPr>
                <w:rFonts w:hint="eastAsia" w:ascii="宋体" w:hAnsi="宋体" w:eastAsia="宋体" w:cs="宋体"/>
                <w:color w:val="auto"/>
                <w:sz w:val="21"/>
                <w:szCs w:val="21"/>
                <w:highlight w:val="none"/>
              </w:rPr>
              <w:t>统计的报表并能导出。</w:t>
            </w:r>
          </w:p>
          <w:p w14:paraId="00C8BDE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9、能够统计指定日期范围内的术后镇痛患者信息。</w:t>
            </w:r>
          </w:p>
          <w:p w14:paraId="0B0C0B64">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10、能够将上述统计查询结果导出为EXCEL格式报表。</w:t>
            </w:r>
          </w:p>
        </w:tc>
      </w:tr>
      <w:tr w14:paraId="19186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20D04B1E">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医护患协同管理需求</w:t>
            </w:r>
          </w:p>
        </w:tc>
        <w:tc>
          <w:tcPr>
            <w:tcW w:w="0" w:type="auto"/>
            <w:vAlign w:val="center"/>
          </w:tcPr>
          <w:p w14:paraId="4FD6855B">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1、能够通过大屏显示当天手术安排信息，可根据手术进展实时刷新手术状态</w:t>
            </w:r>
            <w:r>
              <w:rPr>
                <w:rFonts w:hint="eastAsia" w:ascii="宋体" w:hAnsi="宋体" w:eastAsia="宋体" w:cs="宋体"/>
                <w:color w:val="auto"/>
                <w:sz w:val="21"/>
                <w:szCs w:val="21"/>
                <w:highlight w:val="none"/>
              </w:rPr>
              <w:t>，病区电脑，手术医生手机也可看到。</w:t>
            </w:r>
          </w:p>
          <w:p w14:paraId="068801DD">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2、能够在大屏上动态显示当前手术的进展情况。支持语音播报通知功能。</w:t>
            </w:r>
          </w:p>
          <w:p w14:paraId="76C23405">
            <w:pPr>
              <w:spacing w:line="360" w:lineRule="auto"/>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3、能够配置大屏公告显示的内容及显示效果。</w:t>
            </w:r>
          </w:p>
        </w:tc>
      </w:tr>
      <w:tr w14:paraId="2E8C6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EF1D4AF">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手术智能排班管理需求</w:t>
            </w:r>
          </w:p>
        </w:tc>
        <w:tc>
          <w:tcPr>
            <w:tcW w:w="0" w:type="auto"/>
            <w:vAlign w:val="center"/>
          </w:tcPr>
          <w:p w14:paraId="02531D76">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能够按照排班规则提供手术间配置、医生配置等配置功能。</w:t>
            </w:r>
          </w:p>
          <w:p w14:paraId="20707A3B">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能够查看从HIS系统中下达并接收到的手术申请，能够集中显示指定日期所有可安排的人员信息。</w:t>
            </w:r>
          </w:p>
          <w:p w14:paraId="300B7752">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能够记录预约手术的取消原因。</w:t>
            </w:r>
          </w:p>
          <w:p w14:paraId="07613771">
            <w:pPr>
              <w:pStyle w:val="966"/>
              <w:widowControl/>
              <w:numPr>
                <w:ilvl w:val="0"/>
                <w:numId w:val="57"/>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能够根据手术安排情况自动生成手术通知单并打印，能够用浏览器查看手术排班结果。</w:t>
            </w:r>
          </w:p>
        </w:tc>
      </w:tr>
      <w:tr w14:paraId="1FF55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39168C3B">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复苏管理需求</w:t>
            </w:r>
          </w:p>
        </w:tc>
        <w:tc>
          <w:tcPr>
            <w:tcW w:w="0" w:type="auto"/>
            <w:vAlign w:val="center"/>
          </w:tcPr>
          <w:p w14:paraId="78596032">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能够按照排班规则提供手术间配置、医生配置等配置功能。</w:t>
            </w:r>
          </w:p>
          <w:p w14:paraId="183EF374">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能够查看从HIS系统中下达并接收到的手术申请，能够集中显示指定日期所有可安排的人员信息。</w:t>
            </w:r>
          </w:p>
          <w:p w14:paraId="709C7D81">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能够记录预约手术的取消原因。</w:t>
            </w:r>
          </w:p>
          <w:p w14:paraId="50030152">
            <w:pPr>
              <w:pStyle w:val="966"/>
              <w:widowControl/>
              <w:numPr>
                <w:ilvl w:val="0"/>
                <w:numId w:val="58"/>
              </w:numPr>
              <w:spacing w:line="360" w:lineRule="auto"/>
              <w:ind w:left="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能够根据手术安排情况自动生成手术通知单并打印，能够用浏览器查看手术排班结果。</w:t>
            </w:r>
          </w:p>
        </w:tc>
      </w:tr>
      <w:tr w14:paraId="6F85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Align w:val="center"/>
          </w:tcPr>
          <w:p w14:paraId="7FFBC31A">
            <w:pPr>
              <w:spacing w:line="360" w:lineRule="auto"/>
              <w:jc w:val="center"/>
              <w:rPr>
                <w:rFonts w:hint="eastAsia" w:ascii="宋体" w:hAnsi="宋体" w:eastAsia="宋体" w:cs="宋体"/>
                <w:color w:val="auto"/>
                <w:sz w:val="21"/>
                <w:szCs w:val="21"/>
                <w:highlight w:val="none"/>
                <w:lang w:val="en-GB"/>
              </w:rPr>
            </w:pPr>
            <w:r>
              <w:rPr>
                <w:rFonts w:ascii="宋体" w:hAnsi="宋体" w:eastAsia="宋体" w:cs="宋体"/>
                <w:color w:val="auto"/>
                <w:sz w:val="21"/>
                <w:szCs w:val="21"/>
                <w:highlight w:val="none"/>
                <w:lang w:val="en-GB"/>
              </w:rPr>
              <w:t>麻醉质量管理需求</w:t>
            </w:r>
          </w:p>
        </w:tc>
        <w:tc>
          <w:tcPr>
            <w:tcW w:w="0" w:type="auto"/>
            <w:vAlign w:val="center"/>
          </w:tcPr>
          <w:p w14:paraId="65DB5954">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能够在用户打印文书时自动检查文书内容，在未填写完整时弹出提醒。</w:t>
            </w:r>
          </w:p>
          <w:p w14:paraId="0AD143FA">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能够自定义文书必填项目。</w:t>
            </w:r>
          </w:p>
          <w:p w14:paraId="2DDC5A4D">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能够提供独立界面浏览患者文书完成情况，对科室麻醉文书工作进行管控。</w:t>
            </w:r>
          </w:p>
          <w:p w14:paraId="71426BE2">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能够自动汇总质控相关数据，便于科室定期自查。</w:t>
            </w:r>
          </w:p>
          <w:p w14:paraId="52351A7D">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具体等级评审统计项目包括：</w:t>
            </w:r>
          </w:p>
          <w:p w14:paraId="12C3D444">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麻醉总例数/季/年</w:t>
            </w:r>
          </w:p>
          <w:p w14:paraId="4C016CA0">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由麻醉医师实施镇痛治疗例数/季/年</w:t>
            </w:r>
          </w:p>
          <w:p w14:paraId="537A7E91">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由麻醉医师实施心肺复苏治疗例数/季/年</w:t>
            </w:r>
          </w:p>
          <w:p w14:paraId="22D7EEBA">
            <w:pPr>
              <w:pStyle w:val="966"/>
              <w:widowControl/>
              <w:numPr>
                <w:ilvl w:val="0"/>
                <w:numId w:val="59"/>
              </w:numPr>
              <w:spacing w:line="360" w:lineRule="auto"/>
              <w:ind w:left="40" w:firstLine="0" w:firstLineChars="0"/>
              <w:contextualSpacing/>
              <w:jc w:val="left"/>
              <w:rPr>
                <w:rFonts w:ascii="宋体" w:hAnsi="宋体" w:cs="宋体"/>
                <w:color w:val="auto"/>
                <w:sz w:val="21"/>
                <w:szCs w:val="21"/>
                <w:highlight w:val="none"/>
              </w:rPr>
            </w:pPr>
            <w:r>
              <w:rPr>
                <w:rFonts w:ascii="宋体" w:hAnsi="宋体" w:cs="宋体"/>
                <w:color w:val="auto"/>
                <w:sz w:val="21"/>
                <w:szCs w:val="21"/>
                <w:highlight w:val="none"/>
              </w:rPr>
              <w:t>麻醉复苏（Steward苏醒评分）管理例数/季/年</w:t>
            </w:r>
          </w:p>
          <w:p w14:paraId="6049879B">
            <w:pPr>
              <w:pStyle w:val="966"/>
              <w:widowControl/>
              <w:numPr>
                <w:ilvl w:val="0"/>
                <w:numId w:val="0"/>
              </w:numPr>
              <w:spacing w:line="360" w:lineRule="auto"/>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10、</w:t>
            </w:r>
            <w:r>
              <w:rPr>
                <w:rFonts w:ascii="宋体" w:hAnsi="宋体" w:cs="宋体"/>
                <w:color w:val="auto"/>
                <w:sz w:val="21"/>
                <w:szCs w:val="21"/>
                <w:highlight w:val="none"/>
              </w:rPr>
              <w:t>麻醉非预期的相关事件例数/季/年</w:t>
            </w:r>
          </w:p>
          <w:p w14:paraId="0A9882A1">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11、</w:t>
            </w:r>
            <w:r>
              <w:rPr>
                <w:rFonts w:ascii="宋体" w:hAnsi="宋体" w:cs="宋体"/>
                <w:color w:val="auto"/>
                <w:sz w:val="21"/>
                <w:szCs w:val="21"/>
                <w:highlight w:val="none"/>
              </w:rPr>
              <w:t>麻醉分级（ASA病情分级）管理例数/季/年。</w:t>
            </w:r>
          </w:p>
          <w:p w14:paraId="5F15A29C">
            <w:pPr>
              <w:pStyle w:val="966"/>
              <w:widowControl/>
              <w:numPr>
                <w:ilvl w:val="0"/>
                <w:numId w:val="0"/>
              </w:numPr>
              <w:spacing w:line="360" w:lineRule="auto"/>
              <w:ind w:left="40" w:leftChars="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12、</w:t>
            </w:r>
            <w:r>
              <w:rPr>
                <w:rFonts w:ascii="宋体" w:hAnsi="宋体" w:cs="宋体"/>
                <w:color w:val="auto"/>
                <w:sz w:val="21"/>
                <w:szCs w:val="21"/>
                <w:highlight w:val="none"/>
              </w:rPr>
              <w:t>能够提供麻醉质控单，支持录入17项质控所需数据，对质控指标进行监测。</w:t>
            </w:r>
          </w:p>
        </w:tc>
      </w:tr>
    </w:tbl>
    <w:p w14:paraId="0A54DD29">
      <w:pPr>
        <w:rPr>
          <w:color w:val="auto"/>
          <w:highlight w:val="none"/>
        </w:rPr>
      </w:pPr>
    </w:p>
    <w:p w14:paraId="4355CE77">
      <w:pPr>
        <w:pStyle w:val="4"/>
        <w:numPr>
          <w:ilvl w:val="2"/>
          <w:numId w:val="2"/>
        </w:numPr>
        <w:spacing w:line="360" w:lineRule="auto"/>
        <w:rPr>
          <w:rFonts w:hint="eastAsia" w:ascii="宋体" w:hAnsi="宋体" w:eastAsia="宋体"/>
          <w:color w:val="auto"/>
          <w:highlight w:val="none"/>
        </w:rPr>
      </w:pPr>
      <w:r>
        <w:rPr>
          <w:rFonts w:hint="eastAsia"/>
          <w:color w:val="auto"/>
          <w:highlight w:val="none"/>
        </w:rPr>
        <w:t>病理系统及标本管理扩展项目</w:t>
      </w:r>
    </w:p>
    <w:tbl>
      <w:tblPr>
        <w:tblStyle w:val="63"/>
        <w:tblW w:w="4956" w:type="pct"/>
        <w:tblInd w:w="0" w:type="dxa"/>
        <w:tblLayout w:type="autofit"/>
        <w:tblCellMar>
          <w:top w:w="15" w:type="dxa"/>
          <w:left w:w="15" w:type="dxa"/>
          <w:bottom w:w="15" w:type="dxa"/>
          <w:right w:w="15" w:type="dxa"/>
        </w:tblCellMar>
      </w:tblPr>
      <w:tblGrid>
        <w:gridCol w:w="1296"/>
        <w:gridCol w:w="7053"/>
      </w:tblGrid>
      <w:tr w14:paraId="7C672C8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BBBFE7">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6DEE17">
            <w:pPr>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功能</w:t>
            </w:r>
          </w:p>
        </w:tc>
      </w:tr>
      <w:tr w14:paraId="437143F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94550D">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CA27D5">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检查登记</w:t>
            </w:r>
          </w:p>
        </w:tc>
      </w:tr>
      <w:tr w14:paraId="423A9F3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16035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5BBA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支持与HIS集成，获取电子申请单登记；无电子申请单时，获取患者基本信息登记。</w:t>
            </w:r>
          </w:p>
        </w:tc>
      </w:tr>
      <w:tr w14:paraId="70E20BE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31240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ADA156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支持根据检查项目生成病理号，及根据更细的检查项目分支生成。</w:t>
            </w:r>
          </w:p>
        </w:tc>
      </w:tr>
      <w:tr w14:paraId="08D7563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4350B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43844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支持登记成功后，自动拍摄送检单，自动打印回执单。</w:t>
            </w:r>
          </w:p>
        </w:tc>
      </w:tr>
      <w:tr w14:paraId="5E1A203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B334F2F">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D4DD9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支持标本采集部位初始化，提升手工登记时标本信息录入效率。</w:t>
            </w:r>
          </w:p>
        </w:tc>
      </w:tr>
      <w:tr w14:paraId="1ACFED7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53DD31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283E3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支持标本标签条码的打印。</w:t>
            </w:r>
          </w:p>
        </w:tc>
      </w:tr>
      <w:tr w14:paraId="7EA3FA93">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142870">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F39899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支持添加标本记录。</w:t>
            </w:r>
          </w:p>
        </w:tc>
      </w:tr>
      <w:tr w14:paraId="751AECE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4B710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F0E1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支持补充收费。</w:t>
            </w:r>
          </w:p>
        </w:tc>
      </w:tr>
      <w:tr w14:paraId="5853DA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C9518A8">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EBB1FF">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标本取材</w:t>
            </w:r>
          </w:p>
        </w:tc>
      </w:tr>
      <w:tr w14:paraId="16261FA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2F7435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DE544B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支持通过扫描标本袋上的条码/二维码进行取材，并支持同步打开取材记录工作站。</w:t>
            </w:r>
          </w:p>
        </w:tc>
      </w:tr>
      <w:tr w14:paraId="4FC317F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7D12D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750CB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支持大体标本图像拍摄，并实时同步至取材记录医生工作站。</w:t>
            </w:r>
          </w:p>
        </w:tc>
      </w:tr>
      <w:tr w14:paraId="658994E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732303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7EEAF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支持通过输入标本条码、包埋盒号获取取材记录。</w:t>
            </w:r>
          </w:p>
        </w:tc>
      </w:tr>
      <w:tr w14:paraId="050C34B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64B7A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DCB11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支持显示取材记录详情、冰冻检查、申请单、材块记录、标本记录。</w:t>
            </w:r>
          </w:p>
        </w:tc>
      </w:tr>
      <w:tr w14:paraId="152AD6D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17DAE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03C50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支持取材医生对取材信息进行拍照、录像、录音，以及查看图片、录像，播放语音。</w:t>
            </w:r>
          </w:p>
        </w:tc>
      </w:tr>
      <w:tr w14:paraId="54B3F62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FDC308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38D69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支持根据送检标本自动定位巨检模板。</w:t>
            </w:r>
          </w:p>
        </w:tc>
      </w:tr>
      <w:tr w14:paraId="7A2A10E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034CC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492CB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支持通过编码、材块类型、取材部位查询材块记录。</w:t>
            </w:r>
          </w:p>
        </w:tc>
      </w:tr>
      <w:tr w14:paraId="51A24A5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9A6B5E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086B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支持增加蜡块；及蜡块的补收费。</w:t>
            </w:r>
          </w:p>
        </w:tc>
      </w:tr>
      <w:tr w14:paraId="7A2AB6C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20D96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0546FD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支持包埋盒标签打印。</w:t>
            </w:r>
          </w:p>
        </w:tc>
      </w:tr>
      <w:tr w14:paraId="08DB4A5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045E31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6CE11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支持对取材蜡块进行重补取、脱钙标记。</w:t>
            </w:r>
          </w:p>
        </w:tc>
      </w:tr>
      <w:tr w14:paraId="11CFCC9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7FE926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BBD76B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支持不合格标本录入，包含处理方式、不合格原因，及打印拒收单。</w:t>
            </w:r>
          </w:p>
        </w:tc>
      </w:tr>
      <w:tr w14:paraId="5A47992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75843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BB943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支持显示未取材、已取材、全部三个状态下的取材列表，以及对应的统计数量。</w:t>
            </w:r>
          </w:p>
        </w:tc>
      </w:tr>
      <w:tr w14:paraId="2876DFF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C685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48FD7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支持取材交接、打印交接清单。</w:t>
            </w:r>
          </w:p>
        </w:tc>
      </w:tr>
      <w:tr w14:paraId="0F93371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F2AECB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284B6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支持取材统计，方便查看标本数、材块数。</w:t>
            </w:r>
          </w:p>
        </w:tc>
      </w:tr>
      <w:tr w14:paraId="5C5C682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6E9AC6C">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86943F9">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切片制片</w:t>
            </w:r>
          </w:p>
        </w:tc>
      </w:tr>
      <w:tr w14:paraId="542C362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B59DDE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D605FA">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脱水</w:t>
            </w:r>
          </w:p>
        </w:tc>
      </w:tr>
      <w:tr w14:paraId="78A8703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5AAAD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D5363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支持对包埋盒中玻片的智能识别，标识每个玻片的标本号，支持手工修改。</w:t>
            </w:r>
          </w:p>
        </w:tc>
      </w:tr>
      <w:tr w14:paraId="19CB33A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A4B5C3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BD0B1E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支持为包埋盒指定脱水篮、脱水机。</w:t>
            </w:r>
          </w:p>
        </w:tc>
      </w:tr>
      <w:tr w14:paraId="56D573C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F0D2B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19FFE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支持查看脱水机当前待脱水、剩余可脱水组织数，以及使用状态；支持自动提醒医生更换试剂。</w:t>
            </w:r>
          </w:p>
        </w:tc>
      </w:tr>
      <w:tr w14:paraId="3F4A990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662EBD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C4706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支持设定脱水时间，自动结束脱水并记录结束时间。</w:t>
            </w:r>
          </w:p>
        </w:tc>
      </w:tr>
      <w:tr w14:paraId="489BAF7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1CB6BA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261DA8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3975BDD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BD5AC2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3E84B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3BA57B3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0A9C411">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070C6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3143E6A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60BC9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99208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支持多条件查询手工批量开始脱水、结束脱水。</w:t>
            </w:r>
          </w:p>
        </w:tc>
      </w:tr>
      <w:tr w14:paraId="4E9B0A6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4E32CD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A63B10">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包埋</w:t>
            </w:r>
          </w:p>
        </w:tc>
      </w:tr>
      <w:tr w14:paraId="2D223BF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C6AB0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E91BE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支持将包埋盒进行智能识别。</w:t>
            </w:r>
          </w:p>
        </w:tc>
      </w:tr>
      <w:tr w14:paraId="3608EF2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D09B3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C15D3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支持显示已识别、未识别的所有包埋盒记录，并进行漏识别包埋盒提醒。</w:t>
            </w:r>
          </w:p>
        </w:tc>
      </w:tr>
      <w:tr w14:paraId="239BE4B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2DF9D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C7CD00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支持查看包埋盒详情，包含送检标本、取材部位、大体所见、技术医嘱申请原因、质控评分。</w:t>
            </w:r>
          </w:p>
        </w:tc>
      </w:tr>
      <w:tr w14:paraId="26C7A8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3CFEF62">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592392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支持包埋盒回退，并输入回退原因。</w:t>
            </w:r>
          </w:p>
        </w:tc>
      </w:tr>
      <w:tr w14:paraId="174F6A7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755AB94">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FC7ED8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580C858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997868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69B17C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5DD1414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AE234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68A43B">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切片</w:t>
            </w:r>
          </w:p>
        </w:tc>
      </w:tr>
      <w:tr w14:paraId="4094E0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1A9E46">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BFD67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支持捞片医生登录。</w:t>
            </w:r>
          </w:p>
        </w:tc>
      </w:tr>
      <w:tr w14:paraId="6C22123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CE8415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897A4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支持将包埋盒进行智能识别。</w:t>
            </w:r>
          </w:p>
        </w:tc>
      </w:tr>
      <w:tr w14:paraId="75CA07E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C60C5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356AA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支持自动识别匹配切片，匹配成功后自动打印切片标签。</w:t>
            </w:r>
          </w:p>
        </w:tc>
      </w:tr>
      <w:tr w14:paraId="45BF28D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EEA9F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A72A06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支持显示已识别、未识别的所有包埋盒以及切片记录，并进行漏识别包埋盒/切片提醒。</w:t>
            </w:r>
          </w:p>
        </w:tc>
      </w:tr>
      <w:tr w14:paraId="10B97D4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2360A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D7511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支持切片回退，并输入回退原因。</w:t>
            </w:r>
          </w:p>
        </w:tc>
      </w:tr>
      <w:tr w14:paraId="4231182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12950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11813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7648ED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E22189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B3D6B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61555DB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852827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07B2C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1476036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D1568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606FA7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支持记录切片医生、切片时间。</w:t>
            </w:r>
          </w:p>
        </w:tc>
      </w:tr>
      <w:tr w14:paraId="5551E5D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2A461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E9E623">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染色</w:t>
            </w:r>
          </w:p>
        </w:tc>
      </w:tr>
      <w:tr w14:paraId="02735C4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65448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AD459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支持查看染色机当前染色切片数、染色机类型，以及使用状态，并及时提醒医生更换试剂。</w:t>
            </w:r>
          </w:p>
        </w:tc>
      </w:tr>
      <w:tr w14:paraId="221CA2E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E5D800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01CFDF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支持设定染色时间，自动结束染色并记录结束时间。</w:t>
            </w:r>
          </w:p>
        </w:tc>
      </w:tr>
      <w:tr w14:paraId="0FC1615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7F9D5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F07CA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4CE1470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65C3F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9B503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7B0FDDF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AB703A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D550AE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53887C7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EF065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1B491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支持多条件查询手工批量开始染色、结束染色。</w:t>
            </w:r>
          </w:p>
        </w:tc>
      </w:tr>
      <w:tr w14:paraId="24E24CF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A37A5B2">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0CFB12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支持记录染色操作医生、染色时间。</w:t>
            </w:r>
          </w:p>
        </w:tc>
      </w:tr>
      <w:tr w14:paraId="1913B33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80906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BAFAC8">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封片</w:t>
            </w:r>
          </w:p>
        </w:tc>
      </w:tr>
      <w:tr w14:paraId="7C389ED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33C88C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4594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支持将切片进行智能识别。</w:t>
            </w:r>
          </w:p>
        </w:tc>
      </w:tr>
      <w:tr w14:paraId="71817E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299897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36DD5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支持通过输入切片号获取记录。</w:t>
            </w:r>
          </w:p>
        </w:tc>
      </w:tr>
      <w:tr w14:paraId="698259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E71C8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3CCDAC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支持显示已识别、未识别的所有切片记录，并进行漏识别切片提醒。</w:t>
            </w:r>
          </w:p>
        </w:tc>
      </w:tr>
      <w:tr w14:paraId="4AF1B95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9F76B4A">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8206F8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支持查看切片详情，包含送检标本、取材部位、大体所见、技术医嘱申请原因、质控评分。</w:t>
            </w:r>
          </w:p>
        </w:tc>
      </w:tr>
      <w:tr w14:paraId="06CF090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EA8A6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26D950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支持切片回退，并输入回退原因。</w:t>
            </w:r>
          </w:p>
        </w:tc>
      </w:tr>
      <w:tr w14:paraId="5E8BAB3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9AF61E8">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EF5E12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支持异常情况提醒。</w:t>
            </w:r>
          </w:p>
        </w:tc>
      </w:tr>
      <w:tr w14:paraId="065C775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C9FF4E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FDB1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6428B0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E1B8BC0">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D19D94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支持对蜡块进行质控评分。</w:t>
            </w:r>
          </w:p>
        </w:tc>
      </w:tr>
      <w:tr w14:paraId="6366D30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1384A89">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D5F5A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支持记录封片医生、封片时间。</w:t>
            </w:r>
          </w:p>
        </w:tc>
      </w:tr>
      <w:tr w14:paraId="7CB0EF1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7400B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2857AB">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制片确认</w:t>
            </w:r>
          </w:p>
        </w:tc>
      </w:tr>
      <w:tr w14:paraId="353F8DA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2C5B76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5F0453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支持将晾片板上的玻片进行智能识别。</w:t>
            </w:r>
          </w:p>
        </w:tc>
      </w:tr>
      <w:tr w14:paraId="4C04A98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C7776FD">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31E4E7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支持通过输入切片号区间获取记录。</w:t>
            </w:r>
          </w:p>
        </w:tc>
      </w:tr>
      <w:tr w14:paraId="2885FA7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8FC50C7">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5131F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支持制片超时提醒，用高亮颜色显示。</w:t>
            </w:r>
          </w:p>
        </w:tc>
      </w:tr>
      <w:tr w14:paraId="22CFB8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E6485F">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A090F3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支持对玻片进行质控评分。</w:t>
            </w:r>
          </w:p>
        </w:tc>
      </w:tr>
      <w:tr w14:paraId="375115B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AE211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78802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支持实时显示今日科室待确认数、我的已确认数的统计数量。</w:t>
            </w:r>
          </w:p>
        </w:tc>
      </w:tr>
      <w:tr w14:paraId="6B270F2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EB1BF5">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589339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支持查看全流程详情，包含环节、完成时间、操作人等信息。</w:t>
            </w:r>
          </w:p>
        </w:tc>
      </w:tr>
      <w:tr w14:paraId="091FE79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9CBBCA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A39D7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提供列表同病理号自动选择。</w:t>
            </w:r>
          </w:p>
        </w:tc>
      </w:tr>
      <w:tr w14:paraId="0556C77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FE312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14E364D">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制片交接</w:t>
            </w:r>
          </w:p>
        </w:tc>
      </w:tr>
      <w:tr w14:paraId="3697BD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E097C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7F6437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支持将切片进行智能识别。</w:t>
            </w:r>
          </w:p>
        </w:tc>
      </w:tr>
      <w:tr w14:paraId="7CCF476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48AE8A1">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5C6CB5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识别失败记录支持手工输入玻片号进行识别。</w:t>
            </w:r>
          </w:p>
        </w:tc>
      </w:tr>
      <w:tr w14:paraId="33C8787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6973E4C">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2771E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支持实时显示今日待确认、待交接、已交接、失败失败的统计数量。</w:t>
            </w:r>
          </w:p>
        </w:tc>
      </w:tr>
      <w:tr w14:paraId="65B56CAE">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67A9C5E">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60F1F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支持手工批量交接。</w:t>
            </w:r>
          </w:p>
        </w:tc>
      </w:tr>
      <w:tr w14:paraId="7FA9F31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5EA5C7B">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1E8E21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支持交接成功后自动打印交接单。</w:t>
            </w:r>
          </w:p>
        </w:tc>
      </w:tr>
      <w:tr w14:paraId="0D2A144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F71AC3">
            <w:pPr>
              <w:numPr>
                <w:ilvl w:val="2"/>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E05D4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支持通过登记日期、取材日期、送检日期、送检医院、送检科室、检查项目，输入病理号、病历号、住院号、门诊号、患者姓名、加急查询玻片记录。</w:t>
            </w:r>
          </w:p>
        </w:tc>
      </w:tr>
      <w:tr w14:paraId="3C9DF41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3059A2">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B5B34A2">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病理诊断</w:t>
            </w:r>
          </w:p>
        </w:tc>
      </w:tr>
      <w:tr w14:paraId="61C9EB8F">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568C2B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5C681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支持采集病理图像。</w:t>
            </w:r>
          </w:p>
        </w:tc>
      </w:tr>
      <w:tr w14:paraId="09BDB1D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3FC0F9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50578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支持浏览数字切片。</w:t>
            </w:r>
          </w:p>
        </w:tc>
      </w:tr>
      <w:tr w14:paraId="67D4B90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D53B21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43F0C8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支持报告列表显示危急值、迟发报告、技术医嘱、特检医嘱、科内会诊、远程会诊、紧急锁定等异常流程消息，方便医生快速处理。</w:t>
            </w:r>
          </w:p>
        </w:tc>
      </w:tr>
      <w:tr w14:paraId="3128C7C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78C367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8BAA1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支持公共和私有诊断模板，选择模板时可追加或替换镜下所见、病理诊断的内容。</w:t>
            </w:r>
          </w:p>
        </w:tc>
      </w:tr>
      <w:tr w14:paraId="4C8221C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A82C50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0F218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支持报告模板编辑，根据权限控制编辑公共模板、私有模板、常用词库等。</w:t>
            </w:r>
          </w:p>
        </w:tc>
      </w:tr>
      <w:tr w14:paraId="3499769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D2390E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86748A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支持报告编辑时根据送检标本关联书写模板。</w:t>
            </w:r>
          </w:p>
        </w:tc>
      </w:tr>
      <w:tr w14:paraId="6920FA0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4B95E3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80B13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支持报告编辑时一键清除镜下所见、病理诊断内容。</w:t>
            </w:r>
          </w:p>
        </w:tc>
      </w:tr>
      <w:tr w14:paraId="20206C9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44F357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8B3CC6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支持报告编辑时暂存、签名、预览、自动下一个。</w:t>
            </w:r>
          </w:p>
        </w:tc>
      </w:tr>
      <w:tr w14:paraId="0109ED4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A42D4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390A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支持报告的电子签名，及显示和打印时的验签。</w:t>
            </w:r>
          </w:p>
        </w:tc>
      </w:tr>
      <w:tr w14:paraId="2CEE7201">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78362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86798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支持报告编辑时查看患者申请单，对患者病史、过敏史、临床诊断等关键字段醒目标记。</w:t>
            </w:r>
          </w:p>
        </w:tc>
      </w:tr>
      <w:tr w14:paraId="24EBD30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DA7B3D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EA1481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支持报告编辑时查看材块信息。</w:t>
            </w:r>
          </w:p>
        </w:tc>
      </w:tr>
      <w:tr w14:paraId="2D35F3D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E1F07B6">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43297A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支持迟发报告，支持站内信和短信通知相应医生。</w:t>
            </w:r>
          </w:p>
        </w:tc>
      </w:tr>
      <w:tr w14:paraId="1603B3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4D12C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57346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支持补充报告、更改报告，支持站内信和短信通知相应医生/患者。</w:t>
            </w:r>
          </w:p>
        </w:tc>
      </w:tr>
      <w:tr w14:paraId="31834B2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1C85EA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7876DF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支持技术医嘱、特检医嘱及记录查看，并支持站内信和短信通知相应医生</w:t>
            </w:r>
          </w:p>
        </w:tc>
      </w:tr>
      <w:tr w14:paraId="22E5F0D0">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6E8785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F70CA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支持在报告编辑页面查看外院会诊详情。</w:t>
            </w:r>
          </w:p>
        </w:tc>
      </w:tr>
      <w:tr w14:paraId="1A29183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D1154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1D2842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支持报告编辑时远程会诊申请功能，以及会诊报告完成提醒。</w:t>
            </w:r>
          </w:p>
        </w:tc>
      </w:tr>
      <w:tr w14:paraId="218E9FC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8C7D2D3">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53FC26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支持报告编辑时科内会诊申请功能，以及会诊报告完成提醒。</w:t>
            </w:r>
          </w:p>
        </w:tc>
      </w:tr>
      <w:tr w14:paraId="3910D30D">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BF620D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A9A78F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支持玻片质控评分，默认“优”，良好、合格、不合格时提供扣分项选择。</w:t>
            </w:r>
          </w:p>
        </w:tc>
      </w:tr>
      <w:tr w14:paraId="4C178AD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900BA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944AA0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支持临床符合率评分，默认“完全符合”，也可选择基本符合、不符合。</w:t>
            </w:r>
          </w:p>
        </w:tc>
      </w:tr>
      <w:tr w14:paraId="082DBE2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7B3E2B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043979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支持冰冻符合评分，对比常规病理诊断结果与冰冻检查诊断结果，默认“完全符合”，也可选择基本符合、不符合，选择不符合时输入情况说明、原因分析、预防措施。</w:t>
            </w:r>
          </w:p>
        </w:tc>
      </w:tr>
      <w:tr w14:paraId="531EC61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9EBC0B8">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88913B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支持报告批量书写、批量审核、批量打印、批量发放功能。</w:t>
            </w:r>
          </w:p>
        </w:tc>
      </w:tr>
      <w:tr w14:paraId="66E829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D5AA58">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7909E33">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档案管理</w:t>
            </w:r>
          </w:p>
        </w:tc>
      </w:tr>
      <w:tr w14:paraId="55FB7E9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BF55D0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C80124A">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支持玻片/蜡块智能识别，支持填写归档地点、柜子、抽屉。</w:t>
            </w:r>
          </w:p>
        </w:tc>
      </w:tr>
      <w:tr w14:paraId="2E19697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A7DF4C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7B44A3">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支持对识别失败玻片/蜡块进行手工归档。</w:t>
            </w:r>
          </w:p>
        </w:tc>
      </w:tr>
      <w:tr w14:paraId="2F30F96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75EACB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97732A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支持显示待归档列表，并且支持遗失标记。</w:t>
            </w:r>
          </w:p>
        </w:tc>
      </w:tr>
      <w:tr w14:paraId="58B4C8F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A535CE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F4A8FE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支持手工批量归档。</w:t>
            </w:r>
          </w:p>
        </w:tc>
      </w:tr>
      <w:tr w14:paraId="1BD78D6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62930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0C0565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支持手工批量遗失标记。</w:t>
            </w:r>
          </w:p>
        </w:tc>
      </w:tr>
      <w:tr w14:paraId="3DFDB097">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45C7FE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B007C4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支持输入借阅人、联系电话、押金、费用、借阅天数、身份证号、联系地址、备注，以及选择的玻片/蜡块提交借阅申请。</w:t>
            </w:r>
          </w:p>
        </w:tc>
      </w:tr>
      <w:tr w14:paraId="7C4223A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C6D70C7">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665F6F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支持借阅申请成功后自动打印借阅单和收费凭证。</w:t>
            </w:r>
          </w:p>
        </w:tc>
      </w:tr>
      <w:tr w14:paraId="10D5768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46A22F1">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CC378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支持对玻片和蜡块进行状态变更，及赔偿金额录入。</w:t>
            </w:r>
          </w:p>
        </w:tc>
      </w:tr>
      <w:tr w14:paraId="2BED1E6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3BBB492">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17AFB1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支持归还申请成功后，自动扫描借阅单。</w:t>
            </w:r>
          </w:p>
        </w:tc>
      </w:tr>
      <w:tr w14:paraId="05E84AC3">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545F265">
            <w:pPr>
              <w:numPr>
                <w:ilvl w:val="0"/>
                <w:numId w:val="60"/>
              </w:numPr>
              <w:spacing w:line="360" w:lineRule="auto"/>
              <w:jc w:val="center"/>
              <w:textAlignment w:val="center"/>
              <w:rPr>
                <w:rFonts w:hint="eastAsia" w:ascii="宋体" w:hAnsi="宋体" w:eastAsia="宋体" w:cs="宋体"/>
                <w:b/>
                <w:bCs/>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63D838DC">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系统管理</w:t>
            </w:r>
          </w:p>
        </w:tc>
      </w:tr>
      <w:tr w14:paraId="0D3C46F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35C258C">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E2BD2AE">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提供用户编辑，包含用户基本信息、用户头像和手写签名。</w:t>
            </w:r>
          </w:p>
        </w:tc>
      </w:tr>
      <w:tr w14:paraId="288FABE4">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A111A45">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44A4417C">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提供CA证书绑定、解绑。</w:t>
            </w:r>
          </w:p>
        </w:tc>
      </w:tr>
      <w:tr w14:paraId="14B7249B">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1EF5BBB">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5E35571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提供用户组编辑，包含用户组信息、权限信息。</w:t>
            </w:r>
          </w:p>
        </w:tc>
      </w:tr>
      <w:tr w14:paraId="49CE3386">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793D309">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7DCFA12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提供数字字典的编辑。</w:t>
            </w:r>
          </w:p>
        </w:tc>
      </w:tr>
      <w:tr w14:paraId="6CFC3DE2">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0F365AC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571ECD4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提供检查项目分类编辑。</w:t>
            </w:r>
          </w:p>
        </w:tc>
      </w:tr>
      <w:tr w14:paraId="145A34B5">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FFDE58A">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73342C87">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提供检查项目、标本分类、试剂套餐、收费项目、收费套餐编辑。支持项目的拖动排序。</w:t>
            </w:r>
          </w:p>
        </w:tc>
      </w:tr>
      <w:tr w14:paraId="28C3664A">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D7E7BD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471BF226">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提供打印模板（如申请单、标本标签、送检单、配送单、登记回执单等）的编辑。</w:t>
            </w:r>
          </w:p>
        </w:tc>
      </w:tr>
      <w:tr w14:paraId="0D9FF319">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0CE820E">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470313BD">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支持书写模板、巨检模板编辑。</w:t>
            </w:r>
          </w:p>
        </w:tc>
      </w:tr>
      <w:tr w14:paraId="55BA0218">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33EFD4ED">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bottom"/>
          </w:tcPr>
          <w:p w14:paraId="78E5DEB9">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支持质控模板编辑。</w:t>
            </w:r>
          </w:p>
        </w:tc>
      </w:tr>
      <w:tr w14:paraId="530373AC">
        <w:tblPrEx>
          <w:tblCellMar>
            <w:top w:w="15" w:type="dxa"/>
            <w:left w:w="15" w:type="dxa"/>
            <w:bottom w:w="15" w:type="dxa"/>
            <w:right w:w="15" w:type="dxa"/>
          </w:tblCellMar>
        </w:tblPrEx>
        <w:trPr>
          <w:trHeight w:val="15" w:hRule="atLeast"/>
        </w:trPr>
        <w:tc>
          <w:tcPr>
            <w:tcW w:w="776"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22A2FFA4">
            <w:pPr>
              <w:numPr>
                <w:ilvl w:val="1"/>
                <w:numId w:val="60"/>
              </w:numPr>
              <w:spacing w:line="360" w:lineRule="auto"/>
              <w:jc w:val="center"/>
              <w:textAlignment w:val="center"/>
              <w:rPr>
                <w:rFonts w:hint="eastAsia" w:ascii="宋体" w:hAnsi="宋体" w:eastAsia="宋体" w:cs="宋体"/>
                <w:color w:val="auto"/>
                <w:highlight w:val="none"/>
              </w:rPr>
            </w:pPr>
          </w:p>
        </w:tc>
        <w:tc>
          <w:tcPr>
            <w:tcW w:w="4223" w:type="pct"/>
            <w:tcBorders>
              <w:top w:val="single" w:color="auto" w:sz="2" w:space="0"/>
              <w:left w:val="single" w:color="auto" w:sz="2" w:space="0"/>
              <w:bottom w:val="single" w:color="auto" w:sz="2" w:space="0"/>
              <w:right w:val="single" w:color="auto" w:sz="2" w:space="0"/>
            </w:tcBorders>
            <w:shd w:val="clear" w:color="auto" w:fill="auto"/>
            <w:tcMar>
              <w:top w:w="0" w:type="dxa"/>
              <w:left w:w="72" w:type="dxa"/>
              <w:bottom w:w="0" w:type="dxa"/>
              <w:right w:w="72" w:type="dxa"/>
            </w:tcMar>
            <w:vAlign w:val="center"/>
          </w:tcPr>
          <w:p w14:paraId="17DBA18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提供可视化界面用于各类运行参数的配置。</w:t>
            </w:r>
          </w:p>
        </w:tc>
      </w:tr>
    </w:tbl>
    <w:p w14:paraId="6A2FCFD6">
      <w:pPr>
        <w:rPr>
          <w:color w:val="auto"/>
          <w:highlight w:val="none"/>
        </w:rPr>
      </w:pPr>
    </w:p>
    <w:p w14:paraId="3AF9AD8D">
      <w:pPr>
        <w:pStyle w:val="3"/>
        <w:numPr>
          <w:ilvl w:val="1"/>
          <w:numId w:val="2"/>
        </w:numPr>
        <w:bidi w:val="0"/>
        <w:rPr>
          <w:color w:val="auto"/>
          <w:highlight w:val="none"/>
        </w:rPr>
      </w:pPr>
      <w:bookmarkStart w:id="60" w:name="_Toc187691853"/>
      <w:r>
        <w:rPr>
          <w:rFonts w:hint="eastAsia"/>
          <w:color w:val="auto"/>
          <w:highlight w:val="none"/>
        </w:rPr>
        <w:t>本次项目信创适配性规划</w:t>
      </w:r>
      <w:bookmarkEnd w:id="60"/>
    </w:p>
    <w:p w14:paraId="58FD262A">
      <w:pPr>
        <w:adjustRightInd w:val="0"/>
        <w:snapToGrid w:val="0"/>
        <w:spacing w:line="360" w:lineRule="auto"/>
        <w:ind w:firstLine="420" w:firstLineChars="200"/>
        <w:rPr>
          <w:rFonts w:hint="eastAsia" w:ascii="宋体" w:hAnsi="宋体" w:eastAsia="宋体" w:cs="Times New Roman"/>
          <w:bCs/>
          <w:color w:val="auto"/>
          <w:highlight w:val="none"/>
        </w:rPr>
      </w:pPr>
      <w:r>
        <w:rPr>
          <w:rFonts w:hint="eastAsia" w:ascii="宋体" w:hAnsi="宋体" w:eastAsia="宋体" w:cs="Times New Roman"/>
          <w:bCs/>
          <w:color w:val="auto"/>
          <w:highlight w:val="none"/>
        </w:rPr>
        <w:t>本次项目所建设的医院核心系统应具备在信创客户端、操作系统、服务器、数据库、中间件环境下运行的条件，满足国家信创进程相应要求。</w:t>
      </w:r>
      <w:bookmarkEnd w:id="47"/>
    </w:p>
    <w:p w14:paraId="019112D1">
      <w:pPr>
        <w:snapToGrid w:val="0"/>
        <w:spacing w:line="360" w:lineRule="auto"/>
        <w:jc w:val="both"/>
        <w:rPr>
          <w:rFonts w:hint="eastAsia" w:ascii="仿宋" w:hAnsi="仿宋" w:eastAsia="仿宋" w:cs="仿宋_GB2312"/>
          <w:b/>
          <w:color w:val="auto"/>
          <w:sz w:val="32"/>
          <w:highlight w:val="none"/>
        </w:rPr>
      </w:pPr>
    </w:p>
    <w:p w14:paraId="32DCA931">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9E795D7">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2.1服务期限</w:t>
      </w:r>
    </w:p>
    <w:p w14:paraId="36A053F1">
      <w:pPr>
        <w:snapToGrid w:val="0"/>
        <w:spacing w:line="360" w:lineRule="auto"/>
        <w:rPr>
          <w:rFonts w:hint="eastAsia"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2.1.1在合同签订后3个月内完成</w:t>
      </w:r>
      <w:r>
        <w:rPr>
          <w:rFonts w:hint="eastAsia"/>
          <w:color w:val="auto"/>
          <w:sz w:val="24"/>
          <w:szCs w:val="24"/>
          <w:highlight w:val="none"/>
        </w:rPr>
        <w:t>（</w:t>
      </w:r>
      <w:r>
        <w:rPr>
          <w:rFonts w:hint="eastAsia" w:ascii="仿宋" w:hAnsi="仿宋" w:eastAsia="仿宋" w:cs="仿宋_GB2312"/>
          <w:color w:val="auto"/>
          <w:sz w:val="24"/>
          <w:szCs w:val="24"/>
          <w:highlight w:val="none"/>
        </w:rPr>
        <w:t>除互联互通四甲测评外的系统</w:t>
      </w:r>
      <w:r>
        <w:rPr>
          <w:rFonts w:hint="eastAsia"/>
          <w:color w:val="auto"/>
          <w:sz w:val="24"/>
          <w:szCs w:val="24"/>
          <w:highlight w:val="none"/>
        </w:rPr>
        <w:t>）</w:t>
      </w:r>
      <w:r>
        <w:rPr>
          <w:rFonts w:hint="eastAsia" w:ascii="仿宋" w:hAnsi="仿宋" w:eastAsia="仿宋" w:cs="Times New Roman"/>
          <w:color w:val="auto"/>
          <w:sz w:val="24"/>
          <w:szCs w:val="24"/>
          <w:highlight w:val="none"/>
        </w:rPr>
        <w:t>上线，总体工期在3年左右，质保服务期限详见产品功能清单。</w:t>
      </w:r>
    </w:p>
    <w:p w14:paraId="36AEEDBF">
      <w:pPr>
        <w:pStyle w:val="19"/>
        <w:rPr>
          <w:color w:val="auto"/>
          <w:sz w:val="24"/>
          <w:szCs w:val="24"/>
          <w:highlight w:val="none"/>
        </w:rPr>
      </w:pPr>
      <w:r>
        <w:rPr>
          <w:rFonts w:hint="eastAsia" w:ascii="仿宋" w:hAnsi="仿宋" w:eastAsia="仿宋" w:cs="Times New Roman"/>
          <w:color w:val="auto"/>
          <w:sz w:val="24"/>
          <w:szCs w:val="24"/>
          <w:highlight w:val="none"/>
        </w:rPr>
        <w:t>2</w:t>
      </w:r>
      <w:r>
        <w:rPr>
          <w:rFonts w:hint="eastAsia" w:ascii="仿宋" w:hAnsi="Times New Roman" w:eastAsia="仿宋" w:cs="Times New Roman"/>
          <w:color w:val="auto"/>
          <w:sz w:val="24"/>
          <w:szCs w:val="24"/>
          <w:highlight w:val="none"/>
        </w:rPr>
        <w:t>.1.2质保期为一年。（从项目整体验收通过之日起计算）。初验以后到质保期间需不少于3人驻场。</w:t>
      </w:r>
    </w:p>
    <w:p w14:paraId="43451F8D">
      <w:pPr>
        <w:snapToGrid w:val="0"/>
        <w:spacing w:line="360" w:lineRule="auto"/>
        <w:rPr>
          <w:rFonts w:ascii="仿宋" w:eastAsia="仿宋"/>
          <w:b/>
          <w:bCs/>
          <w:color w:val="auto"/>
          <w:sz w:val="24"/>
          <w:szCs w:val="24"/>
          <w:highlight w:val="none"/>
        </w:rPr>
      </w:pPr>
      <w:r>
        <w:rPr>
          <w:rFonts w:hint="eastAsia" w:ascii="仿宋" w:eastAsia="仿宋"/>
          <w:b/>
          <w:bCs/>
          <w:color w:val="auto"/>
          <w:sz w:val="24"/>
          <w:szCs w:val="24"/>
          <w:highlight w:val="none"/>
        </w:rPr>
        <w:t>2.2技术培训</w:t>
      </w:r>
    </w:p>
    <w:p w14:paraId="05EE981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2.2.1投标人须提供包括系统软件、应用软件、安装调试等内容的培训。投标人须在投标书中提供详细的培训计划。培训应面对不同层面的系统用户，保证用户能独立地管理、维护和配置系统，以便整个系统能够正常、安全的运行。</w:t>
      </w:r>
    </w:p>
    <w:p w14:paraId="46A7F91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2.2.2中标人须对招标人的技术人员培训。投标人须在投标文件中提供详细的培训计划，包括培训内容、培训时间、培训费用等。</w:t>
      </w:r>
    </w:p>
    <w:p w14:paraId="4422E958">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 xml:space="preserve">2.2.3技术培训费用应包含在投标总价中。    </w:t>
      </w:r>
    </w:p>
    <w:p w14:paraId="5B48269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2.2.4技术培训至少应包括下列内容：</w:t>
      </w:r>
    </w:p>
    <w:p w14:paraId="479C2A62">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2.2.4.1原理、构成和功能的描述。</w:t>
      </w:r>
    </w:p>
    <w:p w14:paraId="52F8AC5F">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2.2.4.2常见故障的处理或排除。</w:t>
      </w:r>
    </w:p>
    <w:p w14:paraId="739DB1BB">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2.3数量调整</w:t>
      </w:r>
    </w:p>
    <w:p w14:paraId="6203CFA3">
      <w:pPr>
        <w:snapToGrid w:val="0"/>
        <w:spacing w:line="360" w:lineRule="auto"/>
        <w:rPr>
          <w:rFonts w:ascii="仿宋" w:eastAsia="仿宋"/>
          <w:color w:val="auto"/>
          <w:sz w:val="24"/>
          <w:szCs w:val="24"/>
          <w:highlight w:val="none"/>
        </w:rPr>
      </w:pPr>
      <w:r>
        <w:rPr>
          <w:rFonts w:hint="eastAsia" w:ascii="仿宋" w:eastAsia="仿宋"/>
          <w:color w:val="auto"/>
          <w:sz w:val="24"/>
          <w:szCs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0B5D730D">
      <w:pPr>
        <w:snapToGrid w:val="0"/>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2.4付款方式</w:t>
      </w:r>
    </w:p>
    <w:p w14:paraId="2A62F29B">
      <w:pPr>
        <w:snapToGrid w:val="0"/>
        <w:spacing w:line="360" w:lineRule="auto"/>
        <w:rPr>
          <w:rFonts w:hint="eastAsia" w:ascii="仿宋" w:eastAsia="仿宋"/>
          <w:color w:val="auto"/>
          <w:sz w:val="24"/>
          <w:szCs w:val="24"/>
          <w:highlight w:val="none"/>
          <w:lang w:val="en-US" w:eastAsia="zh-CN"/>
        </w:rPr>
      </w:pPr>
      <w:r>
        <w:rPr>
          <w:rFonts w:hint="eastAsia" w:ascii="仿宋" w:eastAsia="仿宋"/>
          <w:color w:val="auto"/>
          <w:sz w:val="24"/>
          <w:szCs w:val="24"/>
          <w:highlight w:val="none"/>
          <w:lang w:val="en-US" w:eastAsia="zh-CN"/>
        </w:rPr>
        <w:t>合同签订后，甲方向中标方支付合同金额的20%作为预付款，核心系统上线一个月后进行初步验收,验收通过后甲方支付至合同金额的30%,通过电子病历评审（四级）后甲方支付至合同金额的40%，初验通过一年后且通过电子病例评审四级后进行终验，验收通过后甲方支付至合同金额的80%,医院成功通过互联互通4级甲等测评后,甲方支付至合同金额的90%，医院成功通过互联互通4级甲等测评后三个月,甲方支付至合同金额的 100%。</w:t>
      </w:r>
    </w:p>
    <w:p w14:paraId="00155AD4">
      <w:pPr>
        <w:snapToGrid w:val="0"/>
        <w:spacing w:line="360" w:lineRule="auto"/>
        <w:rPr>
          <w:rFonts w:hint="eastAsia" w:ascii="仿宋" w:eastAsia="仿宋"/>
          <w:color w:val="auto"/>
          <w:sz w:val="24"/>
          <w:szCs w:val="24"/>
          <w:highlight w:val="none"/>
          <w:lang w:val="en-US" w:eastAsia="zh-CN"/>
        </w:rPr>
      </w:pPr>
      <w:r>
        <w:rPr>
          <w:rFonts w:hint="eastAsia" w:ascii="仿宋" w:eastAsia="仿宋"/>
          <w:color w:val="auto"/>
          <w:sz w:val="24"/>
          <w:szCs w:val="24"/>
          <w:highlight w:val="none"/>
          <w:lang w:val="en-US" w:eastAsia="zh-CN"/>
        </w:rPr>
        <w:t>（采购人应明确“涉及中小企业合同的，按采购文件总则28预付款规定执行”的条款）</w:t>
      </w:r>
    </w:p>
    <w:p w14:paraId="7DE0FC71">
      <w:pPr>
        <w:spacing w:line="360" w:lineRule="auto"/>
        <w:rPr>
          <w:rFonts w:ascii="仿宋" w:eastAsia="仿宋"/>
          <w:b/>
          <w:bCs/>
          <w:color w:val="auto"/>
          <w:sz w:val="24"/>
          <w:szCs w:val="24"/>
          <w:highlight w:val="none"/>
        </w:rPr>
      </w:pPr>
      <w:r>
        <w:rPr>
          <w:rFonts w:hint="eastAsia" w:ascii="仿宋" w:hAnsi="仿宋" w:eastAsia="仿宋"/>
          <w:color w:val="auto"/>
          <w:highlight w:val="none"/>
        </w:rPr>
        <w:t>★</w:t>
      </w:r>
      <w:r>
        <w:rPr>
          <w:rFonts w:hint="eastAsia" w:ascii="仿宋" w:eastAsia="仿宋"/>
          <w:b/>
          <w:bCs/>
          <w:color w:val="auto"/>
          <w:sz w:val="24"/>
          <w:szCs w:val="24"/>
          <w:highlight w:val="none"/>
        </w:rPr>
        <w:t>2.5验收</w:t>
      </w:r>
    </w:p>
    <w:p w14:paraId="70494109">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2.5.1甲方对乙方提交的服务及产品依据招标文件上的技术规格要求和国家有关质量标准进行现场初步验收，外观、说明书符合招标文件技术要求的，给予签收，初步验收不合格的不予签收。交付运行后后，甲方组织相关人员进行验收。</w:t>
      </w:r>
    </w:p>
    <w:p w14:paraId="3EB37AEB">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2.5.2乙方交付前应对服务及产品作出全面检查和对验收文件进行整理，并列出清单，作为甲方交付验收和使用的技术条件依据，检验的结果应随服务及产品交甲方。</w:t>
      </w:r>
    </w:p>
    <w:p w14:paraId="440C857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2.5.3甲方对乙方提供的服务及产品在使用前进行调试时，乙方需负责安装并培训甲方的使用操作人员，并协助甲方一起调试，直到符合技术要求，甲方才做最终验收。</w:t>
      </w:r>
    </w:p>
    <w:p w14:paraId="511F8FF0">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2.5.4验收时乙方必须在现场，验收完毕后作出验收结果报告。</w:t>
      </w:r>
    </w:p>
    <w:p w14:paraId="1C98DBEE">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2.5.5项目的工作内容及成果文档的提交应覆盖以下内容，电子文档是成果不可分割的部分。</w:t>
      </w:r>
    </w:p>
    <w:p w14:paraId="36A3E68B">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(a)实施确认书；</w:t>
      </w:r>
    </w:p>
    <w:p w14:paraId="1092B01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(b)培训资料；</w:t>
      </w:r>
    </w:p>
    <w:p w14:paraId="00A49D5C">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(c)安装维护手册；</w:t>
      </w:r>
    </w:p>
    <w:p w14:paraId="4F6EA1A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(d)使用操作手册；</w:t>
      </w:r>
    </w:p>
    <w:p w14:paraId="2B77530D">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(e)项目验收报告</w:t>
      </w:r>
    </w:p>
    <w:p w14:paraId="51EFE3E6">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2.6售后服务</w:t>
      </w:r>
    </w:p>
    <w:p w14:paraId="3BD121A3">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2.6.1整体项目验收通过后按产品功能清单中要求的质保年限提供质保服务(投标人可根据自身实力作出更长时间的质保承诺)。在此期间，投标人应免费处理因质量发生的故障，并进行正常保养。投标人必须按招标方指定的方式提供7*24小时支持维护服务，包括电话、远程维护等方式。必须保证有足够的人员（专人专职）及技术支持电话负责本系统现场运维工作，并保证10分钟内响应，1小时之内解决问题，对于1小时内无法解决的问题，应提出应急措施。</w:t>
      </w:r>
    </w:p>
    <w:p w14:paraId="5C32E20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2.6.2需注明质保期满后收费售后和服务的价格承诺。</w:t>
      </w:r>
    </w:p>
    <w:p w14:paraId="4E7DF81C">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2.6.3中标人应自行承担选派专业人员的住宿、就餐和交通等费用。</w:t>
      </w:r>
    </w:p>
    <w:p w14:paraId="054E89DF">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2.7安全及隐私要求</w:t>
      </w:r>
    </w:p>
    <w:p w14:paraId="1473D2C1">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信息安全是任何业务开展的基础，投标人对于本次项目涉及的相关信息的安全和隐私保护措施，给出详细可行的解决方案，包括但不限于应用审计安全、用户权限控制等。</w:t>
      </w:r>
    </w:p>
    <w:p w14:paraId="2F595E18">
      <w:pPr>
        <w:spacing w:line="360" w:lineRule="auto"/>
        <w:rPr>
          <w:rFonts w:ascii="仿宋" w:hAnsi="Times New Roman" w:eastAsia="仿宋" w:cs="Times New Roman"/>
          <w:b/>
          <w:bCs/>
          <w:color w:val="auto"/>
          <w:sz w:val="24"/>
          <w:szCs w:val="24"/>
          <w:highlight w:val="none"/>
        </w:rPr>
      </w:pPr>
      <w:r>
        <w:rPr>
          <w:rFonts w:hint="eastAsia" w:ascii="仿宋" w:hAnsi="仿宋" w:eastAsia="仿宋"/>
          <w:color w:val="auto"/>
          <w:highlight w:val="none"/>
        </w:rPr>
        <w:t>★</w:t>
      </w:r>
      <w:r>
        <w:rPr>
          <w:rFonts w:hint="eastAsia" w:ascii="仿宋" w:hAnsi="Times New Roman" w:eastAsia="仿宋" w:cs="Times New Roman"/>
          <w:b/>
          <w:bCs/>
          <w:color w:val="auto"/>
          <w:sz w:val="24"/>
          <w:szCs w:val="24"/>
          <w:highlight w:val="none"/>
        </w:rPr>
        <w:t>2.8结算原则</w:t>
      </w:r>
    </w:p>
    <w:p w14:paraId="507FC484">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2.8.1中标单价一次性包死，不再调整，经招标人分级审批认可的数量增减，在结算时按中标单价按实调整。</w:t>
      </w:r>
    </w:p>
    <w:p w14:paraId="3A5C3927">
      <w:pPr>
        <w:spacing w:line="360" w:lineRule="auto"/>
        <w:rPr>
          <w:rFonts w:ascii="仿宋" w:hAnsi="Times New Roman" w:eastAsia="仿宋" w:cs="Times New Roman"/>
          <w:b/>
          <w:bCs/>
          <w:color w:val="auto"/>
          <w:sz w:val="24"/>
          <w:szCs w:val="24"/>
          <w:highlight w:val="none"/>
        </w:rPr>
      </w:pPr>
      <w:r>
        <w:rPr>
          <w:rFonts w:hint="eastAsia" w:ascii="仿宋" w:hAnsi="Times New Roman" w:eastAsia="仿宋" w:cs="Times New Roman"/>
          <w:b/>
          <w:bCs/>
          <w:color w:val="auto"/>
          <w:sz w:val="24"/>
          <w:szCs w:val="24"/>
          <w:highlight w:val="none"/>
        </w:rPr>
        <w:t>2.9其他要求</w:t>
      </w:r>
    </w:p>
    <w:p w14:paraId="423053CF">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2.9.1系统要满足原HIS的所有功能和所有接口功能。在医院进行电子病历等级（四级）评审时提供数据填报、截图等服务。建设期间所涉及到的所有接口费用包含在投标报价中。</w:t>
      </w:r>
    </w:p>
    <w:p w14:paraId="379ABE46">
      <w:pPr>
        <w:snapToGrid w:val="0"/>
        <w:spacing w:line="360" w:lineRule="auto"/>
        <w:rPr>
          <w:rFonts w:ascii="仿宋" w:hAnsi="Times New Roman" w:eastAsia="仿宋" w:cs="Times New Roman"/>
          <w:color w:val="auto"/>
          <w:sz w:val="24"/>
          <w:szCs w:val="24"/>
          <w:highlight w:val="none"/>
        </w:rPr>
      </w:pPr>
      <w:r>
        <w:rPr>
          <w:rFonts w:hint="eastAsia" w:ascii="仿宋" w:hAnsi="Times New Roman" w:eastAsia="仿宋" w:cs="Times New Roman"/>
          <w:color w:val="auto"/>
          <w:sz w:val="24"/>
          <w:szCs w:val="24"/>
          <w:highlight w:val="none"/>
        </w:rPr>
        <w:t>2.9.2面向患者和基础网络的三级等保测评费用包含在本次投标报价中。</w:t>
      </w:r>
    </w:p>
    <w:p w14:paraId="52E8E2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76153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4782F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823EB6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17C8BC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315239">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288E16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118DEF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B39FC65">
      <w:pPr>
        <w:spacing w:line="480" w:lineRule="auto"/>
        <w:jc w:val="center"/>
        <w:rPr>
          <w:rFonts w:hint="eastAsia" w:ascii="仿宋" w:hAnsi="仿宋" w:eastAsia="仿宋" w:cs="仿宋"/>
          <w:b/>
          <w:color w:val="auto"/>
          <w:sz w:val="28"/>
          <w:szCs w:val="28"/>
          <w:highlight w:val="none"/>
        </w:rPr>
      </w:pPr>
    </w:p>
    <w:p w14:paraId="594FE311">
      <w:pPr>
        <w:spacing w:line="480" w:lineRule="auto"/>
        <w:jc w:val="center"/>
        <w:rPr>
          <w:rFonts w:hint="eastAsia" w:ascii="仿宋" w:hAnsi="仿宋" w:eastAsia="仿宋" w:cs="仿宋"/>
          <w:b/>
          <w:color w:val="auto"/>
          <w:sz w:val="24"/>
          <w:highlight w:val="none"/>
        </w:rPr>
      </w:pPr>
    </w:p>
    <w:p w14:paraId="6E584645">
      <w:pPr>
        <w:spacing w:line="480" w:lineRule="auto"/>
        <w:jc w:val="center"/>
        <w:rPr>
          <w:rFonts w:hint="eastAsia" w:ascii="仿宋" w:hAnsi="仿宋" w:eastAsia="仿宋" w:cs="仿宋"/>
          <w:b/>
          <w:color w:val="auto"/>
          <w:sz w:val="24"/>
          <w:highlight w:val="none"/>
        </w:rPr>
      </w:pPr>
    </w:p>
    <w:p w14:paraId="6D3256A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2ACAB0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1D16178">
      <w:pPr>
        <w:pStyle w:val="701"/>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259CF800">
      <w:pPr>
        <w:rPr>
          <w:rFonts w:hint="eastAsia"/>
          <w:color w:val="auto"/>
          <w:highlight w:val="none"/>
        </w:rPr>
      </w:pPr>
    </w:p>
    <w:p w14:paraId="5F8D8324">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7396CD8">
      <w:pPr>
        <w:pStyle w:val="598"/>
        <w:spacing w:before="120" w:line="22" w:lineRule="atLeast"/>
        <w:rPr>
          <w:rFonts w:hint="eastAsia" w:ascii="仿宋" w:hAnsi="仿宋" w:eastAsia="仿宋" w:cs="仿宋"/>
          <w:color w:val="auto"/>
          <w:szCs w:val="24"/>
          <w:highlight w:val="none"/>
        </w:rPr>
      </w:pPr>
    </w:p>
    <w:p w14:paraId="13623715">
      <w:pPr>
        <w:pStyle w:val="598"/>
        <w:spacing w:before="120" w:line="22" w:lineRule="atLeast"/>
        <w:rPr>
          <w:rFonts w:hint="eastAsia" w:ascii="仿宋" w:hAnsi="仿宋" w:eastAsia="仿宋" w:cs="仿宋"/>
          <w:color w:val="auto"/>
          <w:szCs w:val="24"/>
          <w:highlight w:val="none"/>
        </w:rPr>
      </w:pPr>
    </w:p>
    <w:p w14:paraId="434D12EC">
      <w:pPr>
        <w:rPr>
          <w:rFonts w:hint="eastAsia" w:ascii="仿宋" w:hAnsi="仿宋" w:eastAsia="仿宋" w:cs="仿宋"/>
          <w:color w:val="auto"/>
          <w:sz w:val="24"/>
          <w:highlight w:val="none"/>
        </w:rPr>
      </w:pPr>
    </w:p>
    <w:p w14:paraId="4EC1769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7BA92CC">
      <w:pPr>
        <w:spacing w:before="120" w:line="22" w:lineRule="atLeast"/>
        <w:rPr>
          <w:rFonts w:hint="eastAsia" w:ascii="仿宋" w:hAnsi="仿宋" w:eastAsia="仿宋" w:cs="仿宋"/>
          <w:color w:val="auto"/>
          <w:sz w:val="24"/>
          <w:highlight w:val="none"/>
        </w:rPr>
      </w:pPr>
    </w:p>
    <w:p w14:paraId="3F473B4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0ED0288">
      <w:pPr>
        <w:spacing w:before="120" w:line="22" w:lineRule="atLeast"/>
        <w:rPr>
          <w:rFonts w:hint="eastAsia" w:ascii="仿宋" w:hAnsi="仿宋" w:eastAsia="仿宋" w:cs="仿宋"/>
          <w:color w:val="auto"/>
          <w:sz w:val="24"/>
          <w:highlight w:val="none"/>
        </w:rPr>
      </w:pPr>
    </w:p>
    <w:p w14:paraId="6946C63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931F939">
      <w:pPr>
        <w:spacing w:before="120" w:line="22" w:lineRule="atLeast"/>
        <w:rPr>
          <w:rFonts w:hint="eastAsia" w:ascii="仿宋" w:hAnsi="仿宋" w:eastAsia="仿宋" w:cs="仿宋"/>
          <w:color w:val="auto"/>
          <w:sz w:val="24"/>
          <w:highlight w:val="none"/>
        </w:rPr>
      </w:pPr>
    </w:p>
    <w:p w14:paraId="1B1CA28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0C1961C">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3643995C">
      <w:pPr>
        <w:rPr>
          <w:rFonts w:hint="eastAsia" w:ascii="仿宋" w:hAnsi="仿宋" w:eastAsia="仿宋" w:cs="仿宋"/>
          <w:b/>
          <w:color w:val="auto"/>
          <w:sz w:val="24"/>
          <w:highlight w:val="none"/>
        </w:rPr>
      </w:pPr>
    </w:p>
    <w:p w14:paraId="63070D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21B54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00478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61" w:name="_Toc20421"/>
      <w:bookmarkStart w:id="62" w:name="_Toc22967"/>
      <w:bookmarkStart w:id="63" w:name="_Toc19273"/>
      <w:bookmarkStart w:id="64" w:name="_Toc28855"/>
      <w:bookmarkStart w:id="65" w:name="_Toc15367"/>
      <w:r>
        <w:rPr>
          <w:rFonts w:hint="eastAsia" w:ascii="仿宋" w:hAnsi="仿宋" w:eastAsia="仿宋" w:cs="仿宋"/>
          <w:b/>
          <w:color w:val="auto"/>
          <w:sz w:val="24"/>
          <w:highlight w:val="none"/>
        </w:rPr>
        <w:t>1.1 合同组成部分</w:t>
      </w:r>
      <w:bookmarkEnd w:id="61"/>
      <w:bookmarkEnd w:id="62"/>
      <w:bookmarkEnd w:id="63"/>
      <w:bookmarkEnd w:id="64"/>
      <w:bookmarkEnd w:id="65"/>
    </w:p>
    <w:p w14:paraId="3DC1CD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844F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B9F3F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F380C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BEA2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1179D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3FB85C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66" w:name="_Toc6311"/>
      <w:bookmarkStart w:id="67" w:name="_Toc6773"/>
      <w:bookmarkStart w:id="68" w:name="_Toc22185"/>
      <w:bookmarkStart w:id="69" w:name="_Toc2918"/>
      <w:bookmarkStart w:id="70" w:name="_Toc18585"/>
      <w:r>
        <w:rPr>
          <w:rFonts w:hint="eastAsia" w:ascii="仿宋" w:hAnsi="仿宋" w:eastAsia="仿宋" w:cs="仿宋"/>
          <w:b/>
          <w:color w:val="auto"/>
          <w:sz w:val="24"/>
          <w:highlight w:val="none"/>
        </w:rPr>
        <w:t>1.2 标的</w:t>
      </w:r>
      <w:bookmarkEnd w:id="66"/>
      <w:bookmarkEnd w:id="67"/>
      <w:bookmarkEnd w:id="68"/>
      <w:bookmarkEnd w:id="69"/>
      <w:bookmarkEnd w:id="70"/>
    </w:p>
    <w:p w14:paraId="5BE3BF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75520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002E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601DE5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034EA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A0813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71" w:name="_Toc5635"/>
      <w:bookmarkStart w:id="72" w:name="_Toc21124"/>
      <w:bookmarkStart w:id="73" w:name="_Toc13918"/>
      <w:bookmarkStart w:id="74" w:name="_Toc1386"/>
      <w:bookmarkStart w:id="75"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AC7D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FD28E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8BD3A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1"/>
      <w:bookmarkEnd w:id="72"/>
      <w:bookmarkEnd w:id="73"/>
      <w:bookmarkEnd w:id="74"/>
      <w:bookmarkEnd w:id="75"/>
    </w:p>
    <w:p w14:paraId="6EA096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DDBC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6F346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83B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A20BD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4555D51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77F612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CFE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3E1FF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A14AE5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979B17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56A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3484A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3D9D0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296709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C39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90399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EC92E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A3EA57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D1F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D2388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AC53BA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BD715C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33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6DF56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33905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7083B3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6" w:name="_Toc30158"/>
      <w:bookmarkStart w:id="77" w:name="_Toc26916"/>
      <w:bookmarkStart w:id="78" w:name="_Toc14993"/>
      <w:bookmarkStart w:id="79" w:name="_Toc30506"/>
      <w:bookmarkStart w:id="80"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ED12366">
      <w:pPr>
        <w:pStyle w:val="3"/>
        <w:numPr>
          <w:ilvl w:val="1"/>
          <w:numId w:val="2"/>
        </w:numPr>
        <w:bidi w:val="0"/>
        <w:rPr>
          <w:rFonts w:hint="eastAsia"/>
          <w:color w:val="auto"/>
          <w:highlight w:val="none"/>
          <w:lang w:val="en-US"/>
        </w:rPr>
      </w:pPr>
      <w:r>
        <w:rPr>
          <w:rFonts w:hint="eastAsia"/>
          <w:color w:val="auto"/>
          <w:highlight w:val="none"/>
          <w:lang w:val="en-US"/>
        </w:rPr>
        <w:t xml:space="preserve">1.3.3其他计价方式：                   </w:t>
      </w:r>
      <w:r>
        <w:rPr>
          <w:rFonts w:hint="eastAsia"/>
          <w:color w:val="auto"/>
          <w:highlight w:val="none"/>
        </w:rPr>
        <w:t>。</w:t>
      </w:r>
    </w:p>
    <w:bookmarkEnd w:id="76"/>
    <w:bookmarkEnd w:id="77"/>
    <w:bookmarkEnd w:id="78"/>
    <w:bookmarkEnd w:id="79"/>
    <w:bookmarkEnd w:id="80"/>
    <w:p w14:paraId="38E39EC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81" w:name="_Toc10340"/>
      <w:bookmarkStart w:id="82" w:name="_Toc1814"/>
      <w:bookmarkStart w:id="83" w:name="_Toc22618"/>
      <w:bookmarkStart w:id="84" w:name="_Toc11108"/>
      <w:bookmarkStart w:id="85" w:name="_Toc4760"/>
      <w:bookmarkStart w:id="86" w:name="_Toc8772"/>
      <w:bookmarkStart w:id="87" w:name="_Toc31421"/>
      <w:bookmarkStart w:id="88" w:name="_Toc3625"/>
      <w:r>
        <w:rPr>
          <w:rFonts w:hint="eastAsia" w:ascii="仿宋" w:hAnsi="仿宋" w:eastAsia="仿宋" w:cs="仿宋"/>
          <w:b/>
          <w:color w:val="auto"/>
          <w:highlight w:val="none"/>
        </w:rPr>
        <w:t>1.4履约保证金</w:t>
      </w:r>
    </w:p>
    <w:p w14:paraId="5FE8D33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952378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C080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6AD6537">
      <w:pPr>
        <w:pStyle w:val="3"/>
        <w:numPr>
          <w:ilvl w:val="1"/>
          <w:numId w:val="2"/>
        </w:numPr>
        <w:bidi w:val="0"/>
        <w:rPr>
          <w:rFonts w:hint="eastAsia"/>
          <w:color w:val="auto"/>
          <w:highlight w:val="none"/>
          <w:lang w:val="en-US"/>
        </w:rPr>
      </w:pPr>
      <w:r>
        <w:rPr>
          <w:rFonts w:hint="eastAsia"/>
          <w:color w:val="auto"/>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19186E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6075E8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81"/>
      <w:bookmarkEnd w:id="82"/>
      <w:bookmarkEnd w:id="83"/>
      <w:r>
        <w:rPr>
          <w:rFonts w:hint="eastAsia" w:ascii="仿宋" w:hAnsi="仿宋" w:eastAsia="仿宋" w:cs="仿宋"/>
          <w:b/>
          <w:color w:val="auto"/>
          <w:sz w:val="24"/>
          <w:highlight w:val="none"/>
        </w:rPr>
        <w:t>预付款</w:t>
      </w:r>
    </w:p>
    <w:p w14:paraId="2BB9C2B4">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C84D2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AA3A69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8E61E9C">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507801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2188A5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33E77F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EE8E4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84"/>
      <w:bookmarkEnd w:id="85"/>
      <w:bookmarkEnd w:id="86"/>
      <w:bookmarkEnd w:id="87"/>
      <w:bookmarkEnd w:id="88"/>
    </w:p>
    <w:p w14:paraId="7A5A63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CCD2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01E3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9AAB2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9" w:name="_Toc24662"/>
      <w:bookmarkStart w:id="90" w:name="_Toc5698"/>
      <w:bookmarkStart w:id="91" w:name="_Toc2375"/>
      <w:bookmarkStart w:id="92" w:name="_Toc3079"/>
      <w:bookmarkStart w:id="93" w:name="_Toc8586"/>
      <w:r>
        <w:rPr>
          <w:rFonts w:hint="eastAsia" w:ascii="仿宋" w:hAnsi="仿宋" w:eastAsia="仿宋" w:cs="仿宋"/>
          <w:bCs/>
          <w:color w:val="auto"/>
          <w:sz w:val="24"/>
          <w:highlight w:val="none"/>
        </w:rPr>
        <w:t>1.7.4若服务涉及货物的，则货物的：</w:t>
      </w:r>
    </w:p>
    <w:p w14:paraId="47608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A96E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EBB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1954E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9"/>
      <w:bookmarkEnd w:id="90"/>
      <w:bookmarkEnd w:id="91"/>
      <w:bookmarkEnd w:id="92"/>
      <w:bookmarkEnd w:id="93"/>
    </w:p>
    <w:p w14:paraId="797A92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6D1551B">
      <w:pPr>
        <w:pStyle w:val="3"/>
        <w:numPr>
          <w:ilvl w:val="1"/>
          <w:numId w:val="2"/>
        </w:numPr>
        <w:bidi w:val="0"/>
        <w:rPr>
          <w:rFonts w:hint="eastAsia"/>
          <w:color w:val="auto"/>
          <w:highlight w:val="none"/>
          <w:lang w:val="en-US"/>
        </w:rPr>
      </w:pPr>
      <w:r>
        <w:rPr>
          <w:rFonts w:hint="eastAsia"/>
          <w:color w:val="auto"/>
          <w:highlight w:val="none"/>
          <w:lang w:val="en-US"/>
        </w:rPr>
        <w:t xml:space="preserve">1.8.2服务中涉及的货物，除不可抗力外，如果乙方没有按照本合同约定的期限、地点和方式交付货物，那么甲方可要求乙方支付违约金，违约金按每迟延交付货物一日的应交付而未交付货物价格的 </w:t>
      </w:r>
      <w:r>
        <w:rPr>
          <w:rFonts w:hint="eastAsia"/>
          <w:color w:val="auto"/>
          <w:highlight w:val="none"/>
          <w:lang w:val="en-US" w:eastAsia="zh-CN"/>
        </w:rPr>
        <w:t xml:space="preserve">     </w:t>
      </w:r>
      <w:r>
        <w:rPr>
          <w:rFonts w:hint="eastAsia"/>
          <w:color w:val="auto"/>
          <w:highlight w:val="none"/>
          <w:lang w:val="en-US"/>
        </w:rPr>
        <w:t xml:space="preserve"> %计算，最高限额为本合同总价的 </w:t>
      </w:r>
      <w:r>
        <w:rPr>
          <w:rFonts w:hint="eastAsia"/>
          <w:color w:val="auto"/>
          <w:highlight w:val="none"/>
          <w:lang w:val="en-US" w:eastAsia="zh-CN"/>
        </w:rPr>
        <w:t xml:space="preserve">   </w:t>
      </w:r>
      <w:r>
        <w:rPr>
          <w:rFonts w:hint="eastAsia"/>
          <w:color w:val="auto"/>
          <w:highlight w:val="none"/>
          <w:lang w:val="en-US"/>
        </w:rPr>
        <w:t xml:space="preserve"> %；迟延交付货物的违约金计算数额达到前述最高限额之日起，甲方有权在要求乙方支付违约金的同时，书面通知乙方解除本合同；</w:t>
      </w:r>
    </w:p>
    <w:p w14:paraId="0DD8D5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F2975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94" w:name="_Toc26807"/>
      <w:bookmarkStart w:id="95" w:name="_Toc9497"/>
      <w:bookmarkStart w:id="96" w:name="_Toc30329"/>
      <w:bookmarkStart w:id="97" w:name="_Toc18683"/>
      <w:bookmarkStart w:id="98"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1D500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4914C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07EEC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94"/>
    <w:bookmarkEnd w:id="95"/>
    <w:bookmarkEnd w:id="96"/>
    <w:bookmarkEnd w:id="97"/>
    <w:bookmarkEnd w:id="98"/>
    <w:p w14:paraId="1D4A76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99" w:name="_Toc16021"/>
      <w:bookmarkStart w:id="100" w:name="_Toc15583"/>
      <w:bookmarkStart w:id="101" w:name="_Toc28375"/>
      <w:r>
        <w:rPr>
          <w:rFonts w:hint="eastAsia" w:ascii="仿宋" w:hAnsi="仿宋" w:eastAsia="仿宋" w:cs="仿宋"/>
          <w:b/>
          <w:color w:val="auto"/>
          <w:sz w:val="24"/>
          <w:highlight w:val="none"/>
        </w:rPr>
        <w:t>1.9合同争议的解决</w:t>
      </w:r>
      <w:bookmarkEnd w:id="99"/>
      <w:bookmarkEnd w:id="100"/>
      <w:bookmarkEnd w:id="101"/>
    </w:p>
    <w:p w14:paraId="5544A8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2CF09C6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102" w:name="_Toc15322"/>
      <w:bookmarkStart w:id="103" w:name="_Toc7245"/>
      <w:bookmarkStart w:id="104" w:name="_Toc11173"/>
      <w:r>
        <w:rPr>
          <w:rFonts w:hint="eastAsia" w:ascii="仿宋" w:hAnsi="仿宋" w:eastAsia="仿宋" w:cs="仿宋"/>
          <w:b/>
          <w:color w:val="auto"/>
          <w:sz w:val="24"/>
          <w:highlight w:val="none"/>
        </w:rPr>
        <w:t>2.0 合同生效</w:t>
      </w:r>
      <w:bookmarkEnd w:id="102"/>
      <w:bookmarkEnd w:id="103"/>
      <w:bookmarkEnd w:id="104"/>
    </w:p>
    <w:p w14:paraId="0FAF48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D32813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D4C75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378817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B3501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C6845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25D93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41F5F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69ADF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D6C69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F8675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C7E3CE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BB7CF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8B2886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E7042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13A638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13BF588">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4083BFF">
      <w:pPr>
        <w:spacing w:line="560" w:lineRule="exact"/>
        <w:ind w:firstLine="480" w:firstLineChars="200"/>
        <w:outlineLvl w:val="0"/>
        <w:rPr>
          <w:rFonts w:hint="eastAsia" w:ascii="仿宋" w:hAnsi="仿宋" w:eastAsia="仿宋" w:cs="仿宋"/>
          <w:b/>
          <w:color w:val="auto"/>
          <w:sz w:val="24"/>
          <w:highlight w:val="none"/>
        </w:rPr>
      </w:pPr>
      <w:bookmarkStart w:id="105" w:name="_Toc31297"/>
      <w:bookmarkStart w:id="106" w:name="_Toc5228"/>
      <w:bookmarkStart w:id="107" w:name="_Toc25079"/>
      <w:bookmarkStart w:id="108" w:name="_Toc14021"/>
      <w:bookmarkStart w:id="109" w:name="_Toc19680"/>
      <w:r>
        <w:rPr>
          <w:rFonts w:hint="eastAsia" w:ascii="仿宋" w:hAnsi="仿宋" w:eastAsia="仿宋" w:cs="仿宋"/>
          <w:b/>
          <w:color w:val="auto"/>
          <w:sz w:val="24"/>
          <w:highlight w:val="none"/>
        </w:rPr>
        <w:t>2.1 定义</w:t>
      </w:r>
      <w:bookmarkEnd w:id="105"/>
      <w:bookmarkEnd w:id="106"/>
      <w:bookmarkEnd w:id="107"/>
      <w:bookmarkEnd w:id="108"/>
      <w:bookmarkEnd w:id="109"/>
    </w:p>
    <w:p w14:paraId="7546B1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E6C9E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18480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58F01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FE673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6BB0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3A85B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9F3698E">
      <w:pPr>
        <w:spacing w:line="560" w:lineRule="exact"/>
        <w:ind w:firstLine="480" w:firstLineChars="200"/>
        <w:outlineLvl w:val="0"/>
        <w:rPr>
          <w:rFonts w:hint="eastAsia" w:ascii="仿宋" w:hAnsi="仿宋" w:eastAsia="仿宋" w:cs="仿宋"/>
          <w:b/>
          <w:color w:val="auto"/>
          <w:sz w:val="24"/>
          <w:highlight w:val="none"/>
        </w:rPr>
      </w:pPr>
      <w:bookmarkStart w:id="110" w:name="_Toc16752"/>
      <w:bookmarkStart w:id="111" w:name="_Toc31402"/>
      <w:bookmarkStart w:id="112" w:name="_Toc3769"/>
      <w:bookmarkStart w:id="113" w:name="_Toc23289"/>
      <w:bookmarkStart w:id="114" w:name="_Toc19539"/>
      <w:r>
        <w:rPr>
          <w:rFonts w:hint="eastAsia" w:ascii="仿宋" w:hAnsi="仿宋" w:eastAsia="仿宋" w:cs="仿宋"/>
          <w:b/>
          <w:color w:val="auto"/>
          <w:sz w:val="24"/>
          <w:highlight w:val="none"/>
        </w:rPr>
        <w:t>2.2 技术规范</w:t>
      </w:r>
      <w:bookmarkEnd w:id="110"/>
      <w:bookmarkEnd w:id="111"/>
      <w:bookmarkEnd w:id="112"/>
      <w:bookmarkEnd w:id="113"/>
      <w:bookmarkEnd w:id="114"/>
    </w:p>
    <w:p w14:paraId="0151C6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06488E7">
      <w:pPr>
        <w:spacing w:line="560" w:lineRule="exact"/>
        <w:ind w:firstLine="480" w:firstLineChars="200"/>
        <w:outlineLvl w:val="0"/>
        <w:rPr>
          <w:rFonts w:hint="eastAsia" w:ascii="仿宋" w:hAnsi="仿宋" w:eastAsia="仿宋" w:cs="仿宋"/>
          <w:b/>
          <w:color w:val="auto"/>
          <w:sz w:val="24"/>
          <w:highlight w:val="none"/>
        </w:rPr>
      </w:pPr>
      <w:bookmarkStart w:id="115" w:name="_Toc13673"/>
      <w:bookmarkStart w:id="116" w:name="_Toc4133"/>
      <w:bookmarkStart w:id="117" w:name="_Toc27945"/>
      <w:bookmarkStart w:id="118" w:name="_Toc12412"/>
      <w:bookmarkStart w:id="119" w:name="_Toc9161"/>
      <w:r>
        <w:rPr>
          <w:rFonts w:hint="eastAsia" w:ascii="仿宋" w:hAnsi="仿宋" w:eastAsia="仿宋" w:cs="仿宋"/>
          <w:b/>
          <w:color w:val="auto"/>
          <w:sz w:val="24"/>
          <w:highlight w:val="none"/>
        </w:rPr>
        <w:t>2.3 知识产权</w:t>
      </w:r>
      <w:bookmarkEnd w:id="115"/>
      <w:bookmarkEnd w:id="116"/>
      <w:bookmarkEnd w:id="117"/>
      <w:bookmarkEnd w:id="118"/>
      <w:bookmarkEnd w:id="119"/>
    </w:p>
    <w:p w14:paraId="3B6300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C38FA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A560E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96430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B0923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D47D5ED">
      <w:pPr>
        <w:spacing w:line="560" w:lineRule="exact"/>
        <w:ind w:firstLine="480" w:firstLineChars="200"/>
        <w:outlineLvl w:val="0"/>
        <w:rPr>
          <w:rFonts w:hint="eastAsia" w:ascii="仿宋" w:hAnsi="仿宋" w:eastAsia="仿宋" w:cs="仿宋"/>
          <w:b/>
          <w:color w:val="auto"/>
          <w:sz w:val="24"/>
          <w:highlight w:val="none"/>
        </w:rPr>
      </w:pPr>
      <w:bookmarkStart w:id="120" w:name="_Toc22011"/>
      <w:bookmarkStart w:id="121" w:name="_Toc15447"/>
      <w:bookmarkStart w:id="122" w:name="_Toc32670"/>
      <w:bookmarkStart w:id="123" w:name="_Toc26555"/>
      <w:bookmarkStart w:id="124" w:name="_Toc31233"/>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14:paraId="6C22AD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C84FD1">
      <w:pPr>
        <w:spacing w:line="560" w:lineRule="exact"/>
        <w:ind w:firstLine="480" w:firstLineChars="200"/>
        <w:outlineLvl w:val="0"/>
        <w:rPr>
          <w:rFonts w:hint="eastAsia" w:ascii="仿宋" w:hAnsi="仿宋" w:eastAsia="仿宋" w:cs="仿宋"/>
          <w:b/>
          <w:color w:val="auto"/>
          <w:sz w:val="24"/>
          <w:highlight w:val="none"/>
        </w:rPr>
      </w:pPr>
      <w:bookmarkStart w:id="125" w:name="_Toc30507"/>
      <w:bookmarkStart w:id="126" w:name="_Toc18990"/>
      <w:bookmarkStart w:id="127" w:name="_Toc13467"/>
      <w:bookmarkStart w:id="128" w:name="_Toc13154"/>
      <w:bookmarkStart w:id="129" w:name="_Toc16163"/>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14:paraId="031B35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A68AC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921B20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5E0C0B4">
      <w:pPr>
        <w:spacing w:line="560" w:lineRule="exact"/>
        <w:ind w:firstLine="480" w:firstLineChars="200"/>
        <w:outlineLvl w:val="0"/>
        <w:rPr>
          <w:rFonts w:hint="eastAsia"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14:paraId="65F85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71ED4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01EE9AE">
      <w:pPr>
        <w:spacing w:line="560" w:lineRule="exact"/>
        <w:ind w:firstLine="480" w:firstLineChars="200"/>
        <w:outlineLvl w:val="0"/>
        <w:rPr>
          <w:rFonts w:hint="eastAsia"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14:paraId="753C3B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3C4809">
      <w:pPr>
        <w:spacing w:line="560" w:lineRule="exact"/>
        <w:ind w:firstLine="480" w:firstLineChars="200"/>
        <w:outlineLvl w:val="0"/>
        <w:rPr>
          <w:rFonts w:hint="eastAsia"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14:paraId="64FE34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97DF467">
      <w:pPr>
        <w:spacing w:line="560" w:lineRule="exact"/>
        <w:ind w:firstLine="480" w:firstLineChars="200"/>
        <w:outlineLvl w:val="0"/>
        <w:rPr>
          <w:rFonts w:hint="eastAsia" w:ascii="仿宋" w:hAnsi="仿宋" w:eastAsia="仿宋" w:cs="仿宋"/>
          <w:b/>
          <w:color w:val="auto"/>
          <w:sz w:val="24"/>
          <w:highlight w:val="none"/>
        </w:rPr>
      </w:pPr>
      <w:bookmarkStart w:id="133" w:name="_Toc26689"/>
      <w:bookmarkStart w:id="134" w:name="_Toc10663"/>
      <w:bookmarkStart w:id="135" w:name="_Toc42"/>
      <w:bookmarkStart w:id="136" w:name="_Toc21830"/>
      <w:bookmarkStart w:id="137" w:name="_Toc23368"/>
      <w:r>
        <w:rPr>
          <w:rFonts w:hint="eastAsia" w:ascii="仿宋" w:hAnsi="仿宋" w:eastAsia="仿宋" w:cs="仿宋"/>
          <w:b/>
          <w:color w:val="auto"/>
          <w:sz w:val="24"/>
          <w:highlight w:val="none"/>
        </w:rPr>
        <w:t>2.10 合同转让和分包</w:t>
      </w:r>
      <w:bookmarkEnd w:id="133"/>
      <w:bookmarkEnd w:id="134"/>
      <w:bookmarkEnd w:id="135"/>
      <w:bookmarkEnd w:id="136"/>
      <w:bookmarkEnd w:id="137"/>
    </w:p>
    <w:p w14:paraId="3A26B2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4D3BFB">
      <w:pPr>
        <w:spacing w:line="560" w:lineRule="exact"/>
        <w:ind w:firstLine="480" w:firstLineChars="200"/>
        <w:outlineLvl w:val="0"/>
        <w:rPr>
          <w:rFonts w:hint="eastAsia" w:ascii="仿宋" w:hAnsi="仿宋" w:eastAsia="仿宋" w:cs="仿宋"/>
          <w:b/>
          <w:color w:val="auto"/>
          <w:sz w:val="24"/>
          <w:highlight w:val="none"/>
        </w:rPr>
      </w:pPr>
      <w:bookmarkStart w:id="138" w:name="_Toc4720"/>
      <w:bookmarkStart w:id="139" w:name="_Toc32494"/>
      <w:bookmarkStart w:id="140" w:name="_Toc26633"/>
      <w:bookmarkStart w:id="141" w:name="_Toc14371"/>
      <w:bookmarkStart w:id="142" w:name="_Toc25571"/>
      <w:r>
        <w:rPr>
          <w:rFonts w:hint="eastAsia" w:ascii="仿宋" w:hAnsi="仿宋" w:eastAsia="仿宋" w:cs="仿宋"/>
          <w:b/>
          <w:color w:val="auto"/>
          <w:sz w:val="24"/>
          <w:highlight w:val="none"/>
        </w:rPr>
        <w:t>2.11 不可抗力</w:t>
      </w:r>
      <w:bookmarkEnd w:id="138"/>
      <w:bookmarkEnd w:id="139"/>
      <w:bookmarkEnd w:id="140"/>
      <w:bookmarkEnd w:id="141"/>
      <w:bookmarkEnd w:id="142"/>
    </w:p>
    <w:p w14:paraId="44015E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88139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8DC5D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C5730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7C26C70">
      <w:pPr>
        <w:spacing w:line="560" w:lineRule="exact"/>
        <w:ind w:firstLine="480" w:firstLineChars="200"/>
        <w:outlineLvl w:val="0"/>
        <w:rPr>
          <w:rFonts w:hint="eastAsia" w:ascii="仿宋" w:hAnsi="仿宋" w:eastAsia="仿宋" w:cs="仿宋"/>
          <w:b/>
          <w:color w:val="auto"/>
          <w:sz w:val="24"/>
          <w:highlight w:val="none"/>
        </w:rPr>
      </w:pPr>
      <w:bookmarkStart w:id="143" w:name="_Toc25783"/>
      <w:bookmarkStart w:id="144" w:name="_Toc3638"/>
      <w:bookmarkStart w:id="145" w:name="_Toc24465"/>
      <w:bookmarkStart w:id="146" w:name="_Toc23854"/>
      <w:bookmarkStart w:id="147" w:name="_Toc14115"/>
      <w:r>
        <w:rPr>
          <w:rFonts w:hint="eastAsia" w:ascii="仿宋" w:hAnsi="仿宋" w:eastAsia="仿宋" w:cs="仿宋"/>
          <w:b/>
          <w:color w:val="auto"/>
          <w:sz w:val="24"/>
          <w:highlight w:val="none"/>
        </w:rPr>
        <w:t>2.12 税费</w:t>
      </w:r>
      <w:bookmarkEnd w:id="143"/>
      <w:bookmarkEnd w:id="144"/>
      <w:bookmarkEnd w:id="145"/>
      <w:bookmarkEnd w:id="146"/>
      <w:bookmarkEnd w:id="147"/>
    </w:p>
    <w:p w14:paraId="70F537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F0BF7BC">
      <w:pPr>
        <w:spacing w:line="560" w:lineRule="exact"/>
        <w:ind w:firstLine="480" w:firstLineChars="200"/>
        <w:outlineLvl w:val="0"/>
        <w:rPr>
          <w:rFonts w:hint="eastAsia" w:ascii="仿宋" w:hAnsi="仿宋" w:eastAsia="仿宋" w:cs="仿宋"/>
          <w:b/>
          <w:color w:val="auto"/>
          <w:sz w:val="24"/>
          <w:highlight w:val="none"/>
        </w:rPr>
      </w:pPr>
      <w:bookmarkStart w:id="148" w:name="_Toc26883"/>
      <w:bookmarkStart w:id="149" w:name="_Toc14814"/>
      <w:bookmarkStart w:id="150" w:name="_Toc7315"/>
      <w:bookmarkStart w:id="151" w:name="_Toc30105"/>
      <w:bookmarkStart w:id="152" w:name="_Toc25525"/>
      <w:r>
        <w:rPr>
          <w:rFonts w:hint="eastAsia" w:ascii="仿宋" w:hAnsi="仿宋" w:eastAsia="仿宋" w:cs="仿宋"/>
          <w:b/>
          <w:color w:val="auto"/>
          <w:sz w:val="24"/>
          <w:highlight w:val="none"/>
        </w:rPr>
        <w:t>2.13 乙方破产</w:t>
      </w:r>
      <w:bookmarkEnd w:id="148"/>
      <w:bookmarkEnd w:id="149"/>
      <w:bookmarkEnd w:id="150"/>
      <w:bookmarkEnd w:id="151"/>
      <w:bookmarkEnd w:id="152"/>
    </w:p>
    <w:p w14:paraId="712CF1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89A524">
      <w:pPr>
        <w:spacing w:line="560" w:lineRule="exact"/>
        <w:ind w:firstLine="480" w:firstLineChars="200"/>
        <w:outlineLvl w:val="0"/>
        <w:rPr>
          <w:rFonts w:hint="eastAsia" w:ascii="仿宋" w:hAnsi="仿宋" w:eastAsia="仿宋" w:cs="仿宋"/>
          <w:b/>
          <w:color w:val="auto"/>
          <w:sz w:val="24"/>
          <w:highlight w:val="none"/>
        </w:rPr>
      </w:pPr>
      <w:bookmarkStart w:id="153" w:name="_Toc2016"/>
      <w:bookmarkStart w:id="154" w:name="_Toc23323"/>
      <w:bookmarkStart w:id="155" w:name="_Toc1123"/>
      <w:r>
        <w:rPr>
          <w:rFonts w:hint="eastAsia" w:ascii="仿宋" w:hAnsi="仿宋" w:eastAsia="仿宋" w:cs="仿宋"/>
          <w:b/>
          <w:color w:val="auto"/>
          <w:sz w:val="24"/>
          <w:highlight w:val="none"/>
        </w:rPr>
        <w:t>2.14 合同中止、终止</w:t>
      </w:r>
      <w:bookmarkEnd w:id="153"/>
      <w:bookmarkEnd w:id="154"/>
      <w:bookmarkEnd w:id="155"/>
    </w:p>
    <w:p w14:paraId="2E5B25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EDB6A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602646B">
      <w:pPr>
        <w:spacing w:line="560" w:lineRule="exact"/>
        <w:ind w:firstLine="480" w:firstLineChars="200"/>
        <w:outlineLvl w:val="0"/>
        <w:rPr>
          <w:rFonts w:hint="eastAsia" w:ascii="仿宋" w:hAnsi="仿宋" w:eastAsia="仿宋" w:cs="仿宋"/>
          <w:b/>
          <w:color w:val="auto"/>
          <w:sz w:val="24"/>
          <w:highlight w:val="none"/>
        </w:rPr>
      </w:pPr>
      <w:bookmarkStart w:id="156" w:name="_Toc1969"/>
      <w:bookmarkStart w:id="157" w:name="_Toc14525"/>
      <w:bookmarkStart w:id="158" w:name="_Toc17363"/>
      <w:r>
        <w:rPr>
          <w:rFonts w:hint="eastAsia" w:ascii="仿宋" w:hAnsi="仿宋" w:eastAsia="仿宋" w:cs="仿宋"/>
          <w:b/>
          <w:color w:val="auto"/>
          <w:sz w:val="24"/>
          <w:highlight w:val="none"/>
        </w:rPr>
        <w:t>2.15 检验和验收</w:t>
      </w:r>
      <w:bookmarkEnd w:id="156"/>
      <w:bookmarkEnd w:id="157"/>
      <w:bookmarkEnd w:id="158"/>
    </w:p>
    <w:p w14:paraId="5B9DBFF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1460F1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1DC827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F03279B">
      <w:pPr>
        <w:spacing w:line="560" w:lineRule="exact"/>
        <w:ind w:firstLine="480" w:firstLineChars="200"/>
        <w:outlineLvl w:val="0"/>
        <w:rPr>
          <w:rFonts w:hint="eastAsia" w:ascii="仿宋" w:hAnsi="仿宋" w:eastAsia="仿宋" w:cs="仿宋"/>
          <w:b/>
          <w:color w:val="auto"/>
          <w:sz w:val="24"/>
          <w:highlight w:val="none"/>
        </w:rPr>
      </w:pPr>
      <w:bookmarkStart w:id="159" w:name="_Toc25198"/>
      <w:bookmarkStart w:id="160" w:name="_Toc9808"/>
      <w:bookmarkStart w:id="161" w:name="_Toc2308"/>
      <w:bookmarkStart w:id="162" w:name="_Toc31892"/>
      <w:bookmarkStart w:id="163" w:name="_Toc12666"/>
      <w:r>
        <w:rPr>
          <w:rFonts w:hint="eastAsia" w:ascii="仿宋" w:hAnsi="仿宋" w:eastAsia="仿宋" w:cs="仿宋"/>
          <w:b/>
          <w:color w:val="auto"/>
          <w:sz w:val="24"/>
          <w:highlight w:val="none"/>
        </w:rPr>
        <w:t>2.16 通知和送达</w:t>
      </w:r>
      <w:bookmarkEnd w:id="159"/>
      <w:bookmarkEnd w:id="160"/>
      <w:bookmarkEnd w:id="161"/>
      <w:bookmarkEnd w:id="162"/>
      <w:bookmarkEnd w:id="163"/>
    </w:p>
    <w:p w14:paraId="18FDD858">
      <w:pPr>
        <w:spacing w:line="560" w:lineRule="exact"/>
        <w:ind w:firstLine="480" w:firstLineChars="200"/>
        <w:rPr>
          <w:rFonts w:hint="eastAsia"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3B439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324A24A2">
      <w:pPr>
        <w:spacing w:line="560" w:lineRule="exact"/>
        <w:ind w:firstLine="480" w:firstLineChars="200"/>
        <w:outlineLvl w:val="0"/>
        <w:rPr>
          <w:rFonts w:hint="eastAsia" w:ascii="仿宋" w:hAnsi="仿宋" w:eastAsia="仿宋" w:cs="仿宋"/>
          <w:b/>
          <w:color w:val="auto"/>
          <w:sz w:val="24"/>
          <w:highlight w:val="none"/>
        </w:rPr>
      </w:pPr>
      <w:bookmarkStart w:id="166" w:name="_Toc28906"/>
      <w:bookmarkStart w:id="167" w:name="_Toc12254"/>
      <w:bookmarkStart w:id="168" w:name="_Toc20808"/>
      <w:bookmarkStart w:id="169" w:name="_Toc5063"/>
      <w:bookmarkStart w:id="170" w:name="_Toc27644"/>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14:paraId="400D2A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A5495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ACD7310">
      <w:pPr>
        <w:spacing w:line="560" w:lineRule="exact"/>
        <w:ind w:firstLine="480" w:firstLineChars="200"/>
        <w:outlineLvl w:val="0"/>
        <w:rPr>
          <w:rFonts w:hint="eastAsia" w:ascii="仿宋" w:hAnsi="仿宋" w:eastAsia="仿宋" w:cs="仿宋"/>
          <w:b/>
          <w:color w:val="auto"/>
          <w:sz w:val="24"/>
          <w:highlight w:val="none"/>
        </w:rPr>
      </w:pPr>
      <w:bookmarkStart w:id="171" w:name="_Toc4355"/>
      <w:bookmarkStart w:id="172" w:name="_Toc18540"/>
      <w:bookmarkStart w:id="173" w:name="_Toc30599"/>
      <w:r>
        <w:rPr>
          <w:rFonts w:hint="eastAsia" w:ascii="仿宋" w:hAnsi="仿宋" w:eastAsia="仿宋" w:cs="仿宋"/>
          <w:b/>
          <w:color w:val="auto"/>
          <w:sz w:val="24"/>
          <w:highlight w:val="none"/>
        </w:rPr>
        <w:t>2.18 计量单位</w:t>
      </w:r>
      <w:bookmarkEnd w:id="171"/>
      <w:bookmarkEnd w:id="172"/>
      <w:bookmarkEnd w:id="173"/>
    </w:p>
    <w:p w14:paraId="48E03E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86CA3F7">
      <w:pPr>
        <w:spacing w:line="560" w:lineRule="exact"/>
        <w:ind w:firstLine="480" w:firstLineChars="200"/>
        <w:outlineLvl w:val="0"/>
        <w:rPr>
          <w:rFonts w:hint="eastAsia" w:ascii="仿宋" w:hAnsi="仿宋" w:eastAsia="仿宋" w:cs="仿宋"/>
          <w:b/>
          <w:color w:val="auto"/>
          <w:sz w:val="24"/>
          <w:highlight w:val="none"/>
        </w:rPr>
      </w:pPr>
      <w:bookmarkStart w:id="174" w:name="_Toc259093692"/>
      <w:bookmarkStart w:id="175" w:name="_Toc18567"/>
      <w:bookmarkStart w:id="176" w:name="_Toc12773"/>
      <w:bookmarkStart w:id="177" w:name="_Toc487900373"/>
      <w:bookmarkStart w:id="178" w:name="_Toc279701263"/>
      <w:bookmarkStart w:id="179" w:name="_Toc10330"/>
      <w:r>
        <w:rPr>
          <w:rFonts w:hint="eastAsia" w:ascii="仿宋" w:hAnsi="仿宋" w:eastAsia="仿宋" w:cs="仿宋"/>
          <w:b/>
          <w:color w:val="auto"/>
          <w:sz w:val="24"/>
          <w:highlight w:val="none"/>
        </w:rPr>
        <w:t>2.19 合同使用的文字和适用的法律</w:t>
      </w:r>
      <w:bookmarkEnd w:id="174"/>
      <w:bookmarkEnd w:id="175"/>
      <w:bookmarkEnd w:id="176"/>
      <w:bookmarkEnd w:id="177"/>
      <w:bookmarkEnd w:id="178"/>
      <w:bookmarkEnd w:id="179"/>
    </w:p>
    <w:p w14:paraId="7264E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22A9E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ABC07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BB3A4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4EF576D">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80" w:name="_Toc331685784"/>
      <w:r>
        <w:rPr>
          <w:rFonts w:hint="eastAsia" w:ascii="仿宋" w:hAnsi="仿宋" w:eastAsia="仿宋" w:cs="仿宋"/>
          <w:b/>
          <w:color w:val="auto"/>
          <w:sz w:val="24"/>
          <w:highlight w:val="none"/>
        </w:rPr>
        <w:t xml:space="preserve"> </w:t>
      </w:r>
      <w:bookmarkEnd w:id="180"/>
      <w:r>
        <w:rPr>
          <w:rFonts w:hint="eastAsia" w:ascii="仿宋" w:hAnsi="仿宋" w:eastAsia="仿宋" w:cs="仿宋"/>
          <w:b/>
          <w:color w:val="auto"/>
          <w:kern w:val="2"/>
          <w:sz w:val="24"/>
          <w:szCs w:val="24"/>
          <w:highlight w:val="none"/>
          <w:lang w:val="en-US" w:eastAsia="zh-CN" w:bidi="ar-SA"/>
        </w:rPr>
        <w:t>第三部分  合同专用条款</w:t>
      </w:r>
    </w:p>
    <w:p w14:paraId="1CB9610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2B5A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0F0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7D512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C76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6924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D3E2BE3">
            <w:pPr>
              <w:spacing w:line="360" w:lineRule="auto"/>
              <w:rPr>
                <w:rFonts w:hint="eastAsia" w:ascii="仿宋" w:hAnsi="仿宋" w:eastAsia="仿宋" w:cs="仿宋"/>
                <w:color w:val="auto"/>
                <w:sz w:val="24"/>
                <w:highlight w:val="none"/>
              </w:rPr>
            </w:pPr>
          </w:p>
        </w:tc>
      </w:tr>
      <w:tr w14:paraId="60A97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7725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4F11801">
            <w:pPr>
              <w:spacing w:line="360" w:lineRule="auto"/>
              <w:rPr>
                <w:rFonts w:hint="eastAsia" w:ascii="仿宋" w:hAnsi="仿宋" w:eastAsia="仿宋" w:cs="仿宋"/>
                <w:color w:val="auto"/>
                <w:sz w:val="24"/>
                <w:highlight w:val="none"/>
              </w:rPr>
            </w:pPr>
          </w:p>
        </w:tc>
      </w:tr>
      <w:tr w14:paraId="5B7CD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7FEC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E982141">
            <w:pPr>
              <w:spacing w:line="360" w:lineRule="auto"/>
              <w:rPr>
                <w:rFonts w:hint="eastAsia" w:ascii="仿宋" w:hAnsi="仿宋" w:eastAsia="仿宋" w:cs="仿宋"/>
                <w:color w:val="auto"/>
                <w:sz w:val="24"/>
                <w:highlight w:val="none"/>
              </w:rPr>
            </w:pPr>
          </w:p>
        </w:tc>
      </w:tr>
      <w:tr w14:paraId="3D9E3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F39B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319DB9B">
            <w:pPr>
              <w:spacing w:line="360" w:lineRule="auto"/>
              <w:rPr>
                <w:rFonts w:hint="eastAsia" w:ascii="仿宋" w:hAnsi="仿宋" w:eastAsia="仿宋" w:cs="仿宋"/>
                <w:color w:val="auto"/>
                <w:sz w:val="24"/>
                <w:highlight w:val="none"/>
              </w:rPr>
            </w:pPr>
          </w:p>
        </w:tc>
      </w:tr>
      <w:tr w14:paraId="5AED5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CE0A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64F3A97">
            <w:pPr>
              <w:spacing w:line="360" w:lineRule="auto"/>
              <w:rPr>
                <w:rFonts w:hint="eastAsia" w:ascii="仿宋" w:hAnsi="仿宋" w:eastAsia="仿宋" w:cs="仿宋"/>
                <w:color w:val="auto"/>
                <w:sz w:val="24"/>
                <w:highlight w:val="none"/>
              </w:rPr>
            </w:pPr>
          </w:p>
        </w:tc>
      </w:tr>
      <w:tr w14:paraId="36880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5D96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B7C87C0">
            <w:pPr>
              <w:spacing w:line="360" w:lineRule="auto"/>
              <w:rPr>
                <w:rFonts w:hint="eastAsia" w:ascii="仿宋" w:hAnsi="仿宋" w:eastAsia="仿宋" w:cs="仿宋"/>
                <w:color w:val="auto"/>
                <w:sz w:val="24"/>
                <w:highlight w:val="none"/>
              </w:rPr>
            </w:pPr>
          </w:p>
        </w:tc>
      </w:tr>
      <w:tr w14:paraId="578C2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2EAD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95A8545">
            <w:pPr>
              <w:spacing w:line="360" w:lineRule="auto"/>
              <w:rPr>
                <w:rFonts w:hint="eastAsia" w:ascii="仿宋" w:hAnsi="仿宋" w:eastAsia="仿宋" w:cs="仿宋"/>
                <w:color w:val="auto"/>
                <w:sz w:val="24"/>
                <w:highlight w:val="none"/>
              </w:rPr>
            </w:pPr>
          </w:p>
        </w:tc>
      </w:tr>
      <w:tr w14:paraId="6F496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D6C6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255B791">
            <w:pPr>
              <w:spacing w:line="360" w:lineRule="auto"/>
              <w:rPr>
                <w:rFonts w:hint="eastAsia" w:ascii="仿宋" w:hAnsi="仿宋" w:eastAsia="仿宋" w:cs="仿宋"/>
                <w:color w:val="auto"/>
                <w:sz w:val="24"/>
                <w:highlight w:val="none"/>
              </w:rPr>
            </w:pPr>
          </w:p>
        </w:tc>
      </w:tr>
      <w:tr w14:paraId="7118A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1458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1B9F0D27">
            <w:pPr>
              <w:spacing w:line="360" w:lineRule="auto"/>
              <w:rPr>
                <w:rFonts w:hint="eastAsia" w:ascii="仿宋" w:hAnsi="仿宋" w:eastAsia="仿宋" w:cs="仿宋"/>
                <w:color w:val="auto"/>
                <w:sz w:val="24"/>
                <w:highlight w:val="none"/>
              </w:rPr>
            </w:pPr>
          </w:p>
        </w:tc>
      </w:tr>
      <w:tr w14:paraId="07BEF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1ADD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4B41464">
            <w:pPr>
              <w:spacing w:line="360" w:lineRule="auto"/>
              <w:rPr>
                <w:rFonts w:hint="eastAsia" w:ascii="仿宋" w:hAnsi="仿宋" w:eastAsia="仿宋" w:cs="仿宋"/>
                <w:color w:val="auto"/>
                <w:sz w:val="24"/>
                <w:highlight w:val="none"/>
              </w:rPr>
            </w:pPr>
          </w:p>
        </w:tc>
      </w:tr>
      <w:tr w14:paraId="7DAAE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C9B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A3E684F">
            <w:pPr>
              <w:spacing w:line="360" w:lineRule="auto"/>
              <w:rPr>
                <w:rFonts w:hint="eastAsia" w:ascii="仿宋" w:hAnsi="仿宋" w:eastAsia="仿宋" w:cs="仿宋"/>
                <w:color w:val="auto"/>
                <w:sz w:val="24"/>
                <w:highlight w:val="none"/>
              </w:rPr>
            </w:pPr>
          </w:p>
        </w:tc>
      </w:tr>
      <w:tr w14:paraId="3B89E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EA45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FD2830D">
            <w:pPr>
              <w:spacing w:line="360" w:lineRule="auto"/>
              <w:rPr>
                <w:rFonts w:hint="eastAsia" w:ascii="仿宋" w:hAnsi="仿宋" w:eastAsia="仿宋" w:cs="仿宋"/>
                <w:color w:val="auto"/>
                <w:sz w:val="24"/>
                <w:highlight w:val="none"/>
              </w:rPr>
            </w:pPr>
          </w:p>
        </w:tc>
      </w:tr>
      <w:tr w14:paraId="6EEB7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E7E7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A9AE447">
            <w:pPr>
              <w:spacing w:line="360" w:lineRule="auto"/>
              <w:rPr>
                <w:rFonts w:hint="eastAsia" w:ascii="仿宋" w:hAnsi="仿宋" w:eastAsia="仿宋" w:cs="仿宋"/>
                <w:color w:val="auto"/>
                <w:sz w:val="24"/>
                <w:highlight w:val="none"/>
              </w:rPr>
            </w:pPr>
          </w:p>
        </w:tc>
      </w:tr>
      <w:tr w14:paraId="42E83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F0AC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8ECE0BC">
            <w:pPr>
              <w:spacing w:line="360" w:lineRule="auto"/>
              <w:rPr>
                <w:rFonts w:hint="eastAsia" w:ascii="仿宋" w:hAnsi="仿宋" w:eastAsia="仿宋" w:cs="仿宋"/>
                <w:color w:val="auto"/>
                <w:sz w:val="24"/>
                <w:highlight w:val="none"/>
              </w:rPr>
            </w:pPr>
          </w:p>
        </w:tc>
      </w:tr>
      <w:tr w14:paraId="7B2E0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8BDB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C4F8528">
            <w:pPr>
              <w:spacing w:line="360" w:lineRule="auto"/>
              <w:rPr>
                <w:rFonts w:hint="eastAsia" w:ascii="仿宋" w:hAnsi="仿宋" w:eastAsia="仿宋" w:cs="仿宋"/>
                <w:color w:val="auto"/>
                <w:sz w:val="24"/>
                <w:highlight w:val="none"/>
              </w:rPr>
            </w:pPr>
          </w:p>
        </w:tc>
      </w:tr>
      <w:tr w14:paraId="7369D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1FC7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39BE84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B84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C7AA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8B6194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5229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D241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A4CD847">
            <w:pPr>
              <w:spacing w:line="360" w:lineRule="auto"/>
              <w:rPr>
                <w:rFonts w:hint="eastAsia" w:ascii="仿宋" w:hAnsi="仿宋" w:eastAsia="仿宋" w:cs="仿宋"/>
                <w:color w:val="auto"/>
                <w:sz w:val="24"/>
                <w:highlight w:val="none"/>
              </w:rPr>
            </w:pPr>
          </w:p>
        </w:tc>
      </w:tr>
      <w:tr w14:paraId="5BD8C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42D7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04C9F6A">
            <w:pPr>
              <w:spacing w:line="360" w:lineRule="auto"/>
              <w:rPr>
                <w:rFonts w:hint="eastAsia" w:ascii="仿宋" w:hAnsi="仿宋" w:eastAsia="仿宋" w:cs="仿宋"/>
                <w:color w:val="auto"/>
                <w:sz w:val="24"/>
                <w:highlight w:val="none"/>
              </w:rPr>
            </w:pPr>
          </w:p>
        </w:tc>
      </w:tr>
      <w:tr w14:paraId="4B890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3252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FA0FA38">
            <w:pPr>
              <w:spacing w:line="360" w:lineRule="auto"/>
              <w:rPr>
                <w:rFonts w:hint="eastAsia" w:ascii="仿宋" w:hAnsi="仿宋" w:eastAsia="仿宋" w:cs="仿宋"/>
                <w:color w:val="auto"/>
                <w:sz w:val="24"/>
                <w:highlight w:val="none"/>
              </w:rPr>
            </w:pPr>
          </w:p>
        </w:tc>
      </w:tr>
      <w:tr w14:paraId="166E4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659A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7628DC0">
            <w:pPr>
              <w:spacing w:line="360" w:lineRule="auto"/>
              <w:rPr>
                <w:rFonts w:hint="eastAsia" w:ascii="仿宋" w:hAnsi="仿宋" w:eastAsia="仿宋" w:cs="仿宋"/>
                <w:color w:val="auto"/>
                <w:sz w:val="24"/>
                <w:highlight w:val="none"/>
              </w:rPr>
            </w:pPr>
          </w:p>
        </w:tc>
      </w:tr>
      <w:tr w14:paraId="6BF96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7E5CC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FD508EF">
            <w:pPr>
              <w:spacing w:line="360" w:lineRule="auto"/>
              <w:rPr>
                <w:rFonts w:hint="eastAsia" w:ascii="仿宋" w:hAnsi="仿宋" w:eastAsia="仿宋" w:cs="仿宋"/>
                <w:color w:val="auto"/>
                <w:sz w:val="24"/>
                <w:highlight w:val="none"/>
              </w:rPr>
            </w:pPr>
          </w:p>
        </w:tc>
      </w:tr>
    </w:tbl>
    <w:p w14:paraId="4EB3D325">
      <w:pPr>
        <w:spacing w:line="360" w:lineRule="auto"/>
        <w:ind w:left="-420" w:leftChars="-200" w:right="-420" w:rightChars="-200" w:firstLine="480" w:firstLineChars="200"/>
        <w:rPr>
          <w:rFonts w:hint="eastAsia" w:ascii="仿宋" w:hAnsi="仿宋" w:eastAsia="仿宋" w:cs="仿宋"/>
          <w:color w:val="auto"/>
          <w:sz w:val="24"/>
          <w:highlight w:val="none"/>
        </w:rPr>
      </w:pPr>
    </w:p>
    <w:p w14:paraId="7826208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E2B42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CC266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86AB0A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461C9C">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D5B6B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958198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38ED3B3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_GB2312"/>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r>
        <w:rPr>
          <w:rFonts w:hint="eastAsia" w:ascii="仿宋" w:hAnsi="仿宋" w:eastAsia="仿宋" w:cs="仿宋"/>
          <w:color w:val="auto"/>
          <w:sz w:val="20"/>
          <w:szCs w:val="20"/>
          <w:highlight w:val="none"/>
          <w:shd w:val="clear" w:color="auto" w:fill="FFFFFF"/>
        </w:rPr>
        <w:t> </w:t>
      </w:r>
    </w:p>
    <w:tbl>
      <w:tblPr>
        <w:tblStyle w:val="63"/>
        <w:tblW w:w="45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6474"/>
        <w:gridCol w:w="832"/>
      </w:tblGrid>
      <w:tr w14:paraId="7E3D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02" w:type="pct"/>
            <w:vAlign w:val="center"/>
          </w:tcPr>
          <w:p w14:paraId="294D28DD">
            <w:pPr>
              <w:jc w:val="center"/>
              <w:rPr>
                <w:rFonts w:hint="eastAsia" w:ascii="宋体" w:hAnsi="宋体" w:eastAsia="宋体" w:cs="Times New Roman"/>
                <w:b/>
                <w:color w:val="auto"/>
                <w:highlight w:val="none"/>
              </w:rPr>
            </w:pPr>
            <w:bookmarkStart w:id="181" w:name="_Hlk198714799"/>
            <w:r>
              <w:rPr>
                <w:rFonts w:hint="eastAsia" w:ascii="宋体" w:hAnsi="宋体" w:eastAsia="宋体" w:cs="Times New Roman"/>
                <w:b/>
                <w:color w:val="auto"/>
                <w:highlight w:val="none"/>
              </w:rPr>
              <w:t>序号</w:t>
            </w:r>
          </w:p>
        </w:tc>
        <w:tc>
          <w:tcPr>
            <w:tcW w:w="3807" w:type="pct"/>
            <w:vAlign w:val="center"/>
          </w:tcPr>
          <w:p w14:paraId="05E4E9B1">
            <w:pPr>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评分标准</w:t>
            </w:r>
          </w:p>
        </w:tc>
        <w:tc>
          <w:tcPr>
            <w:tcW w:w="489" w:type="pct"/>
            <w:vAlign w:val="center"/>
          </w:tcPr>
          <w:p w14:paraId="6AD234E6">
            <w:pPr>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分数</w:t>
            </w:r>
          </w:p>
        </w:tc>
      </w:tr>
      <w:tr w14:paraId="09BD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02" w:type="pct"/>
            <w:vAlign w:val="center"/>
          </w:tcPr>
          <w:p w14:paraId="293CB23D">
            <w:pPr>
              <w:jc w:val="center"/>
              <w:rPr>
                <w:rFonts w:hint="eastAsia" w:ascii="宋体" w:hAnsi="宋体" w:eastAsia="宋体" w:cs="Times New Roman"/>
                <w:b/>
                <w:color w:val="auto"/>
                <w:highlight w:val="none"/>
              </w:rPr>
            </w:pPr>
            <w:r>
              <w:rPr>
                <w:rFonts w:hint="eastAsia" w:ascii="宋体" w:hAnsi="宋体" w:eastAsia="宋体" w:cs="Times New Roman"/>
                <w:bCs/>
                <w:color w:val="auto"/>
                <w:highlight w:val="none"/>
              </w:rPr>
              <w:t>1</w:t>
            </w:r>
          </w:p>
        </w:tc>
        <w:tc>
          <w:tcPr>
            <w:tcW w:w="3807" w:type="pct"/>
            <w:vAlign w:val="center"/>
          </w:tcPr>
          <w:p w14:paraId="6441BE54">
            <w:pPr>
              <w:rPr>
                <w:rFonts w:hint="eastAsia" w:ascii="宋体" w:hAnsi="宋体" w:eastAsia="宋体" w:cs="Times New Roman"/>
                <w:b/>
                <w:color w:val="auto"/>
                <w:highlight w:val="none"/>
              </w:rPr>
            </w:pPr>
            <w:r>
              <w:rPr>
                <w:rFonts w:hint="eastAsia" w:ascii="宋体" w:hAnsi="宋体" w:eastAsia="宋体" w:cs="Times New Roman"/>
                <w:color w:val="auto"/>
                <w:highlight w:val="none"/>
              </w:rPr>
              <w:t>投标人提供自2022年1月1日（以签订合同时间为准）承接过类似项目业绩，每提供一份有效业绩得0.75分，最多得1.5分。</w:t>
            </w:r>
          </w:p>
        </w:tc>
        <w:tc>
          <w:tcPr>
            <w:tcW w:w="489" w:type="pct"/>
            <w:vAlign w:val="center"/>
          </w:tcPr>
          <w:p w14:paraId="169BE52A">
            <w:pPr>
              <w:jc w:val="center"/>
              <w:rPr>
                <w:rFonts w:hint="eastAsia" w:ascii="宋体" w:hAnsi="宋体" w:eastAsia="宋体" w:cs="Times New Roman"/>
                <w:b/>
                <w:color w:val="auto"/>
                <w:highlight w:val="none"/>
              </w:rPr>
            </w:pPr>
            <w:r>
              <w:rPr>
                <w:rFonts w:hint="eastAsia" w:ascii="宋体" w:hAnsi="宋体" w:eastAsia="宋体" w:cs="Times New Roman"/>
                <w:color w:val="auto"/>
                <w:highlight w:val="none"/>
              </w:rPr>
              <w:t>1.5</w:t>
            </w:r>
          </w:p>
        </w:tc>
      </w:tr>
      <w:tr w14:paraId="01FC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02" w:type="pct"/>
            <w:vAlign w:val="center"/>
          </w:tcPr>
          <w:p w14:paraId="6B2921F8">
            <w:pPr>
              <w:jc w:val="center"/>
              <w:rPr>
                <w:rFonts w:hint="eastAsia" w:ascii="宋体" w:hAnsi="宋体" w:eastAsia="宋体" w:cs="Times New Roman"/>
                <w:bCs/>
                <w:color w:val="auto"/>
                <w:highlight w:val="none"/>
                <w:lang w:eastAsia="zh-CN"/>
              </w:rPr>
            </w:pPr>
            <w:r>
              <w:rPr>
                <w:rFonts w:hint="eastAsia" w:ascii="宋体" w:hAnsi="宋体" w:cs="Times New Roman"/>
                <w:bCs/>
                <w:color w:val="auto"/>
                <w:highlight w:val="none"/>
                <w:lang w:val="en-US" w:eastAsia="zh-CN"/>
              </w:rPr>
              <w:t>2</w:t>
            </w:r>
          </w:p>
        </w:tc>
        <w:tc>
          <w:tcPr>
            <w:tcW w:w="3807" w:type="pct"/>
            <w:vAlign w:val="center"/>
          </w:tcPr>
          <w:p w14:paraId="259BF8BE">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具有与本次建设内容相关的软件著作权证书：元数据管理类系统、门诊医生站类系统、住院医生站类系统、妇幼专科类系统、集成平台类系统，每提供一种得1分，最高得5分，软件著作权证书必须是投标人自有且在招标公告发布前获得，复印件加盖投标人公章。</w:t>
            </w:r>
          </w:p>
        </w:tc>
        <w:tc>
          <w:tcPr>
            <w:tcW w:w="489" w:type="pct"/>
            <w:vAlign w:val="center"/>
          </w:tcPr>
          <w:p w14:paraId="263331FE">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5</w:t>
            </w:r>
          </w:p>
        </w:tc>
      </w:tr>
      <w:tr w14:paraId="0EF6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Align w:val="center"/>
          </w:tcPr>
          <w:p w14:paraId="587C81F7">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3</w:t>
            </w:r>
          </w:p>
        </w:tc>
        <w:tc>
          <w:tcPr>
            <w:tcW w:w="3807" w:type="pct"/>
            <w:vAlign w:val="center"/>
          </w:tcPr>
          <w:p w14:paraId="71C444CA">
            <w:pPr>
              <w:rPr>
                <w:rFonts w:hint="eastAsia" w:ascii="宋体" w:hAnsi="宋体" w:eastAsia="宋体" w:cs="Times New Roman"/>
                <w:color w:val="auto"/>
                <w:highlight w:val="none"/>
              </w:rPr>
            </w:pPr>
            <w:r>
              <w:rPr>
                <w:rFonts w:hint="eastAsia" w:ascii="宋体" w:hAnsi="宋体" w:eastAsia="宋体" w:cs="Times New Roman"/>
                <w:color w:val="auto"/>
                <w:highlight w:val="none"/>
              </w:rPr>
              <w:t>完全满足招标文件技术要求得</w:t>
            </w:r>
            <w:r>
              <w:rPr>
                <w:rFonts w:hint="eastAsia" w:ascii="宋体" w:hAnsi="宋体" w:eastAsia="宋体" w:cs="Times New Roman"/>
                <w:color w:val="auto"/>
                <w:highlight w:val="none"/>
              </w:rPr>
              <w:t>1</w:t>
            </w:r>
            <w:r>
              <w:rPr>
                <w:rFonts w:hint="eastAsia" w:ascii="宋体" w:hAnsi="宋体" w:cs="Times New Roman"/>
                <w:color w:val="auto"/>
                <w:highlight w:val="none"/>
                <w:lang w:val="en-US" w:eastAsia="zh-CN"/>
              </w:rPr>
              <w:t>7</w:t>
            </w:r>
            <w:r>
              <w:rPr>
                <w:rFonts w:hint="eastAsia" w:ascii="宋体" w:hAnsi="宋体" w:eastAsia="宋体" w:cs="Times New Roman"/>
                <w:color w:val="auto"/>
                <w:highlight w:val="none"/>
              </w:rPr>
              <w:t>分</w:t>
            </w:r>
            <w:r>
              <w:rPr>
                <w:rFonts w:hint="eastAsia" w:ascii="宋体" w:hAnsi="宋体" w:eastAsia="宋体" w:cs="Times New Roman"/>
                <w:color w:val="auto"/>
                <w:highlight w:val="none"/>
              </w:rPr>
              <w:t>（不包含演示内容），每有一项负偏离扣1分，负偏离</w:t>
            </w:r>
            <w:r>
              <w:rPr>
                <w:rFonts w:hint="eastAsia" w:ascii="宋体" w:hAnsi="宋体" w:cs="Times New Roman"/>
                <w:color w:val="auto"/>
                <w:highlight w:val="none"/>
                <w:lang w:val="en-US" w:eastAsia="zh-CN"/>
              </w:rPr>
              <w:t>17</w:t>
            </w:r>
            <w:r>
              <w:rPr>
                <w:rFonts w:hint="eastAsia" w:ascii="宋体" w:hAnsi="宋体" w:eastAsia="宋体" w:cs="Times New Roman"/>
                <w:color w:val="auto"/>
                <w:highlight w:val="none"/>
              </w:rPr>
              <w:t>项及以上的，视为采购人不能接受的附件条件（涉及到需提供相关证明材料的内容，需提供相应的证明材料，不提供视为不响应）。非量化类的，若是功能一样，表述方式不一样则为符合。</w:t>
            </w:r>
          </w:p>
        </w:tc>
        <w:tc>
          <w:tcPr>
            <w:tcW w:w="489" w:type="pct"/>
            <w:vAlign w:val="center"/>
          </w:tcPr>
          <w:p w14:paraId="1DC8509B">
            <w:pPr>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w:t>
            </w:r>
            <w:r>
              <w:rPr>
                <w:rFonts w:hint="eastAsia" w:ascii="宋体" w:hAnsi="宋体" w:cs="Times New Roman"/>
                <w:color w:val="auto"/>
                <w:highlight w:val="none"/>
                <w:lang w:val="en-US" w:eastAsia="zh-CN"/>
              </w:rPr>
              <w:t>7</w:t>
            </w:r>
          </w:p>
        </w:tc>
      </w:tr>
      <w:tr w14:paraId="077F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702" w:type="pct"/>
            <w:vMerge w:val="restart"/>
            <w:vAlign w:val="center"/>
          </w:tcPr>
          <w:p w14:paraId="679CAEC8">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4</w:t>
            </w:r>
          </w:p>
        </w:tc>
        <w:tc>
          <w:tcPr>
            <w:tcW w:w="3807" w:type="pct"/>
            <w:vAlign w:val="center"/>
          </w:tcPr>
          <w:p w14:paraId="32E481A8">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投标人的急诊信息系统软件评测报告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急诊病人就诊、留观抢救、急诊退药、模板管理、急诊预检分诊、突发事件批量登记、过敏药物警示这些功能，满足5项及以上功能得1.5分，满足3-4项功能得0.5分，3项以下不得分，不提供不得分。提供国家权威机构出具的完整软件评测报告复印件加盖投标人公章，软件评测报告需投标人自有且招标公告发布前获得。</w:t>
            </w:r>
          </w:p>
        </w:tc>
        <w:tc>
          <w:tcPr>
            <w:tcW w:w="489" w:type="pct"/>
            <w:vAlign w:val="center"/>
          </w:tcPr>
          <w:p w14:paraId="2B43D38B">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40D1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2F6F1938">
            <w:pPr>
              <w:jc w:val="center"/>
              <w:rPr>
                <w:rFonts w:hint="eastAsia" w:ascii="宋体" w:hAnsi="宋体" w:eastAsia="宋体" w:cs="Times New Roman"/>
                <w:color w:val="auto"/>
                <w:highlight w:val="none"/>
              </w:rPr>
            </w:pPr>
          </w:p>
        </w:tc>
        <w:tc>
          <w:tcPr>
            <w:tcW w:w="3807" w:type="pct"/>
            <w:vAlign w:val="center"/>
          </w:tcPr>
          <w:p w14:paraId="32EB6237">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投标人的药事管理</w:t>
            </w:r>
            <w:r>
              <w:rPr>
                <w:rFonts w:hint="eastAsia" w:ascii="宋体" w:hAnsi="宋体" w:cs="Times New Roman"/>
                <w:color w:val="auto"/>
                <w:highlight w:val="none"/>
                <w:lang w:val="en-US" w:eastAsia="zh-CN"/>
              </w:rPr>
              <w:t>系统</w:t>
            </w:r>
            <w:r>
              <w:rPr>
                <w:rFonts w:hint="eastAsia" w:ascii="宋体" w:hAnsi="宋体" w:eastAsia="宋体" w:cs="Times New Roman"/>
                <w:color w:val="auto"/>
                <w:highlight w:val="none"/>
              </w:rPr>
              <w:t>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具有：药品字典的设定、药品入出库、库存盘点、处方审核、药品调价、统计报表、中药代煎药这些功能，满足5</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3-4</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3</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33DF4BC2">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6528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6949C42E">
            <w:pPr>
              <w:jc w:val="center"/>
              <w:rPr>
                <w:rFonts w:hint="eastAsia" w:ascii="宋体" w:hAnsi="宋体" w:eastAsia="宋体" w:cs="Times New Roman"/>
                <w:color w:val="auto"/>
                <w:highlight w:val="none"/>
              </w:rPr>
            </w:pPr>
          </w:p>
        </w:tc>
        <w:tc>
          <w:tcPr>
            <w:tcW w:w="3807" w:type="pct"/>
            <w:vAlign w:val="center"/>
          </w:tcPr>
          <w:p w14:paraId="4B5B3EB1">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投标人的基础业务平台软件评测报告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具有：用户管理、参数管理、字典管理、日志管理、工作站配置、注册授权这些功能，满足4</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2-3</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2</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280E992E">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6324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7F656770">
            <w:pPr>
              <w:jc w:val="center"/>
              <w:rPr>
                <w:rFonts w:hint="eastAsia" w:ascii="宋体" w:hAnsi="宋体" w:eastAsia="宋体" w:cs="Times New Roman"/>
                <w:color w:val="auto"/>
                <w:highlight w:val="none"/>
              </w:rPr>
            </w:pPr>
          </w:p>
        </w:tc>
        <w:tc>
          <w:tcPr>
            <w:tcW w:w="3807" w:type="pct"/>
            <w:vAlign w:val="center"/>
          </w:tcPr>
          <w:p w14:paraId="1758204F">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投标人的住院业务系统软件评测报告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具有：病区患者列表、病人文书、医嘱费用管理、会诊管理、护理任务、预交金收退、模糊检索这些功能，满足5</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3-4</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3</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6C1E747C">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1DCC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02A5C137">
            <w:pPr>
              <w:jc w:val="center"/>
              <w:rPr>
                <w:rFonts w:hint="eastAsia" w:ascii="宋体" w:hAnsi="宋体" w:eastAsia="宋体" w:cs="Times New Roman"/>
                <w:color w:val="auto"/>
                <w:highlight w:val="none"/>
              </w:rPr>
            </w:pPr>
          </w:p>
        </w:tc>
        <w:tc>
          <w:tcPr>
            <w:tcW w:w="3807" w:type="pct"/>
            <w:vAlign w:val="center"/>
          </w:tcPr>
          <w:p w14:paraId="1CB8347D">
            <w:pPr>
              <w:rPr>
                <w:rFonts w:hint="eastAsia" w:ascii="宋体" w:hAnsi="宋体" w:eastAsia="宋体" w:cs="Times New Roman"/>
                <w:color w:val="auto"/>
                <w:highlight w:val="none"/>
              </w:rPr>
            </w:pPr>
            <w:r>
              <w:rPr>
                <w:rFonts w:hint="eastAsia" w:ascii="宋体" w:hAnsi="宋体" w:eastAsia="宋体" w:cs="Times New Roman"/>
                <w:color w:val="auto"/>
                <w:highlight w:val="none"/>
              </w:rPr>
              <w:t>投标人的门诊收费系统软件评测报告</w:t>
            </w:r>
            <w:r>
              <w:rPr>
                <w:rFonts w:hint="eastAsia" w:ascii="宋体" w:hAnsi="宋体" w:cs="Times New Roman"/>
                <w:color w:val="auto"/>
                <w:highlight w:val="none"/>
                <w:lang w:val="en-US" w:eastAsia="zh-CN"/>
              </w:rPr>
              <w:t>中</w:t>
            </w:r>
            <w:r>
              <w:rPr>
                <w:rFonts w:hint="eastAsia" w:ascii="宋体" w:hAnsi="宋体" w:eastAsia="宋体" w:cs="Times New Roman"/>
                <w:color w:val="auto"/>
                <w:highlight w:val="none"/>
              </w:rPr>
              <w:t>具有：收费、收据查询、退费、院前急救收费、批量调价、周期结帐这些功能，满足4</w:t>
            </w:r>
            <w:r>
              <w:rPr>
                <w:rFonts w:ascii="宋体" w:hAnsi="宋体" w:eastAsia="宋体" w:cs="Times New Roman"/>
                <w:color w:val="auto"/>
                <w:highlight w:val="none"/>
              </w:rPr>
              <w:t>项及以上功能</w:t>
            </w:r>
            <w:r>
              <w:rPr>
                <w:rFonts w:hint="eastAsia" w:ascii="宋体" w:hAnsi="宋体" w:eastAsia="宋体" w:cs="Times New Roman"/>
                <w:color w:val="auto"/>
                <w:highlight w:val="none"/>
              </w:rPr>
              <w:t>得1.5</w:t>
            </w:r>
            <w:r>
              <w:rPr>
                <w:rFonts w:ascii="宋体" w:hAnsi="宋体" w:eastAsia="宋体" w:cs="Times New Roman"/>
                <w:color w:val="auto"/>
                <w:highlight w:val="none"/>
              </w:rPr>
              <w:t>分，满足</w:t>
            </w:r>
            <w:r>
              <w:rPr>
                <w:rFonts w:hint="eastAsia" w:ascii="宋体" w:hAnsi="宋体" w:eastAsia="宋体" w:cs="Times New Roman"/>
                <w:color w:val="auto"/>
                <w:highlight w:val="none"/>
              </w:rPr>
              <w:t>2-3</w:t>
            </w:r>
            <w:r>
              <w:rPr>
                <w:rFonts w:ascii="宋体" w:hAnsi="宋体" w:eastAsia="宋体" w:cs="Times New Roman"/>
                <w:color w:val="auto"/>
                <w:highlight w:val="none"/>
              </w:rPr>
              <w:t>项功能得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eastAsia="宋体" w:cs="Times New Roman"/>
                <w:color w:val="auto"/>
                <w:highlight w:val="none"/>
              </w:rPr>
              <w:t>2</w:t>
            </w:r>
            <w:r>
              <w:rPr>
                <w:rFonts w:ascii="宋体" w:hAnsi="宋体" w:eastAsia="宋体" w:cs="Times New Roman"/>
                <w:color w:val="auto"/>
                <w:highlight w:val="none"/>
              </w:rPr>
              <w:t>项</w:t>
            </w:r>
            <w:r>
              <w:rPr>
                <w:rFonts w:hint="eastAsia" w:ascii="宋体" w:hAnsi="宋体" w:eastAsia="宋体" w:cs="Times New Roman"/>
                <w:color w:val="auto"/>
                <w:highlight w:val="none"/>
              </w:rPr>
              <w:t>以下不得分，不提供不得分，提供国家权威机构出具的完整软件评测报告复印件加盖投标人公章，软件评测报告需投标人自有且招标公告发布前获得。</w:t>
            </w:r>
          </w:p>
        </w:tc>
        <w:tc>
          <w:tcPr>
            <w:tcW w:w="489" w:type="pct"/>
            <w:vAlign w:val="center"/>
          </w:tcPr>
          <w:p w14:paraId="5EFA2495">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1.5</w:t>
            </w:r>
          </w:p>
        </w:tc>
      </w:tr>
      <w:tr w14:paraId="5BD1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702" w:type="pct"/>
            <w:vMerge w:val="continue"/>
            <w:vAlign w:val="center"/>
          </w:tcPr>
          <w:p w14:paraId="48630F33">
            <w:pPr>
              <w:jc w:val="center"/>
              <w:rPr>
                <w:rFonts w:hint="eastAsia" w:ascii="宋体" w:hAnsi="宋体" w:eastAsia="宋体" w:cs="Times New Roman"/>
                <w:color w:val="auto"/>
                <w:highlight w:val="none"/>
              </w:rPr>
            </w:pPr>
          </w:p>
        </w:tc>
        <w:tc>
          <w:tcPr>
            <w:tcW w:w="3807" w:type="pct"/>
            <w:vAlign w:val="center"/>
          </w:tcPr>
          <w:p w14:paraId="1981457C">
            <w:pPr>
              <w:rPr>
                <w:rFonts w:hint="eastAsia" w:ascii="宋体" w:hAnsi="宋体" w:eastAsia="宋体" w:cs="Times New Roman"/>
                <w:color w:val="auto"/>
                <w:highlight w:val="none"/>
              </w:rPr>
            </w:pPr>
            <w:r>
              <w:rPr>
                <w:rFonts w:hint="eastAsia" w:ascii="宋体" w:hAnsi="宋体" w:eastAsia="宋体" w:cs="Times New Roman"/>
                <w:color w:val="auto"/>
                <w:highlight w:val="none"/>
              </w:rPr>
              <w:t>为保障医院医疗数据的安全，杜绝患者医疗数据泄露，投标人的医院信息系统（HIS）和集成平台系统需具备较好的防渗透能力。</w:t>
            </w:r>
          </w:p>
          <w:p w14:paraId="529E9562">
            <w:pPr>
              <w:rPr>
                <w:rFonts w:hint="eastAsia" w:ascii="宋体" w:hAnsi="宋体" w:eastAsia="宋体" w:cs="Times New Roman"/>
                <w:color w:val="auto"/>
                <w:highlight w:val="none"/>
              </w:rPr>
            </w:pPr>
            <w:r>
              <w:rPr>
                <w:rFonts w:hint="eastAsia" w:ascii="宋体" w:hAnsi="宋体" w:eastAsia="宋体" w:cs="Times New Roman"/>
                <w:color w:val="auto"/>
                <w:highlight w:val="none"/>
              </w:rPr>
              <w:t>1、投标人的HIS系统经过第三方评测机构出具的渗透测试报告，测试点包含：诊间预约、退药、病历检索、系统维护、系统授权、医生排班、医嘱管理、临床护理这些功能点，全部满足得2分，部分满足得0.5分，不提供不得分，提供完整渗透测试报告复印件加盖投标人公章。</w:t>
            </w:r>
          </w:p>
          <w:p w14:paraId="3C037A77">
            <w:pPr>
              <w:rPr>
                <w:rFonts w:ascii="Calibri" w:hAnsi="Calibri" w:eastAsia="宋体" w:cs="Times New Roman"/>
                <w:color w:val="auto"/>
                <w:highlight w:val="none"/>
              </w:rPr>
            </w:pPr>
            <w:r>
              <w:rPr>
                <w:rFonts w:hint="eastAsia" w:ascii="宋体" w:hAnsi="宋体" w:eastAsia="宋体" w:cs="Times New Roman"/>
                <w:color w:val="auto"/>
                <w:highlight w:val="none"/>
              </w:rPr>
              <w:t>2、</w:t>
            </w:r>
            <w:r>
              <w:rPr>
                <w:rFonts w:ascii="宋体" w:hAnsi="宋体" w:eastAsia="宋体" w:cs="Times New Roman"/>
                <w:color w:val="auto"/>
                <w:highlight w:val="none"/>
              </w:rPr>
              <w:t>投标人</w:t>
            </w:r>
            <w:r>
              <w:rPr>
                <w:rFonts w:hint="eastAsia" w:ascii="宋体" w:hAnsi="宋体" w:eastAsia="宋体" w:cs="Times New Roman"/>
                <w:color w:val="auto"/>
                <w:highlight w:val="none"/>
              </w:rPr>
              <w:t>的集成平台</w:t>
            </w:r>
            <w:r>
              <w:rPr>
                <w:rFonts w:ascii="宋体" w:hAnsi="宋体" w:eastAsia="宋体" w:cs="Times New Roman"/>
                <w:color w:val="auto"/>
                <w:highlight w:val="none"/>
              </w:rPr>
              <w:t>系统经过第三方</w:t>
            </w:r>
            <w:r>
              <w:rPr>
                <w:rFonts w:hint="eastAsia" w:ascii="宋体" w:hAnsi="宋体" w:eastAsia="宋体" w:cs="Times New Roman"/>
                <w:color w:val="auto"/>
                <w:highlight w:val="none"/>
              </w:rPr>
              <w:t>评测机构出具的渗透测试报告，测试点包含：就诊、诊断、检查、检验、护理、用户设置这些功能点，全部满足得1</w:t>
            </w:r>
            <w:r>
              <w:rPr>
                <w:rFonts w:ascii="宋体" w:hAnsi="宋体" w:eastAsia="宋体" w:cs="Times New Roman"/>
                <w:color w:val="auto"/>
                <w:highlight w:val="none"/>
              </w:rPr>
              <w:t>分，部分满足得</w:t>
            </w:r>
            <w:r>
              <w:rPr>
                <w:rFonts w:hint="eastAsia" w:ascii="宋体" w:hAnsi="宋体" w:eastAsia="宋体" w:cs="Times New Roman"/>
                <w:color w:val="auto"/>
                <w:highlight w:val="none"/>
              </w:rPr>
              <w:t>0.3</w:t>
            </w:r>
            <w:r>
              <w:rPr>
                <w:rFonts w:ascii="宋体" w:hAnsi="宋体" w:eastAsia="宋体" w:cs="Times New Roman"/>
                <w:color w:val="auto"/>
                <w:highlight w:val="none"/>
              </w:rPr>
              <w:t>分，</w:t>
            </w:r>
            <w:r>
              <w:rPr>
                <w:rFonts w:hint="eastAsia" w:ascii="宋体" w:hAnsi="宋体" w:eastAsia="宋体" w:cs="Times New Roman"/>
                <w:color w:val="auto"/>
                <w:highlight w:val="none"/>
              </w:rPr>
              <w:t>不提供不得分，提供完整渗透测试报告复印件加盖投标人公章。</w:t>
            </w:r>
          </w:p>
        </w:tc>
        <w:tc>
          <w:tcPr>
            <w:tcW w:w="489" w:type="pct"/>
            <w:vAlign w:val="center"/>
          </w:tcPr>
          <w:p w14:paraId="5E0AF708">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3</w:t>
            </w:r>
          </w:p>
        </w:tc>
      </w:tr>
      <w:tr w14:paraId="003C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4314CD63">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c>
          <w:tcPr>
            <w:tcW w:w="3807" w:type="pct"/>
            <w:vAlign w:val="center"/>
          </w:tcPr>
          <w:p w14:paraId="5733F4BF">
            <w:pPr>
              <w:rPr>
                <w:rFonts w:hint="eastAsia" w:ascii="宋体" w:hAnsi="宋体" w:eastAsia="宋体" w:cs="Times New Roman"/>
                <w:color w:val="auto"/>
                <w:highlight w:val="none"/>
              </w:rPr>
            </w:pPr>
            <w:r>
              <w:rPr>
                <w:rFonts w:hint="eastAsia" w:ascii="宋体" w:hAnsi="宋体" w:eastAsia="宋体" w:cs="Times New Roman"/>
                <w:color w:val="auto"/>
                <w:highlight w:val="none"/>
              </w:rPr>
              <w:t>评审专家根据投标人针对本项目给出的技术设计方案进行打分，内容至少包括：技术路线、架构设计、业务流程设计等。</w:t>
            </w:r>
          </w:p>
          <w:p w14:paraId="4D3EC082">
            <w:pPr>
              <w:rPr>
                <w:rFonts w:hint="eastAsia" w:ascii="宋体" w:hAnsi="宋体" w:eastAsia="宋体" w:cs="Times New Roman"/>
                <w:color w:val="auto"/>
                <w:highlight w:val="none"/>
              </w:rPr>
            </w:pPr>
            <w:r>
              <w:rPr>
                <w:rFonts w:hint="eastAsia" w:ascii="宋体" w:hAnsi="宋体" w:eastAsia="宋体" w:cs="Times New Roman"/>
                <w:color w:val="auto"/>
                <w:highlight w:val="none"/>
              </w:rPr>
              <w:t>1、技术路线描述合理，可行性强得2分；技术路线描述较合理，有一定的可行性得1分；技术路线描述简单得0.5分；不提供不得分。</w:t>
            </w:r>
          </w:p>
          <w:p w14:paraId="12F2596A">
            <w:pPr>
              <w:rPr>
                <w:rFonts w:hint="eastAsia" w:ascii="宋体" w:hAnsi="宋体" w:eastAsia="宋体" w:cs="Times New Roman"/>
                <w:color w:val="auto"/>
                <w:highlight w:val="none"/>
              </w:rPr>
            </w:pPr>
            <w:r>
              <w:rPr>
                <w:rFonts w:hint="eastAsia" w:ascii="宋体" w:hAnsi="宋体" w:cs="Times New Roman"/>
                <w:color w:val="auto"/>
                <w:highlight w:val="none"/>
                <w:lang w:val="en-US" w:eastAsia="zh-CN"/>
              </w:rPr>
              <w:t>2、</w:t>
            </w:r>
            <w:r>
              <w:rPr>
                <w:rFonts w:hint="eastAsia" w:ascii="宋体" w:hAnsi="宋体" w:eastAsia="宋体" w:cs="Times New Roman"/>
                <w:color w:val="auto"/>
                <w:highlight w:val="none"/>
              </w:rPr>
              <w:t>架构设计合理可行，可扩展性强得2分；架构设计较合理，有一定的可扩展性得1分；架构设计简单得0.5分；不提供不得分。</w:t>
            </w:r>
          </w:p>
          <w:p w14:paraId="58EDC923">
            <w:pPr>
              <w:rPr>
                <w:rFonts w:hint="eastAsia" w:ascii="宋体" w:hAnsi="宋体" w:eastAsia="宋体" w:cs="Times New Roman"/>
                <w:color w:val="auto"/>
                <w:highlight w:val="none"/>
              </w:rPr>
            </w:pPr>
            <w:r>
              <w:rPr>
                <w:rFonts w:hint="eastAsia" w:ascii="宋体" w:hAnsi="宋体" w:eastAsia="宋体" w:cs="Times New Roman"/>
                <w:color w:val="auto"/>
                <w:highlight w:val="none"/>
              </w:rPr>
              <w:t>3、业务流程设计科学合理，实效性强得2</w:t>
            </w:r>
            <w:r>
              <w:rPr>
                <w:rFonts w:ascii="宋体" w:hAnsi="宋体" w:eastAsia="宋体" w:cs="Times New Roman"/>
                <w:color w:val="auto"/>
                <w:highlight w:val="none"/>
              </w:rPr>
              <w:t>分；业务流程设计</w:t>
            </w:r>
            <w:r>
              <w:rPr>
                <w:rFonts w:hint="eastAsia" w:ascii="宋体" w:hAnsi="宋体" w:eastAsia="宋体" w:cs="Times New Roman"/>
                <w:color w:val="auto"/>
                <w:highlight w:val="none"/>
              </w:rPr>
              <w:t>较合理，有一定的实效性得1</w:t>
            </w:r>
            <w:r>
              <w:rPr>
                <w:rFonts w:ascii="宋体" w:hAnsi="宋体" w:eastAsia="宋体" w:cs="Times New Roman"/>
                <w:color w:val="auto"/>
                <w:highlight w:val="none"/>
              </w:rPr>
              <w:t>分；业务流程设计简单得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分。不提供不得分。</w:t>
            </w:r>
          </w:p>
        </w:tc>
        <w:tc>
          <w:tcPr>
            <w:tcW w:w="489" w:type="pct"/>
            <w:vAlign w:val="center"/>
          </w:tcPr>
          <w:p w14:paraId="28248B21">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7A6F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02" w:type="pct"/>
            <w:vAlign w:val="center"/>
          </w:tcPr>
          <w:p w14:paraId="334C792E">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6</w:t>
            </w:r>
          </w:p>
        </w:tc>
        <w:tc>
          <w:tcPr>
            <w:tcW w:w="3807" w:type="pct"/>
            <w:vAlign w:val="center"/>
          </w:tcPr>
          <w:p w14:paraId="604D57D5">
            <w:pPr>
              <w:rPr>
                <w:rFonts w:hint="eastAsia" w:ascii="宋体" w:hAnsi="宋体" w:eastAsia="宋体" w:cs="Times New Roman"/>
                <w:color w:val="auto"/>
                <w:sz w:val="21"/>
                <w:szCs w:val="21"/>
                <w:highlight w:val="none"/>
              </w:rPr>
            </w:pPr>
            <w:r>
              <w:rPr>
                <w:rFonts w:hint="eastAsia" w:ascii="宋体" w:hAnsi="宋体" w:eastAsia="宋体" w:cs="Times New Roman"/>
                <w:color w:val="auto"/>
                <w:highlight w:val="none"/>
              </w:rPr>
              <w:t>评审专家根据投标人针对本项目制定的项目实施方案进行打分，内容至少包括</w:t>
            </w:r>
            <w:r>
              <w:rPr>
                <w:rFonts w:hint="eastAsia" w:ascii="宋体" w:hAnsi="宋体" w:eastAsia="宋体" w:cs="Times New Roman"/>
                <w:color w:val="auto"/>
                <w:kern w:val="0"/>
                <w:sz w:val="21"/>
                <w:szCs w:val="21"/>
                <w:highlight w:val="none"/>
              </w:rPr>
              <w:t>软件实施步骤</w:t>
            </w:r>
            <w:r>
              <w:rPr>
                <w:rFonts w:hint="eastAsia" w:ascii="宋体" w:hAnsi="宋体" w:eastAsia="宋体" w:cs="Times New Roman"/>
                <w:color w:val="auto"/>
                <w:sz w:val="21"/>
                <w:szCs w:val="21"/>
                <w:highlight w:val="none"/>
              </w:rPr>
              <w:t>、项目管理及沟通协调方法、风险应对措施等。</w:t>
            </w:r>
          </w:p>
          <w:p w14:paraId="139B7DA4">
            <w:pPr>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w:t>
            </w:r>
            <w:r>
              <w:rPr>
                <w:rFonts w:ascii="宋体" w:hAnsi="宋体" w:eastAsia="宋体" w:cs="Times New Roman"/>
                <w:color w:val="auto"/>
                <w:sz w:val="21"/>
                <w:szCs w:val="21"/>
                <w:highlight w:val="none"/>
              </w:rPr>
              <w:t>、</w:t>
            </w:r>
            <w:r>
              <w:rPr>
                <w:rFonts w:hint="eastAsia" w:ascii="宋体" w:hAnsi="宋体" w:eastAsia="宋体" w:cs="Times New Roman"/>
                <w:color w:val="auto"/>
                <w:kern w:val="0"/>
                <w:sz w:val="21"/>
                <w:szCs w:val="21"/>
                <w:highlight w:val="none"/>
              </w:rPr>
              <w:t>软件实施步骤科学合理，可行性强得2</w:t>
            </w:r>
            <w:r>
              <w:rPr>
                <w:rFonts w:ascii="宋体" w:hAnsi="宋体" w:eastAsia="宋体" w:cs="Times New Roman"/>
                <w:color w:val="auto"/>
                <w:kern w:val="0"/>
                <w:sz w:val="21"/>
                <w:szCs w:val="21"/>
                <w:highlight w:val="none"/>
              </w:rPr>
              <w:t>分；</w:t>
            </w:r>
            <w:r>
              <w:rPr>
                <w:rFonts w:hint="eastAsia" w:ascii="宋体" w:hAnsi="宋体" w:eastAsia="宋体" w:cs="Times New Roman"/>
                <w:color w:val="auto"/>
                <w:kern w:val="0"/>
                <w:sz w:val="21"/>
                <w:szCs w:val="21"/>
                <w:highlight w:val="none"/>
              </w:rPr>
              <w:t>软件实施步骤较合理，有一定的可行性得1分；软件实施步骤简单得0.5分；不提供不得分</w:t>
            </w:r>
            <w:r>
              <w:rPr>
                <w:rFonts w:hint="eastAsia" w:ascii="宋体" w:hAnsi="宋体" w:cs="Times New Roman"/>
                <w:color w:val="auto"/>
                <w:kern w:val="0"/>
                <w:sz w:val="21"/>
                <w:szCs w:val="21"/>
                <w:highlight w:val="none"/>
                <w:lang w:eastAsia="zh-CN"/>
              </w:rPr>
              <w:t>。</w:t>
            </w:r>
          </w:p>
          <w:p w14:paraId="3B184A52">
            <w:pPr>
              <w:rPr>
                <w:rFonts w:hint="eastAsia" w:ascii="宋体" w:hAnsi="宋体" w:eastAsia="宋体" w:cs="Times New Roman"/>
                <w:color w:val="auto"/>
                <w:highlight w:val="none"/>
              </w:rPr>
            </w:pPr>
            <w:r>
              <w:rPr>
                <w:rFonts w:hint="eastAsia" w:ascii="宋体" w:hAnsi="宋体" w:eastAsia="宋体" w:cs="Times New Roman"/>
                <w:color w:val="auto"/>
                <w:highlight w:val="none"/>
              </w:rPr>
              <w:t>2、项目管理及沟通协调方法描述科学合理，可行性强得2分；项目管理及沟通协调方法描述较合理，有一定的可行性得1分；项目管理及沟通协调方法描述简单得0.5分；不提供不得分。</w:t>
            </w:r>
          </w:p>
          <w:p w14:paraId="6FC3879B">
            <w:pPr>
              <w:rPr>
                <w:rFonts w:hint="eastAsia" w:ascii="宋体" w:hAnsi="宋体" w:eastAsia="宋体" w:cs="Times New Roman"/>
                <w:color w:val="auto"/>
                <w:highlight w:val="none"/>
              </w:rPr>
            </w:pPr>
            <w:r>
              <w:rPr>
                <w:rFonts w:ascii="宋体" w:hAnsi="宋体" w:eastAsia="宋体" w:cs="Times New Roman"/>
                <w:color w:val="auto"/>
                <w:highlight w:val="none"/>
              </w:rPr>
              <w:t>3、</w:t>
            </w:r>
            <w:r>
              <w:rPr>
                <w:rFonts w:hint="eastAsia" w:ascii="宋体" w:hAnsi="宋体" w:eastAsia="宋体" w:cs="Times New Roman"/>
                <w:color w:val="auto"/>
                <w:highlight w:val="none"/>
              </w:rPr>
              <w:t>风险应对措施严谨完备，实操性强得2分；风险应对措施较完备，有一定的实操性得1分；风险应对措施描述简单得0.5分；不提供不得分</w:t>
            </w:r>
          </w:p>
        </w:tc>
        <w:tc>
          <w:tcPr>
            <w:tcW w:w="489" w:type="pct"/>
            <w:vAlign w:val="center"/>
          </w:tcPr>
          <w:p w14:paraId="0D4F2366">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6C45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51F5C4BD">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7</w:t>
            </w:r>
          </w:p>
        </w:tc>
        <w:tc>
          <w:tcPr>
            <w:tcW w:w="3807" w:type="pct"/>
            <w:vAlign w:val="center"/>
          </w:tcPr>
          <w:p w14:paraId="4950F0CA">
            <w:pPr>
              <w:rPr>
                <w:rFonts w:hint="eastAsia" w:ascii="宋体" w:hAnsi="宋体" w:eastAsia="宋体" w:cs="Times New Roman"/>
                <w:color w:val="auto"/>
                <w:highlight w:val="none"/>
              </w:rPr>
            </w:pPr>
            <w:r>
              <w:rPr>
                <w:rFonts w:hint="eastAsia" w:ascii="宋体" w:hAnsi="宋体" w:eastAsia="宋体" w:cs="Times New Roman"/>
                <w:color w:val="auto"/>
                <w:highlight w:val="none"/>
              </w:rPr>
              <w:t>根据投标人针对本项目提供的培训方案</w:t>
            </w:r>
            <w:r>
              <w:rPr>
                <w:rFonts w:hint="eastAsia" w:ascii="宋体" w:hAnsi="宋体" w:cs="Times New Roman"/>
                <w:color w:val="auto"/>
                <w:highlight w:val="none"/>
                <w:lang w:eastAsia="zh-CN"/>
              </w:rPr>
              <w:t>、</w:t>
            </w:r>
            <w:r>
              <w:rPr>
                <w:rFonts w:hint="eastAsia" w:ascii="宋体" w:hAnsi="宋体" w:cs="Times New Roman"/>
                <w:color w:val="auto"/>
                <w:highlight w:val="none"/>
                <w:lang w:eastAsia="zh-CN"/>
              </w:rPr>
              <w:t>培训计划、培训方式、培训师资等方面</w:t>
            </w:r>
            <w:r>
              <w:rPr>
                <w:rFonts w:hint="eastAsia" w:ascii="宋体" w:hAnsi="宋体" w:eastAsia="宋体" w:cs="Times New Roman"/>
                <w:color w:val="auto"/>
                <w:highlight w:val="none"/>
              </w:rPr>
              <w:t>进行打分。</w:t>
            </w:r>
          </w:p>
          <w:p w14:paraId="6E46E988">
            <w:pPr>
              <w:rPr>
                <w:rFonts w:hint="eastAsia" w:ascii="宋体" w:hAnsi="宋体" w:eastAsia="宋体" w:cs="Times New Roman"/>
                <w:color w:val="auto"/>
                <w:highlight w:val="none"/>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培训方案和内容针对性强、满足实际需求得</w:t>
            </w:r>
            <w:r>
              <w:rPr>
                <w:rFonts w:hint="eastAsia" w:ascii="宋体" w:hAnsi="宋体" w:cs="Times New Roman"/>
                <w:color w:val="auto"/>
                <w:highlight w:val="none"/>
                <w:lang w:val="en-US" w:eastAsia="zh-CN"/>
              </w:rPr>
              <w:t>5</w:t>
            </w:r>
            <w:r>
              <w:rPr>
                <w:rFonts w:hint="eastAsia" w:ascii="宋体" w:hAnsi="宋体" w:eastAsia="宋体" w:cs="Times New Roman"/>
                <w:color w:val="auto"/>
                <w:highlight w:val="none"/>
              </w:rPr>
              <w:t>分</w:t>
            </w:r>
            <w:r>
              <w:rPr>
                <w:rFonts w:hint="eastAsia" w:ascii="宋体" w:hAnsi="宋体" w:eastAsia="宋体" w:cs="Times New Roman"/>
                <w:color w:val="auto"/>
                <w:highlight w:val="none"/>
              </w:rPr>
              <w:t>；</w:t>
            </w:r>
          </w:p>
          <w:p w14:paraId="3EF8F167">
            <w:pPr>
              <w:rPr>
                <w:rFonts w:hint="eastAsia" w:ascii="宋体" w:hAnsi="宋体" w:eastAsia="宋体" w:cs="Times New Roman"/>
                <w:color w:val="auto"/>
                <w:highlight w:val="none"/>
              </w:rPr>
            </w:pPr>
            <w:r>
              <w:rPr>
                <w:rFonts w:hint="eastAsia" w:ascii="宋体" w:hAnsi="宋体" w:eastAsia="宋体" w:cs="Times New Roman"/>
                <w:color w:val="auto"/>
                <w:highlight w:val="none"/>
              </w:rPr>
              <w:t>2、培训方案和内容较合理、满足实际需求得3分；</w:t>
            </w:r>
          </w:p>
          <w:p w14:paraId="74C29446">
            <w:pPr>
              <w:rPr>
                <w:rFonts w:hint="eastAsia" w:ascii="宋体" w:hAnsi="宋体" w:eastAsia="宋体" w:cs="Times New Roman"/>
                <w:color w:val="auto"/>
                <w:highlight w:val="none"/>
              </w:rPr>
            </w:pPr>
            <w:r>
              <w:rPr>
                <w:rFonts w:hint="eastAsia" w:ascii="宋体" w:hAnsi="宋体" w:eastAsia="宋体" w:cs="Times New Roman"/>
                <w:color w:val="auto"/>
                <w:highlight w:val="none"/>
              </w:rPr>
              <w:t>3、培训方案和内容有一定的合理性，基本满足需求得2分；</w:t>
            </w:r>
          </w:p>
          <w:p w14:paraId="1E326F13">
            <w:pPr>
              <w:rPr>
                <w:rFonts w:hint="eastAsia" w:ascii="宋体" w:hAnsi="宋体" w:eastAsia="宋体" w:cs="Times New Roman"/>
                <w:color w:val="auto"/>
                <w:highlight w:val="none"/>
              </w:rPr>
            </w:pPr>
            <w:r>
              <w:rPr>
                <w:rFonts w:hint="eastAsia" w:ascii="宋体" w:hAnsi="宋体" w:eastAsia="宋体" w:cs="Times New Roman"/>
                <w:color w:val="auto"/>
                <w:highlight w:val="none"/>
              </w:rPr>
              <w:t>4</w:t>
            </w:r>
            <w:r>
              <w:rPr>
                <w:rFonts w:ascii="宋体" w:hAnsi="宋体" w:eastAsia="宋体" w:cs="Times New Roman"/>
                <w:color w:val="auto"/>
                <w:highlight w:val="none"/>
              </w:rPr>
              <w:t>、</w:t>
            </w:r>
            <w:r>
              <w:rPr>
                <w:rFonts w:hint="eastAsia" w:ascii="宋体" w:hAnsi="宋体" w:eastAsia="宋体" w:cs="Times New Roman"/>
                <w:color w:val="auto"/>
                <w:highlight w:val="none"/>
              </w:rPr>
              <w:t>培训方案和内容描述简单得1分；</w:t>
            </w:r>
          </w:p>
          <w:p w14:paraId="14AF4BAB">
            <w:pPr>
              <w:rPr>
                <w:rFonts w:hint="eastAsia" w:ascii="宋体" w:hAnsi="宋体" w:eastAsia="宋体" w:cs="Times New Roman"/>
                <w:color w:val="auto"/>
                <w:highlight w:val="none"/>
              </w:rPr>
            </w:pPr>
            <w:r>
              <w:rPr>
                <w:rFonts w:hint="eastAsia" w:ascii="宋体" w:hAnsi="宋体" w:eastAsia="宋体" w:cs="Times New Roman"/>
                <w:color w:val="auto"/>
                <w:highlight w:val="none"/>
              </w:rPr>
              <w:t>未提供不得分。</w:t>
            </w:r>
          </w:p>
        </w:tc>
        <w:tc>
          <w:tcPr>
            <w:tcW w:w="489" w:type="pct"/>
            <w:vAlign w:val="center"/>
          </w:tcPr>
          <w:p w14:paraId="3DEFA8D0">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r>
      <w:tr w14:paraId="0440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526EA0D3">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8</w:t>
            </w:r>
          </w:p>
        </w:tc>
        <w:tc>
          <w:tcPr>
            <w:tcW w:w="3807" w:type="pct"/>
            <w:vAlign w:val="center"/>
          </w:tcPr>
          <w:p w14:paraId="21B678A7">
            <w:pPr>
              <w:rPr>
                <w:rFonts w:hint="eastAsia" w:ascii="宋体" w:hAnsi="宋体" w:eastAsia="宋体" w:cs="Times New Roman"/>
                <w:color w:val="auto"/>
                <w:highlight w:val="none"/>
              </w:rPr>
            </w:pPr>
            <w:r>
              <w:rPr>
                <w:rFonts w:hint="eastAsia" w:ascii="宋体" w:hAnsi="宋体" w:eastAsia="宋体" w:cs="Times New Roman"/>
                <w:color w:val="auto"/>
                <w:highlight w:val="none"/>
              </w:rPr>
              <w:t>评审专家根据投标人针对本项目制定的售后服务方案内容进行打分，内容至少包括人员分工安排、售后服务计划、售后服务流程等。</w:t>
            </w:r>
          </w:p>
          <w:p w14:paraId="7554E1FF">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人员分工安排明确，设置合理得2</w:t>
            </w:r>
            <w:r>
              <w:rPr>
                <w:rFonts w:ascii="宋体" w:hAnsi="宋体" w:eastAsia="宋体" w:cs="Times New Roman"/>
                <w:color w:val="auto"/>
                <w:highlight w:val="none"/>
              </w:rPr>
              <w:t>分</w:t>
            </w:r>
            <w:r>
              <w:rPr>
                <w:rFonts w:hint="eastAsia" w:ascii="宋体" w:hAnsi="宋体" w:eastAsia="宋体" w:cs="Times New Roman"/>
                <w:color w:val="auto"/>
                <w:highlight w:val="none"/>
              </w:rPr>
              <w:t>；人员分工安排较合理得1</w:t>
            </w:r>
            <w:r>
              <w:rPr>
                <w:rFonts w:ascii="宋体" w:hAnsi="宋体" w:eastAsia="宋体" w:cs="Times New Roman"/>
                <w:color w:val="auto"/>
                <w:highlight w:val="none"/>
              </w:rPr>
              <w:t>分；人员分工安排简单得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p w14:paraId="31399275">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2、售后服务计划科学合理，可行性强得2</w:t>
            </w:r>
            <w:r>
              <w:rPr>
                <w:rFonts w:ascii="宋体" w:hAnsi="宋体" w:eastAsia="宋体" w:cs="Times New Roman"/>
                <w:color w:val="auto"/>
                <w:highlight w:val="none"/>
              </w:rPr>
              <w:t>分；售后服务计划有一定的可行性得</w:t>
            </w:r>
            <w:r>
              <w:rPr>
                <w:rFonts w:hint="eastAsia" w:ascii="宋体" w:hAnsi="宋体" w:eastAsia="宋体" w:cs="Times New Roman"/>
                <w:color w:val="auto"/>
                <w:highlight w:val="none"/>
              </w:rPr>
              <w:t>1</w:t>
            </w:r>
            <w:r>
              <w:rPr>
                <w:rFonts w:ascii="宋体" w:hAnsi="宋体" w:eastAsia="宋体" w:cs="Times New Roman"/>
                <w:color w:val="auto"/>
                <w:highlight w:val="none"/>
              </w:rPr>
              <w:t>分；</w:t>
            </w:r>
            <w:r>
              <w:rPr>
                <w:rFonts w:hint="eastAsia" w:ascii="宋体" w:hAnsi="宋体" w:eastAsia="宋体" w:cs="Times New Roman"/>
                <w:color w:val="auto"/>
                <w:highlight w:val="none"/>
              </w:rPr>
              <w:t>售后服务计划简单得0.5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p w14:paraId="588B7DDC">
            <w:pPr>
              <w:rPr>
                <w:rFonts w:hint="eastAsia" w:ascii="宋体" w:hAnsi="宋体" w:eastAsia="宋体" w:cs="Times New Roman"/>
                <w:color w:val="auto"/>
                <w:highlight w:val="none"/>
              </w:rPr>
            </w:pPr>
            <w:r>
              <w:rPr>
                <w:rFonts w:hint="eastAsia" w:ascii="宋体" w:hAnsi="宋体" w:eastAsia="宋体" w:cs="Times New Roman"/>
                <w:color w:val="auto"/>
                <w:highlight w:val="none"/>
              </w:rPr>
              <w:t>3、售后服务流程科学合理，实操性强得2</w:t>
            </w:r>
            <w:r>
              <w:rPr>
                <w:rFonts w:ascii="宋体" w:hAnsi="宋体" w:eastAsia="宋体" w:cs="Times New Roman"/>
                <w:color w:val="auto"/>
                <w:highlight w:val="none"/>
              </w:rPr>
              <w:t>分；</w:t>
            </w:r>
            <w:r>
              <w:rPr>
                <w:rFonts w:hint="eastAsia" w:ascii="宋体" w:hAnsi="宋体" w:eastAsia="宋体" w:cs="Times New Roman"/>
                <w:color w:val="auto"/>
                <w:highlight w:val="none"/>
              </w:rPr>
              <w:t>售后服务流程较合理，有一定的实操性得1</w:t>
            </w:r>
            <w:r>
              <w:rPr>
                <w:rFonts w:ascii="宋体" w:hAnsi="宋体" w:eastAsia="宋体" w:cs="Times New Roman"/>
                <w:color w:val="auto"/>
                <w:highlight w:val="none"/>
              </w:rPr>
              <w:t>分；售后服务流程简单得</w:t>
            </w:r>
            <w:r>
              <w:rPr>
                <w:rFonts w:hint="eastAsia" w:ascii="宋体" w:hAnsi="宋体" w:eastAsia="宋体" w:cs="Times New Roman"/>
                <w:color w:val="auto"/>
                <w:highlight w:val="none"/>
              </w:rPr>
              <w:t>0.5</w:t>
            </w:r>
            <w:r>
              <w:rPr>
                <w:rFonts w:ascii="宋体" w:hAnsi="宋体" w:eastAsia="宋体" w:cs="Times New Roman"/>
                <w:color w:val="auto"/>
                <w:highlight w:val="none"/>
              </w:rPr>
              <w:t>分</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tc>
        <w:tc>
          <w:tcPr>
            <w:tcW w:w="489" w:type="pct"/>
            <w:vAlign w:val="center"/>
          </w:tcPr>
          <w:p w14:paraId="51508342">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6</w:t>
            </w:r>
          </w:p>
        </w:tc>
      </w:tr>
      <w:tr w14:paraId="3294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6BE7D295">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9</w:t>
            </w:r>
          </w:p>
        </w:tc>
        <w:tc>
          <w:tcPr>
            <w:tcW w:w="3807" w:type="pct"/>
            <w:vAlign w:val="center"/>
          </w:tcPr>
          <w:p w14:paraId="2E1B33B2">
            <w:pPr>
              <w:rPr>
                <w:rFonts w:hint="eastAsia" w:ascii="宋体" w:hAnsi="宋体" w:eastAsia="宋体" w:cs="Times New Roman"/>
                <w:bCs/>
                <w:color w:val="auto"/>
                <w:highlight w:val="none"/>
              </w:rPr>
            </w:pPr>
            <w:r>
              <w:rPr>
                <w:rFonts w:hint="eastAsia" w:ascii="宋体" w:hAnsi="宋体" w:eastAsia="宋体" w:cs="Times New Roman"/>
                <w:color w:val="auto"/>
                <w:highlight w:val="none"/>
              </w:rPr>
              <w:t>根据投标人提供的数据迁移方案</w:t>
            </w:r>
            <w:r>
              <w:rPr>
                <w:rFonts w:hint="eastAsia" w:ascii="宋体" w:hAnsi="宋体" w:eastAsia="宋体" w:cs="Times New Roman"/>
                <w:bCs/>
                <w:color w:val="auto"/>
                <w:highlight w:val="none"/>
              </w:rPr>
              <w:t>进行打分。</w:t>
            </w:r>
          </w:p>
          <w:p w14:paraId="76A51BA3">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1</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数据迁移方案科学合理，满足实际需求得</w:t>
            </w:r>
            <w:r>
              <w:rPr>
                <w:rFonts w:hint="eastAsia" w:ascii="宋体" w:hAnsi="宋体" w:cs="Times New Roman"/>
                <w:bCs/>
                <w:color w:val="auto"/>
                <w:highlight w:val="none"/>
                <w:lang w:val="en-US" w:eastAsia="zh-CN"/>
              </w:rPr>
              <w:t>5</w:t>
            </w:r>
            <w:r>
              <w:rPr>
                <w:rFonts w:hint="eastAsia" w:ascii="宋体" w:hAnsi="宋体" w:eastAsia="宋体" w:cs="Times New Roman"/>
                <w:bCs/>
                <w:color w:val="auto"/>
                <w:highlight w:val="none"/>
              </w:rPr>
              <w:t>分</w:t>
            </w:r>
            <w:r>
              <w:rPr>
                <w:rFonts w:hint="eastAsia" w:ascii="宋体" w:hAnsi="宋体" w:eastAsia="宋体" w:cs="Times New Roman"/>
                <w:bCs/>
                <w:color w:val="auto"/>
                <w:highlight w:val="none"/>
              </w:rPr>
              <w:t>；</w:t>
            </w:r>
          </w:p>
          <w:p w14:paraId="427439FE">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2</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数据迁移方案描述较合理，满足实际需求得3分；</w:t>
            </w:r>
          </w:p>
          <w:p w14:paraId="350C6574">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3</w:t>
            </w:r>
            <w:r>
              <w:rPr>
                <w:rFonts w:ascii="宋体" w:hAnsi="宋体" w:eastAsia="宋体" w:cs="Times New Roman"/>
                <w:bCs/>
                <w:color w:val="auto"/>
                <w:highlight w:val="none"/>
              </w:rPr>
              <w:t>、</w:t>
            </w:r>
            <w:r>
              <w:rPr>
                <w:rFonts w:hint="eastAsia" w:ascii="宋体" w:hAnsi="宋体" w:eastAsia="宋体" w:cs="Times New Roman"/>
                <w:bCs/>
                <w:color w:val="auto"/>
                <w:highlight w:val="none"/>
              </w:rPr>
              <w:t>数据迁移方案描述有一定的合理性，基本实际需求得2分，</w:t>
            </w:r>
          </w:p>
          <w:p w14:paraId="63111B0C">
            <w:pPr>
              <w:rPr>
                <w:rFonts w:hint="eastAsia" w:ascii="宋体" w:hAnsi="宋体" w:eastAsia="宋体" w:cs="Times New Roman"/>
                <w:color w:val="auto"/>
                <w:highlight w:val="none"/>
              </w:rPr>
            </w:pPr>
            <w:r>
              <w:rPr>
                <w:rFonts w:hint="eastAsia" w:ascii="宋体" w:hAnsi="宋体" w:eastAsia="宋体" w:cs="Times New Roman"/>
                <w:color w:val="auto"/>
                <w:highlight w:val="none"/>
              </w:rPr>
              <w:t>4</w:t>
            </w:r>
            <w:r>
              <w:rPr>
                <w:rFonts w:ascii="宋体" w:hAnsi="宋体" w:eastAsia="宋体" w:cs="Times New Roman"/>
                <w:color w:val="auto"/>
                <w:highlight w:val="none"/>
              </w:rPr>
              <w:t>、</w:t>
            </w:r>
            <w:r>
              <w:rPr>
                <w:rFonts w:hint="eastAsia" w:ascii="宋体" w:hAnsi="宋体" w:eastAsia="宋体" w:cs="Times New Roman"/>
                <w:color w:val="auto"/>
                <w:highlight w:val="none"/>
              </w:rPr>
              <w:t>数据迁移方案描述简单得1分；</w:t>
            </w:r>
          </w:p>
          <w:p w14:paraId="3F6DDAF9">
            <w:pPr>
              <w:rPr>
                <w:rFonts w:hint="eastAsia" w:ascii="宋体" w:hAnsi="宋体" w:eastAsia="宋体" w:cs="Times New Roman"/>
                <w:color w:val="auto"/>
                <w:highlight w:val="none"/>
              </w:rPr>
            </w:pPr>
            <w:r>
              <w:rPr>
                <w:rFonts w:hint="eastAsia" w:ascii="宋体" w:hAnsi="宋体" w:eastAsia="宋体" w:cs="Times New Roman"/>
                <w:color w:val="auto"/>
                <w:highlight w:val="none"/>
              </w:rPr>
              <w:t>不提供不得分</w:t>
            </w:r>
            <w:r>
              <w:rPr>
                <w:rFonts w:hint="eastAsia" w:ascii="宋体" w:hAnsi="宋体" w:eastAsia="宋体" w:cs="Times New Roman"/>
                <w:bCs/>
                <w:color w:val="auto"/>
                <w:highlight w:val="none"/>
              </w:rPr>
              <w:t>。</w:t>
            </w:r>
          </w:p>
        </w:tc>
        <w:tc>
          <w:tcPr>
            <w:tcW w:w="489" w:type="pct"/>
            <w:vAlign w:val="center"/>
          </w:tcPr>
          <w:p w14:paraId="1D31D0BF">
            <w:pPr>
              <w:jc w:val="center"/>
              <w:rPr>
                <w:rFonts w:hint="eastAsia" w:ascii="宋体" w:hAnsi="宋体" w:eastAsia="宋体" w:cs="Times New Roman"/>
                <w:color w:val="auto"/>
                <w:highlight w:val="none"/>
                <w:lang w:eastAsia="zh-CN"/>
              </w:rPr>
            </w:pPr>
            <w:r>
              <w:rPr>
                <w:rFonts w:hint="eastAsia" w:ascii="宋体" w:hAnsi="宋体" w:cs="Times New Roman"/>
                <w:color w:val="auto"/>
                <w:highlight w:val="none"/>
                <w:lang w:val="en-US" w:eastAsia="zh-CN"/>
              </w:rPr>
              <w:t>5</w:t>
            </w:r>
          </w:p>
        </w:tc>
      </w:tr>
      <w:tr w14:paraId="1173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156C7A01">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10</w:t>
            </w:r>
          </w:p>
        </w:tc>
        <w:tc>
          <w:tcPr>
            <w:tcW w:w="3807" w:type="pct"/>
            <w:vAlign w:val="center"/>
          </w:tcPr>
          <w:p w14:paraId="4DCBE8E9">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根据投标人提供的项目实施计划</w:t>
            </w:r>
            <w:r>
              <w:rPr>
                <w:rFonts w:hint="eastAsia" w:ascii="宋体" w:hAnsi="宋体" w:cs="Times New Roman"/>
                <w:color w:val="auto"/>
                <w:highlight w:val="none"/>
                <w:lang w:eastAsia="zh-CN"/>
              </w:rPr>
              <w:t>：</w:t>
            </w:r>
            <w:r>
              <w:rPr>
                <w:rFonts w:hint="eastAsia" w:ascii="宋体" w:hAnsi="宋体" w:cs="Times New Roman"/>
                <w:color w:val="auto"/>
                <w:highlight w:val="none"/>
                <w:lang w:eastAsia="zh-CN"/>
              </w:rPr>
              <w:t>软件开发、系统部署、系统试运行等内容</w:t>
            </w:r>
            <w:r>
              <w:rPr>
                <w:rFonts w:hint="eastAsia" w:ascii="宋体" w:hAnsi="宋体" w:eastAsia="宋体" w:cs="Times New Roman"/>
                <w:color w:val="auto"/>
                <w:highlight w:val="none"/>
              </w:rPr>
              <w:t>进行打分</w:t>
            </w:r>
            <w:r>
              <w:rPr>
                <w:rFonts w:hint="eastAsia" w:ascii="宋体" w:hAnsi="宋体" w:cs="Times New Roman"/>
                <w:color w:val="auto"/>
                <w:highlight w:val="none"/>
                <w:lang w:eastAsia="zh-CN"/>
              </w:rPr>
              <w:t>；</w:t>
            </w:r>
          </w:p>
          <w:p w14:paraId="3F75384D">
            <w:pPr>
              <w:rPr>
                <w:rFonts w:hint="eastAsia" w:ascii="宋体" w:hAnsi="宋体" w:eastAsia="宋体" w:cs="Times New Roman"/>
                <w:color w:val="auto"/>
                <w:highlight w:val="none"/>
              </w:rPr>
            </w:pPr>
            <w:r>
              <w:rPr>
                <w:rFonts w:hint="eastAsia" w:ascii="宋体" w:hAnsi="宋体" w:eastAsia="宋体" w:cs="Times New Roman"/>
                <w:color w:val="auto"/>
                <w:highlight w:val="none"/>
              </w:rPr>
              <w:t>1</w:t>
            </w:r>
            <w:r>
              <w:rPr>
                <w:rFonts w:ascii="宋体" w:hAnsi="宋体" w:eastAsia="宋体" w:cs="Times New Roman"/>
                <w:color w:val="auto"/>
                <w:highlight w:val="none"/>
              </w:rPr>
              <w:t>、</w:t>
            </w:r>
            <w:r>
              <w:rPr>
                <w:rFonts w:hint="eastAsia" w:ascii="宋体" w:hAnsi="宋体" w:eastAsia="宋体" w:cs="Times New Roman"/>
                <w:color w:val="auto"/>
                <w:highlight w:val="none"/>
              </w:rPr>
              <w:t>项目实施计划详细可行，各节点设置合理，</w:t>
            </w:r>
            <w:r>
              <w:rPr>
                <w:rFonts w:hint="eastAsia" w:ascii="宋体" w:hAnsi="宋体" w:eastAsia="宋体" w:cs="Times New Roman"/>
                <w:bCs/>
                <w:color w:val="auto"/>
                <w:highlight w:val="none"/>
              </w:rPr>
              <w:t>满足实际需求</w:t>
            </w:r>
            <w:r>
              <w:rPr>
                <w:rFonts w:hint="eastAsia" w:ascii="宋体" w:hAnsi="宋体" w:eastAsia="宋体" w:cs="Times New Roman"/>
                <w:color w:val="auto"/>
                <w:highlight w:val="none"/>
              </w:rPr>
              <w:t>得3</w:t>
            </w:r>
            <w:r>
              <w:rPr>
                <w:rFonts w:ascii="宋体" w:hAnsi="宋体" w:eastAsia="宋体" w:cs="Times New Roman"/>
                <w:color w:val="auto"/>
                <w:highlight w:val="none"/>
              </w:rPr>
              <w:t>分；</w:t>
            </w:r>
          </w:p>
          <w:p w14:paraId="6D20F4F4">
            <w:pPr>
              <w:rPr>
                <w:rFonts w:hint="eastAsia" w:ascii="宋体" w:hAnsi="宋体" w:eastAsia="宋体" w:cs="Times New Roman"/>
                <w:color w:val="auto"/>
                <w:highlight w:val="none"/>
              </w:rPr>
            </w:pPr>
            <w:r>
              <w:rPr>
                <w:rFonts w:hint="eastAsia" w:ascii="宋体" w:hAnsi="宋体" w:eastAsia="宋体" w:cs="Times New Roman"/>
                <w:color w:val="auto"/>
                <w:highlight w:val="none"/>
              </w:rPr>
              <w:t>2</w:t>
            </w:r>
            <w:r>
              <w:rPr>
                <w:rFonts w:ascii="宋体" w:hAnsi="宋体" w:eastAsia="宋体" w:cs="Times New Roman"/>
                <w:color w:val="auto"/>
                <w:highlight w:val="none"/>
              </w:rPr>
              <w:t>、</w:t>
            </w:r>
            <w:r>
              <w:rPr>
                <w:rFonts w:hint="eastAsia" w:ascii="宋体" w:hAnsi="宋体" w:eastAsia="宋体" w:cs="Times New Roman"/>
                <w:color w:val="auto"/>
                <w:highlight w:val="none"/>
              </w:rPr>
              <w:t>项目实施计划</w:t>
            </w:r>
            <w:r>
              <w:rPr>
                <w:rFonts w:hint="eastAsia" w:ascii="宋体" w:hAnsi="宋体" w:eastAsia="宋体" w:cs="Times New Roman"/>
                <w:bCs/>
                <w:color w:val="auto"/>
                <w:highlight w:val="none"/>
              </w:rPr>
              <w:t>有一定的合理性，基本实际需求得</w:t>
            </w:r>
            <w:r>
              <w:rPr>
                <w:rFonts w:hint="eastAsia" w:ascii="宋体" w:hAnsi="宋体" w:eastAsia="宋体" w:cs="Times New Roman"/>
                <w:color w:val="auto"/>
                <w:highlight w:val="none"/>
              </w:rPr>
              <w:t>2分；</w:t>
            </w:r>
          </w:p>
          <w:p w14:paraId="01691AED">
            <w:pPr>
              <w:rPr>
                <w:rFonts w:hint="eastAsia" w:ascii="宋体" w:hAnsi="宋体" w:eastAsia="宋体" w:cs="Times New Roman"/>
                <w:color w:val="auto"/>
                <w:highlight w:val="none"/>
              </w:rPr>
            </w:pPr>
            <w:r>
              <w:rPr>
                <w:rFonts w:hint="eastAsia" w:ascii="宋体" w:hAnsi="宋体" w:eastAsia="宋体" w:cs="Times New Roman"/>
                <w:color w:val="auto"/>
                <w:highlight w:val="none"/>
              </w:rPr>
              <w:t>3、项目实施计划描述简单得1</w:t>
            </w:r>
            <w:r>
              <w:rPr>
                <w:rFonts w:ascii="宋体" w:hAnsi="宋体" w:eastAsia="宋体" w:cs="Times New Roman"/>
                <w:color w:val="auto"/>
                <w:highlight w:val="none"/>
              </w:rPr>
              <w:t>分；</w:t>
            </w:r>
          </w:p>
          <w:p w14:paraId="1A2DACDC">
            <w:pP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不提供不得分</w:t>
            </w:r>
            <w:r>
              <w:rPr>
                <w:rFonts w:hint="eastAsia" w:ascii="宋体" w:hAnsi="宋体" w:cs="Times New Roman"/>
                <w:color w:val="auto"/>
                <w:highlight w:val="none"/>
                <w:lang w:eastAsia="zh-CN"/>
              </w:rPr>
              <w:t>。</w:t>
            </w:r>
          </w:p>
        </w:tc>
        <w:tc>
          <w:tcPr>
            <w:tcW w:w="489" w:type="pct"/>
            <w:vAlign w:val="center"/>
          </w:tcPr>
          <w:p w14:paraId="2976AB2A">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3</w:t>
            </w:r>
          </w:p>
        </w:tc>
      </w:tr>
      <w:tr w14:paraId="3628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2" w:type="pct"/>
            <w:vAlign w:val="center"/>
          </w:tcPr>
          <w:p w14:paraId="01C84B87">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11</w:t>
            </w:r>
          </w:p>
        </w:tc>
        <w:tc>
          <w:tcPr>
            <w:tcW w:w="3807" w:type="pct"/>
            <w:vAlign w:val="center"/>
          </w:tcPr>
          <w:p w14:paraId="1BA3A0CC">
            <w:pPr>
              <w:rPr>
                <w:rFonts w:hint="eastAsia" w:ascii="宋体" w:hAnsi="宋体" w:eastAsia="宋体" w:cs="Times New Roman"/>
                <w:bCs/>
                <w:color w:val="auto"/>
                <w:highlight w:val="none"/>
                <w:lang w:eastAsia="zh-CN"/>
              </w:rPr>
            </w:pPr>
            <w:r>
              <w:rPr>
                <w:rFonts w:hint="eastAsia" w:ascii="宋体" w:hAnsi="宋体" w:eastAsia="宋体" w:cs="Times New Roman"/>
                <w:color w:val="auto"/>
                <w:highlight w:val="none"/>
              </w:rPr>
              <w:t>根据投标人提供的</w:t>
            </w:r>
            <w:r>
              <w:rPr>
                <w:rFonts w:hint="eastAsia" w:ascii="宋体" w:hAnsi="宋体" w:cs="Times New Roman"/>
                <w:color w:val="auto"/>
                <w:highlight w:val="none"/>
                <w:lang w:eastAsia="zh-CN"/>
              </w:rPr>
              <w:t>系统</w:t>
            </w:r>
            <w:r>
              <w:rPr>
                <w:rFonts w:hint="eastAsia" w:ascii="宋体" w:hAnsi="宋体" w:cs="Times New Roman"/>
                <w:color w:val="auto"/>
                <w:highlight w:val="none"/>
                <w:lang w:eastAsia="zh-CN"/>
              </w:rPr>
              <w:t>切换方案</w:t>
            </w:r>
            <w:r>
              <w:rPr>
                <w:rFonts w:hint="eastAsia" w:ascii="宋体" w:hAnsi="宋体" w:cs="Times New Roman"/>
                <w:color w:val="auto"/>
                <w:highlight w:val="none"/>
                <w:lang w:eastAsia="zh-CN"/>
              </w:rPr>
              <w:t>进行打分；</w:t>
            </w:r>
          </w:p>
          <w:p w14:paraId="31203D2F">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1</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科学合理，有助于项目推进</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得4</w:t>
            </w:r>
            <w:r>
              <w:rPr>
                <w:rFonts w:ascii="宋体" w:hAnsi="宋体" w:eastAsia="宋体" w:cs="Times New Roman"/>
                <w:bCs/>
                <w:color w:val="auto"/>
                <w:highlight w:val="none"/>
              </w:rPr>
              <w:t>分；</w:t>
            </w:r>
          </w:p>
          <w:p w14:paraId="2AFF3D12">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2</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较合理，有助于项目推进</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得3</w:t>
            </w:r>
            <w:r>
              <w:rPr>
                <w:rFonts w:ascii="宋体" w:hAnsi="宋体" w:eastAsia="宋体" w:cs="Times New Roman"/>
                <w:bCs/>
                <w:color w:val="auto"/>
                <w:highlight w:val="none"/>
              </w:rPr>
              <w:t>分；</w:t>
            </w:r>
          </w:p>
          <w:p w14:paraId="5C1A2411">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3</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有一定的合理性，对项目推进有一定的作用</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得2</w:t>
            </w:r>
            <w:r>
              <w:rPr>
                <w:rFonts w:ascii="宋体" w:hAnsi="宋体" w:eastAsia="宋体" w:cs="Times New Roman"/>
                <w:bCs/>
                <w:color w:val="auto"/>
                <w:highlight w:val="none"/>
              </w:rPr>
              <w:t>分；</w:t>
            </w:r>
          </w:p>
          <w:p w14:paraId="2ACF66FD">
            <w:pPr>
              <w:rPr>
                <w:rFonts w:hint="eastAsia" w:ascii="宋体" w:hAnsi="宋体" w:eastAsia="宋体" w:cs="Times New Roman"/>
                <w:bCs/>
                <w:color w:val="auto"/>
                <w:highlight w:val="none"/>
              </w:rPr>
            </w:pPr>
            <w:r>
              <w:rPr>
                <w:rFonts w:hint="eastAsia" w:ascii="宋体" w:hAnsi="宋体" w:eastAsia="宋体" w:cs="Times New Roman"/>
                <w:bCs/>
                <w:color w:val="auto"/>
                <w:highlight w:val="none"/>
              </w:rPr>
              <w:t>4</w:t>
            </w:r>
            <w:r>
              <w:rPr>
                <w:rFonts w:ascii="宋体" w:hAnsi="宋体" w:eastAsia="宋体" w:cs="Times New Roman"/>
                <w:bCs/>
                <w:color w:val="auto"/>
                <w:highlight w:val="none"/>
              </w:rPr>
              <w:t>、</w:t>
            </w:r>
            <w:r>
              <w:rPr>
                <w:rFonts w:hint="eastAsia" w:ascii="宋体" w:hAnsi="宋体" w:cs="Times New Roman"/>
                <w:color w:val="auto"/>
                <w:highlight w:val="none"/>
                <w:lang w:eastAsia="zh-CN"/>
              </w:rPr>
              <w:t>切换方案</w:t>
            </w:r>
            <w:r>
              <w:rPr>
                <w:rFonts w:hint="eastAsia" w:ascii="宋体" w:hAnsi="宋体" w:eastAsia="宋体" w:cs="Times New Roman"/>
                <w:bCs/>
                <w:color w:val="auto"/>
                <w:highlight w:val="none"/>
              </w:rPr>
              <w:t>简单</w:t>
            </w:r>
            <w:r>
              <w:rPr>
                <w:rFonts w:hint="eastAsia" w:ascii="宋体" w:hAnsi="宋体" w:cs="Times New Roman"/>
                <w:bCs/>
                <w:color w:val="auto"/>
                <w:highlight w:val="none"/>
                <w:lang w:eastAsia="zh-CN"/>
              </w:rPr>
              <w:t>的</w:t>
            </w:r>
            <w:r>
              <w:rPr>
                <w:rFonts w:hint="eastAsia" w:ascii="宋体" w:hAnsi="宋体" w:eastAsia="宋体" w:cs="Times New Roman"/>
                <w:bCs/>
                <w:color w:val="auto"/>
                <w:highlight w:val="none"/>
              </w:rPr>
              <w:t>得1</w:t>
            </w:r>
            <w:r>
              <w:rPr>
                <w:rFonts w:ascii="宋体" w:hAnsi="宋体" w:eastAsia="宋体" w:cs="Times New Roman"/>
                <w:bCs/>
                <w:color w:val="auto"/>
                <w:highlight w:val="none"/>
              </w:rPr>
              <w:t>分；</w:t>
            </w:r>
          </w:p>
          <w:p w14:paraId="76A6DD5E">
            <w:pPr>
              <w:rPr>
                <w:rFonts w:hint="eastAsia" w:ascii="宋体" w:hAnsi="宋体" w:eastAsia="宋体" w:cs="Times New Roman"/>
                <w:color w:val="auto"/>
                <w:highlight w:val="none"/>
              </w:rPr>
            </w:pPr>
            <w:r>
              <w:rPr>
                <w:rFonts w:hint="eastAsia" w:ascii="宋体" w:hAnsi="宋体" w:eastAsia="宋体" w:cs="Times New Roman"/>
                <w:color w:val="auto"/>
                <w:highlight w:val="none"/>
              </w:rPr>
              <w:t>不提供不得分</w:t>
            </w:r>
            <w:r>
              <w:rPr>
                <w:rFonts w:hint="eastAsia" w:ascii="宋体" w:hAnsi="宋体" w:eastAsia="宋体" w:cs="Times New Roman"/>
                <w:bCs/>
                <w:color w:val="auto"/>
                <w:highlight w:val="none"/>
              </w:rPr>
              <w:t>。</w:t>
            </w:r>
          </w:p>
        </w:tc>
        <w:tc>
          <w:tcPr>
            <w:tcW w:w="489" w:type="pct"/>
            <w:vAlign w:val="center"/>
          </w:tcPr>
          <w:p w14:paraId="41A00617">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4</w:t>
            </w:r>
          </w:p>
        </w:tc>
      </w:tr>
      <w:tr w14:paraId="7DF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2" w:type="pct"/>
            <w:vAlign w:val="center"/>
          </w:tcPr>
          <w:p w14:paraId="6675012B">
            <w:pPr>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12</w:t>
            </w:r>
          </w:p>
        </w:tc>
        <w:tc>
          <w:tcPr>
            <w:tcW w:w="3807" w:type="pct"/>
            <w:vAlign w:val="center"/>
          </w:tcPr>
          <w:p w14:paraId="1E8F1CEB">
            <w:pPr>
              <w:rPr>
                <w:rFonts w:hint="eastAsia" w:ascii="宋体" w:hAnsi="宋体" w:eastAsia="宋体" w:cs="Times New Roman"/>
                <w:color w:val="auto"/>
                <w:highlight w:val="none"/>
              </w:rPr>
            </w:pPr>
            <w:r>
              <w:rPr>
                <w:rFonts w:hint="eastAsia" w:ascii="宋体" w:hAnsi="宋体" w:eastAsia="宋体" w:cs="Times New Roman"/>
                <w:color w:val="auto"/>
                <w:highlight w:val="none"/>
              </w:rPr>
              <w:t>系统演示：本项目需采用真实系统演示，采用DEMO/PPT/图片/静态页面等演示的每项得分减半。演示时间不超过20分钟（不包括专家提问时间）</w:t>
            </w:r>
          </w:p>
          <w:p w14:paraId="4DEAE0D6">
            <w:pPr>
              <w:rPr>
                <w:rFonts w:hint="eastAsia" w:ascii="宋体" w:hAnsi="宋体" w:eastAsia="宋体" w:cs="Times New Roman"/>
                <w:color w:val="auto"/>
                <w:highlight w:val="none"/>
              </w:rPr>
            </w:pPr>
            <w:r>
              <w:rPr>
                <w:rFonts w:hint="eastAsia" w:ascii="宋体" w:hAnsi="宋体" w:eastAsia="宋体" w:cs="Times New Roman"/>
                <w:color w:val="auto"/>
                <w:highlight w:val="none"/>
              </w:rPr>
              <w:t>1、移动医生站依据危急值生成时患者状态判断是否在院，支持门诊危急值推送至责任医师移动端触发弹窗警示，医生可通过移动端点击患者预留手机号拨打电话通知患者并生成通知时间，完成处置措施在线录入，系统限制没有通知时间无法在线录入处置信息。以上演示项内容完整、操作简洁、系统顺畅的得2分；演示项内容较完整、操作较简洁、系统较顺畅的得1分；演示项内容不完整、操作繁琐、系统卡顿的得0.5分；不提供不得分。</w:t>
            </w:r>
          </w:p>
          <w:p w14:paraId="2D88B136">
            <w:pPr>
              <w:rPr>
                <w:rFonts w:hint="eastAsia" w:ascii="宋体" w:hAnsi="宋体" w:eastAsia="宋体" w:cs="Times New Roman"/>
                <w:color w:val="auto"/>
                <w:highlight w:val="none"/>
              </w:rPr>
            </w:pPr>
            <w:r>
              <w:rPr>
                <w:rFonts w:hint="eastAsia" w:ascii="宋体" w:hAnsi="宋体" w:eastAsia="宋体" w:cs="Times New Roman"/>
                <w:color w:val="auto"/>
                <w:highlight w:val="none"/>
              </w:rPr>
              <w:t>2、可通过移动端接收危急值提醒，支持查看危急值信息，支持在移动端勾选处理方式后同步保存回his；特殊药品包含毒性、麻醉、精神、放射性和抗菌药药品</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可通过移动端接收审批提醒，支持查看需审批药品申请详情；可通过移动端接收用血申请审批提醒，支持查看用血申请详情。以上演示项内容完整、操作简洁、系统顺畅的得2分；演示项内容较完整、操作较简洁、系统较顺畅的得1分；演示项内容不完整、操作繁琐、系统卡顿的得0.5分；不提供不得分。</w:t>
            </w:r>
          </w:p>
          <w:p w14:paraId="01D03840">
            <w:pPr>
              <w:rPr>
                <w:rFonts w:hint="eastAsia" w:ascii="宋体" w:hAnsi="宋体" w:eastAsia="宋体" w:cs="Times New Roman"/>
                <w:color w:val="auto"/>
                <w:highlight w:val="none"/>
              </w:rPr>
            </w:pPr>
            <w:r>
              <w:rPr>
                <w:rFonts w:hint="eastAsia" w:ascii="宋体" w:hAnsi="宋体" w:eastAsia="宋体" w:cs="Times New Roman"/>
                <w:color w:val="auto"/>
                <w:highlight w:val="none"/>
              </w:rPr>
              <w:t>3、移动医生端系统支持鸿蒙等国产操作系统环境下具备跨平台业务处理与信息共享能力，演示移动端查房可查看患者医嘱、病历文书、检验、检查、云影像等功能，同时可支持语音转文字生成到PC端医生病历文书。以上演示项内容完整、操作简洁、系统顺畅的得2分；演示项内容较完整、操作较简洁、系统较顺畅的得1分；演示项内容不完整、操作繁琐、系统卡顿的得0.5分；不提供不得分。</w:t>
            </w:r>
          </w:p>
          <w:p w14:paraId="58266152">
            <w:pPr>
              <w:rPr>
                <w:rFonts w:hint="eastAsia" w:ascii="宋体" w:hAnsi="宋体" w:eastAsia="宋体" w:cs="Times New Roman"/>
                <w:color w:val="auto"/>
                <w:highlight w:val="none"/>
              </w:rPr>
            </w:pPr>
            <w:r>
              <w:rPr>
                <w:rFonts w:hint="eastAsia" w:ascii="宋体" w:hAnsi="宋体" w:eastAsia="宋体" w:cs="Times New Roman"/>
                <w:color w:val="auto"/>
                <w:highlight w:val="none"/>
              </w:rPr>
              <w:t>4、支持产科医生可同时查看产科病房病人列表与分娩中心病人列表，并选择病人开立药品、检查、检验、处置等类型医嘱，支持产科病房与分娩中心护士引入医嘱。支持分娩中心与产科病房计费，领药独立区分。以上演示项内容完整、操作简洁、系统顺畅的得2分；演示项内容较完整、操作较简洁、系统较顺畅的得1分；演示项内容不完整、操作繁琐、系统卡顿的得0.5分；不提供不得分。</w:t>
            </w:r>
          </w:p>
          <w:p w14:paraId="3F4CEB7A">
            <w:pPr>
              <w:rPr>
                <w:rFonts w:hint="eastAsia" w:ascii="宋体" w:hAnsi="宋体" w:eastAsia="宋体" w:cs="Times New Roman"/>
                <w:color w:val="auto"/>
                <w:highlight w:val="none"/>
              </w:rPr>
            </w:pPr>
            <w:r>
              <w:rPr>
                <w:rFonts w:hint="eastAsia" w:ascii="宋体" w:hAnsi="宋体" w:eastAsia="宋体" w:cs="Times New Roman"/>
                <w:color w:val="auto"/>
                <w:highlight w:val="none"/>
              </w:rPr>
              <w:t>5、针对特殊类药物（如</w:t>
            </w:r>
            <w:r>
              <w:rPr>
                <w:rFonts w:hint="eastAsia" w:ascii="宋体" w:hAnsi="宋体" w:cs="Times New Roman"/>
                <w:color w:val="auto"/>
                <w:highlight w:val="none"/>
                <w:lang w:eastAsia="zh-CN"/>
              </w:rPr>
              <w:t>：</w:t>
            </w:r>
            <w:r>
              <w:rPr>
                <w:rFonts w:hint="eastAsia" w:ascii="宋体" w:hAnsi="宋体" w:eastAsia="宋体" w:cs="Times New Roman"/>
                <w:color w:val="auto"/>
                <w:highlight w:val="none"/>
              </w:rPr>
              <w:t>胰岛素、抗凝药物等），避免长期注射同一部位导致肌肉出现硬块，在护士执行时，根据不同的药物能智能推荐注射部位，并可以通过不同颜色的标识来区分每个部位是否已注射过及注射次数等。以上演示项内容完整、操作简洁、系统顺畅的得2分；演示项内容较完整、操作较简洁、系统较顺畅的得1分；演示项内容不完整、操作繁琐、系统卡顿的得0.5分；不提供不得分。</w:t>
            </w:r>
          </w:p>
          <w:p w14:paraId="5AEF82DB">
            <w:pPr>
              <w:rPr>
                <w:rFonts w:hint="eastAsia" w:ascii="宋体" w:hAnsi="宋体" w:eastAsia="宋体" w:cs="Times New Roman"/>
                <w:color w:val="auto"/>
                <w:highlight w:val="none"/>
              </w:rPr>
            </w:pPr>
            <w:r>
              <w:rPr>
                <w:rFonts w:hint="eastAsia" w:ascii="宋体" w:hAnsi="宋体" w:eastAsia="宋体" w:cs="Times New Roman"/>
                <w:color w:val="auto"/>
                <w:highlight w:val="none"/>
              </w:rPr>
              <w:t>6、自然分娩登记管理，说明：为分娩室提供独立页面来处理分娩室自然分娩的相关业务，包括建立自然分娩患者列表查询、分娩期间计费、药品处方等业务功能。以上演示项内容完整、操作简洁、系统顺畅的得2分；演示项内容较完整、操作较简洁、系统较顺畅的得1分；演示项内容不完整、操作繁琐、系统卡顿的得0.5分；不提供不得分。</w:t>
            </w:r>
          </w:p>
          <w:p w14:paraId="5BBAADC0">
            <w:pPr>
              <w:rPr>
                <w:rFonts w:hint="eastAsia" w:ascii="宋体" w:hAnsi="宋体" w:eastAsia="宋体" w:cs="Times New Roman"/>
                <w:color w:val="auto"/>
                <w:highlight w:val="none"/>
              </w:rPr>
            </w:pPr>
            <w:r>
              <w:rPr>
                <w:rFonts w:hint="eastAsia" w:ascii="宋体" w:hAnsi="宋体" w:eastAsia="宋体" w:cs="Times New Roman"/>
                <w:color w:val="auto"/>
                <w:highlight w:val="none"/>
              </w:rPr>
              <w:t>7、应用功能配置:配置医院小程序应用功能库，包括功能名称、副标题、来源、描述、跳转路径及参数等，配置后在项目功能配置中选中配置至不同渠道小程序内；项目功能配置:配置项目微信、支付宝多渠道版本配置，包括设置功能开启状态、顺序、热点功能banner、业务模块配置；第三方接入配置：配置第三方小程序、H5服务，是否需要登录拦截、就诊人信息，免发版接入。以上演示项内容完整、操作简洁、系统顺畅的得2分；演示项内容较完整、操作较简洁、系统较顺畅的得1分；演示项内容不完整、操作繁琐、系统卡顿的得0.5分；不提供不得分。</w:t>
            </w:r>
          </w:p>
          <w:p w14:paraId="08161F9F">
            <w:pPr>
              <w:rPr>
                <w:rFonts w:hint="eastAsia" w:ascii="宋体" w:hAnsi="宋体" w:eastAsia="宋体" w:cs="Times New Roman"/>
                <w:color w:val="auto"/>
                <w:highlight w:val="none"/>
              </w:rPr>
            </w:pPr>
            <w:r>
              <w:rPr>
                <w:rFonts w:hint="eastAsia" w:ascii="宋体" w:hAnsi="宋体" w:eastAsia="宋体" w:cs="Times New Roman"/>
                <w:color w:val="auto"/>
                <w:highlight w:val="none"/>
              </w:rPr>
              <w:t>8、门诊医生站支持产检病历，支持产检病历保存自动生成门诊病历；支持同一页面支持查看妊娠风险评估和多胎录入；如果孕妇已建档，医生接诊时，孕妇基本情况会同步体现到产检病历中。以上演示项内容完整、操作简洁、系统顺畅的得2分；演示项内容较完整、操作较简洁、系统较顺畅的得1分；演示项内容不完整、操作繁琐、系统卡顿的得0.5分；不提供不得分。</w:t>
            </w:r>
          </w:p>
        </w:tc>
        <w:tc>
          <w:tcPr>
            <w:tcW w:w="489" w:type="pct"/>
            <w:vAlign w:val="center"/>
          </w:tcPr>
          <w:p w14:paraId="304B0B1F">
            <w:pPr>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16</w:t>
            </w:r>
          </w:p>
        </w:tc>
      </w:tr>
      <w:bookmarkEnd w:id="181"/>
    </w:tbl>
    <w:p w14:paraId="0AF995C0">
      <w:pPr>
        <w:pStyle w:val="131"/>
        <w:keepNext w:val="0"/>
        <w:keepLines w:val="0"/>
        <w:pageBreakBefore w:val="0"/>
        <w:kinsoku/>
        <w:wordWrap/>
        <w:overflowPunct/>
        <w:topLinePunct w:val="0"/>
        <w:bidi w:val="0"/>
        <w:adjustRightInd w:val="0"/>
        <w:snapToGrid w:val="0"/>
        <w:spacing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51分的，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1C126B3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DF4597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667C709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E5E2CCA">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23CEFC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EAFACD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15</w:t>
      </w:r>
    </w:p>
    <w:p w14:paraId="5AAA66BE">
      <w:pPr>
        <w:widowControl/>
        <w:adjustRightInd/>
        <w:jc w:val="both"/>
        <w:rPr>
          <w:rFonts w:hint="eastAsia" w:ascii="仿宋" w:hAnsi="仿宋" w:eastAsia="仿宋" w:cs="仿宋"/>
          <w:b/>
          <w:color w:val="auto"/>
          <w:sz w:val="36"/>
          <w:szCs w:val="20"/>
          <w:highlight w:val="none"/>
        </w:rPr>
      </w:pPr>
    </w:p>
    <w:p w14:paraId="491C765D">
      <w:pPr>
        <w:widowControl/>
        <w:adjustRightInd/>
        <w:jc w:val="center"/>
        <w:rPr>
          <w:rFonts w:hint="eastAsia" w:ascii="仿宋" w:hAnsi="仿宋" w:eastAsia="仿宋" w:cs="仿宋"/>
          <w:b/>
          <w:color w:val="auto"/>
          <w:sz w:val="36"/>
          <w:szCs w:val="20"/>
          <w:highlight w:val="none"/>
        </w:rPr>
      </w:pPr>
    </w:p>
    <w:p w14:paraId="79867120">
      <w:pPr>
        <w:widowControl/>
        <w:adjustRightInd/>
        <w:jc w:val="center"/>
        <w:rPr>
          <w:rFonts w:hint="eastAsia" w:ascii="仿宋" w:hAnsi="仿宋" w:eastAsia="仿宋" w:cs="仿宋"/>
          <w:b/>
          <w:color w:val="auto"/>
          <w:sz w:val="36"/>
          <w:szCs w:val="20"/>
          <w:highlight w:val="none"/>
        </w:rPr>
      </w:pPr>
    </w:p>
    <w:p w14:paraId="6E760A3D">
      <w:pPr>
        <w:widowControl/>
        <w:adjustRightInd/>
        <w:jc w:val="center"/>
        <w:rPr>
          <w:rFonts w:hint="eastAsia" w:ascii="仿宋" w:hAnsi="仿宋" w:eastAsia="仿宋" w:cs="仿宋"/>
          <w:b/>
          <w:color w:val="auto"/>
          <w:sz w:val="36"/>
          <w:szCs w:val="20"/>
          <w:highlight w:val="none"/>
        </w:rPr>
      </w:pPr>
    </w:p>
    <w:p w14:paraId="7FAEA9DD">
      <w:pPr>
        <w:widowControl/>
        <w:adjustRightInd/>
        <w:jc w:val="center"/>
        <w:rPr>
          <w:rFonts w:hint="eastAsia" w:ascii="仿宋" w:hAnsi="仿宋" w:eastAsia="仿宋" w:cs="仿宋"/>
          <w:b/>
          <w:color w:val="auto"/>
          <w:sz w:val="36"/>
          <w:szCs w:val="20"/>
          <w:highlight w:val="none"/>
        </w:rPr>
      </w:pPr>
    </w:p>
    <w:p w14:paraId="6B0887E7">
      <w:pPr>
        <w:widowControl/>
        <w:adjustRightInd/>
        <w:jc w:val="center"/>
        <w:rPr>
          <w:rFonts w:hint="eastAsia" w:ascii="仿宋" w:hAnsi="仿宋" w:eastAsia="仿宋" w:cs="仿宋"/>
          <w:b/>
          <w:color w:val="auto"/>
          <w:sz w:val="36"/>
          <w:szCs w:val="20"/>
          <w:highlight w:val="none"/>
        </w:rPr>
      </w:pPr>
    </w:p>
    <w:p w14:paraId="2F2194A2">
      <w:pPr>
        <w:widowControl/>
        <w:adjustRightInd/>
        <w:jc w:val="center"/>
        <w:rPr>
          <w:rFonts w:hint="eastAsia" w:ascii="仿宋" w:hAnsi="仿宋" w:eastAsia="仿宋" w:cs="仿宋"/>
          <w:b/>
          <w:color w:val="auto"/>
          <w:sz w:val="36"/>
          <w:szCs w:val="20"/>
          <w:highlight w:val="none"/>
        </w:rPr>
      </w:pPr>
    </w:p>
    <w:p w14:paraId="34842BC2">
      <w:pPr>
        <w:widowControl/>
        <w:adjustRightInd/>
        <w:jc w:val="center"/>
        <w:rPr>
          <w:rFonts w:hint="eastAsia" w:ascii="仿宋" w:hAnsi="仿宋" w:eastAsia="仿宋" w:cs="仿宋"/>
          <w:b/>
          <w:color w:val="auto"/>
          <w:sz w:val="36"/>
          <w:szCs w:val="20"/>
          <w:highlight w:val="none"/>
        </w:rPr>
      </w:pPr>
    </w:p>
    <w:p w14:paraId="08307E48">
      <w:pPr>
        <w:widowControl/>
        <w:adjustRightInd/>
        <w:jc w:val="center"/>
        <w:rPr>
          <w:rFonts w:hint="eastAsia" w:ascii="仿宋" w:hAnsi="仿宋" w:eastAsia="仿宋" w:cs="仿宋"/>
          <w:b/>
          <w:color w:val="auto"/>
          <w:sz w:val="36"/>
          <w:szCs w:val="20"/>
          <w:highlight w:val="none"/>
        </w:rPr>
      </w:pPr>
    </w:p>
    <w:p w14:paraId="4D1FE97B">
      <w:pPr>
        <w:widowControl/>
        <w:adjustRightInd/>
        <w:jc w:val="center"/>
        <w:rPr>
          <w:rFonts w:hint="eastAsia" w:ascii="仿宋" w:hAnsi="仿宋" w:eastAsia="仿宋" w:cs="仿宋"/>
          <w:b/>
          <w:color w:val="auto"/>
          <w:sz w:val="36"/>
          <w:szCs w:val="20"/>
          <w:highlight w:val="none"/>
        </w:rPr>
      </w:pPr>
    </w:p>
    <w:p w14:paraId="02EC83ED">
      <w:pPr>
        <w:widowControl/>
        <w:adjustRightInd/>
        <w:jc w:val="center"/>
        <w:rPr>
          <w:rFonts w:hint="eastAsia" w:ascii="仿宋" w:hAnsi="仿宋" w:eastAsia="仿宋" w:cs="仿宋"/>
          <w:b/>
          <w:color w:val="auto"/>
          <w:sz w:val="36"/>
          <w:szCs w:val="20"/>
          <w:highlight w:val="none"/>
        </w:rPr>
      </w:pPr>
    </w:p>
    <w:p w14:paraId="49D3679E">
      <w:pPr>
        <w:widowControl/>
        <w:adjustRightInd/>
        <w:jc w:val="center"/>
        <w:rPr>
          <w:rFonts w:hint="eastAsia" w:ascii="仿宋" w:hAnsi="仿宋" w:eastAsia="仿宋" w:cs="仿宋"/>
          <w:b/>
          <w:color w:val="auto"/>
          <w:sz w:val="36"/>
          <w:szCs w:val="20"/>
          <w:highlight w:val="none"/>
        </w:rPr>
      </w:pPr>
    </w:p>
    <w:p w14:paraId="703E68A3">
      <w:pPr>
        <w:widowControl/>
        <w:adjustRightInd/>
        <w:jc w:val="center"/>
        <w:rPr>
          <w:rFonts w:hint="eastAsia" w:ascii="仿宋" w:hAnsi="仿宋" w:eastAsia="仿宋" w:cs="仿宋"/>
          <w:b/>
          <w:color w:val="auto"/>
          <w:sz w:val="36"/>
          <w:szCs w:val="20"/>
          <w:highlight w:val="none"/>
        </w:rPr>
      </w:pPr>
    </w:p>
    <w:p w14:paraId="160587EC">
      <w:pPr>
        <w:widowControl/>
        <w:adjustRightInd/>
        <w:jc w:val="center"/>
        <w:rPr>
          <w:rFonts w:hint="eastAsia" w:ascii="仿宋" w:hAnsi="仿宋" w:eastAsia="仿宋" w:cs="仿宋"/>
          <w:b/>
          <w:color w:val="auto"/>
          <w:sz w:val="36"/>
          <w:szCs w:val="20"/>
          <w:highlight w:val="none"/>
        </w:rPr>
      </w:pPr>
    </w:p>
    <w:p w14:paraId="37B73533">
      <w:pPr>
        <w:widowControl/>
        <w:adjustRightInd/>
        <w:jc w:val="center"/>
        <w:rPr>
          <w:rFonts w:hint="eastAsia" w:ascii="仿宋" w:hAnsi="仿宋" w:eastAsia="仿宋" w:cs="仿宋"/>
          <w:b/>
          <w:color w:val="auto"/>
          <w:sz w:val="36"/>
          <w:szCs w:val="20"/>
          <w:highlight w:val="none"/>
        </w:rPr>
      </w:pPr>
    </w:p>
    <w:p w14:paraId="3C9BB30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4"/>
      <w:r>
        <w:rPr>
          <w:rFonts w:hint="eastAsia" w:ascii="仿宋" w:hAnsi="仿宋" w:eastAsia="仿宋" w:cs="仿宋"/>
          <w:b/>
          <w:color w:val="auto"/>
          <w:sz w:val="36"/>
          <w:szCs w:val="20"/>
          <w:highlight w:val="none"/>
        </w:rPr>
        <w:t xml:space="preserve"> </w:t>
      </w:r>
      <w:bookmarkEnd w:id="45"/>
      <w:r>
        <w:rPr>
          <w:rFonts w:hint="eastAsia" w:ascii="仿宋" w:hAnsi="仿宋" w:eastAsia="仿宋" w:cs="仿宋"/>
          <w:b/>
          <w:color w:val="auto"/>
          <w:sz w:val="36"/>
          <w:szCs w:val="20"/>
          <w:highlight w:val="none"/>
        </w:rPr>
        <w:t>投标文件及其附件格式</w:t>
      </w:r>
    </w:p>
    <w:p w14:paraId="6509DB1C">
      <w:pPr>
        <w:spacing w:line="360" w:lineRule="auto"/>
        <w:jc w:val="center"/>
        <w:outlineLvl w:val="0"/>
        <w:rPr>
          <w:rFonts w:hint="eastAsia" w:ascii="仿宋" w:hAnsi="仿宋" w:eastAsia="仿宋" w:cs="仿宋"/>
          <w:b/>
          <w:color w:val="auto"/>
          <w:kern w:val="0"/>
          <w:sz w:val="36"/>
          <w:szCs w:val="36"/>
          <w:highlight w:val="none"/>
        </w:rPr>
      </w:pPr>
    </w:p>
    <w:p w14:paraId="7D79751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980566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41FCB18">
      <w:pPr>
        <w:spacing w:line="360" w:lineRule="auto"/>
        <w:jc w:val="center"/>
        <w:outlineLvl w:val="0"/>
        <w:rPr>
          <w:rFonts w:hint="eastAsia" w:ascii="仿宋" w:hAnsi="仿宋" w:eastAsia="仿宋" w:cs="仿宋"/>
          <w:b/>
          <w:color w:val="auto"/>
          <w:kern w:val="0"/>
          <w:sz w:val="36"/>
          <w:szCs w:val="36"/>
          <w:highlight w:val="none"/>
        </w:rPr>
      </w:pPr>
    </w:p>
    <w:p w14:paraId="77A759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7D84C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4F1BC20">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A84187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E3686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2871390">
      <w:pPr>
        <w:snapToGrid w:val="0"/>
        <w:spacing w:line="360" w:lineRule="auto"/>
        <w:ind w:firstLine="480" w:firstLineChars="200"/>
        <w:rPr>
          <w:rFonts w:hint="eastAsia" w:ascii="仿宋" w:hAnsi="仿宋" w:eastAsia="仿宋" w:cs="仿宋"/>
          <w:color w:val="auto"/>
          <w:sz w:val="24"/>
          <w:highlight w:val="none"/>
        </w:rPr>
      </w:pPr>
    </w:p>
    <w:p w14:paraId="4DDC010F">
      <w:pPr>
        <w:spacing w:line="360" w:lineRule="auto"/>
        <w:ind w:firstLine="480" w:firstLineChars="200"/>
        <w:rPr>
          <w:rFonts w:hint="eastAsia" w:ascii="仿宋" w:hAnsi="仿宋" w:eastAsia="仿宋" w:cs="仿宋"/>
          <w:color w:val="auto"/>
          <w:sz w:val="24"/>
          <w:highlight w:val="none"/>
        </w:rPr>
      </w:pPr>
    </w:p>
    <w:p w14:paraId="34DA043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C8B4D2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B1DBBF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65487E7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F494A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CE13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2005EE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FAF1F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8C04AA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0CC7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53E524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02C27D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16459D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3B3998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87E99CD">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84EA6C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5CE3F7">
      <w:pPr>
        <w:snapToGrid w:val="0"/>
        <w:spacing w:line="360" w:lineRule="auto"/>
        <w:ind w:right="480"/>
        <w:jc w:val="center"/>
        <w:rPr>
          <w:rFonts w:hint="eastAsia" w:ascii="仿宋" w:hAnsi="仿宋" w:eastAsia="仿宋" w:cs="仿宋"/>
          <w:b/>
          <w:color w:val="auto"/>
          <w:kern w:val="0"/>
          <w:sz w:val="32"/>
          <w:szCs w:val="32"/>
          <w:highlight w:val="none"/>
        </w:rPr>
      </w:pPr>
    </w:p>
    <w:p w14:paraId="417A6279">
      <w:pPr>
        <w:snapToGrid w:val="0"/>
        <w:spacing w:line="360" w:lineRule="auto"/>
        <w:ind w:right="480"/>
        <w:jc w:val="center"/>
        <w:rPr>
          <w:rFonts w:hint="eastAsia" w:ascii="仿宋" w:hAnsi="仿宋" w:eastAsia="仿宋" w:cs="仿宋"/>
          <w:b/>
          <w:color w:val="auto"/>
          <w:kern w:val="0"/>
          <w:sz w:val="32"/>
          <w:szCs w:val="32"/>
          <w:highlight w:val="none"/>
        </w:rPr>
      </w:pPr>
    </w:p>
    <w:p w14:paraId="323B6BD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A516506">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B11B90A">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0962259">
      <w:pPr>
        <w:snapToGrid w:val="0"/>
        <w:spacing w:line="360" w:lineRule="auto"/>
        <w:ind w:right="480"/>
        <w:jc w:val="center"/>
        <w:rPr>
          <w:rFonts w:hint="eastAsia" w:ascii="仿宋" w:hAnsi="仿宋" w:eastAsia="仿宋" w:cs="仿宋"/>
          <w:b/>
          <w:color w:val="auto"/>
          <w:kern w:val="0"/>
          <w:sz w:val="32"/>
          <w:szCs w:val="32"/>
          <w:highlight w:val="none"/>
        </w:rPr>
      </w:pPr>
    </w:p>
    <w:p w14:paraId="633745C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380171C">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1E767F">
      <w:pPr>
        <w:snapToGrid w:val="0"/>
        <w:spacing w:line="360" w:lineRule="auto"/>
        <w:ind w:right="480"/>
        <w:jc w:val="center"/>
        <w:rPr>
          <w:rFonts w:hint="eastAsia" w:ascii="仿宋" w:hAnsi="仿宋" w:eastAsia="仿宋" w:cs="仿宋"/>
          <w:b/>
          <w:color w:val="auto"/>
          <w:kern w:val="0"/>
          <w:sz w:val="32"/>
          <w:szCs w:val="32"/>
          <w:highlight w:val="none"/>
        </w:rPr>
      </w:pPr>
    </w:p>
    <w:p w14:paraId="38641C2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824E1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94FBFF2">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7EFD7D6">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E1CE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67BABC">
      <w:pPr>
        <w:widowControl/>
        <w:spacing w:line="360" w:lineRule="auto"/>
        <w:ind w:left="150"/>
        <w:jc w:val="center"/>
        <w:rPr>
          <w:rFonts w:hint="eastAsia" w:ascii="仿宋" w:hAnsi="仿宋" w:eastAsia="仿宋" w:cs="仿宋"/>
          <w:b/>
          <w:color w:val="auto"/>
          <w:kern w:val="0"/>
          <w:sz w:val="32"/>
          <w:szCs w:val="32"/>
          <w:highlight w:val="none"/>
        </w:rPr>
      </w:pPr>
    </w:p>
    <w:p w14:paraId="1A5C9B19">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2B0F7D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58FCA3E">
      <w:pPr>
        <w:spacing w:line="360" w:lineRule="auto"/>
        <w:jc w:val="center"/>
        <w:outlineLvl w:val="0"/>
        <w:rPr>
          <w:rFonts w:hint="eastAsia" w:ascii="仿宋" w:hAnsi="仿宋" w:eastAsia="仿宋" w:cs="仿宋"/>
          <w:b/>
          <w:color w:val="auto"/>
          <w:kern w:val="0"/>
          <w:sz w:val="24"/>
          <w:highlight w:val="none"/>
        </w:rPr>
      </w:pPr>
    </w:p>
    <w:p w14:paraId="5EE8D5E3">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859B8B">
      <w:pPr>
        <w:spacing w:line="336" w:lineRule="auto"/>
        <w:jc w:val="center"/>
        <w:outlineLvl w:val="0"/>
        <w:rPr>
          <w:rFonts w:ascii="仿宋" w:hAnsi="仿宋" w:eastAsia="仿宋" w:cs="仿宋"/>
          <w:b/>
          <w:color w:val="auto"/>
          <w:kern w:val="0"/>
          <w:sz w:val="24"/>
          <w:highlight w:val="none"/>
        </w:rPr>
      </w:pPr>
    </w:p>
    <w:p w14:paraId="1F5D2FB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2343540">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934C507">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6D73E8A">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840B0BC">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3C23DB9">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330BDD0">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1D8E007">
      <w:pPr>
        <w:pStyle w:val="905"/>
        <w:numPr>
          <w:ilvl w:val="0"/>
          <w:numId w:val="6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58A337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10CBEF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7E68EC">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3D4C8E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2788E6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45CA0F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34A25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947D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19292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ED33C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5680DD">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6F1FB8">
      <w:pPr>
        <w:snapToGrid w:val="0"/>
        <w:spacing w:line="360" w:lineRule="auto"/>
        <w:jc w:val="center"/>
        <w:rPr>
          <w:rFonts w:hint="eastAsia" w:ascii="仿宋" w:hAnsi="仿宋" w:eastAsia="仿宋" w:cs="仿宋"/>
          <w:b/>
          <w:color w:val="auto"/>
          <w:kern w:val="0"/>
          <w:sz w:val="32"/>
          <w:szCs w:val="32"/>
          <w:highlight w:val="none"/>
          <w:lang w:val="zh-CN"/>
        </w:rPr>
      </w:pPr>
    </w:p>
    <w:p w14:paraId="3720FF71">
      <w:pPr>
        <w:snapToGrid w:val="0"/>
        <w:spacing w:line="360" w:lineRule="auto"/>
        <w:jc w:val="center"/>
        <w:rPr>
          <w:rFonts w:hint="eastAsia" w:ascii="仿宋" w:hAnsi="仿宋" w:eastAsia="仿宋" w:cs="仿宋"/>
          <w:b/>
          <w:color w:val="auto"/>
          <w:kern w:val="0"/>
          <w:sz w:val="32"/>
          <w:szCs w:val="32"/>
          <w:highlight w:val="none"/>
          <w:lang w:val="zh-CN"/>
        </w:rPr>
      </w:pPr>
    </w:p>
    <w:p w14:paraId="7B44D5B6">
      <w:pPr>
        <w:snapToGrid w:val="0"/>
        <w:spacing w:line="360" w:lineRule="auto"/>
        <w:jc w:val="center"/>
        <w:rPr>
          <w:rFonts w:hint="eastAsia" w:ascii="仿宋" w:hAnsi="仿宋" w:eastAsia="仿宋" w:cs="仿宋"/>
          <w:b/>
          <w:color w:val="auto"/>
          <w:kern w:val="0"/>
          <w:sz w:val="32"/>
          <w:szCs w:val="32"/>
          <w:highlight w:val="none"/>
          <w:lang w:val="zh-CN"/>
        </w:rPr>
      </w:pPr>
    </w:p>
    <w:p w14:paraId="2FD33526">
      <w:pPr>
        <w:snapToGrid w:val="0"/>
        <w:spacing w:line="360" w:lineRule="auto"/>
        <w:jc w:val="both"/>
        <w:rPr>
          <w:rFonts w:hint="eastAsia" w:ascii="仿宋" w:hAnsi="仿宋" w:eastAsia="仿宋" w:cs="仿宋"/>
          <w:b/>
          <w:color w:val="auto"/>
          <w:kern w:val="0"/>
          <w:sz w:val="32"/>
          <w:szCs w:val="32"/>
          <w:highlight w:val="none"/>
          <w:lang w:val="zh-CN"/>
        </w:rPr>
      </w:pPr>
    </w:p>
    <w:p w14:paraId="5D9BD3C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A6C77B">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809EA1C">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D71E02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30D10D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DBE3EEB">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24C157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D82B12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1D78D37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72CBAF8">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99912C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2C2C82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60235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5C9683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8C9F3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1B7A31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92EE2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D1D83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1DDF8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C27A9F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D7C2C4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D8D32A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667D80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02B5A9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CD8AC9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EB29068">
      <w:pPr>
        <w:jc w:val="center"/>
        <w:rPr>
          <w:rFonts w:hint="eastAsia" w:ascii="仿宋" w:hAnsi="仿宋" w:eastAsia="仿宋" w:cs="仿宋"/>
          <w:b/>
          <w:color w:val="auto"/>
          <w:sz w:val="24"/>
          <w:highlight w:val="none"/>
        </w:rPr>
      </w:pPr>
    </w:p>
    <w:p w14:paraId="63F7876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58C9D8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06CF6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D1BCB4B">
      <w:pPr>
        <w:snapToGrid w:val="0"/>
        <w:spacing w:line="600" w:lineRule="exact"/>
        <w:jc w:val="left"/>
        <w:rPr>
          <w:rFonts w:hint="eastAsia" w:ascii="仿宋" w:hAnsi="仿宋" w:eastAsia="仿宋" w:cs="仿宋"/>
          <w:color w:val="auto"/>
          <w:sz w:val="24"/>
          <w:highlight w:val="none"/>
        </w:rPr>
      </w:pPr>
    </w:p>
    <w:p w14:paraId="2B59E59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74EFB56">
      <w:pPr>
        <w:spacing w:line="360" w:lineRule="exact"/>
        <w:rPr>
          <w:rFonts w:hint="eastAsia" w:ascii="仿宋" w:hAnsi="仿宋" w:eastAsia="仿宋" w:cs="仿宋"/>
          <w:color w:val="auto"/>
          <w:sz w:val="24"/>
          <w:highlight w:val="none"/>
        </w:rPr>
      </w:pPr>
    </w:p>
    <w:p w14:paraId="070ECA8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94B93F">
      <w:pPr>
        <w:spacing w:line="360" w:lineRule="exact"/>
        <w:rPr>
          <w:rFonts w:hint="eastAsia" w:ascii="仿宋" w:hAnsi="仿宋" w:eastAsia="仿宋" w:cs="仿宋"/>
          <w:color w:val="auto"/>
          <w:sz w:val="24"/>
          <w:highlight w:val="none"/>
        </w:rPr>
      </w:pPr>
    </w:p>
    <w:p w14:paraId="3FEF578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AD888A">
      <w:pPr>
        <w:spacing w:line="360" w:lineRule="exact"/>
        <w:rPr>
          <w:rFonts w:hint="eastAsia" w:ascii="仿宋" w:hAnsi="仿宋" w:eastAsia="仿宋" w:cs="仿宋"/>
          <w:color w:val="auto"/>
          <w:sz w:val="24"/>
          <w:highlight w:val="none"/>
        </w:rPr>
      </w:pPr>
    </w:p>
    <w:p w14:paraId="255201AB">
      <w:pPr>
        <w:spacing w:line="360" w:lineRule="exact"/>
        <w:rPr>
          <w:rFonts w:hint="eastAsia" w:ascii="仿宋" w:hAnsi="仿宋" w:eastAsia="仿宋" w:cs="仿宋"/>
          <w:color w:val="auto"/>
          <w:sz w:val="24"/>
          <w:highlight w:val="none"/>
        </w:rPr>
      </w:pPr>
    </w:p>
    <w:p w14:paraId="6EF6873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F1F6A88">
      <w:pPr>
        <w:spacing w:line="360" w:lineRule="exact"/>
        <w:rPr>
          <w:rFonts w:hint="eastAsia" w:ascii="仿宋" w:hAnsi="仿宋" w:eastAsia="仿宋" w:cs="仿宋"/>
          <w:color w:val="auto"/>
          <w:sz w:val="24"/>
          <w:highlight w:val="none"/>
        </w:rPr>
      </w:pPr>
    </w:p>
    <w:p w14:paraId="29F3ADD1">
      <w:pPr>
        <w:spacing w:line="360" w:lineRule="exact"/>
        <w:rPr>
          <w:rFonts w:hint="eastAsia" w:ascii="仿宋" w:hAnsi="仿宋" w:eastAsia="仿宋" w:cs="仿宋"/>
          <w:color w:val="auto"/>
          <w:sz w:val="24"/>
          <w:highlight w:val="none"/>
        </w:rPr>
      </w:pPr>
    </w:p>
    <w:p w14:paraId="4D1ED92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84365C">
      <w:pPr>
        <w:spacing w:line="360" w:lineRule="exact"/>
        <w:rPr>
          <w:rFonts w:hint="eastAsia" w:ascii="仿宋" w:hAnsi="仿宋" w:eastAsia="仿宋" w:cs="仿宋"/>
          <w:color w:val="auto"/>
          <w:sz w:val="24"/>
          <w:highlight w:val="none"/>
        </w:rPr>
      </w:pPr>
    </w:p>
    <w:p w14:paraId="23DB675D">
      <w:pPr>
        <w:spacing w:line="360" w:lineRule="exact"/>
        <w:rPr>
          <w:rFonts w:hint="eastAsia" w:ascii="仿宋" w:hAnsi="仿宋" w:eastAsia="仿宋" w:cs="仿宋"/>
          <w:color w:val="auto"/>
          <w:sz w:val="24"/>
          <w:highlight w:val="none"/>
        </w:rPr>
      </w:pPr>
    </w:p>
    <w:p w14:paraId="1594A82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CECC965">
      <w:pPr>
        <w:ind w:firstLine="4920" w:firstLineChars="2050"/>
        <w:jc w:val="left"/>
        <w:rPr>
          <w:rFonts w:hint="eastAsia" w:ascii="仿宋" w:hAnsi="仿宋" w:eastAsia="仿宋" w:cs="仿宋"/>
          <w:color w:val="auto"/>
          <w:sz w:val="24"/>
          <w:highlight w:val="none"/>
        </w:rPr>
      </w:pPr>
    </w:p>
    <w:p w14:paraId="786C896C">
      <w:pPr>
        <w:spacing w:line="800" w:lineRule="exact"/>
        <w:rPr>
          <w:rFonts w:hint="eastAsia" w:ascii="仿宋" w:hAnsi="仿宋" w:eastAsia="仿宋" w:cs="仿宋"/>
          <w:b/>
          <w:color w:val="auto"/>
          <w:sz w:val="24"/>
          <w:highlight w:val="none"/>
        </w:rPr>
      </w:pPr>
    </w:p>
    <w:p w14:paraId="79D16FBC">
      <w:pPr>
        <w:spacing w:line="800" w:lineRule="exact"/>
        <w:rPr>
          <w:rFonts w:hint="eastAsia" w:ascii="仿宋" w:hAnsi="仿宋" w:eastAsia="仿宋" w:cs="仿宋"/>
          <w:b/>
          <w:color w:val="auto"/>
          <w:sz w:val="24"/>
          <w:highlight w:val="none"/>
        </w:rPr>
      </w:pPr>
    </w:p>
    <w:p w14:paraId="1ABB53A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D61AE02">
      <w:pPr>
        <w:jc w:val="center"/>
        <w:rPr>
          <w:rFonts w:hint="eastAsia" w:ascii="仿宋" w:hAnsi="仿宋" w:eastAsia="仿宋" w:cs="仿宋"/>
          <w:b/>
          <w:color w:val="auto"/>
          <w:sz w:val="24"/>
          <w:highlight w:val="none"/>
        </w:rPr>
      </w:pPr>
    </w:p>
    <w:p w14:paraId="2C500D8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4BEFCF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8182D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FA773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4905EF8">
      <w:pPr>
        <w:snapToGrid w:val="0"/>
        <w:spacing w:line="600" w:lineRule="exact"/>
        <w:jc w:val="left"/>
        <w:rPr>
          <w:rFonts w:hint="eastAsia" w:ascii="仿宋" w:hAnsi="仿宋" w:eastAsia="仿宋" w:cs="仿宋"/>
          <w:color w:val="auto"/>
          <w:sz w:val="24"/>
          <w:highlight w:val="none"/>
        </w:rPr>
      </w:pPr>
    </w:p>
    <w:p w14:paraId="7884CAA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661B1B0">
      <w:pPr>
        <w:spacing w:line="360" w:lineRule="exact"/>
        <w:rPr>
          <w:rFonts w:hint="eastAsia" w:ascii="仿宋" w:hAnsi="仿宋" w:eastAsia="仿宋" w:cs="仿宋"/>
          <w:color w:val="auto"/>
          <w:sz w:val="24"/>
          <w:highlight w:val="none"/>
        </w:rPr>
      </w:pPr>
    </w:p>
    <w:p w14:paraId="3D017DE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CDA279">
      <w:pPr>
        <w:spacing w:line="360" w:lineRule="exact"/>
        <w:rPr>
          <w:rFonts w:hint="eastAsia" w:ascii="仿宋" w:hAnsi="仿宋" w:eastAsia="仿宋" w:cs="仿宋"/>
          <w:color w:val="auto"/>
          <w:sz w:val="24"/>
          <w:highlight w:val="none"/>
        </w:rPr>
      </w:pPr>
    </w:p>
    <w:p w14:paraId="785DCFC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398A85A">
      <w:pPr>
        <w:spacing w:line="360" w:lineRule="exact"/>
        <w:rPr>
          <w:rFonts w:hint="eastAsia" w:ascii="仿宋" w:hAnsi="仿宋" w:eastAsia="仿宋" w:cs="仿宋"/>
          <w:color w:val="auto"/>
          <w:sz w:val="24"/>
          <w:highlight w:val="none"/>
        </w:rPr>
      </w:pPr>
    </w:p>
    <w:p w14:paraId="5FCAD49C">
      <w:pPr>
        <w:spacing w:line="360" w:lineRule="exact"/>
        <w:rPr>
          <w:rFonts w:hint="eastAsia" w:ascii="仿宋" w:hAnsi="仿宋" w:eastAsia="仿宋" w:cs="仿宋"/>
          <w:color w:val="auto"/>
          <w:sz w:val="24"/>
          <w:highlight w:val="none"/>
        </w:rPr>
      </w:pPr>
    </w:p>
    <w:p w14:paraId="516ECDBF">
      <w:pPr>
        <w:jc w:val="center"/>
        <w:rPr>
          <w:rFonts w:hint="eastAsia" w:ascii="仿宋" w:hAnsi="仿宋" w:eastAsia="仿宋" w:cs="仿宋"/>
          <w:b/>
          <w:color w:val="auto"/>
          <w:kern w:val="0"/>
          <w:sz w:val="32"/>
          <w:szCs w:val="32"/>
          <w:highlight w:val="none"/>
        </w:rPr>
      </w:pPr>
    </w:p>
    <w:p w14:paraId="26758BB7">
      <w:pPr>
        <w:rPr>
          <w:rFonts w:hint="eastAsia" w:ascii="仿宋" w:hAnsi="仿宋" w:eastAsia="仿宋" w:cs="仿宋"/>
          <w:color w:val="auto"/>
          <w:highlight w:val="none"/>
        </w:rPr>
      </w:pPr>
    </w:p>
    <w:p w14:paraId="10DDA86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886C9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85738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9020CB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9822A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521165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DBB864C">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D7A31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C9B7C1B">
      <w:pPr>
        <w:spacing w:line="800" w:lineRule="exact"/>
        <w:rPr>
          <w:rFonts w:hint="eastAsia" w:ascii="仿宋" w:hAnsi="仿宋" w:eastAsia="仿宋" w:cs="仿宋"/>
          <w:b/>
          <w:color w:val="auto"/>
          <w:sz w:val="24"/>
          <w:highlight w:val="none"/>
        </w:rPr>
      </w:pPr>
    </w:p>
    <w:p w14:paraId="5ABC836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33BEA88">
      <w:pPr>
        <w:spacing w:line="800" w:lineRule="exact"/>
        <w:rPr>
          <w:rFonts w:hint="eastAsia" w:ascii="仿宋" w:hAnsi="仿宋" w:eastAsia="仿宋" w:cs="仿宋"/>
          <w:b/>
          <w:color w:val="auto"/>
          <w:sz w:val="24"/>
          <w:highlight w:val="none"/>
        </w:rPr>
      </w:pPr>
    </w:p>
    <w:p w14:paraId="4078722E">
      <w:pPr>
        <w:spacing w:line="800" w:lineRule="exact"/>
        <w:rPr>
          <w:rFonts w:hint="eastAsia" w:ascii="仿宋" w:hAnsi="仿宋" w:eastAsia="仿宋" w:cs="仿宋"/>
          <w:b/>
          <w:color w:val="auto"/>
          <w:sz w:val="24"/>
          <w:highlight w:val="none"/>
        </w:rPr>
      </w:pPr>
    </w:p>
    <w:p w14:paraId="6DDB7FAC">
      <w:pPr>
        <w:spacing w:line="800" w:lineRule="exact"/>
        <w:jc w:val="center"/>
        <w:rPr>
          <w:rFonts w:hint="eastAsia" w:ascii="仿宋" w:hAnsi="仿宋" w:eastAsia="仿宋" w:cs="仿宋"/>
          <w:b/>
          <w:color w:val="auto"/>
          <w:sz w:val="30"/>
          <w:szCs w:val="30"/>
          <w:highlight w:val="none"/>
          <w:lang w:val="en-US" w:eastAsia="zh-CN"/>
        </w:rPr>
      </w:pPr>
    </w:p>
    <w:p w14:paraId="0ABE04FA">
      <w:pPr>
        <w:spacing w:line="800" w:lineRule="exact"/>
        <w:jc w:val="center"/>
        <w:rPr>
          <w:rFonts w:hint="eastAsia" w:ascii="仿宋" w:hAnsi="仿宋" w:eastAsia="仿宋" w:cs="仿宋"/>
          <w:b/>
          <w:color w:val="auto"/>
          <w:sz w:val="30"/>
          <w:szCs w:val="30"/>
          <w:highlight w:val="none"/>
          <w:lang w:val="en-US" w:eastAsia="zh-CN"/>
        </w:rPr>
      </w:pPr>
    </w:p>
    <w:p w14:paraId="4D1ACEB9">
      <w:pPr>
        <w:spacing w:line="800" w:lineRule="exact"/>
        <w:jc w:val="center"/>
        <w:rPr>
          <w:rFonts w:hint="eastAsia" w:ascii="仿宋" w:hAnsi="仿宋" w:eastAsia="仿宋" w:cs="仿宋"/>
          <w:b/>
          <w:color w:val="auto"/>
          <w:sz w:val="30"/>
          <w:szCs w:val="30"/>
          <w:highlight w:val="none"/>
          <w:lang w:val="en-US" w:eastAsia="zh-CN"/>
        </w:rPr>
      </w:pPr>
    </w:p>
    <w:p w14:paraId="304F1BB2">
      <w:pPr>
        <w:spacing w:line="800" w:lineRule="exact"/>
        <w:jc w:val="center"/>
        <w:rPr>
          <w:rFonts w:hint="eastAsia" w:ascii="仿宋" w:hAnsi="仿宋" w:eastAsia="仿宋" w:cs="仿宋"/>
          <w:b/>
          <w:color w:val="auto"/>
          <w:sz w:val="30"/>
          <w:szCs w:val="30"/>
          <w:highlight w:val="none"/>
          <w:lang w:val="en-US" w:eastAsia="zh-CN"/>
        </w:rPr>
      </w:pPr>
    </w:p>
    <w:p w14:paraId="184A52AB">
      <w:pPr>
        <w:spacing w:line="800" w:lineRule="exact"/>
        <w:jc w:val="center"/>
        <w:rPr>
          <w:rFonts w:hint="eastAsia" w:ascii="仿宋" w:hAnsi="仿宋" w:eastAsia="仿宋" w:cs="仿宋"/>
          <w:b/>
          <w:color w:val="auto"/>
          <w:sz w:val="30"/>
          <w:szCs w:val="30"/>
          <w:highlight w:val="none"/>
          <w:lang w:val="en-US" w:eastAsia="zh-CN"/>
        </w:rPr>
      </w:pPr>
    </w:p>
    <w:p w14:paraId="47CCC621">
      <w:pPr>
        <w:spacing w:line="800" w:lineRule="exact"/>
        <w:jc w:val="center"/>
        <w:rPr>
          <w:rFonts w:hint="eastAsia" w:ascii="仿宋" w:hAnsi="仿宋" w:eastAsia="仿宋" w:cs="仿宋"/>
          <w:b/>
          <w:color w:val="auto"/>
          <w:sz w:val="30"/>
          <w:szCs w:val="30"/>
          <w:highlight w:val="none"/>
          <w:lang w:val="en-US" w:eastAsia="zh-CN"/>
        </w:rPr>
      </w:pPr>
    </w:p>
    <w:p w14:paraId="64A1363E">
      <w:pPr>
        <w:spacing w:line="800" w:lineRule="exact"/>
        <w:jc w:val="center"/>
        <w:rPr>
          <w:rFonts w:hint="eastAsia" w:ascii="仿宋" w:hAnsi="仿宋" w:eastAsia="仿宋" w:cs="仿宋"/>
          <w:b/>
          <w:color w:val="auto"/>
          <w:sz w:val="30"/>
          <w:szCs w:val="30"/>
          <w:highlight w:val="none"/>
          <w:lang w:val="en-US" w:eastAsia="zh-CN"/>
        </w:rPr>
      </w:pPr>
    </w:p>
    <w:p w14:paraId="33259897">
      <w:pPr>
        <w:spacing w:line="800" w:lineRule="exact"/>
        <w:jc w:val="center"/>
        <w:rPr>
          <w:rFonts w:hint="eastAsia" w:ascii="仿宋" w:hAnsi="仿宋" w:eastAsia="仿宋" w:cs="仿宋"/>
          <w:b/>
          <w:color w:val="auto"/>
          <w:sz w:val="30"/>
          <w:szCs w:val="30"/>
          <w:highlight w:val="none"/>
          <w:lang w:val="en-US" w:eastAsia="zh-CN"/>
        </w:rPr>
      </w:pPr>
    </w:p>
    <w:p w14:paraId="2437C83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782E62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C658F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4021E1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FBF90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A4B22B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9D6E4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A3CC7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065475">
      <w:pPr>
        <w:spacing w:line="440" w:lineRule="exact"/>
        <w:rPr>
          <w:rFonts w:hint="eastAsia" w:ascii="仿宋" w:hAnsi="仿宋" w:eastAsia="仿宋" w:cs="仿宋"/>
          <w:color w:val="auto"/>
          <w:sz w:val="24"/>
          <w:highlight w:val="none"/>
        </w:rPr>
      </w:pPr>
    </w:p>
    <w:p w14:paraId="1889BC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7870392">
      <w:pPr>
        <w:spacing w:line="440" w:lineRule="exact"/>
        <w:ind w:right="480"/>
        <w:rPr>
          <w:rFonts w:hint="eastAsia" w:ascii="仿宋" w:hAnsi="仿宋" w:eastAsia="仿宋" w:cs="仿宋"/>
          <w:color w:val="auto"/>
          <w:sz w:val="24"/>
          <w:highlight w:val="none"/>
        </w:rPr>
      </w:pPr>
    </w:p>
    <w:p w14:paraId="5E8C2A6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36D6913">
      <w:pPr>
        <w:jc w:val="center"/>
        <w:rPr>
          <w:rFonts w:hint="eastAsia" w:ascii="仿宋" w:hAnsi="仿宋" w:eastAsia="仿宋" w:cs="仿宋"/>
          <w:b/>
          <w:color w:val="auto"/>
          <w:kern w:val="0"/>
          <w:sz w:val="32"/>
          <w:szCs w:val="32"/>
          <w:highlight w:val="none"/>
        </w:rPr>
      </w:pPr>
    </w:p>
    <w:p w14:paraId="649293F5">
      <w:pPr>
        <w:jc w:val="center"/>
        <w:rPr>
          <w:rFonts w:hint="eastAsia" w:ascii="仿宋" w:hAnsi="仿宋" w:eastAsia="仿宋" w:cs="仿宋"/>
          <w:b/>
          <w:color w:val="auto"/>
          <w:kern w:val="0"/>
          <w:sz w:val="32"/>
          <w:szCs w:val="32"/>
          <w:highlight w:val="none"/>
        </w:rPr>
      </w:pPr>
    </w:p>
    <w:p w14:paraId="25FC383F">
      <w:pPr>
        <w:jc w:val="both"/>
        <w:rPr>
          <w:rFonts w:hint="eastAsia" w:ascii="仿宋" w:hAnsi="仿宋" w:eastAsia="仿宋" w:cs="仿宋"/>
          <w:b/>
          <w:color w:val="auto"/>
          <w:kern w:val="0"/>
          <w:sz w:val="32"/>
          <w:szCs w:val="32"/>
          <w:highlight w:val="none"/>
        </w:rPr>
      </w:pPr>
    </w:p>
    <w:p w14:paraId="68611EB7">
      <w:pPr>
        <w:jc w:val="center"/>
        <w:rPr>
          <w:rFonts w:hint="eastAsia" w:ascii="仿宋" w:hAnsi="仿宋" w:eastAsia="仿宋" w:cs="仿宋"/>
          <w:b/>
          <w:color w:val="auto"/>
          <w:kern w:val="0"/>
          <w:sz w:val="32"/>
          <w:szCs w:val="32"/>
          <w:highlight w:val="none"/>
          <w:lang w:val="en-US" w:eastAsia="zh-CN"/>
        </w:rPr>
      </w:pPr>
    </w:p>
    <w:p w14:paraId="59879843">
      <w:pPr>
        <w:jc w:val="center"/>
        <w:rPr>
          <w:rFonts w:hint="eastAsia" w:ascii="仿宋" w:hAnsi="仿宋" w:eastAsia="仿宋" w:cs="仿宋"/>
          <w:b/>
          <w:color w:val="auto"/>
          <w:kern w:val="0"/>
          <w:sz w:val="32"/>
          <w:szCs w:val="32"/>
          <w:highlight w:val="none"/>
          <w:lang w:val="en-US" w:eastAsia="zh-CN"/>
        </w:rPr>
      </w:pPr>
    </w:p>
    <w:p w14:paraId="5400CD3F">
      <w:pPr>
        <w:jc w:val="center"/>
        <w:rPr>
          <w:rFonts w:hint="eastAsia" w:ascii="仿宋" w:hAnsi="仿宋" w:eastAsia="仿宋" w:cs="仿宋"/>
          <w:b/>
          <w:color w:val="auto"/>
          <w:kern w:val="0"/>
          <w:sz w:val="32"/>
          <w:szCs w:val="32"/>
          <w:highlight w:val="none"/>
          <w:lang w:val="en-US" w:eastAsia="zh-CN"/>
        </w:rPr>
      </w:pPr>
    </w:p>
    <w:p w14:paraId="0E43CDBE">
      <w:pPr>
        <w:jc w:val="center"/>
        <w:rPr>
          <w:rFonts w:hint="eastAsia" w:ascii="仿宋" w:hAnsi="仿宋" w:eastAsia="仿宋" w:cs="仿宋"/>
          <w:b/>
          <w:color w:val="auto"/>
          <w:kern w:val="0"/>
          <w:sz w:val="32"/>
          <w:szCs w:val="32"/>
          <w:highlight w:val="none"/>
          <w:lang w:val="en-US" w:eastAsia="zh-CN"/>
        </w:rPr>
      </w:pPr>
    </w:p>
    <w:p w14:paraId="7B0DFCA5">
      <w:pPr>
        <w:jc w:val="center"/>
        <w:rPr>
          <w:rFonts w:hint="eastAsia" w:ascii="仿宋" w:hAnsi="仿宋" w:eastAsia="仿宋" w:cs="仿宋"/>
          <w:b/>
          <w:color w:val="auto"/>
          <w:kern w:val="0"/>
          <w:sz w:val="32"/>
          <w:szCs w:val="32"/>
          <w:highlight w:val="none"/>
          <w:lang w:val="en-US" w:eastAsia="zh-CN"/>
        </w:rPr>
      </w:pPr>
    </w:p>
    <w:p w14:paraId="494D7DB8">
      <w:pPr>
        <w:jc w:val="center"/>
        <w:rPr>
          <w:rFonts w:hint="eastAsia" w:ascii="仿宋" w:hAnsi="仿宋" w:eastAsia="仿宋" w:cs="仿宋"/>
          <w:b/>
          <w:color w:val="auto"/>
          <w:kern w:val="0"/>
          <w:sz w:val="32"/>
          <w:szCs w:val="32"/>
          <w:highlight w:val="none"/>
          <w:lang w:val="en-US" w:eastAsia="zh-CN"/>
        </w:rPr>
      </w:pPr>
    </w:p>
    <w:p w14:paraId="3E70CED0">
      <w:pPr>
        <w:jc w:val="center"/>
        <w:rPr>
          <w:rFonts w:hint="eastAsia" w:ascii="仿宋" w:hAnsi="仿宋" w:eastAsia="仿宋" w:cs="仿宋"/>
          <w:b/>
          <w:color w:val="auto"/>
          <w:kern w:val="0"/>
          <w:sz w:val="32"/>
          <w:szCs w:val="32"/>
          <w:highlight w:val="none"/>
          <w:lang w:val="en-US" w:eastAsia="zh-CN"/>
        </w:rPr>
      </w:pPr>
    </w:p>
    <w:p w14:paraId="64FDA0D7">
      <w:pPr>
        <w:jc w:val="center"/>
        <w:rPr>
          <w:rFonts w:hint="eastAsia" w:ascii="仿宋" w:hAnsi="仿宋" w:eastAsia="仿宋" w:cs="仿宋"/>
          <w:b/>
          <w:color w:val="auto"/>
          <w:kern w:val="0"/>
          <w:sz w:val="32"/>
          <w:szCs w:val="32"/>
          <w:highlight w:val="none"/>
          <w:lang w:val="en-US" w:eastAsia="zh-CN"/>
        </w:rPr>
      </w:pPr>
    </w:p>
    <w:p w14:paraId="2781C1F4">
      <w:pPr>
        <w:jc w:val="center"/>
        <w:rPr>
          <w:rFonts w:hint="eastAsia" w:ascii="仿宋" w:hAnsi="仿宋" w:eastAsia="仿宋" w:cs="仿宋"/>
          <w:b/>
          <w:color w:val="auto"/>
          <w:kern w:val="0"/>
          <w:sz w:val="32"/>
          <w:szCs w:val="32"/>
          <w:highlight w:val="none"/>
          <w:lang w:val="en-US" w:eastAsia="zh-CN"/>
        </w:rPr>
      </w:pPr>
    </w:p>
    <w:p w14:paraId="705E8A15">
      <w:pPr>
        <w:jc w:val="center"/>
        <w:rPr>
          <w:rFonts w:hint="eastAsia" w:ascii="仿宋" w:hAnsi="仿宋" w:eastAsia="仿宋" w:cs="仿宋"/>
          <w:b/>
          <w:color w:val="auto"/>
          <w:kern w:val="0"/>
          <w:sz w:val="32"/>
          <w:szCs w:val="32"/>
          <w:highlight w:val="none"/>
          <w:lang w:val="en-US" w:eastAsia="zh-CN"/>
        </w:rPr>
      </w:pPr>
    </w:p>
    <w:p w14:paraId="5D570C11">
      <w:pPr>
        <w:jc w:val="center"/>
        <w:rPr>
          <w:rFonts w:hint="eastAsia" w:ascii="仿宋" w:hAnsi="仿宋" w:eastAsia="仿宋" w:cs="仿宋"/>
          <w:b/>
          <w:color w:val="auto"/>
          <w:kern w:val="0"/>
          <w:sz w:val="32"/>
          <w:szCs w:val="32"/>
          <w:highlight w:val="none"/>
          <w:lang w:val="en-US" w:eastAsia="zh-CN"/>
        </w:rPr>
      </w:pPr>
    </w:p>
    <w:p w14:paraId="00FF7B02">
      <w:pPr>
        <w:jc w:val="center"/>
        <w:rPr>
          <w:rFonts w:hint="eastAsia" w:ascii="仿宋" w:hAnsi="仿宋" w:eastAsia="仿宋" w:cs="仿宋"/>
          <w:b/>
          <w:color w:val="auto"/>
          <w:kern w:val="0"/>
          <w:sz w:val="32"/>
          <w:szCs w:val="32"/>
          <w:highlight w:val="none"/>
          <w:lang w:val="en-US" w:eastAsia="zh-CN"/>
        </w:rPr>
      </w:pPr>
    </w:p>
    <w:p w14:paraId="20A2364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81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42693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BA2E64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C9142F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F305F8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D0E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1BBF3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13A09A">
            <w:pPr>
              <w:jc w:val="center"/>
              <w:rPr>
                <w:rFonts w:hint="eastAsia" w:ascii="仿宋" w:hAnsi="仿宋" w:eastAsia="仿宋" w:cs="仿宋"/>
                <w:b/>
                <w:color w:val="auto"/>
                <w:kern w:val="0"/>
                <w:sz w:val="32"/>
                <w:szCs w:val="32"/>
                <w:highlight w:val="none"/>
              </w:rPr>
            </w:pPr>
          </w:p>
        </w:tc>
        <w:tc>
          <w:tcPr>
            <w:tcW w:w="3546" w:type="dxa"/>
          </w:tcPr>
          <w:p w14:paraId="1CEF6C84">
            <w:pPr>
              <w:jc w:val="center"/>
              <w:rPr>
                <w:rFonts w:hint="eastAsia" w:ascii="仿宋" w:hAnsi="仿宋" w:eastAsia="仿宋" w:cs="仿宋"/>
                <w:b/>
                <w:color w:val="auto"/>
                <w:kern w:val="0"/>
                <w:sz w:val="32"/>
                <w:szCs w:val="32"/>
                <w:highlight w:val="none"/>
              </w:rPr>
            </w:pPr>
          </w:p>
        </w:tc>
        <w:tc>
          <w:tcPr>
            <w:tcW w:w="1276" w:type="dxa"/>
          </w:tcPr>
          <w:p w14:paraId="5353984C">
            <w:pPr>
              <w:jc w:val="center"/>
              <w:rPr>
                <w:rFonts w:hint="eastAsia" w:ascii="仿宋" w:hAnsi="仿宋" w:eastAsia="仿宋" w:cs="仿宋"/>
                <w:b/>
                <w:color w:val="auto"/>
                <w:kern w:val="0"/>
                <w:sz w:val="32"/>
                <w:szCs w:val="32"/>
                <w:highlight w:val="none"/>
              </w:rPr>
            </w:pPr>
          </w:p>
        </w:tc>
      </w:tr>
      <w:tr w14:paraId="08BC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9F853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300503A">
            <w:pPr>
              <w:jc w:val="center"/>
              <w:rPr>
                <w:rFonts w:hint="eastAsia" w:ascii="仿宋" w:hAnsi="仿宋" w:eastAsia="仿宋" w:cs="仿宋"/>
                <w:b/>
                <w:color w:val="auto"/>
                <w:kern w:val="0"/>
                <w:sz w:val="32"/>
                <w:szCs w:val="32"/>
                <w:highlight w:val="none"/>
              </w:rPr>
            </w:pPr>
          </w:p>
        </w:tc>
        <w:tc>
          <w:tcPr>
            <w:tcW w:w="3546" w:type="dxa"/>
          </w:tcPr>
          <w:p w14:paraId="5257AABA">
            <w:pPr>
              <w:jc w:val="center"/>
              <w:rPr>
                <w:rFonts w:hint="eastAsia" w:ascii="仿宋" w:hAnsi="仿宋" w:eastAsia="仿宋" w:cs="仿宋"/>
                <w:b/>
                <w:color w:val="auto"/>
                <w:kern w:val="0"/>
                <w:sz w:val="32"/>
                <w:szCs w:val="32"/>
                <w:highlight w:val="none"/>
              </w:rPr>
            </w:pPr>
          </w:p>
        </w:tc>
        <w:tc>
          <w:tcPr>
            <w:tcW w:w="1276" w:type="dxa"/>
          </w:tcPr>
          <w:p w14:paraId="670FFFB2">
            <w:pPr>
              <w:jc w:val="center"/>
              <w:rPr>
                <w:rFonts w:hint="eastAsia" w:ascii="仿宋" w:hAnsi="仿宋" w:eastAsia="仿宋" w:cs="仿宋"/>
                <w:b/>
                <w:color w:val="auto"/>
                <w:kern w:val="0"/>
                <w:sz w:val="32"/>
                <w:szCs w:val="32"/>
                <w:highlight w:val="none"/>
              </w:rPr>
            </w:pPr>
          </w:p>
        </w:tc>
      </w:tr>
      <w:tr w14:paraId="2B87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A3F99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0037E6F">
            <w:pPr>
              <w:jc w:val="center"/>
              <w:rPr>
                <w:rFonts w:hint="eastAsia" w:ascii="仿宋" w:hAnsi="仿宋" w:eastAsia="仿宋" w:cs="仿宋"/>
                <w:b/>
                <w:color w:val="auto"/>
                <w:kern w:val="0"/>
                <w:sz w:val="32"/>
                <w:szCs w:val="32"/>
                <w:highlight w:val="none"/>
              </w:rPr>
            </w:pPr>
          </w:p>
        </w:tc>
        <w:tc>
          <w:tcPr>
            <w:tcW w:w="3546" w:type="dxa"/>
          </w:tcPr>
          <w:p w14:paraId="6C6DAECD">
            <w:pPr>
              <w:jc w:val="center"/>
              <w:rPr>
                <w:rFonts w:hint="eastAsia" w:ascii="仿宋" w:hAnsi="仿宋" w:eastAsia="仿宋" w:cs="仿宋"/>
                <w:b/>
                <w:color w:val="auto"/>
                <w:kern w:val="0"/>
                <w:sz w:val="32"/>
                <w:szCs w:val="32"/>
                <w:highlight w:val="none"/>
              </w:rPr>
            </w:pPr>
          </w:p>
        </w:tc>
        <w:tc>
          <w:tcPr>
            <w:tcW w:w="1276" w:type="dxa"/>
          </w:tcPr>
          <w:p w14:paraId="3DBBD724">
            <w:pPr>
              <w:jc w:val="center"/>
              <w:rPr>
                <w:rFonts w:hint="eastAsia" w:ascii="仿宋" w:hAnsi="仿宋" w:eastAsia="仿宋" w:cs="仿宋"/>
                <w:b/>
                <w:color w:val="auto"/>
                <w:kern w:val="0"/>
                <w:sz w:val="32"/>
                <w:szCs w:val="32"/>
                <w:highlight w:val="none"/>
              </w:rPr>
            </w:pPr>
          </w:p>
        </w:tc>
      </w:tr>
    </w:tbl>
    <w:p w14:paraId="5C83894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56B8143">
      <w:pPr>
        <w:jc w:val="center"/>
        <w:rPr>
          <w:rFonts w:hint="eastAsia" w:ascii="仿宋" w:hAnsi="仿宋" w:eastAsia="仿宋" w:cs="仿宋"/>
          <w:b/>
          <w:color w:val="auto"/>
          <w:kern w:val="0"/>
          <w:sz w:val="32"/>
          <w:szCs w:val="32"/>
          <w:highlight w:val="none"/>
        </w:rPr>
      </w:pPr>
    </w:p>
    <w:p w14:paraId="7ED3C6BD">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4E09907">
      <w:pPr>
        <w:widowControl/>
        <w:adjustRightInd/>
        <w:jc w:val="left"/>
        <w:rPr>
          <w:rFonts w:hint="eastAsia" w:ascii="仿宋" w:hAnsi="仿宋" w:eastAsia="仿宋" w:cs="仿宋"/>
          <w:b/>
          <w:bCs/>
          <w:color w:val="auto"/>
          <w:sz w:val="32"/>
          <w:szCs w:val="32"/>
          <w:highlight w:val="none"/>
          <w:lang w:eastAsia="zh-CN"/>
        </w:rPr>
      </w:pPr>
    </w:p>
    <w:p w14:paraId="7361042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0533B0D">
      <w:pPr>
        <w:snapToGrid w:val="0"/>
        <w:spacing w:line="360" w:lineRule="auto"/>
        <w:rPr>
          <w:rFonts w:hint="eastAsia" w:ascii="仿宋" w:hAnsi="仿宋" w:eastAsia="仿宋" w:cs="仿宋"/>
          <w:color w:val="auto"/>
          <w:sz w:val="24"/>
          <w:highlight w:val="none"/>
        </w:rPr>
      </w:pPr>
    </w:p>
    <w:p w14:paraId="7290B5E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0FB45F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9E2A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1D653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FCDF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E90D2B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776ECB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E0093B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02DAC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49BB54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0AA8F1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2DE6F8D">
      <w:pPr>
        <w:autoSpaceDE w:val="0"/>
        <w:autoSpaceDN w:val="0"/>
        <w:spacing w:line="360" w:lineRule="auto"/>
        <w:jc w:val="left"/>
        <w:rPr>
          <w:rFonts w:hint="eastAsia" w:ascii="仿宋" w:hAnsi="仿宋" w:eastAsia="仿宋" w:cs="仿宋"/>
          <w:color w:val="auto"/>
          <w:kern w:val="0"/>
          <w:sz w:val="24"/>
          <w:highlight w:val="none"/>
          <w:lang w:val="zh-CN"/>
        </w:rPr>
      </w:pPr>
    </w:p>
    <w:p w14:paraId="69E4EA96">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C8E480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3EDF892">
      <w:pPr>
        <w:spacing w:line="360" w:lineRule="auto"/>
        <w:jc w:val="center"/>
        <w:rPr>
          <w:rFonts w:hint="eastAsia" w:ascii="仿宋" w:hAnsi="仿宋" w:eastAsia="仿宋" w:cs="仿宋"/>
          <w:b/>
          <w:bCs/>
          <w:color w:val="auto"/>
          <w:sz w:val="24"/>
          <w:highlight w:val="none"/>
        </w:rPr>
      </w:pPr>
    </w:p>
    <w:p w14:paraId="4E414DA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87F69B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868351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C84E4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306E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D422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EDB77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052EE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6B48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5048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252265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FABB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0E6E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E5D0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7A4734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1D918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770F2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4642C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139CC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8D07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600EB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AB0306">
            <w:pPr>
              <w:autoSpaceDE w:val="0"/>
              <w:autoSpaceDN w:val="0"/>
              <w:spacing w:line="360" w:lineRule="auto"/>
              <w:rPr>
                <w:rFonts w:ascii="仿宋_GB2312" w:hAnsi="仿宋_GB2312" w:eastAsia="仿宋_GB2312" w:cs="仿宋_GB2312"/>
                <w:color w:val="auto"/>
                <w:sz w:val="24"/>
                <w:highlight w:val="none"/>
              </w:rPr>
            </w:pPr>
          </w:p>
        </w:tc>
      </w:tr>
      <w:tr w14:paraId="3FD335E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88868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6199AE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028D4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04A06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D6866B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6BF83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8091F7">
            <w:pPr>
              <w:autoSpaceDE w:val="0"/>
              <w:autoSpaceDN w:val="0"/>
              <w:spacing w:line="360" w:lineRule="auto"/>
              <w:rPr>
                <w:rFonts w:ascii="仿宋_GB2312" w:hAnsi="仿宋_GB2312" w:eastAsia="仿宋_GB2312" w:cs="仿宋_GB2312"/>
                <w:color w:val="auto"/>
                <w:sz w:val="24"/>
                <w:highlight w:val="none"/>
              </w:rPr>
            </w:pPr>
          </w:p>
        </w:tc>
      </w:tr>
      <w:tr w14:paraId="771B4EA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81D29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4CA3B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68A45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F2B08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A8C93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70EDE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A0A4422">
            <w:pPr>
              <w:autoSpaceDE w:val="0"/>
              <w:autoSpaceDN w:val="0"/>
              <w:spacing w:line="360" w:lineRule="auto"/>
              <w:rPr>
                <w:rFonts w:ascii="仿宋_GB2312" w:hAnsi="仿宋_GB2312" w:eastAsia="仿宋_GB2312" w:cs="仿宋_GB2312"/>
                <w:color w:val="auto"/>
                <w:sz w:val="24"/>
                <w:highlight w:val="none"/>
              </w:rPr>
            </w:pPr>
          </w:p>
        </w:tc>
      </w:tr>
    </w:tbl>
    <w:p w14:paraId="4E1EEF8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89DEE4">
      <w:pPr>
        <w:autoSpaceDE w:val="0"/>
        <w:autoSpaceDN w:val="0"/>
        <w:spacing w:line="360" w:lineRule="auto"/>
        <w:rPr>
          <w:rFonts w:ascii="仿宋_GB2312" w:hAnsi="仿宋_GB2312" w:eastAsia="仿宋_GB2312" w:cs="仿宋_GB2312"/>
          <w:b/>
          <w:color w:val="auto"/>
          <w:sz w:val="24"/>
          <w:highlight w:val="none"/>
        </w:rPr>
      </w:pPr>
    </w:p>
    <w:p w14:paraId="5DF53AE5">
      <w:pPr>
        <w:autoSpaceDE w:val="0"/>
        <w:autoSpaceDN w:val="0"/>
        <w:spacing w:line="360" w:lineRule="auto"/>
        <w:rPr>
          <w:rFonts w:ascii="仿宋_GB2312" w:hAnsi="仿宋_GB2312" w:eastAsia="仿宋_GB2312" w:cs="仿宋_GB2312"/>
          <w:color w:val="auto"/>
          <w:sz w:val="24"/>
          <w:highlight w:val="none"/>
        </w:rPr>
      </w:pPr>
    </w:p>
    <w:p w14:paraId="57C2C32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9017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CD0064">
      <w:pPr>
        <w:pStyle w:val="648"/>
        <w:ind w:firstLine="0"/>
        <w:jc w:val="both"/>
        <w:rPr>
          <w:rFonts w:hAnsi="仿宋_GB2312" w:cs="仿宋_GB2312"/>
          <w:color w:val="auto"/>
          <w:highlight w:val="none"/>
        </w:rPr>
      </w:pPr>
    </w:p>
    <w:p w14:paraId="53C6A86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C5EDC4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B712E5">
      <w:pPr>
        <w:spacing w:line="360" w:lineRule="auto"/>
        <w:jc w:val="center"/>
        <w:rPr>
          <w:rFonts w:ascii="仿宋_GB2312" w:hAnsi="仿宋_GB2312" w:eastAsia="仿宋_GB2312" w:cs="仿宋_GB2312"/>
          <w:color w:val="auto"/>
          <w:sz w:val="24"/>
          <w:highlight w:val="none"/>
        </w:rPr>
      </w:pPr>
    </w:p>
    <w:p w14:paraId="1234A00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83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9245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7EE12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9412B3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CBB80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1B946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A3505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6AD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52F6B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D7050B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AC4338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497630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5183CE4">
            <w:pPr>
              <w:spacing w:line="360" w:lineRule="auto"/>
              <w:jc w:val="center"/>
              <w:rPr>
                <w:rFonts w:ascii="仿宋_GB2312" w:hAnsi="仿宋_GB2312" w:eastAsia="仿宋_GB2312" w:cs="仿宋_GB2312"/>
                <w:color w:val="auto"/>
                <w:sz w:val="24"/>
                <w:highlight w:val="none"/>
              </w:rPr>
            </w:pPr>
          </w:p>
        </w:tc>
        <w:tc>
          <w:tcPr>
            <w:tcW w:w="1332" w:type="dxa"/>
            <w:vAlign w:val="center"/>
          </w:tcPr>
          <w:p w14:paraId="6415B844">
            <w:pPr>
              <w:spacing w:line="360" w:lineRule="auto"/>
              <w:jc w:val="center"/>
              <w:rPr>
                <w:rFonts w:ascii="仿宋_GB2312" w:hAnsi="仿宋_GB2312" w:eastAsia="仿宋_GB2312" w:cs="仿宋_GB2312"/>
                <w:color w:val="auto"/>
                <w:sz w:val="24"/>
                <w:highlight w:val="none"/>
              </w:rPr>
            </w:pPr>
          </w:p>
        </w:tc>
      </w:tr>
      <w:tr w14:paraId="28A3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5217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9752F3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8C1338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CF65D68">
            <w:pPr>
              <w:spacing w:line="360" w:lineRule="auto"/>
              <w:jc w:val="center"/>
              <w:rPr>
                <w:rFonts w:ascii="仿宋_GB2312" w:hAnsi="仿宋_GB2312" w:eastAsia="仿宋_GB2312" w:cs="仿宋_GB2312"/>
                <w:color w:val="auto"/>
                <w:sz w:val="24"/>
                <w:highlight w:val="none"/>
              </w:rPr>
            </w:pPr>
          </w:p>
        </w:tc>
        <w:tc>
          <w:tcPr>
            <w:tcW w:w="1080" w:type="dxa"/>
            <w:vAlign w:val="center"/>
          </w:tcPr>
          <w:p w14:paraId="3DC668A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CE955D">
            <w:pPr>
              <w:spacing w:line="360" w:lineRule="auto"/>
              <w:jc w:val="center"/>
              <w:rPr>
                <w:rFonts w:ascii="仿宋_GB2312" w:hAnsi="仿宋_GB2312" w:eastAsia="仿宋_GB2312" w:cs="仿宋_GB2312"/>
                <w:color w:val="auto"/>
                <w:sz w:val="24"/>
                <w:highlight w:val="none"/>
              </w:rPr>
            </w:pPr>
          </w:p>
        </w:tc>
      </w:tr>
      <w:tr w14:paraId="40E6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823B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CD5B0C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21060F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0ABD8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E78A3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165C78">
            <w:pPr>
              <w:spacing w:line="360" w:lineRule="auto"/>
              <w:jc w:val="center"/>
              <w:rPr>
                <w:rFonts w:ascii="仿宋_GB2312" w:hAnsi="仿宋_GB2312" w:eastAsia="仿宋_GB2312" w:cs="仿宋_GB2312"/>
                <w:color w:val="auto"/>
                <w:sz w:val="24"/>
                <w:highlight w:val="none"/>
              </w:rPr>
            </w:pPr>
          </w:p>
        </w:tc>
      </w:tr>
      <w:tr w14:paraId="263E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1946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AC0F20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CF97C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B36B53F">
            <w:pPr>
              <w:spacing w:line="360" w:lineRule="auto"/>
              <w:jc w:val="center"/>
              <w:rPr>
                <w:rFonts w:ascii="仿宋_GB2312" w:hAnsi="仿宋_GB2312" w:eastAsia="仿宋_GB2312" w:cs="仿宋_GB2312"/>
                <w:color w:val="auto"/>
                <w:sz w:val="24"/>
                <w:highlight w:val="none"/>
              </w:rPr>
            </w:pPr>
          </w:p>
        </w:tc>
        <w:tc>
          <w:tcPr>
            <w:tcW w:w="1080" w:type="dxa"/>
            <w:vAlign w:val="center"/>
          </w:tcPr>
          <w:p w14:paraId="2612F84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92579BE">
            <w:pPr>
              <w:spacing w:line="360" w:lineRule="auto"/>
              <w:jc w:val="center"/>
              <w:rPr>
                <w:rFonts w:ascii="仿宋_GB2312" w:hAnsi="仿宋_GB2312" w:eastAsia="仿宋_GB2312" w:cs="仿宋_GB2312"/>
                <w:color w:val="auto"/>
                <w:sz w:val="24"/>
                <w:highlight w:val="none"/>
              </w:rPr>
            </w:pPr>
          </w:p>
        </w:tc>
      </w:tr>
      <w:tr w14:paraId="7E5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F747C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64898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3B70E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0AB149">
            <w:pPr>
              <w:spacing w:line="360" w:lineRule="auto"/>
              <w:jc w:val="center"/>
              <w:rPr>
                <w:rFonts w:ascii="仿宋_GB2312" w:hAnsi="仿宋_GB2312" w:eastAsia="仿宋_GB2312" w:cs="仿宋_GB2312"/>
                <w:color w:val="auto"/>
                <w:sz w:val="24"/>
                <w:highlight w:val="none"/>
              </w:rPr>
            </w:pPr>
          </w:p>
        </w:tc>
        <w:tc>
          <w:tcPr>
            <w:tcW w:w="1080" w:type="dxa"/>
            <w:vAlign w:val="center"/>
          </w:tcPr>
          <w:p w14:paraId="110B6F17">
            <w:pPr>
              <w:spacing w:line="360" w:lineRule="auto"/>
              <w:jc w:val="center"/>
              <w:rPr>
                <w:rFonts w:ascii="仿宋_GB2312" w:hAnsi="仿宋_GB2312" w:eastAsia="仿宋_GB2312" w:cs="仿宋_GB2312"/>
                <w:color w:val="auto"/>
                <w:sz w:val="24"/>
                <w:highlight w:val="none"/>
              </w:rPr>
            </w:pPr>
          </w:p>
        </w:tc>
        <w:tc>
          <w:tcPr>
            <w:tcW w:w="1332" w:type="dxa"/>
            <w:vAlign w:val="center"/>
          </w:tcPr>
          <w:p w14:paraId="3E8EDDED">
            <w:pPr>
              <w:spacing w:line="360" w:lineRule="auto"/>
              <w:jc w:val="center"/>
              <w:rPr>
                <w:rFonts w:ascii="仿宋_GB2312" w:hAnsi="仿宋_GB2312" w:eastAsia="仿宋_GB2312" w:cs="仿宋_GB2312"/>
                <w:color w:val="auto"/>
                <w:sz w:val="24"/>
                <w:highlight w:val="none"/>
              </w:rPr>
            </w:pPr>
          </w:p>
        </w:tc>
      </w:tr>
    </w:tbl>
    <w:p w14:paraId="06A4DF2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9AE78E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998CDF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14:paraId="4471C69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DDFCC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BC699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CA580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4AE708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E2F9BE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2B08D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6A57CA">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A9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D767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AF648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91643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6A51D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3711DB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BD0EA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70FA2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EA8AD8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92E20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D9040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39E02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3105A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FE838F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1F6F7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FDB3E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6C01A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ECEBE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CF38D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B15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3F240F">
            <w:pPr>
              <w:spacing w:line="360" w:lineRule="auto"/>
              <w:rPr>
                <w:rFonts w:ascii="仿宋_GB2312" w:hAnsi="仿宋_GB2312" w:eastAsia="仿宋_GB2312" w:cs="仿宋_GB2312"/>
                <w:color w:val="auto"/>
                <w:sz w:val="24"/>
                <w:highlight w:val="none"/>
              </w:rPr>
            </w:pPr>
          </w:p>
        </w:tc>
        <w:tc>
          <w:tcPr>
            <w:tcW w:w="552" w:type="dxa"/>
          </w:tcPr>
          <w:p w14:paraId="6900CF0C">
            <w:pPr>
              <w:spacing w:line="360" w:lineRule="auto"/>
              <w:rPr>
                <w:rFonts w:ascii="仿宋_GB2312" w:hAnsi="仿宋_GB2312" w:eastAsia="仿宋_GB2312" w:cs="仿宋_GB2312"/>
                <w:color w:val="auto"/>
                <w:sz w:val="24"/>
                <w:highlight w:val="none"/>
              </w:rPr>
            </w:pPr>
          </w:p>
        </w:tc>
        <w:tc>
          <w:tcPr>
            <w:tcW w:w="552" w:type="dxa"/>
          </w:tcPr>
          <w:p w14:paraId="06A23103">
            <w:pPr>
              <w:spacing w:line="360" w:lineRule="auto"/>
              <w:rPr>
                <w:rFonts w:ascii="仿宋_GB2312" w:hAnsi="仿宋_GB2312" w:eastAsia="仿宋_GB2312" w:cs="仿宋_GB2312"/>
                <w:color w:val="auto"/>
                <w:sz w:val="24"/>
                <w:highlight w:val="none"/>
              </w:rPr>
            </w:pPr>
          </w:p>
        </w:tc>
        <w:tc>
          <w:tcPr>
            <w:tcW w:w="552" w:type="dxa"/>
          </w:tcPr>
          <w:p w14:paraId="54FF9B91">
            <w:pPr>
              <w:spacing w:line="360" w:lineRule="auto"/>
              <w:rPr>
                <w:rFonts w:ascii="仿宋_GB2312" w:hAnsi="仿宋_GB2312" w:eastAsia="仿宋_GB2312" w:cs="仿宋_GB2312"/>
                <w:color w:val="auto"/>
                <w:sz w:val="24"/>
                <w:highlight w:val="none"/>
              </w:rPr>
            </w:pPr>
          </w:p>
        </w:tc>
        <w:tc>
          <w:tcPr>
            <w:tcW w:w="552" w:type="dxa"/>
          </w:tcPr>
          <w:p w14:paraId="18934678">
            <w:pPr>
              <w:spacing w:line="360" w:lineRule="auto"/>
              <w:rPr>
                <w:rFonts w:ascii="仿宋_GB2312" w:hAnsi="仿宋_GB2312" w:eastAsia="仿宋_GB2312" w:cs="仿宋_GB2312"/>
                <w:color w:val="auto"/>
                <w:sz w:val="24"/>
                <w:highlight w:val="none"/>
              </w:rPr>
            </w:pPr>
          </w:p>
        </w:tc>
        <w:tc>
          <w:tcPr>
            <w:tcW w:w="552" w:type="dxa"/>
          </w:tcPr>
          <w:p w14:paraId="762456C4">
            <w:pPr>
              <w:spacing w:line="360" w:lineRule="auto"/>
              <w:rPr>
                <w:rFonts w:ascii="仿宋_GB2312" w:hAnsi="仿宋_GB2312" w:eastAsia="仿宋_GB2312" w:cs="仿宋_GB2312"/>
                <w:color w:val="auto"/>
                <w:sz w:val="24"/>
                <w:highlight w:val="none"/>
              </w:rPr>
            </w:pPr>
          </w:p>
        </w:tc>
        <w:tc>
          <w:tcPr>
            <w:tcW w:w="552" w:type="dxa"/>
          </w:tcPr>
          <w:p w14:paraId="3D1881C5">
            <w:pPr>
              <w:spacing w:line="360" w:lineRule="auto"/>
              <w:rPr>
                <w:rFonts w:ascii="仿宋_GB2312" w:hAnsi="仿宋_GB2312" w:eastAsia="仿宋_GB2312" w:cs="仿宋_GB2312"/>
                <w:color w:val="auto"/>
                <w:sz w:val="24"/>
                <w:highlight w:val="none"/>
              </w:rPr>
            </w:pPr>
          </w:p>
        </w:tc>
        <w:tc>
          <w:tcPr>
            <w:tcW w:w="553" w:type="dxa"/>
          </w:tcPr>
          <w:p w14:paraId="3D2159E8">
            <w:pPr>
              <w:spacing w:line="360" w:lineRule="auto"/>
              <w:rPr>
                <w:rFonts w:ascii="仿宋_GB2312" w:hAnsi="仿宋_GB2312" w:eastAsia="仿宋_GB2312" w:cs="仿宋_GB2312"/>
                <w:color w:val="auto"/>
                <w:sz w:val="24"/>
                <w:highlight w:val="none"/>
              </w:rPr>
            </w:pPr>
          </w:p>
        </w:tc>
        <w:tc>
          <w:tcPr>
            <w:tcW w:w="553" w:type="dxa"/>
          </w:tcPr>
          <w:p w14:paraId="7B47B851">
            <w:pPr>
              <w:spacing w:line="360" w:lineRule="auto"/>
              <w:rPr>
                <w:rFonts w:ascii="仿宋_GB2312" w:hAnsi="仿宋_GB2312" w:eastAsia="仿宋_GB2312" w:cs="仿宋_GB2312"/>
                <w:color w:val="auto"/>
                <w:sz w:val="24"/>
                <w:highlight w:val="none"/>
              </w:rPr>
            </w:pPr>
          </w:p>
        </w:tc>
        <w:tc>
          <w:tcPr>
            <w:tcW w:w="553" w:type="dxa"/>
          </w:tcPr>
          <w:p w14:paraId="13A22429">
            <w:pPr>
              <w:spacing w:line="360" w:lineRule="auto"/>
              <w:rPr>
                <w:rFonts w:ascii="仿宋_GB2312" w:hAnsi="仿宋_GB2312" w:eastAsia="仿宋_GB2312" w:cs="仿宋_GB2312"/>
                <w:color w:val="auto"/>
                <w:sz w:val="24"/>
                <w:highlight w:val="none"/>
              </w:rPr>
            </w:pPr>
          </w:p>
        </w:tc>
        <w:tc>
          <w:tcPr>
            <w:tcW w:w="553" w:type="dxa"/>
          </w:tcPr>
          <w:p w14:paraId="773E81CF">
            <w:pPr>
              <w:spacing w:line="360" w:lineRule="auto"/>
              <w:rPr>
                <w:rFonts w:ascii="仿宋_GB2312" w:hAnsi="仿宋_GB2312" w:eastAsia="仿宋_GB2312" w:cs="仿宋_GB2312"/>
                <w:color w:val="auto"/>
                <w:sz w:val="24"/>
                <w:highlight w:val="none"/>
              </w:rPr>
            </w:pPr>
          </w:p>
        </w:tc>
        <w:tc>
          <w:tcPr>
            <w:tcW w:w="553" w:type="dxa"/>
          </w:tcPr>
          <w:p w14:paraId="37C0851A">
            <w:pPr>
              <w:spacing w:line="360" w:lineRule="auto"/>
              <w:rPr>
                <w:rFonts w:ascii="仿宋_GB2312" w:hAnsi="仿宋_GB2312" w:eastAsia="仿宋_GB2312" w:cs="仿宋_GB2312"/>
                <w:color w:val="auto"/>
                <w:sz w:val="24"/>
                <w:highlight w:val="none"/>
              </w:rPr>
            </w:pPr>
          </w:p>
        </w:tc>
        <w:tc>
          <w:tcPr>
            <w:tcW w:w="553" w:type="dxa"/>
          </w:tcPr>
          <w:p w14:paraId="19F37060">
            <w:pPr>
              <w:spacing w:line="360" w:lineRule="auto"/>
              <w:rPr>
                <w:rFonts w:ascii="仿宋_GB2312" w:hAnsi="仿宋_GB2312" w:eastAsia="仿宋_GB2312" w:cs="仿宋_GB2312"/>
                <w:color w:val="auto"/>
                <w:sz w:val="24"/>
                <w:highlight w:val="none"/>
              </w:rPr>
            </w:pPr>
          </w:p>
        </w:tc>
        <w:tc>
          <w:tcPr>
            <w:tcW w:w="553" w:type="dxa"/>
          </w:tcPr>
          <w:p w14:paraId="06225F6A">
            <w:pPr>
              <w:spacing w:line="360" w:lineRule="auto"/>
              <w:rPr>
                <w:rFonts w:ascii="仿宋_GB2312" w:hAnsi="仿宋_GB2312" w:eastAsia="仿宋_GB2312" w:cs="仿宋_GB2312"/>
                <w:color w:val="auto"/>
                <w:sz w:val="24"/>
                <w:highlight w:val="none"/>
              </w:rPr>
            </w:pPr>
          </w:p>
        </w:tc>
        <w:tc>
          <w:tcPr>
            <w:tcW w:w="553" w:type="dxa"/>
          </w:tcPr>
          <w:p w14:paraId="6831D7B5">
            <w:pPr>
              <w:spacing w:line="360" w:lineRule="auto"/>
              <w:rPr>
                <w:rFonts w:ascii="仿宋_GB2312" w:hAnsi="仿宋_GB2312" w:eastAsia="仿宋_GB2312" w:cs="仿宋_GB2312"/>
                <w:color w:val="auto"/>
                <w:sz w:val="24"/>
                <w:highlight w:val="none"/>
              </w:rPr>
            </w:pPr>
          </w:p>
        </w:tc>
        <w:tc>
          <w:tcPr>
            <w:tcW w:w="553" w:type="dxa"/>
          </w:tcPr>
          <w:p w14:paraId="39292A94">
            <w:pPr>
              <w:spacing w:line="360" w:lineRule="auto"/>
              <w:rPr>
                <w:rFonts w:ascii="仿宋_GB2312" w:hAnsi="仿宋_GB2312" w:eastAsia="仿宋_GB2312" w:cs="仿宋_GB2312"/>
                <w:color w:val="auto"/>
                <w:sz w:val="24"/>
                <w:highlight w:val="none"/>
              </w:rPr>
            </w:pPr>
          </w:p>
        </w:tc>
        <w:tc>
          <w:tcPr>
            <w:tcW w:w="553" w:type="dxa"/>
          </w:tcPr>
          <w:p w14:paraId="2C02CD5D">
            <w:pPr>
              <w:spacing w:line="360" w:lineRule="auto"/>
              <w:rPr>
                <w:rFonts w:ascii="仿宋_GB2312" w:hAnsi="仿宋_GB2312" w:eastAsia="仿宋_GB2312" w:cs="仿宋_GB2312"/>
                <w:color w:val="auto"/>
                <w:sz w:val="24"/>
                <w:highlight w:val="none"/>
              </w:rPr>
            </w:pPr>
          </w:p>
        </w:tc>
      </w:tr>
      <w:tr w14:paraId="611C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77E9B1">
            <w:pPr>
              <w:spacing w:line="360" w:lineRule="auto"/>
              <w:rPr>
                <w:rFonts w:ascii="仿宋_GB2312" w:hAnsi="仿宋_GB2312" w:eastAsia="仿宋_GB2312" w:cs="仿宋_GB2312"/>
                <w:color w:val="auto"/>
                <w:sz w:val="24"/>
                <w:highlight w:val="none"/>
              </w:rPr>
            </w:pPr>
          </w:p>
        </w:tc>
        <w:tc>
          <w:tcPr>
            <w:tcW w:w="552" w:type="dxa"/>
          </w:tcPr>
          <w:p w14:paraId="36E56761">
            <w:pPr>
              <w:spacing w:line="360" w:lineRule="auto"/>
              <w:rPr>
                <w:rFonts w:ascii="仿宋_GB2312" w:hAnsi="仿宋_GB2312" w:eastAsia="仿宋_GB2312" w:cs="仿宋_GB2312"/>
                <w:color w:val="auto"/>
                <w:sz w:val="24"/>
                <w:highlight w:val="none"/>
              </w:rPr>
            </w:pPr>
          </w:p>
        </w:tc>
        <w:tc>
          <w:tcPr>
            <w:tcW w:w="552" w:type="dxa"/>
          </w:tcPr>
          <w:p w14:paraId="00D6401D">
            <w:pPr>
              <w:spacing w:line="360" w:lineRule="auto"/>
              <w:rPr>
                <w:rFonts w:ascii="仿宋_GB2312" w:hAnsi="仿宋_GB2312" w:eastAsia="仿宋_GB2312" w:cs="仿宋_GB2312"/>
                <w:color w:val="auto"/>
                <w:sz w:val="24"/>
                <w:highlight w:val="none"/>
              </w:rPr>
            </w:pPr>
          </w:p>
        </w:tc>
        <w:tc>
          <w:tcPr>
            <w:tcW w:w="552" w:type="dxa"/>
          </w:tcPr>
          <w:p w14:paraId="4B8C83F4">
            <w:pPr>
              <w:spacing w:line="360" w:lineRule="auto"/>
              <w:rPr>
                <w:rFonts w:ascii="仿宋_GB2312" w:hAnsi="仿宋_GB2312" w:eastAsia="仿宋_GB2312" w:cs="仿宋_GB2312"/>
                <w:color w:val="auto"/>
                <w:sz w:val="24"/>
                <w:highlight w:val="none"/>
              </w:rPr>
            </w:pPr>
          </w:p>
        </w:tc>
        <w:tc>
          <w:tcPr>
            <w:tcW w:w="552" w:type="dxa"/>
          </w:tcPr>
          <w:p w14:paraId="67EAB2CC">
            <w:pPr>
              <w:spacing w:line="360" w:lineRule="auto"/>
              <w:rPr>
                <w:rFonts w:ascii="仿宋_GB2312" w:hAnsi="仿宋_GB2312" w:eastAsia="仿宋_GB2312" w:cs="仿宋_GB2312"/>
                <w:color w:val="auto"/>
                <w:sz w:val="24"/>
                <w:highlight w:val="none"/>
              </w:rPr>
            </w:pPr>
          </w:p>
        </w:tc>
        <w:tc>
          <w:tcPr>
            <w:tcW w:w="552" w:type="dxa"/>
          </w:tcPr>
          <w:p w14:paraId="50613870">
            <w:pPr>
              <w:spacing w:line="360" w:lineRule="auto"/>
              <w:rPr>
                <w:rFonts w:ascii="仿宋_GB2312" w:hAnsi="仿宋_GB2312" w:eastAsia="仿宋_GB2312" w:cs="仿宋_GB2312"/>
                <w:color w:val="auto"/>
                <w:sz w:val="24"/>
                <w:highlight w:val="none"/>
              </w:rPr>
            </w:pPr>
          </w:p>
        </w:tc>
        <w:tc>
          <w:tcPr>
            <w:tcW w:w="552" w:type="dxa"/>
          </w:tcPr>
          <w:p w14:paraId="3302908A">
            <w:pPr>
              <w:spacing w:line="360" w:lineRule="auto"/>
              <w:rPr>
                <w:rFonts w:ascii="仿宋_GB2312" w:hAnsi="仿宋_GB2312" w:eastAsia="仿宋_GB2312" w:cs="仿宋_GB2312"/>
                <w:color w:val="auto"/>
                <w:sz w:val="24"/>
                <w:highlight w:val="none"/>
              </w:rPr>
            </w:pPr>
          </w:p>
        </w:tc>
        <w:tc>
          <w:tcPr>
            <w:tcW w:w="553" w:type="dxa"/>
          </w:tcPr>
          <w:p w14:paraId="1D2F6DB5">
            <w:pPr>
              <w:spacing w:line="360" w:lineRule="auto"/>
              <w:rPr>
                <w:rFonts w:ascii="仿宋_GB2312" w:hAnsi="仿宋_GB2312" w:eastAsia="仿宋_GB2312" w:cs="仿宋_GB2312"/>
                <w:color w:val="auto"/>
                <w:sz w:val="24"/>
                <w:highlight w:val="none"/>
              </w:rPr>
            </w:pPr>
          </w:p>
        </w:tc>
        <w:tc>
          <w:tcPr>
            <w:tcW w:w="553" w:type="dxa"/>
          </w:tcPr>
          <w:p w14:paraId="51A5F487">
            <w:pPr>
              <w:spacing w:line="360" w:lineRule="auto"/>
              <w:rPr>
                <w:rFonts w:ascii="仿宋_GB2312" w:hAnsi="仿宋_GB2312" w:eastAsia="仿宋_GB2312" w:cs="仿宋_GB2312"/>
                <w:color w:val="auto"/>
                <w:sz w:val="24"/>
                <w:highlight w:val="none"/>
              </w:rPr>
            </w:pPr>
          </w:p>
        </w:tc>
        <w:tc>
          <w:tcPr>
            <w:tcW w:w="553" w:type="dxa"/>
          </w:tcPr>
          <w:p w14:paraId="11103059">
            <w:pPr>
              <w:spacing w:line="360" w:lineRule="auto"/>
              <w:rPr>
                <w:rFonts w:ascii="仿宋_GB2312" w:hAnsi="仿宋_GB2312" w:eastAsia="仿宋_GB2312" w:cs="仿宋_GB2312"/>
                <w:color w:val="auto"/>
                <w:sz w:val="24"/>
                <w:highlight w:val="none"/>
              </w:rPr>
            </w:pPr>
          </w:p>
        </w:tc>
        <w:tc>
          <w:tcPr>
            <w:tcW w:w="553" w:type="dxa"/>
          </w:tcPr>
          <w:p w14:paraId="0887D259">
            <w:pPr>
              <w:spacing w:line="360" w:lineRule="auto"/>
              <w:rPr>
                <w:rFonts w:ascii="仿宋_GB2312" w:hAnsi="仿宋_GB2312" w:eastAsia="仿宋_GB2312" w:cs="仿宋_GB2312"/>
                <w:color w:val="auto"/>
                <w:sz w:val="24"/>
                <w:highlight w:val="none"/>
              </w:rPr>
            </w:pPr>
          </w:p>
        </w:tc>
        <w:tc>
          <w:tcPr>
            <w:tcW w:w="553" w:type="dxa"/>
          </w:tcPr>
          <w:p w14:paraId="7799BEDB">
            <w:pPr>
              <w:spacing w:line="360" w:lineRule="auto"/>
              <w:rPr>
                <w:rFonts w:ascii="仿宋_GB2312" w:hAnsi="仿宋_GB2312" w:eastAsia="仿宋_GB2312" w:cs="仿宋_GB2312"/>
                <w:color w:val="auto"/>
                <w:sz w:val="24"/>
                <w:highlight w:val="none"/>
              </w:rPr>
            </w:pPr>
          </w:p>
        </w:tc>
        <w:tc>
          <w:tcPr>
            <w:tcW w:w="553" w:type="dxa"/>
          </w:tcPr>
          <w:p w14:paraId="4D9ACACC">
            <w:pPr>
              <w:spacing w:line="360" w:lineRule="auto"/>
              <w:rPr>
                <w:rFonts w:ascii="仿宋_GB2312" w:hAnsi="仿宋_GB2312" w:eastAsia="仿宋_GB2312" w:cs="仿宋_GB2312"/>
                <w:color w:val="auto"/>
                <w:sz w:val="24"/>
                <w:highlight w:val="none"/>
              </w:rPr>
            </w:pPr>
          </w:p>
        </w:tc>
        <w:tc>
          <w:tcPr>
            <w:tcW w:w="553" w:type="dxa"/>
          </w:tcPr>
          <w:p w14:paraId="26249309">
            <w:pPr>
              <w:spacing w:line="360" w:lineRule="auto"/>
              <w:rPr>
                <w:rFonts w:ascii="仿宋_GB2312" w:hAnsi="仿宋_GB2312" w:eastAsia="仿宋_GB2312" w:cs="仿宋_GB2312"/>
                <w:color w:val="auto"/>
                <w:sz w:val="24"/>
                <w:highlight w:val="none"/>
              </w:rPr>
            </w:pPr>
          </w:p>
        </w:tc>
        <w:tc>
          <w:tcPr>
            <w:tcW w:w="553" w:type="dxa"/>
          </w:tcPr>
          <w:p w14:paraId="7DF9528E">
            <w:pPr>
              <w:spacing w:line="360" w:lineRule="auto"/>
              <w:rPr>
                <w:rFonts w:ascii="仿宋_GB2312" w:hAnsi="仿宋_GB2312" w:eastAsia="仿宋_GB2312" w:cs="仿宋_GB2312"/>
                <w:color w:val="auto"/>
                <w:sz w:val="24"/>
                <w:highlight w:val="none"/>
              </w:rPr>
            </w:pPr>
          </w:p>
        </w:tc>
        <w:tc>
          <w:tcPr>
            <w:tcW w:w="553" w:type="dxa"/>
          </w:tcPr>
          <w:p w14:paraId="7176D4B4">
            <w:pPr>
              <w:spacing w:line="360" w:lineRule="auto"/>
              <w:rPr>
                <w:rFonts w:ascii="仿宋_GB2312" w:hAnsi="仿宋_GB2312" w:eastAsia="仿宋_GB2312" w:cs="仿宋_GB2312"/>
                <w:color w:val="auto"/>
                <w:sz w:val="24"/>
                <w:highlight w:val="none"/>
              </w:rPr>
            </w:pPr>
          </w:p>
        </w:tc>
        <w:tc>
          <w:tcPr>
            <w:tcW w:w="553" w:type="dxa"/>
          </w:tcPr>
          <w:p w14:paraId="28A109E8">
            <w:pPr>
              <w:spacing w:line="360" w:lineRule="auto"/>
              <w:rPr>
                <w:rFonts w:ascii="仿宋_GB2312" w:hAnsi="仿宋_GB2312" w:eastAsia="仿宋_GB2312" w:cs="仿宋_GB2312"/>
                <w:color w:val="auto"/>
                <w:sz w:val="24"/>
                <w:highlight w:val="none"/>
              </w:rPr>
            </w:pPr>
          </w:p>
        </w:tc>
      </w:tr>
      <w:tr w14:paraId="5D1D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E89AD0">
            <w:pPr>
              <w:spacing w:line="360" w:lineRule="auto"/>
              <w:rPr>
                <w:rFonts w:ascii="仿宋_GB2312" w:hAnsi="仿宋_GB2312" w:eastAsia="仿宋_GB2312" w:cs="仿宋_GB2312"/>
                <w:color w:val="auto"/>
                <w:sz w:val="24"/>
                <w:highlight w:val="none"/>
              </w:rPr>
            </w:pPr>
          </w:p>
        </w:tc>
        <w:tc>
          <w:tcPr>
            <w:tcW w:w="552" w:type="dxa"/>
          </w:tcPr>
          <w:p w14:paraId="580C2D48">
            <w:pPr>
              <w:spacing w:line="360" w:lineRule="auto"/>
              <w:rPr>
                <w:rFonts w:ascii="仿宋_GB2312" w:hAnsi="仿宋_GB2312" w:eastAsia="仿宋_GB2312" w:cs="仿宋_GB2312"/>
                <w:color w:val="auto"/>
                <w:sz w:val="24"/>
                <w:highlight w:val="none"/>
              </w:rPr>
            </w:pPr>
          </w:p>
        </w:tc>
        <w:tc>
          <w:tcPr>
            <w:tcW w:w="552" w:type="dxa"/>
          </w:tcPr>
          <w:p w14:paraId="330D7B3D">
            <w:pPr>
              <w:spacing w:line="360" w:lineRule="auto"/>
              <w:rPr>
                <w:rFonts w:ascii="仿宋_GB2312" w:hAnsi="仿宋_GB2312" w:eastAsia="仿宋_GB2312" w:cs="仿宋_GB2312"/>
                <w:color w:val="auto"/>
                <w:sz w:val="24"/>
                <w:highlight w:val="none"/>
              </w:rPr>
            </w:pPr>
          </w:p>
        </w:tc>
        <w:tc>
          <w:tcPr>
            <w:tcW w:w="552" w:type="dxa"/>
          </w:tcPr>
          <w:p w14:paraId="6517F4ED">
            <w:pPr>
              <w:spacing w:line="360" w:lineRule="auto"/>
              <w:rPr>
                <w:rFonts w:ascii="仿宋_GB2312" w:hAnsi="仿宋_GB2312" w:eastAsia="仿宋_GB2312" w:cs="仿宋_GB2312"/>
                <w:color w:val="auto"/>
                <w:sz w:val="24"/>
                <w:highlight w:val="none"/>
              </w:rPr>
            </w:pPr>
          </w:p>
        </w:tc>
        <w:tc>
          <w:tcPr>
            <w:tcW w:w="552" w:type="dxa"/>
          </w:tcPr>
          <w:p w14:paraId="4D1DEE47">
            <w:pPr>
              <w:spacing w:line="360" w:lineRule="auto"/>
              <w:rPr>
                <w:rFonts w:ascii="仿宋_GB2312" w:hAnsi="仿宋_GB2312" w:eastAsia="仿宋_GB2312" w:cs="仿宋_GB2312"/>
                <w:color w:val="auto"/>
                <w:sz w:val="24"/>
                <w:highlight w:val="none"/>
              </w:rPr>
            </w:pPr>
          </w:p>
        </w:tc>
        <w:tc>
          <w:tcPr>
            <w:tcW w:w="552" w:type="dxa"/>
          </w:tcPr>
          <w:p w14:paraId="2892C16B">
            <w:pPr>
              <w:spacing w:line="360" w:lineRule="auto"/>
              <w:rPr>
                <w:rFonts w:ascii="仿宋_GB2312" w:hAnsi="仿宋_GB2312" w:eastAsia="仿宋_GB2312" w:cs="仿宋_GB2312"/>
                <w:color w:val="auto"/>
                <w:sz w:val="24"/>
                <w:highlight w:val="none"/>
              </w:rPr>
            </w:pPr>
          </w:p>
        </w:tc>
        <w:tc>
          <w:tcPr>
            <w:tcW w:w="552" w:type="dxa"/>
          </w:tcPr>
          <w:p w14:paraId="7C3A9241">
            <w:pPr>
              <w:spacing w:line="360" w:lineRule="auto"/>
              <w:rPr>
                <w:rFonts w:ascii="仿宋_GB2312" w:hAnsi="仿宋_GB2312" w:eastAsia="仿宋_GB2312" w:cs="仿宋_GB2312"/>
                <w:color w:val="auto"/>
                <w:sz w:val="24"/>
                <w:highlight w:val="none"/>
              </w:rPr>
            </w:pPr>
          </w:p>
        </w:tc>
        <w:tc>
          <w:tcPr>
            <w:tcW w:w="553" w:type="dxa"/>
          </w:tcPr>
          <w:p w14:paraId="6A4EF743">
            <w:pPr>
              <w:spacing w:line="360" w:lineRule="auto"/>
              <w:rPr>
                <w:rFonts w:ascii="仿宋_GB2312" w:hAnsi="仿宋_GB2312" w:eastAsia="仿宋_GB2312" w:cs="仿宋_GB2312"/>
                <w:color w:val="auto"/>
                <w:sz w:val="24"/>
                <w:highlight w:val="none"/>
              </w:rPr>
            </w:pPr>
          </w:p>
        </w:tc>
        <w:tc>
          <w:tcPr>
            <w:tcW w:w="553" w:type="dxa"/>
          </w:tcPr>
          <w:p w14:paraId="08E3F19C">
            <w:pPr>
              <w:spacing w:line="360" w:lineRule="auto"/>
              <w:rPr>
                <w:rFonts w:ascii="仿宋_GB2312" w:hAnsi="仿宋_GB2312" w:eastAsia="仿宋_GB2312" w:cs="仿宋_GB2312"/>
                <w:color w:val="auto"/>
                <w:sz w:val="24"/>
                <w:highlight w:val="none"/>
              </w:rPr>
            </w:pPr>
          </w:p>
        </w:tc>
        <w:tc>
          <w:tcPr>
            <w:tcW w:w="553" w:type="dxa"/>
          </w:tcPr>
          <w:p w14:paraId="3927177C">
            <w:pPr>
              <w:spacing w:line="360" w:lineRule="auto"/>
              <w:rPr>
                <w:rFonts w:ascii="仿宋_GB2312" w:hAnsi="仿宋_GB2312" w:eastAsia="仿宋_GB2312" w:cs="仿宋_GB2312"/>
                <w:color w:val="auto"/>
                <w:sz w:val="24"/>
                <w:highlight w:val="none"/>
              </w:rPr>
            </w:pPr>
          </w:p>
        </w:tc>
        <w:tc>
          <w:tcPr>
            <w:tcW w:w="553" w:type="dxa"/>
          </w:tcPr>
          <w:p w14:paraId="59D6F55F">
            <w:pPr>
              <w:spacing w:line="360" w:lineRule="auto"/>
              <w:rPr>
                <w:rFonts w:ascii="仿宋_GB2312" w:hAnsi="仿宋_GB2312" w:eastAsia="仿宋_GB2312" w:cs="仿宋_GB2312"/>
                <w:color w:val="auto"/>
                <w:sz w:val="24"/>
                <w:highlight w:val="none"/>
              </w:rPr>
            </w:pPr>
          </w:p>
        </w:tc>
        <w:tc>
          <w:tcPr>
            <w:tcW w:w="553" w:type="dxa"/>
          </w:tcPr>
          <w:p w14:paraId="519FF539">
            <w:pPr>
              <w:spacing w:line="360" w:lineRule="auto"/>
              <w:rPr>
                <w:rFonts w:ascii="仿宋_GB2312" w:hAnsi="仿宋_GB2312" w:eastAsia="仿宋_GB2312" w:cs="仿宋_GB2312"/>
                <w:color w:val="auto"/>
                <w:sz w:val="24"/>
                <w:highlight w:val="none"/>
              </w:rPr>
            </w:pPr>
          </w:p>
        </w:tc>
        <w:tc>
          <w:tcPr>
            <w:tcW w:w="553" w:type="dxa"/>
          </w:tcPr>
          <w:p w14:paraId="37B2AFF5">
            <w:pPr>
              <w:spacing w:line="360" w:lineRule="auto"/>
              <w:rPr>
                <w:rFonts w:ascii="仿宋_GB2312" w:hAnsi="仿宋_GB2312" w:eastAsia="仿宋_GB2312" w:cs="仿宋_GB2312"/>
                <w:color w:val="auto"/>
                <w:sz w:val="24"/>
                <w:highlight w:val="none"/>
              </w:rPr>
            </w:pPr>
          </w:p>
        </w:tc>
        <w:tc>
          <w:tcPr>
            <w:tcW w:w="553" w:type="dxa"/>
          </w:tcPr>
          <w:p w14:paraId="657E7389">
            <w:pPr>
              <w:spacing w:line="360" w:lineRule="auto"/>
              <w:rPr>
                <w:rFonts w:ascii="仿宋_GB2312" w:hAnsi="仿宋_GB2312" w:eastAsia="仿宋_GB2312" w:cs="仿宋_GB2312"/>
                <w:color w:val="auto"/>
                <w:sz w:val="24"/>
                <w:highlight w:val="none"/>
              </w:rPr>
            </w:pPr>
          </w:p>
        </w:tc>
        <w:tc>
          <w:tcPr>
            <w:tcW w:w="553" w:type="dxa"/>
          </w:tcPr>
          <w:p w14:paraId="2A2BDE40">
            <w:pPr>
              <w:spacing w:line="360" w:lineRule="auto"/>
              <w:rPr>
                <w:rFonts w:ascii="仿宋_GB2312" w:hAnsi="仿宋_GB2312" w:eastAsia="仿宋_GB2312" w:cs="仿宋_GB2312"/>
                <w:color w:val="auto"/>
                <w:sz w:val="24"/>
                <w:highlight w:val="none"/>
              </w:rPr>
            </w:pPr>
          </w:p>
        </w:tc>
        <w:tc>
          <w:tcPr>
            <w:tcW w:w="553" w:type="dxa"/>
          </w:tcPr>
          <w:p w14:paraId="756B808B">
            <w:pPr>
              <w:spacing w:line="360" w:lineRule="auto"/>
              <w:rPr>
                <w:rFonts w:ascii="仿宋_GB2312" w:hAnsi="仿宋_GB2312" w:eastAsia="仿宋_GB2312" w:cs="仿宋_GB2312"/>
                <w:color w:val="auto"/>
                <w:sz w:val="24"/>
                <w:highlight w:val="none"/>
              </w:rPr>
            </w:pPr>
          </w:p>
        </w:tc>
        <w:tc>
          <w:tcPr>
            <w:tcW w:w="553" w:type="dxa"/>
          </w:tcPr>
          <w:p w14:paraId="18FFF741">
            <w:pPr>
              <w:spacing w:line="360" w:lineRule="auto"/>
              <w:rPr>
                <w:rFonts w:ascii="仿宋_GB2312" w:hAnsi="仿宋_GB2312" w:eastAsia="仿宋_GB2312" w:cs="仿宋_GB2312"/>
                <w:color w:val="auto"/>
                <w:sz w:val="24"/>
                <w:highlight w:val="none"/>
              </w:rPr>
            </w:pPr>
          </w:p>
        </w:tc>
      </w:tr>
    </w:tbl>
    <w:p w14:paraId="1CD7FBCF">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A4026D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FF508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C8B8B8">
      <w:pPr>
        <w:spacing w:line="360" w:lineRule="auto"/>
        <w:rPr>
          <w:rFonts w:ascii="仿宋_GB2312" w:hAnsi="仿宋_GB2312" w:eastAsia="仿宋_GB2312" w:cs="仿宋_GB2312"/>
          <w:color w:val="auto"/>
          <w:kern w:val="0"/>
          <w:sz w:val="24"/>
          <w:highlight w:val="none"/>
        </w:rPr>
      </w:pPr>
    </w:p>
    <w:p w14:paraId="69E3CFFD">
      <w:pPr>
        <w:spacing w:line="360" w:lineRule="auto"/>
        <w:rPr>
          <w:rFonts w:ascii="仿宋_GB2312" w:hAnsi="仿宋_GB2312" w:eastAsia="仿宋_GB2312" w:cs="仿宋_GB2312"/>
          <w:b/>
          <w:bCs/>
          <w:color w:val="auto"/>
          <w:sz w:val="32"/>
          <w:szCs w:val="32"/>
          <w:highlight w:val="none"/>
        </w:rPr>
      </w:pPr>
    </w:p>
    <w:p w14:paraId="0DC73A4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44752E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638E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A2A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083D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53DAFE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F21E8B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5BCAE2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D92BF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7C043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C3B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29B09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E6149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792499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1E58E6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008EF8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45021C1">
            <w:pPr>
              <w:autoSpaceDE w:val="0"/>
              <w:autoSpaceDN w:val="0"/>
              <w:spacing w:line="360" w:lineRule="auto"/>
              <w:jc w:val="center"/>
              <w:rPr>
                <w:rFonts w:ascii="仿宋_GB2312" w:hAnsi="仿宋_GB2312" w:eastAsia="仿宋_GB2312" w:cs="仿宋_GB2312"/>
                <w:color w:val="auto"/>
                <w:sz w:val="24"/>
                <w:highlight w:val="none"/>
              </w:rPr>
            </w:pPr>
          </w:p>
        </w:tc>
      </w:tr>
      <w:tr w14:paraId="2958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D8711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1487A2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E5A97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4C3228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0EA17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987E4BB">
            <w:pPr>
              <w:autoSpaceDE w:val="0"/>
              <w:autoSpaceDN w:val="0"/>
              <w:spacing w:line="360" w:lineRule="auto"/>
              <w:jc w:val="center"/>
              <w:rPr>
                <w:rFonts w:ascii="仿宋_GB2312" w:hAnsi="仿宋_GB2312" w:eastAsia="仿宋_GB2312" w:cs="仿宋_GB2312"/>
                <w:color w:val="auto"/>
                <w:sz w:val="24"/>
                <w:highlight w:val="none"/>
              </w:rPr>
            </w:pPr>
          </w:p>
        </w:tc>
      </w:tr>
      <w:tr w14:paraId="4DB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F37BC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58E5D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AD710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25A7F0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4741C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C4A9FAA">
            <w:pPr>
              <w:autoSpaceDE w:val="0"/>
              <w:autoSpaceDN w:val="0"/>
              <w:spacing w:line="360" w:lineRule="auto"/>
              <w:jc w:val="center"/>
              <w:rPr>
                <w:rFonts w:ascii="仿宋_GB2312" w:hAnsi="仿宋_GB2312" w:eastAsia="仿宋_GB2312" w:cs="仿宋_GB2312"/>
                <w:color w:val="auto"/>
                <w:sz w:val="24"/>
                <w:highlight w:val="none"/>
              </w:rPr>
            </w:pPr>
          </w:p>
        </w:tc>
      </w:tr>
    </w:tbl>
    <w:p w14:paraId="1D37CF4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04DC5E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70BBD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800ED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6AC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99DAC4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F5F9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1E1137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E6A84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B78FB8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F9B1E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330A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982E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6BDD5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C198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A568E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19CB5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061BF4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C91FD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5E05D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98BE2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A6231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7796A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611FE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4C3C8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97DD3C">
            <w:pPr>
              <w:autoSpaceDE w:val="0"/>
              <w:autoSpaceDN w:val="0"/>
              <w:spacing w:line="240" w:lineRule="exact"/>
              <w:rPr>
                <w:rFonts w:ascii="仿宋_GB2312" w:hAnsi="仿宋_GB2312" w:eastAsia="仿宋_GB2312" w:cs="仿宋_GB2312"/>
                <w:color w:val="auto"/>
                <w:sz w:val="24"/>
                <w:highlight w:val="none"/>
              </w:rPr>
            </w:pPr>
          </w:p>
        </w:tc>
      </w:tr>
      <w:tr w14:paraId="5CC8D0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99124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87665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7F45D5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AC268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BC66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7C07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53A6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EE53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2A2A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577F8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191395">
            <w:pPr>
              <w:autoSpaceDE w:val="0"/>
              <w:autoSpaceDN w:val="0"/>
              <w:spacing w:line="240" w:lineRule="exact"/>
              <w:rPr>
                <w:rFonts w:ascii="仿宋_GB2312" w:hAnsi="仿宋_GB2312" w:eastAsia="仿宋_GB2312" w:cs="仿宋_GB2312"/>
                <w:color w:val="auto"/>
                <w:sz w:val="24"/>
                <w:highlight w:val="none"/>
              </w:rPr>
            </w:pPr>
          </w:p>
        </w:tc>
      </w:tr>
      <w:tr w14:paraId="69040A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7F38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91D0F21">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D238F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7E74E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EDAB9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EA51A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0305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20C4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A3505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CD89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6F4851">
            <w:pPr>
              <w:autoSpaceDE w:val="0"/>
              <w:autoSpaceDN w:val="0"/>
              <w:spacing w:line="240" w:lineRule="exact"/>
              <w:rPr>
                <w:rFonts w:ascii="仿宋_GB2312" w:hAnsi="仿宋_GB2312" w:eastAsia="仿宋_GB2312" w:cs="仿宋_GB2312"/>
                <w:color w:val="auto"/>
                <w:sz w:val="24"/>
                <w:highlight w:val="none"/>
              </w:rPr>
            </w:pPr>
          </w:p>
        </w:tc>
      </w:tr>
    </w:tbl>
    <w:p w14:paraId="042BFA3E">
      <w:pPr>
        <w:spacing w:line="360" w:lineRule="auto"/>
        <w:ind w:firstLine="480" w:firstLineChars="200"/>
        <w:rPr>
          <w:rFonts w:ascii="仿宋_GB2312" w:hAnsi="仿宋_GB2312" w:eastAsia="仿宋_GB2312" w:cs="仿宋_GB2312"/>
          <w:color w:val="auto"/>
          <w:sz w:val="24"/>
          <w:szCs w:val="20"/>
          <w:highlight w:val="none"/>
        </w:rPr>
      </w:pPr>
    </w:p>
    <w:p w14:paraId="2D03DED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D03D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A41CCB">
      <w:pPr>
        <w:spacing w:line="360" w:lineRule="auto"/>
        <w:rPr>
          <w:rFonts w:hint="eastAsia" w:ascii="仿宋_GB2312" w:hAnsi="仿宋_GB2312" w:eastAsia="仿宋_GB2312" w:cs="仿宋_GB2312"/>
          <w:b/>
          <w:color w:val="auto"/>
          <w:sz w:val="30"/>
          <w:szCs w:val="30"/>
          <w:highlight w:val="none"/>
          <w:lang w:eastAsia="zh-CN"/>
        </w:rPr>
      </w:pPr>
    </w:p>
    <w:p w14:paraId="4F233F8C">
      <w:pPr>
        <w:pStyle w:val="80"/>
        <w:rPr>
          <w:rFonts w:hint="eastAsia"/>
          <w:color w:val="auto"/>
          <w:highlight w:val="none"/>
          <w:lang w:eastAsia="zh-CN"/>
        </w:rPr>
      </w:pPr>
    </w:p>
    <w:p w14:paraId="75E33AB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0FCD6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1BD2330">
      <w:pPr>
        <w:spacing w:line="336" w:lineRule="auto"/>
        <w:ind w:firstLine="3600" w:firstLineChars="1500"/>
        <w:rPr>
          <w:rFonts w:hint="eastAsia" w:ascii="仿宋" w:hAnsi="仿宋" w:eastAsia="仿宋" w:cs="仿宋"/>
          <w:color w:val="auto"/>
          <w:sz w:val="24"/>
          <w:highlight w:val="none"/>
        </w:rPr>
      </w:pPr>
    </w:p>
    <w:p w14:paraId="1B256B5E">
      <w:pPr>
        <w:pStyle w:val="80"/>
        <w:rPr>
          <w:rFonts w:hint="eastAsia"/>
          <w:color w:val="auto"/>
          <w:highlight w:val="none"/>
        </w:rPr>
      </w:pPr>
    </w:p>
    <w:p w14:paraId="461207A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5D2BF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057901">
      <w:pPr>
        <w:pStyle w:val="80"/>
        <w:rPr>
          <w:color w:val="auto"/>
          <w:highlight w:val="none"/>
        </w:rPr>
      </w:pPr>
    </w:p>
    <w:p w14:paraId="1E7ADD8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B8224C3">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6892F9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4BE163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AD9F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F3FC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1491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8FFC23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41DE3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6074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E2B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E007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FD6DB7F">
            <w:pPr>
              <w:autoSpaceDE w:val="0"/>
              <w:autoSpaceDN w:val="0"/>
              <w:spacing w:line="360" w:lineRule="auto"/>
              <w:jc w:val="center"/>
              <w:rPr>
                <w:rFonts w:ascii="仿宋_GB2312" w:hAnsi="仿宋_GB2312" w:eastAsia="仿宋_GB2312" w:cs="仿宋_GB2312"/>
                <w:color w:val="auto"/>
                <w:sz w:val="24"/>
                <w:highlight w:val="none"/>
              </w:rPr>
            </w:pPr>
          </w:p>
        </w:tc>
      </w:tr>
      <w:tr w14:paraId="781086A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348E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B7D36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AAB7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0F8E71">
            <w:pPr>
              <w:autoSpaceDE w:val="0"/>
              <w:autoSpaceDN w:val="0"/>
              <w:spacing w:line="360" w:lineRule="auto"/>
              <w:jc w:val="center"/>
              <w:rPr>
                <w:rFonts w:ascii="仿宋_GB2312" w:hAnsi="仿宋_GB2312" w:eastAsia="仿宋_GB2312" w:cs="仿宋_GB2312"/>
                <w:color w:val="auto"/>
                <w:sz w:val="24"/>
                <w:highlight w:val="none"/>
              </w:rPr>
            </w:pPr>
          </w:p>
        </w:tc>
      </w:tr>
      <w:tr w14:paraId="09CE2F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E8AB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BC9AA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2DD11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0CE72">
            <w:pPr>
              <w:autoSpaceDE w:val="0"/>
              <w:autoSpaceDN w:val="0"/>
              <w:spacing w:line="360" w:lineRule="auto"/>
              <w:jc w:val="center"/>
              <w:rPr>
                <w:rFonts w:ascii="仿宋_GB2312" w:hAnsi="仿宋_GB2312" w:eastAsia="仿宋_GB2312" w:cs="仿宋_GB2312"/>
                <w:color w:val="auto"/>
                <w:sz w:val="24"/>
                <w:highlight w:val="none"/>
              </w:rPr>
            </w:pPr>
          </w:p>
        </w:tc>
      </w:tr>
      <w:tr w14:paraId="57F823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4F35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8917C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F87FA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17E43A">
            <w:pPr>
              <w:autoSpaceDE w:val="0"/>
              <w:autoSpaceDN w:val="0"/>
              <w:spacing w:line="360" w:lineRule="auto"/>
              <w:jc w:val="center"/>
              <w:rPr>
                <w:rFonts w:ascii="仿宋_GB2312" w:hAnsi="仿宋_GB2312" w:eastAsia="仿宋_GB2312" w:cs="仿宋_GB2312"/>
                <w:color w:val="auto"/>
                <w:sz w:val="24"/>
                <w:highlight w:val="none"/>
              </w:rPr>
            </w:pPr>
          </w:p>
        </w:tc>
      </w:tr>
      <w:tr w14:paraId="2DA254F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8554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1B48BB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F487D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BFE409">
            <w:pPr>
              <w:autoSpaceDE w:val="0"/>
              <w:autoSpaceDN w:val="0"/>
              <w:spacing w:line="360" w:lineRule="auto"/>
              <w:jc w:val="center"/>
              <w:rPr>
                <w:rFonts w:ascii="仿宋_GB2312" w:hAnsi="仿宋_GB2312" w:eastAsia="仿宋_GB2312" w:cs="仿宋_GB2312"/>
                <w:color w:val="auto"/>
                <w:sz w:val="24"/>
                <w:highlight w:val="none"/>
              </w:rPr>
            </w:pPr>
          </w:p>
        </w:tc>
      </w:tr>
      <w:tr w14:paraId="56A5795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2A85B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8F2C4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9446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24EFF">
            <w:pPr>
              <w:autoSpaceDE w:val="0"/>
              <w:autoSpaceDN w:val="0"/>
              <w:spacing w:line="360" w:lineRule="auto"/>
              <w:jc w:val="center"/>
              <w:rPr>
                <w:rFonts w:ascii="仿宋_GB2312" w:hAnsi="仿宋_GB2312" w:eastAsia="仿宋_GB2312" w:cs="仿宋_GB2312"/>
                <w:color w:val="auto"/>
                <w:sz w:val="24"/>
                <w:highlight w:val="none"/>
              </w:rPr>
            </w:pPr>
          </w:p>
        </w:tc>
      </w:tr>
      <w:tr w14:paraId="0AD68DF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013B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C6115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8F215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28EB31">
            <w:pPr>
              <w:autoSpaceDE w:val="0"/>
              <w:autoSpaceDN w:val="0"/>
              <w:spacing w:line="360" w:lineRule="auto"/>
              <w:jc w:val="center"/>
              <w:rPr>
                <w:rFonts w:ascii="仿宋_GB2312" w:hAnsi="仿宋_GB2312" w:eastAsia="仿宋_GB2312" w:cs="仿宋_GB2312"/>
                <w:color w:val="auto"/>
                <w:sz w:val="24"/>
                <w:highlight w:val="none"/>
              </w:rPr>
            </w:pPr>
          </w:p>
        </w:tc>
      </w:tr>
      <w:tr w14:paraId="5D91EB8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E716F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48644E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7435C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F3B2B1">
            <w:pPr>
              <w:autoSpaceDE w:val="0"/>
              <w:autoSpaceDN w:val="0"/>
              <w:spacing w:line="360" w:lineRule="auto"/>
              <w:jc w:val="center"/>
              <w:rPr>
                <w:rFonts w:ascii="仿宋_GB2312" w:hAnsi="仿宋_GB2312" w:eastAsia="仿宋_GB2312" w:cs="仿宋_GB2312"/>
                <w:color w:val="auto"/>
                <w:sz w:val="24"/>
                <w:highlight w:val="none"/>
              </w:rPr>
            </w:pPr>
          </w:p>
        </w:tc>
      </w:tr>
      <w:tr w14:paraId="09C10A7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7365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174A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847F3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9A7C44">
            <w:pPr>
              <w:autoSpaceDE w:val="0"/>
              <w:autoSpaceDN w:val="0"/>
              <w:spacing w:line="360" w:lineRule="auto"/>
              <w:jc w:val="center"/>
              <w:rPr>
                <w:rFonts w:ascii="仿宋_GB2312" w:hAnsi="仿宋_GB2312" w:eastAsia="仿宋_GB2312" w:cs="仿宋_GB2312"/>
                <w:color w:val="auto"/>
                <w:sz w:val="24"/>
                <w:highlight w:val="none"/>
              </w:rPr>
            </w:pPr>
          </w:p>
        </w:tc>
      </w:tr>
    </w:tbl>
    <w:p w14:paraId="2E0D49D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1E8A80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EBE7A3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4C5F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A3973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F372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69F4D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F888D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F3292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25D1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9E41A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5801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1B2C08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5854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F9FA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07EA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DB77A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4FB81B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80471A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018BE6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6BAB1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7E9C4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B719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DA9E1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0E7E1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A32E2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2BF975">
            <w:pPr>
              <w:autoSpaceDE w:val="0"/>
              <w:autoSpaceDN w:val="0"/>
              <w:spacing w:line="360" w:lineRule="auto"/>
              <w:rPr>
                <w:rFonts w:ascii="仿宋_GB2312" w:hAnsi="仿宋_GB2312" w:eastAsia="仿宋_GB2312" w:cs="仿宋_GB2312"/>
                <w:color w:val="auto"/>
                <w:sz w:val="24"/>
                <w:highlight w:val="none"/>
              </w:rPr>
            </w:pPr>
          </w:p>
        </w:tc>
      </w:tr>
      <w:tr w14:paraId="09EA398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DFECD1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3F3BB1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D9753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21284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421367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2244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00FD0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A4B75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0E357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943BA1">
            <w:pPr>
              <w:autoSpaceDE w:val="0"/>
              <w:autoSpaceDN w:val="0"/>
              <w:spacing w:line="360" w:lineRule="auto"/>
              <w:rPr>
                <w:rFonts w:ascii="仿宋_GB2312" w:hAnsi="仿宋_GB2312" w:eastAsia="仿宋_GB2312" w:cs="仿宋_GB2312"/>
                <w:color w:val="auto"/>
                <w:sz w:val="24"/>
                <w:highlight w:val="none"/>
              </w:rPr>
            </w:pPr>
          </w:p>
        </w:tc>
      </w:tr>
    </w:tbl>
    <w:p w14:paraId="6E93F4E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DDF5B0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EB09EF">
      <w:pPr>
        <w:spacing w:line="360" w:lineRule="auto"/>
        <w:ind w:firstLine="480" w:firstLineChars="200"/>
        <w:rPr>
          <w:rFonts w:ascii="仿宋_GB2312" w:hAnsi="仿宋_GB2312" w:eastAsia="仿宋_GB2312" w:cs="仿宋_GB2312"/>
          <w:color w:val="auto"/>
          <w:sz w:val="24"/>
          <w:szCs w:val="20"/>
          <w:highlight w:val="none"/>
        </w:rPr>
      </w:pPr>
    </w:p>
    <w:p w14:paraId="1AECA4A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6C024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A6DDC6">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7C2F4D1F">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73A37F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CFCAE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9B3B9D1">
      <w:pPr>
        <w:spacing w:line="360" w:lineRule="auto"/>
        <w:rPr>
          <w:rFonts w:ascii="仿宋_GB2312" w:hAnsi="仿宋_GB2312" w:eastAsia="仿宋_GB2312" w:cs="仿宋_GB2312"/>
          <w:color w:val="auto"/>
          <w:sz w:val="18"/>
          <w:szCs w:val="18"/>
          <w:highlight w:val="none"/>
        </w:rPr>
      </w:pPr>
    </w:p>
    <w:p w14:paraId="0169716A">
      <w:pPr>
        <w:pStyle w:val="80"/>
        <w:rPr>
          <w:color w:val="auto"/>
          <w:highlight w:val="none"/>
        </w:rPr>
      </w:pPr>
    </w:p>
    <w:p w14:paraId="3D83C14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EBC0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E5EA0B">
      <w:pPr>
        <w:spacing w:line="360" w:lineRule="auto"/>
        <w:rPr>
          <w:rFonts w:ascii="仿宋_GB2312" w:hAnsi="仿宋_GB2312" w:eastAsia="仿宋_GB2312" w:cs="仿宋_GB2312"/>
          <w:b/>
          <w:bCs/>
          <w:color w:val="auto"/>
          <w:sz w:val="18"/>
          <w:szCs w:val="18"/>
          <w:highlight w:val="none"/>
        </w:rPr>
      </w:pPr>
    </w:p>
    <w:p w14:paraId="4ACCFC81">
      <w:pPr>
        <w:spacing w:line="360" w:lineRule="auto"/>
        <w:rPr>
          <w:rFonts w:ascii="仿宋_GB2312" w:hAnsi="仿宋_GB2312" w:eastAsia="仿宋_GB2312" w:cs="仿宋_GB2312"/>
          <w:b/>
          <w:bCs/>
          <w:color w:val="auto"/>
          <w:sz w:val="32"/>
          <w:szCs w:val="32"/>
          <w:highlight w:val="none"/>
        </w:rPr>
      </w:pPr>
    </w:p>
    <w:p w14:paraId="288A16E0">
      <w:pPr>
        <w:spacing w:line="360" w:lineRule="auto"/>
        <w:rPr>
          <w:rFonts w:ascii="仿宋_GB2312" w:hAnsi="仿宋_GB2312" w:eastAsia="仿宋_GB2312" w:cs="仿宋_GB2312"/>
          <w:b/>
          <w:bCs/>
          <w:color w:val="auto"/>
          <w:sz w:val="32"/>
          <w:szCs w:val="32"/>
          <w:highlight w:val="none"/>
        </w:rPr>
      </w:pPr>
    </w:p>
    <w:p w14:paraId="3CCF4414">
      <w:pPr>
        <w:spacing w:line="360" w:lineRule="auto"/>
        <w:rPr>
          <w:rFonts w:ascii="仿宋_GB2312" w:hAnsi="仿宋_GB2312" w:eastAsia="仿宋_GB2312" w:cs="仿宋_GB2312"/>
          <w:b/>
          <w:bCs/>
          <w:color w:val="auto"/>
          <w:sz w:val="32"/>
          <w:szCs w:val="32"/>
          <w:highlight w:val="none"/>
        </w:rPr>
      </w:pPr>
    </w:p>
    <w:p w14:paraId="4AE951F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9A0A2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9B5AF2B">
      <w:pPr>
        <w:snapToGrid w:val="0"/>
        <w:spacing w:line="360" w:lineRule="auto"/>
        <w:ind w:right="960"/>
        <w:jc w:val="right"/>
        <w:rPr>
          <w:rFonts w:ascii="仿宋_GB2312" w:hAnsi="仿宋_GB2312" w:eastAsia="仿宋_GB2312" w:cs="仿宋_GB2312"/>
          <w:color w:val="auto"/>
          <w:kern w:val="0"/>
          <w:sz w:val="24"/>
          <w:highlight w:val="none"/>
          <w:lang w:val="zh-CN"/>
        </w:rPr>
      </w:pPr>
    </w:p>
    <w:p w14:paraId="327704C6">
      <w:pPr>
        <w:snapToGrid w:val="0"/>
        <w:spacing w:line="360" w:lineRule="auto"/>
        <w:ind w:right="960"/>
        <w:jc w:val="right"/>
        <w:rPr>
          <w:rFonts w:ascii="仿宋_GB2312" w:hAnsi="仿宋_GB2312" w:eastAsia="仿宋_GB2312" w:cs="仿宋_GB2312"/>
          <w:color w:val="auto"/>
          <w:kern w:val="0"/>
          <w:sz w:val="24"/>
          <w:highlight w:val="none"/>
          <w:lang w:val="zh-CN"/>
        </w:rPr>
      </w:pPr>
    </w:p>
    <w:p w14:paraId="16A835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A835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B5F78F">
      <w:pPr>
        <w:spacing w:line="360" w:lineRule="auto"/>
        <w:rPr>
          <w:rFonts w:ascii="仿宋_GB2312" w:hAnsi="仿宋_GB2312" w:eastAsia="仿宋_GB2312" w:cs="仿宋_GB2312"/>
          <w:b/>
          <w:bCs/>
          <w:color w:val="auto"/>
          <w:sz w:val="32"/>
          <w:szCs w:val="32"/>
          <w:highlight w:val="none"/>
        </w:rPr>
      </w:pPr>
    </w:p>
    <w:p w14:paraId="38B1F447">
      <w:pPr>
        <w:spacing w:line="360" w:lineRule="auto"/>
        <w:rPr>
          <w:rFonts w:ascii="仿宋_GB2312" w:hAnsi="仿宋_GB2312" w:eastAsia="仿宋_GB2312" w:cs="仿宋_GB2312"/>
          <w:b/>
          <w:bCs/>
          <w:color w:val="auto"/>
          <w:sz w:val="32"/>
          <w:szCs w:val="32"/>
          <w:highlight w:val="none"/>
        </w:rPr>
      </w:pPr>
    </w:p>
    <w:p w14:paraId="1D7D2111">
      <w:pPr>
        <w:spacing w:line="360" w:lineRule="auto"/>
        <w:rPr>
          <w:rFonts w:ascii="仿宋_GB2312" w:hAnsi="仿宋_GB2312" w:eastAsia="仿宋_GB2312" w:cs="仿宋_GB2312"/>
          <w:b/>
          <w:bCs/>
          <w:color w:val="auto"/>
          <w:sz w:val="32"/>
          <w:szCs w:val="32"/>
          <w:highlight w:val="none"/>
        </w:rPr>
      </w:pPr>
    </w:p>
    <w:p w14:paraId="6687A44B">
      <w:pPr>
        <w:spacing w:line="360" w:lineRule="auto"/>
        <w:rPr>
          <w:rFonts w:ascii="仿宋_GB2312" w:hAnsi="仿宋_GB2312" w:eastAsia="仿宋_GB2312" w:cs="仿宋_GB2312"/>
          <w:b/>
          <w:bCs/>
          <w:color w:val="auto"/>
          <w:sz w:val="32"/>
          <w:szCs w:val="32"/>
          <w:highlight w:val="none"/>
        </w:rPr>
      </w:pPr>
    </w:p>
    <w:p w14:paraId="7C2D4DA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A1126F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69B1CC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CC4EB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7467E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6D6F8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2B0AA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D175F9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E0ACB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A9FB36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49D315">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912EB6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E4890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307D4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FDA9F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377C3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C879CA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B7B28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307A305">
            <w:pPr>
              <w:suppressAutoHyphens/>
              <w:autoSpaceDE w:val="0"/>
              <w:autoSpaceDN w:val="0"/>
              <w:spacing w:line="360" w:lineRule="auto"/>
              <w:rPr>
                <w:rFonts w:ascii="仿宋_GB2312" w:hAnsi="仿宋_GB2312" w:eastAsia="仿宋_GB2312" w:cs="仿宋_GB2312"/>
                <w:color w:val="auto"/>
                <w:sz w:val="24"/>
                <w:highlight w:val="none"/>
              </w:rPr>
            </w:pPr>
          </w:p>
        </w:tc>
      </w:tr>
      <w:tr w14:paraId="556E7BD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9536B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88BB1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42FB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04347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ACA3CF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1AA5921">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1174D72">
            <w:pPr>
              <w:suppressAutoHyphens/>
              <w:autoSpaceDE w:val="0"/>
              <w:autoSpaceDN w:val="0"/>
              <w:spacing w:line="360" w:lineRule="auto"/>
              <w:rPr>
                <w:rFonts w:ascii="仿宋_GB2312" w:hAnsi="仿宋_GB2312" w:eastAsia="仿宋_GB2312" w:cs="仿宋_GB2312"/>
                <w:color w:val="auto"/>
                <w:sz w:val="24"/>
                <w:highlight w:val="none"/>
              </w:rPr>
            </w:pPr>
          </w:p>
        </w:tc>
      </w:tr>
    </w:tbl>
    <w:p w14:paraId="24B796A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3D67CC5">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120EEE4">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B4A5873">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747F3E9">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930FACB">
      <w:pPr>
        <w:numPr>
          <w:ilvl w:val="0"/>
          <w:numId w:val="6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E88E9A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4B221A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77395B4">
      <w:pPr>
        <w:spacing w:line="360" w:lineRule="auto"/>
        <w:ind w:firstLine="480" w:firstLineChars="200"/>
        <w:rPr>
          <w:rFonts w:ascii="仿宋_GB2312" w:hAnsi="仿宋_GB2312" w:eastAsia="仿宋_GB2312" w:cs="仿宋_GB2312"/>
          <w:color w:val="auto"/>
          <w:sz w:val="24"/>
          <w:szCs w:val="20"/>
          <w:highlight w:val="none"/>
        </w:rPr>
      </w:pPr>
    </w:p>
    <w:p w14:paraId="235145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F2A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10B7F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CC5FC6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26DFB2E">
      <w:pPr>
        <w:spacing w:line="360" w:lineRule="auto"/>
        <w:jc w:val="center"/>
        <w:rPr>
          <w:rFonts w:ascii="仿宋_GB2312" w:hAnsi="仿宋_GB2312" w:eastAsia="仿宋_GB2312" w:cs="仿宋_GB2312"/>
          <w:color w:val="auto"/>
          <w:sz w:val="24"/>
          <w:highlight w:val="none"/>
        </w:rPr>
      </w:pPr>
    </w:p>
    <w:p w14:paraId="5FD31E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A91D8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03F05E">
      <w:pPr>
        <w:spacing w:line="360" w:lineRule="auto"/>
        <w:jc w:val="center"/>
        <w:rPr>
          <w:rFonts w:ascii="仿宋_GB2312" w:hAnsi="仿宋_GB2312" w:eastAsia="仿宋_GB2312" w:cs="仿宋_GB2312"/>
          <w:b/>
          <w:bCs/>
          <w:color w:val="auto"/>
          <w:sz w:val="30"/>
          <w:szCs w:val="30"/>
          <w:highlight w:val="none"/>
        </w:rPr>
      </w:pPr>
    </w:p>
    <w:p w14:paraId="28F29CDF">
      <w:pPr>
        <w:spacing w:line="360" w:lineRule="auto"/>
        <w:jc w:val="center"/>
        <w:rPr>
          <w:rFonts w:ascii="仿宋_GB2312" w:hAnsi="仿宋_GB2312" w:eastAsia="仿宋_GB2312" w:cs="仿宋_GB2312"/>
          <w:b/>
          <w:bCs/>
          <w:color w:val="auto"/>
          <w:sz w:val="30"/>
          <w:szCs w:val="30"/>
          <w:highlight w:val="none"/>
        </w:rPr>
      </w:pPr>
    </w:p>
    <w:p w14:paraId="10BF3909">
      <w:pPr>
        <w:spacing w:line="360" w:lineRule="auto"/>
        <w:jc w:val="center"/>
        <w:rPr>
          <w:rFonts w:ascii="仿宋_GB2312" w:hAnsi="仿宋_GB2312" w:eastAsia="仿宋_GB2312" w:cs="仿宋_GB2312"/>
          <w:b/>
          <w:bCs/>
          <w:color w:val="auto"/>
          <w:sz w:val="24"/>
          <w:highlight w:val="none"/>
        </w:rPr>
      </w:pPr>
    </w:p>
    <w:p w14:paraId="55463578">
      <w:pPr>
        <w:spacing w:line="360" w:lineRule="auto"/>
        <w:jc w:val="center"/>
        <w:rPr>
          <w:rFonts w:ascii="仿宋_GB2312" w:hAnsi="仿宋_GB2312" w:eastAsia="仿宋_GB2312" w:cs="仿宋_GB2312"/>
          <w:b/>
          <w:bCs/>
          <w:color w:val="auto"/>
          <w:sz w:val="24"/>
          <w:highlight w:val="none"/>
        </w:rPr>
      </w:pPr>
    </w:p>
    <w:p w14:paraId="20B4C57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9DD9EC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722C215">
      <w:pPr>
        <w:spacing w:line="360" w:lineRule="auto"/>
        <w:rPr>
          <w:rFonts w:ascii="仿宋_GB2312" w:hAnsi="仿宋_GB2312" w:eastAsia="仿宋_GB2312" w:cs="仿宋_GB2312"/>
          <w:color w:val="auto"/>
          <w:sz w:val="24"/>
          <w:highlight w:val="none"/>
        </w:rPr>
      </w:pPr>
    </w:p>
    <w:p w14:paraId="22884D6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13B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65EC63">
      <w:pPr>
        <w:pStyle w:val="81"/>
        <w:rPr>
          <w:rFonts w:hint="eastAsia"/>
          <w:color w:val="auto"/>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9A17A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377A57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A466E1">
      <w:pPr>
        <w:spacing w:line="360" w:lineRule="auto"/>
        <w:jc w:val="center"/>
        <w:outlineLvl w:val="0"/>
        <w:rPr>
          <w:rFonts w:hint="eastAsia" w:ascii="仿宋" w:hAnsi="仿宋" w:eastAsia="仿宋" w:cs="仿宋"/>
          <w:b/>
          <w:color w:val="auto"/>
          <w:kern w:val="0"/>
          <w:sz w:val="36"/>
          <w:szCs w:val="36"/>
          <w:highlight w:val="none"/>
        </w:rPr>
      </w:pPr>
    </w:p>
    <w:p w14:paraId="793B71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5E63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743E229">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66CEF08F">
      <w:pPr>
        <w:snapToGrid w:val="0"/>
        <w:spacing w:line="360" w:lineRule="auto"/>
        <w:ind w:right="480"/>
        <w:jc w:val="center"/>
        <w:rPr>
          <w:rFonts w:hint="eastAsia" w:ascii="仿宋" w:hAnsi="仿宋" w:eastAsia="仿宋" w:cs="仿宋"/>
          <w:b/>
          <w:color w:val="auto"/>
          <w:kern w:val="0"/>
          <w:sz w:val="32"/>
          <w:szCs w:val="32"/>
          <w:highlight w:val="none"/>
        </w:rPr>
      </w:pPr>
    </w:p>
    <w:p w14:paraId="260989E4">
      <w:pPr>
        <w:snapToGrid w:val="0"/>
        <w:spacing w:line="360" w:lineRule="auto"/>
        <w:ind w:right="480"/>
        <w:jc w:val="center"/>
        <w:rPr>
          <w:rFonts w:hint="eastAsia" w:ascii="仿宋" w:hAnsi="仿宋" w:eastAsia="仿宋" w:cs="仿宋"/>
          <w:b/>
          <w:color w:val="auto"/>
          <w:kern w:val="0"/>
          <w:sz w:val="32"/>
          <w:szCs w:val="32"/>
          <w:highlight w:val="none"/>
        </w:rPr>
      </w:pPr>
    </w:p>
    <w:p w14:paraId="774827A6">
      <w:pPr>
        <w:snapToGrid w:val="0"/>
        <w:spacing w:line="360" w:lineRule="auto"/>
        <w:ind w:right="480"/>
        <w:jc w:val="center"/>
        <w:rPr>
          <w:rFonts w:hint="eastAsia" w:ascii="仿宋" w:hAnsi="仿宋" w:eastAsia="仿宋" w:cs="仿宋"/>
          <w:b/>
          <w:color w:val="auto"/>
          <w:kern w:val="0"/>
          <w:sz w:val="32"/>
          <w:szCs w:val="32"/>
          <w:highlight w:val="none"/>
        </w:rPr>
      </w:pPr>
    </w:p>
    <w:p w14:paraId="3932B503">
      <w:pPr>
        <w:snapToGrid w:val="0"/>
        <w:spacing w:line="360" w:lineRule="auto"/>
        <w:ind w:right="480"/>
        <w:jc w:val="center"/>
        <w:rPr>
          <w:rFonts w:hint="eastAsia" w:ascii="仿宋" w:hAnsi="仿宋" w:eastAsia="仿宋" w:cs="仿宋"/>
          <w:b/>
          <w:color w:val="auto"/>
          <w:kern w:val="0"/>
          <w:sz w:val="32"/>
          <w:szCs w:val="32"/>
          <w:highlight w:val="none"/>
        </w:rPr>
      </w:pPr>
    </w:p>
    <w:p w14:paraId="0C23CDBA">
      <w:pPr>
        <w:snapToGrid w:val="0"/>
        <w:spacing w:line="360" w:lineRule="auto"/>
        <w:ind w:right="480"/>
        <w:jc w:val="center"/>
        <w:rPr>
          <w:rFonts w:hint="eastAsia" w:ascii="仿宋" w:hAnsi="仿宋" w:eastAsia="仿宋" w:cs="仿宋"/>
          <w:b/>
          <w:color w:val="auto"/>
          <w:kern w:val="0"/>
          <w:sz w:val="32"/>
          <w:szCs w:val="32"/>
          <w:highlight w:val="none"/>
        </w:rPr>
      </w:pPr>
    </w:p>
    <w:p w14:paraId="27E1DF2E">
      <w:pPr>
        <w:snapToGrid w:val="0"/>
        <w:spacing w:line="360" w:lineRule="auto"/>
        <w:ind w:right="480"/>
        <w:jc w:val="center"/>
        <w:rPr>
          <w:rFonts w:hint="eastAsia" w:ascii="仿宋" w:hAnsi="仿宋" w:eastAsia="仿宋" w:cs="仿宋"/>
          <w:b/>
          <w:color w:val="auto"/>
          <w:kern w:val="0"/>
          <w:sz w:val="32"/>
          <w:szCs w:val="32"/>
          <w:highlight w:val="none"/>
        </w:rPr>
      </w:pPr>
    </w:p>
    <w:p w14:paraId="01316396">
      <w:pPr>
        <w:snapToGrid w:val="0"/>
        <w:spacing w:line="360" w:lineRule="auto"/>
        <w:ind w:right="480"/>
        <w:jc w:val="center"/>
        <w:rPr>
          <w:rFonts w:hint="eastAsia" w:ascii="仿宋" w:hAnsi="仿宋" w:eastAsia="仿宋" w:cs="仿宋"/>
          <w:b/>
          <w:color w:val="auto"/>
          <w:kern w:val="0"/>
          <w:sz w:val="32"/>
          <w:szCs w:val="32"/>
          <w:highlight w:val="none"/>
        </w:rPr>
      </w:pPr>
    </w:p>
    <w:p w14:paraId="54A8A160">
      <w:pPr>
        <w:snapToGrid w:val="0"/>
        <w:spacing w:line="360" w:lineRule="auto"/>
        <w:ind w:right="480"/>
        <w:jc w:val="center"/>
        <w:rPr>
          <w:rFonts w:hint="eastAsia" w:ascii="仿宋" w:hAnsi="仿宋" w:eastAsia="仿宋" w:cs="仿宋"/>
          <w:b/>
          <w:color w:val="auto"/>
          <w:kern w:val="0"/>
          <w:sz w:val="32"/>
          <w:szCs w:val="32"/>
          <w:highlight w:val="none"/>
        </w:rPr>
      </w:pPr>
    </w:p>
    <w:p w14:paraId="0FB185E6">
      <w:pPr>
        <w:snapToGrid w:val="0"/>
        <w:spacing w:line="360" w:lineRule="auto"/>
        <w:ind w:right="480"/>
        <w:jc w:val="center"/>
        <w:rPr>
          <w:rFonts w:hint="eastAsia" w:ascii="仿宋" w:hAnsi="仿宋" w:eastAsia="仿宋" w:cs="仿宋"/>
          <w:b/>
          <w:color w:val="auto"/>
          <w:kern w:val="0"/>
          <w:sz w:val="32"/>
          <w:szCs w:val="32"/>
          <w:highlight w:val="none"/>
        </w:rPr>
      </w:pPr>
    </w:p>
    <w:p w14:paraId="70FBC9B4">
      <w:pPr>
        <w:snapToGrid w:val="0"/>
        <w:spacing w:line="360" w:lineRule="auto"/>
        <w:ind w:right="480"/>
        <w:jc w:val="center"/>
        <w:rPr>
          <w:rFonts w:hint="eastAsia" w:ascii="仿宋" w:hAnsi="仿宋" w:eastAsia="仿宋" w:cs="仿宋"/>
          <w:b/>
          <w:color w:val="auto"/>
          <w:kern w:val="0"/>
          <w:sz w:val="32"/>
          <w:szCs w:val="32"/>
          <w:highlight w:val="none"/>
        </w:rPr>
      </w:pPr>
    </w:p>
    <w:p w14:paraId="1BFC5372">
      <w:pPr>
        <w:snapToGrid w:val="0"/>
        <w:spacing w:line="360" w:lineRule="auto"/>
        <w:ind w:right="480"/>
        <w:jc w:val="center"/>
        <w:rPr>
          <w:rFonts w:hint="eastAsia" w:ascii="仿宋" w:hAnsi="仿宋" w:eastAsia="仿宋" w:cs="仿宋"/>
          <w:b/>
          <w:color w:val="auto"/>
          <w:kern w:val="0"/>
          <w:sz w:val="32"/>
          <w:szCs w:val="32"/>
          <w:highlight w:val="none"/>
        </w:rPr>
      </w:pPr>
    </w:p>
    <w:p w14:paraId="59032947">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AC74E8C">
      <w:pPr>
        <w:pStyle w:val="692"/>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DF3B93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34FFE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0907CF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4666"/>
        <w:gridCol w:w="1275"/>
        <w:gridCol w:w="1170"/>
        <w:gridCol w:w="1373"/>
      </w:tblGrid>
      <w:tr w14:paraId="04F5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0C2F4A0F">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序号</w:t>
            </w:r>
          </w:p>
        </w:tc>
        <w:tc>
          <w:tcPr>
            <w:tcW w:w="4666" w:type="dxa"/>
            <w:vAlign w:val="center"/>
          </w:tcPr>
          <w:p w14:paraId="7CD7500F">
            <w:pPr>
              <w:spacing w:line="360" w:lineRule="auto"/>
              <w:jc w:val="center"/>
              <w:rPr>
                <w:rFonts w:hint="eastAsia" w:ascii="仿宋" w:hAnsi="仿宋" w:eastAsia="仿宋"/>
                <w:b/>
                <w:color w:val="auto"/>
                <w:highlight w:val="none"/>
              </w:rPr>
            </w:pPr>
            <w:r>
              <w:rPr>
                <w:rFonts w:hint="eastAsia" w:ascii="仿宋" w:hAnsi="仿宋" w:eastAsia="仿宋"/>
                <w:b/>
                <w:color w:val="auto"/>
                <w:highlight w:val="none"/>
              </w:rPr>
              <w:t>服务内容</w:t>
            </w:r>
          </w:p>
        </w:tc>
        <w:tc>
          <w:tcPr>
            <w:tcW w:w="1275" w:type="dxa"/>
            <w:vAlign w:val="center"/>
          </w:tcPr>
          <w:p w14:paraId="7B95F630">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数量</w:t>
            </w:r>
          </w:p>
        </w:tc>
        <w:tc>
          <w:tcPr>
            <w:tcW w:w="1170" w:type="dxa"/>
            <w:vAlign w:val="center"/>
          </w:tcPr>
          <w:p w14:paraId="2D2062DF">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单价</w:t>
            </w:r>
          </w:p>
        </w:tc>
        <w:tc>
          <w:tcPr>
            <w:tcW w:w="1373" w:type="dxa"/>
            <w:vAlign w:val="center"/>
          </w:tcPr>
          <w:p w14:paraId="0DE67184">
            <w:pPr>
              <w:spacing w:line="360" w:lineRule="auto"/>
              <w:jc w:val="center"/>
              <w:rPr>
                <w:rFonts w:hint="eastAsia" w:ascii="仿宋" w:hAnsi="仿宋" w:eastAsia="仿宋"/>
                <w:b/>
                <w:color w:val="auto"/>
                <w:highlight w:val="none"/>
              </w:rPr>
            </w:pPr>
            <w:r>
              <w:rPr>
                <w:rFonts w:hint="eastAsia" w:ascii="仿宋" w:hAnsi="仿宋" w:eastAsia="仿宋"/>
                <w:b/>
                <w:color w:val="auto"/>
                <w:highlight w:val="none"/>
              </w:rPr>
              <w:t>总价</w:t>
            </w:r>
          </w:p>
          <w:p w14:paraId="31C438B7">
            <w:pPr>
              <w:spacing w:line="360" w:lineRule="auto"/>
              <w:jc w:val="center"/>
              <w:rPr>
                <w:rFonts w:hint="eastAsia" w:ascii="仿宋" w:hAnsi="仿宋" w:eastAsia="仿宋" w:cs="仿宋_GB2312"/>
                <w:b/>
                <w:color w:val="auto"/>
                <w:highlight w:val="none"/>
              </w:rPr>
            </w:pPr>
            <w:r>
              <w:rPr>
                <w:rFonts w:hint="eastAsia" w:ascii="仿宋" w:hAnsi="仿宋" w:eastAsia="仿宋"/>
                <w:b/>
                <w:color w:val="auto"/>
                <w:highlight w:val="none"/>
              </w:rPr>
              <w:t>（元）</w:t>
            </w:r>
          </w:p>
        </w:tc>
      </w:tr>
      <w:tr w14:paraId="6B15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6CE53153">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4666" w:type="dxa"/>
            <w:vAlign w:val="center"/>
          </w:tcPr>
          <w:p w14:paraId="754E33EC">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医院信息系统</w:t>
            </w:r>
          </w:p>
        </w:tc>
        <w:tc>
          <w:tcPr>
            <w:tcW w:w="1275" w:type="dxa"/>
            <w:vAlign w:val="center"/>
          </w:tcPr>
          <w:p w14:paraId="0AA421F8">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62E38CBD">
            <w:pPr>
              <w:spacing w:line="360" w:lineRule="auto"/>
              <w:jc w:val="center"/>
              <w:rPr>
                <w:rFonts w:hint="eastAsia" w:ascii="仿宋" w:hAnsi="仿宋" w:eastAsia="仿宋" w:cs="仿宋_GB2312"/>
                <w:color w:val="auto"/>
                <w:highlight w:val="none"/>
              </w:rPr>
            </w:pPr>
          </w:p>
        </w:tc>
        <w:tc>
          <w:tcPr>
            <w:tcW w:w="1373" w:type="dxa"/>
            <w:vAlign w:val="center"/>
          </w:tcPr>
          <w:p w14:paraId="00F832F4">
            <w:pPr>
              <w:spacing w:line="360" w:lineRule="auto"/>
              <w:jc w:val="center"/>
              <w:rPr>
                <w:rFonts w:hint="eastAsia" w:ascii="仿宋" w:hAnsi="仿宋" w:eastAsia="仿宋" w:cs="仿宋_GB2312"/>
                <w:color w:val="auto"/>
                <w:highlight w:val="none"/>
              </w:rPr>
            </w:pPr>
          </w:p>
        </w:tc>
      </w:tr>
      <w:tr w14:paraId="6B25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470E0A8A">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2</w:t>
            </w:r>
          </w:p>
        </w:tc>
        <w:tc>
          <w:tcPr>
            <w:tcW w:w="4666" w:type="dxa"/>
            <w:vAlign w:val="center"/>
          </w:tcPr>
          <w:p w14:paraId="5EDFAAF4">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信息集成平台</w:t>
            </w:r>
          </w:p>
        </w:tc>
        <w:tc>
          <w:tcPr>
            <w:tcW w:w="1275" w:type="dxa"/>
            <w:vAlign w:val="center"/>
          </w:tcPr>
          <w:p w14:paraId="67FD9210">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2CCEFE91">
            <w:pPr>
              <w:spacing w:line="360" w:lineRule="auto"/>
              <w:jc w:val="center"/>
              <w:rPr>
                <w:rFonts w:hint="eastAsia" w:ascii="仿宋" w:hAnsi="仿宋" w:eastAsia="仿宋" w:cs="仿宋_GB2312"/>
                <w:color w:val="auto"/>
                <w:highlight w:val="none"/>
              </w:rPr>
            </w:pPr>
          </w:p>
        </w:tc>
        <w:tc>
          <w:tcPr>
            <w:tcW w:w="1373" w:type="dxa"/>
            <w:vAlign w:val="center"/>
          </w:tcPr>
          <w:p w14:paraId="2CF4FDB8">
            <w:pPr>
              <w:spacing w:line="360" w:lineRule="auto"/>
              <w:jc w:val="center"/>
              <w:rPr>
                <w:rFonts w:hint="eastAsia" w:ascii="仿宋" w:hAnsi="仿宋" w:eastAsia="仿宋" w:cs="仿宋_GB2312"/>
                <w:color w:val="auto"/>
                <w:highlight w:val="none"/>
              </w:rPr>
            </w:pPr>
          </w:p>
        </w:tc>
      </w:tr>
      <w:tr w14:paraId="7BA0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1EFE5A42">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3</w:t>
            </w:r>
          </w:p>
        </w:tc>
        <w:tc>
          <w:tcPr>
            <w:tcW w:w="4666" w:type="dxa"/>
            <w:vAlign w:val="center"/>
          </w:tcPr>
          <w:p w14:paraId="64B968AA">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医院系统应用统一管理</w:t>
            </w:r>
          </w:p>
        </w:tc>
        <w:tc>
          <w:tcPr>
            <w:tcW w:w="1275" w:type="dxa"/>
            <w:vAlign w:val="center"/>
          </w:tcPr>
          <w:p w14:paraId="25A864CE">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474B68B6">
            <w:pPr>
              <w:spacing w:line="360" w:lineRule="auto"/>
              <w:jc w:val="center"/>
              <w:rPr>
                <w:rFonts w:hint="eastAsia" w:ascii="仿宋" w:hAnsi="仿宋" w:eastAsia="仿宋" w:cs="仿宋_GB2312"/>
                <w:color w:val="auto"/>
                <w:highlight w:val="none"/>
              </w:rPr>
            </w:pPr>
          </w:p>
        </w:tc>
        <w:tc>
          <w:tcPr>
            <w:tcW w:w="1373" w:type="dxa"/>
            <w:vAlign w:val="center"/>
          </w:tcPr>
          <w:p w14:paraId="0F4B750F">
            <w:pPr>
              <w:spacing w:line="360" w:lineRule="auto"/>
              <w:jc w:val="center"/>
              <w:rPr>
                <w:rFonts w:hint="eastAsia" w:ascii="仿宋" w:hAnsi="仿宋" w:eastAsia="仿宋" w:cs="仿宋_GB2312"/>
                <w:color w:val="auto"/>
                <w:highlight w:val="none"/>
              </w:rPr>
            </w:pPr>
          </w:p>
        </w:tc>
      </w:tr>
      <w:tr w14:paraId="320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7595E447">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4</w:t>
            </w:r>
          </w:p>
        </w:tc>
        <w:tc>
          <w:tcPr>
            <w:tcW w:w="4666" w:type="dxa"/>
            <w:vAlign w:val="center"/>
          </w:tcPr>
          <w:p w14:paraId="2FBC05A4">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互联互通四甲测评贴身服务</w:t>
            </w:r>
          </w:p>
        </w:tc>
        <w:tc>
          <w:tcPr>
            <w:tcW w:w="1275" w:type="dxa"/>
            <w:vAlign w:val="center"/>
          </w:tcPr>
          <w:p w14:paraId="15197183">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3921B551">
            <w:pPr>
              <w:spacing w:line="360" w:lineRule="auto"/>
              <w:jc w:val="center"/>
              <w:rPr>
                <w:rFonts w:hint="eastAsia" w:ascii="仿宋" w:hAnsi="仿宋" w:eastAsia="仿宋" w:cs="仿宋_GB2312"/>
                <w:color w:val="auto"/>
                <w:highlight w:val="none"/>
              </w:rPr>
            </w:pPr>
          </w:p>
        </w:tc>
        <w:tc>
          <w:tcPr>
            <w:tcW w:w="1373" w:type="dxa"/>
            <w:vAlign w:val="center"/>
          </w:tcPr>
          <w:p w14:paraId="659B33F9">
            <w:pPr>
              <w:spacing w:line="360" w:lineRule="auto"/>
              <w:jc w:val="center"/>
              <w:rPr>
                <w:rFonts w:hint="eastAsia" w:ascii="仿宋" w:hAnsi="仿宋" w:eastAsia="仿宋" w:cs="仿宋_GB2312"/>
                <w:color w:val="auto"/>
                <w:highlight w:val="none"/>
              </w:rPr>
            </w:pPr>
          </w:p>
        </w:tc>
      </w:tr>
      <w:tr w14:paraId="3D21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03641536">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5</w:t>
            </w:r>
          </w:p>
        </w:tc>
        <w:tc>
          <w:tcPr>
            <w:tcW w:w="4666" w:type="dxa"/>
            <w:vAlign w:val="center"/>
          </w:tcPr>
          <w:p w14:paraId="46DD80DD">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系统集成与升级</w:t>
            </w:r>
          </w:p>
        </w:tc>
        <w:tc>
          <w:tcPr>
            <w:tcW w:w="1275" w:type="dxa"/>
            <w:vAlign w:val="center"/>
          </w:tcPr>
          <w:p w14:paraId="06B29785">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3010D8E9">
            <w:pPr>
              <w:spacing w:line="360" w:lineRule="auto"/>
              <w:jc w:val="center"/>
              <w:rPr>
                <w:rFonts w:hint="eastAsia" w:ascii="仿宋" w:hAnsi="仿宋" w:eastAsia="仿宋" w:cs="仿宋_GB2312"/>
                <w:color w:val="auto"/>
                <w:highlight w:val="none"/>
              </w:rPr>
            </w:pPr>
          </w:p>
        </w:tc>
        <w:tc>
          <w:tcPr>
            <w:tcW w:w="1373" w:type="dxa"/>
            <w:vAlign w:val="center"/>
          </w:tcPr>
          <w:p w14:paraId="774AAA42">
            <w:pPr>
              <w:spacing w:line="360" w:lineRule="auto"/>
              <w:jc w:val="center"/>
              <w:rPr>
                <w:rFonts w:hint="eastAsia" w:ascii="仿宋" w:hAnsi="仿宋" w:eastAsia="仿宋" w:cs="仿宋_GB2312"/>
                <w:color w:val="auto"/>
                <w:highlight w:val="none"/>
              </w:rPr>
            </w:pPr>
          </w:p>
        </w:tc>
      </w:tr>
      <w:tr w14:paraId="796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3ADA5CEE">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6</w:t>
            </w:r>
          </w:p>
        </w:tc>
        <w:tc>
          <w:tcPr>
            <w:tcW w:w="4666" w:type="dxa"/>
            <w:vAlign w:val="center"/>
          </w:tcPr>
          <w:p w14:paraId="34CE50C0">
            <w:pPr>
              <w:spacing w:line="360" w:lineRule="auto"/>
              <w:rPr>
                <w:rFonts w:hint="eastAsia" w:ascii="仿宋" w:hAnsi="仿宋" w:eastAsia="仿宋" w:cs="仿宋_GB2312"/>
                <w:color w:val="auto"/>
                <w:highlight w:val="none"/>
              </w:rPr>
            </w:pPr>
            <w:r>
              <w:rPr>
                <w:rFonts w:hint="eastAsia" w:ascii="仿宋" w:hAnsi="仿宋" w:eastAsia="仿宋" w:cs="仿宋_GB2312"/>
                <w:color w:val="auto"/>
                <w:highlight w:val="none"/>
              </w:rPr>
              <w:t>其他系统</w:t>
            </w:r>
          </w:p>
        </w:tc>
        <w:tc>
          <w:tcPr>
            <w:tcW w:w="1275" w:type="dxa"/>
            <w:vAlign w:val="center"/>
          </w:tcPr>
          <w:p w14:paraId="725A1382">
            <w:pPr>
              <w:spacing w:line="360" w:lineRule="auto"/>
              <w:jc w:val="center"/>
              <w:rPr>
                <w:rFonts w:hint="eastAsia" w:ascii="仿宋" w:hAnsi="仿宋" w:eastAsia="仿宋" w:cs="仿宋_GB2312"/>
                <w:color w:val="auto"/>
                <w:highlight w:val="none"/>
              </w:rPr>
            </w:pPr>
            <w:r>
              <w:rPr>
                <w:rFonts w:hint="eastAsia" w:ascii="仿宋" w:hAnsi="仿宋" w:eastAsia="仿宋" w:cs="仿宋_GB2312"/>
                <w:color w:val="auto"/>
                <w:highlight w:val="none"/>
              </w:rPr>
              <w:t>1</w:t>
            </w:r>
          </w:p>
        </w:tc>
        <w:tc>
          <w:tcPr>
            <w:tcW w:w="1170" w:type="dxa"/>
            <w:vAlign w:val="center"/>
          </w:tcPr>
          <w:p w14:paraId="53490407">
            <w:pPr>
              <w:spacing w:line="360" w:lineRule="auto"/>
              <w:jc w:val="center"/>
              <w:rPr>
                <w:rFonts w:hint="eastAsia" w:ascii="仿宋" w:hAnsi="仿宋" w:eastAsia="仿宋" w:cs="仿宋_GB2312"/>
                <w:color w:val="auto"/>
                <w:highlight w:val="none"/>
              </w:rPr>
            </w:pPr>
          </w:p>
        </w:tc>
        <w:tc>
          <w:tcPr>
            <w:tcW w:w="1373" w:type="dxa"/>
            <w:vAlign w:val="center"/>
          </w:tcPr>
          <w:p w14:paraId="265BCDD0">
            <w:pPr>
              <w:spacing w:line="360" w:lineRule="auto"/>
              <w:jc w:val="center"/>
              <w:rPr>
                <w:rFonts w:hint="eastAsia" w:ascii="仿宋" w:hAnsi="仿宋" w:eastAsia="仿宋" w:cs="仿宋_GB2312"/>
                <w:color w:val="auto"/>
                <w:highlight w:val="none"/>
              </w:rPr>
            </w:pPr>
          </w:p>
        </w:tc>
      </w:tr>
      <w:tr w14:paraId="20BD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dxa"/>
            <w:vAlign w:val="center"/>
          </w:tcPr>
          <w:p w14:paraId="3FD11BA1">
            <w:pPr>
              <w:spacing w:line="360" w:lineRule="auto"/>
              <w:jc w:val="center"/>
              <w:rPr>
                <w:rFonts w:hint="eastAsia" w:ascii="仿宋" w:hAnsi="仿宋" w:eastAsia="仿宋" w:cs="仿宋_GB2312"/>
                <w:color w:val="auto"/>
                <w:highlight w:val="none"/>
              </w:rPr>
            </w:pPr>
          </w:p>
        </w:tc>
        <w:tc>
          <w:tcPr>
            <w:tcW w:w="4666" w:type="dxa"/>
            <w:vAlign w:val="center"/>
          </w:tcPr>
          <w:p w14:paraId="31DEC820">
            <w:pPr>
              <w:spacing w:line="360" w:lineRule="auto"/>
              <w:rPr>
                <w:rFonts w:hint="eastAsia" w:ascii="仿宋" w:hAnsi="仿宋" w:eastAsia="仿宋" w:cs="仿宋_GB2312"/>
                <w:color w:val="auto"/>
                <w:highlight w:val="none"/>
              </w:rPr>
            </w:pPr>
          </w:p>
        </w:tc>
        <w:tc>
          <w:tcPr>
            <w:tcW w:w="1275" w:type="dxa"/>
            <w:vAlign w:val="center"/>
          </w:tcPr>
          <w:p w14:paraId="2225E12F">
            <w:pPr>
              <w:spacing w:line="360" w:lineRule="auto"/>
              <w:jc w:val="center"/>
              <w:rPr>
                <w:rFonts w:hint="eastAsia" w:ascii="仿宋" w:hAnsi="仿宋" w:eastAsia="仿宋" w:cs="仿宋_GB2312"/>
                <w:color w:val="auto"/>
                <w:highlight w:val="none"/>
              </w:rPr>
            </w:pPr>
          </w:p>
        </w:tc>
        <w:tc>
          <w:tcPr>
            <w:tcW w:w="1170" w:type="dxa"/>
            <w:vAlign w:val="center"/>
          </w:tcPr>
          <w:p w14:paraId="042DB60D">
            <w:pPr>
              <w:spacing w:line="360" w:lineRule="auto"/>
              <w:jc w:val="center"/>
              <w:rPr>
                <w:rFonts w:hint="eastAsia" w:ascii="仿宋" w:hAnsi="仿宋" w:eastAsia="仿宋" w:cs="仿宋_GB2312"/>
                <w:color w:val="auto"/>
                <w:highlight w:val="none"/>
              </w:rPr>
            </w:pPr>
          </w:p>
        </w:tc>
        <w:tc>
          <w:tcPr>
            <w:tcW w:w="1373" w:type="dxa"/>
            <w:vAlign w:val="center"/>
          </w:tcPr>
          <w:p w14:paraId="74ADC6F4">
            <w:pPr>
              <w:spacing w:line="360" w:lineRule="auto"/>
              <w:jc w:val="center"/>
              <w:rPr>
                <w:rFonts w:hint="eastAsia" w:ascii="仿宋" w:hAnsi="仿宋" w:eastAsia="仿宋" w:cs="仿宋_GB2312"/>
                <w:color w:val="auto"/>
                <w:highlight w:val="none"/>
              </w:rPr>
            </w:pPr>
          </w:p>
        </w:tc>
      </w:tr>
      <w:tr w14:paraId="565E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976" w:type="dxa"/>
            <w:gridSpan w:val="5"/>
            <w:vAlign w:val="center"/>
          </w:tcPr>
          <w:p w14:paraId="66EB30B4">
            <w:pPr>
              <w:spacing w:line="360" w:lineRule="auto"/>
              <w:rPr>
                <w:rFonts w:hint="eastAsia" w:ascii="仿宋" w:hAnsi="仿宋" w:eastAsia="仿宋" w:cs="仿宋_GB2312"/>
                <w:color w:val="auto"/>
                <w:highlight w:val="none"/>
              </w:rPr>
            </w:pPr>
            <w:r>
              <w:rPr>
                <w:rFonts w:hint="eastAsia" w:ascii="仿宋" w:hAnsi="仿宋" w:eastAsia="仿宋"/>
                <w:b/>
                <w:color w:val="auto"/>
                <w:highlight w:val="none"/>
              </w:rPr>
              <w:t>投标总价合计金额大写：                              小写： ￥</w:t>
            </w:r>
          </w:p>
        </w:tc>
      </w:tr>
    </w:tbl>
    <w:p w14:paraId="560912A0">
      <w:pPr>
        <w:snapToGrid w:val="0"/>
        <w:spacing w:line="360" w:lineRule="auto"/>
        <w:rPr>
          <w:rFonts w:hint="eastAsia" w:ascii="仿宋" w:hAnsi="仿宋" w:eastAsia="仿宋" w:cs="仿宋"/>
          <w:b/>
          <w:color w:val="auto"/>
          <w:kern w:val="0"/>
          <w:sz w:val="24"/>
          <w:highlight w:val="none"/>
          <w:lang w:val="zh-CN"/>
        </w:rPr>
      </w:pPr>
    </w:p>
    <w:p w14:paraId="19AE59C0">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419877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D993B0C">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8C2A3F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872D25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7AA000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6CD2F67">
      <w:pPr>
        <w:spacing w:line="360" w:lineRule="auto"/>
        <w:ind w:firstLine="480" w:firstLineChars="200"/>
        <w:rPr>
          <w:rFonts w:hint="eastAsia" w:ascii="仿宋" w:hAnsi="仿宋" w:eastAsia="仿宋" w:cs="仿宋"/>
          <w:b/>
          <w:color w:val="auto"/>
          <w:kern w:val="0"/>
          <w:sz w:val="24"/>
          <w:highlight w:val="none"/>
        </w:rPr>
      </w:pPr>
    </w:p>
    <w:p w14:paraId="41919C7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52191B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14D0BD3">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1F7679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87CFB19">
      <w:pPr>
        <w:pStyle w:val="80"/>
        <w:rPr>
          <w:rFonts w:hint="eastAsia" w:ascii="仿宋" w:hAnsi="仿宋" w:eastAsia="仿宋" w:cs="仿宋"/>
          <w:b/>
          <w:color w:val="auto"/>
          <w:sz w:val="24"/>
          <w:highlight w:val="none"/>
        </w:rPr>
      </w:pPr>
    </w:p>
    <w:p w14:paraId="5E49EAF1">
      <w:pPr>
        <w:pStyle w:val="81"/>
        <w:rPr>
          <w:rFonts w:hint="eastAsia" w:ascii="仿宋" w:hAnsi="仿宋" w:eastAsia="仿宋" w:cs="仿宋"/>
          <w:b/>
          <w:color w:val="auto"/>
          <w:sz w:val="24"/>
          <w:highlight w:val="none"/>
        </w:rPr>
      </w:pPr>
    </w:p>
    <w:p w14:paraId="466F2232">
      <w:pPr>
        <w:rPr>
          <w:rFonts w:hint="eastAsia" w:ascii="仿宋" w:hAnsi="仿宋" w:eastAsia="仿宋" w:cs="仿宋"/>
          <w:b/>
          <w:color w:val="auto"/>
          <w:sz w:val="24"/>
          <w:highlight w:val="none"/>
        </w:rPr>
      </w:pPr>
    </w:p>
    <w:p w14:paraId="7EC80F76">
      <w:pPr>
        <w:pStyle w:val="80"/>
        <w:rPr>
          <w:rFonts w:hint="eastAsia" w:ascii="仿宋" w:hAnsi="仿宋" w:eastAsia="仿宋" w:cs="仿宋"/>
          <w:b/>
          <w:color w:val="auto"/>
          <w:sz w:val="24"/>
          <w:highlight w:val="none"/>
        </w:rPr>
      </w:pPr>
    </w:p>
    <w:p w14:paraId="2CA3E8F8">
      <w:pPr>
        <w:pStyle w:val="81"/>
        <w:rPr>
          <w:rFonts w:hint="eastAsia" w:ascii="仿宋" w:hAnsi="仿宋" w:eastAsia="仿宋" w:cs="仿宋"/>
          <w:b/>
          <w:color w:val="auto"/>
          <w:sz w:val="24"/>
          <w:highlight w:val="none"/>
        </w:rPr>
      </w:pPr>
    </w:p>
    <w:p w14:paraId="339AD0F1">
      <w:pPr>
        <w:rPr>
          <w:rFonts w:hint="eastAsia"/>
          <w:color w:val="auto"/>
          <w:highlight w:val="none"/>
          <w:lang w:eastAsia="zh-CN"/>
        </w:rPr>
      </w:pPr>
    </w:p>
    <w:p w14:paraId="1577DB4C">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AC7D6C5">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7AF97A8">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695854D">
      <w:pPr>
        <w:spacing w:line="360" w:lineRule="auto"/>
        <w:ind w:right="420" w:firstLine="3602" w:firstLineChars="1000"/>
        <w:rPr>
          <w:rFonts w:hint="eastAsia" w:ascii="仿宋" w:hAnsi="仿宋" w:eastAsia="仿宋" w:cs="仿宋"/>
          <w:b/>
          <w:color w:val="auto"/>
          <w:kern w:val="0"/>
          <w:sz w:val="36"/>
          <w:szCs w:val="36"/>
          <w:highlight w:val="none"/>
        </w:rPr>
      </w:pPr>
    </w:p>
    <w:p w14:paraId="152804A7">
      <w:pPr>
        <w:spacing w:line="360" w:lineRule="auto"/>
        <w:ind w:right="420" w:firstLine="3602" w:firstLineChars="1000"/>
        <w:rPr>
          <w:rFonts w:hint="eastAsia" w:ascii="仿宋" w:hAnsi="仿宋" w:eastAsia="仿宋" w:cs="仿宋"/>
          <w:b/>
          <w:color w:val="auto"/>
          <w:kern w:val="0"/>
          <w:sz w:val="36"/>
          <w:szCs w:val="36"/>
          <w:highlight w:val="none"/>
        </w:rPr>
      </w:pPr>
    </w:p>
    <w:p w14:paraId="064EE6D3">
      <w:pPr>
        <w:spacing w:line="360" w:lineRule="auto"/>
        <w:ind w:right="420" w:firstLine="3602" w:firstLineChars="1000"/>
        <w:rPr>
          <w:rFonts w:hint="eastAsia" w:ascii="仿宋" w:hAnsi="仿宋" w:eastAsia="仿宋" w:cs="仿宋"/>
          <w:b/>
          <w:color w:val="auto"/>
          <w:kern w:val="0"/>
          <w:sz w:val="36"/>
          <w:szCs w:val="36"/>
          <w:highlight w:val="none"/>
        </w:rPr>
      </w:pPr>
    </w:p>
    <w:p w14:paraId="0F09A23A">
      <w:pPr>
        <w:spacing w:line="360" w:lineRule="auto"/>
        <w:ind w:right="420" w:firstLine="3602" w:firstLineChars="1000"/>
        <w:rPr>
          <w:rFonts w:hint="eastAsia" w:ascii="仿宋" w:hAnsi="仿宋" w:eastAsia="仿宋" w:cs="仿宋"/>
          <w:b/>
          <w:color w:val="auto"/>
          <w:kern w:val="0"/>
          <w:sz w:val="36"/>
          <w:szCs w:val="36"/>
          <w:highlight w:val="none"/>
        </w:rPr>
      </w:pPr>
    </w:p>
    <w:p w14:paraId="2A47633F">
      <w:pPr>
        <w:spacing w:line="360" w:lineRule="auto"/>
        <w:ind w:right="420" w:firstLine="3602" w:firstLineChars="1000"/>
        <w:rPr>
          <w:rFonts w:hint="eastAsia" w:ascii="仿宋" w:hAnsi="仿宋" w:eastAsia="仿宋" w:cs="仿宋"/>
          <w:b/>
          <w:color w:val="auto"/>
          <w:kern w:val="0"/>
          <w:sz w:val="36"/>
          <w:szCs w:val="36"/>
          <w:highlight w:val="none"/>
        </w:rPr>
      </w:pPr>
    </w:p>
    <w:p w14:paraId="6EBB0CAE">
      <w:pPr>
        <w:pStyle w:val="2"/>
        <w:keepNext w:val="0"/>
        <w:keepLines w:val="0"/>
        <w:pageBreakBefore/>
        <w:widowControl/>
        <w:numPr>
          <w:ilvl w:val="0"/>
          <w:numId w:val="2"/>
        </w:numPr>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D898F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B2F69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4AF3B0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6C472D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17622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3B04A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868C6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FEAC5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6A09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4B3B5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81895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F091B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61A7F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4493C3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44F50A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E083D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BAFD6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CC463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FA123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E6024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9609D8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1010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51DD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94BA4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10A4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D436B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F4329F1">
      <w:pPr>
        <w:spacing w:line="360" w:lineRule="auto"/>
        <w:jc w:val="center"/>
        <w:rPr>
          <w:rFonts w:hint="eastAsia" w:ascii="仿宋" w:hAnsi="仿宋" w:eastAsia="仿宋" w:cs="仿宋"/>
          <w:b/>
          <w:bCs/>
          <w:color w:val="auto"/>
          <w:sz w:val="24"/>
          <w:highlight w:val="none"/>
        </w:rPr>
      </w:pPr>
    </w:p>
    <w:p w14:paraId="0E547BE9">
      <w:pPr>
        <w:spacing w:line="360" w:lineRule="auto"/>
        <w:rPr>
          <w:rFonts w:hint="eastAsia" w:ascii="仿宋" w:hAnsi="仿宋" w:eastAsia="仿宋" w:cs="仿宋"/>
          <w:b/>
          <w:color w:val="auto"/>
          <w:sz w:val="24"/>
          <w:highlight w:val="none"/>
        </w:rPr>
      </w:pPr>
    </w:p>
    <w:p w14:paraId="00808707">
      <w:pPr>
        <w:spacing w:line="360" w:lineRule="auto"/>
        <w:rPr>
          <w:rFonts w:hint="eastAsia" w:ascii="仿宋" w:hAnsi="仿宋" w:eastAsia="仿宋" w:cs="仿宋"/>
          <w:b/>
          <w:color w:val="auto"/>
          <w:sz w:val="24"/>
          <w:highlight w:val="none"/>
        </w:rPr>
      </w:pPr>
    </w:p>
    <w:p w14:paraId="304A13FA">
      <w:pPr>
        <w:spacing w:line="360" w:lineRule="auto"/>
        <w:rPr>
          <w:rFonts w:hint="eastAsia" w:ascii="仿宋" w:hAnsi="仿宋" w:eastAsia="仿宋" w:cs="仿宋"/>
          <w:b/>
          <w:color w:val="auto"/>
          <w:sz w:val="24"/>
          <w:highlight w:val="none"/>
        </w:rPr>
      </w:pPr>
    </w:p>
    <w:p w14:paraId="6071E9A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39537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EEC37B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91C29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A2572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A06A03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85B7F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89ED495">
      <w:pPr>
        <w:widowControl/>
        <w:spacing w:line="360" w:lineRule="auto"/>
        <w:ind w:firstLine="600" w:firstLineChars="200"/>
        <w:jc w:val="left"/>
        <w:rPr>
          <w:rFonts w:hint="eastAsia" w:ascii="仿宋" w:hAnsi="仿宋" w:eastAsia="仿宋" w:cs="仿宋"/>
          <w:color w:val="auto"/>
          <w:sz w:val="30"/>
          <w:szCs w:val="30"/>
          <w:highlight w:val="none"/>
        </w:rPr>
      </w:pPr>
    </w:p>
    <w:p w14:paraId="3AF9128A">
      <w:pPr>
        <w:spacing w:line="360" w:lineRule="auto"/>
        <w:jc w:val="center"/>
        <w:rPr>
          <w:rFonts w:hint="eastAsia" w:ascii="仿宋" w:hAnsi="仿宋" w:eastAsia="仿宋" w:cs="仿宋"/>
          <w:b/>
          <w:color w:val="auto"/>
          <w:spacing w:val="6"/>
          <w:sz w:val="32"/>
          <w:szCs w:val="32"/>
          <w:highlight w:val="none"/>
        </w:rPr>
      </w:pPr>
    </w:p>
    <w:p w14:paraId="03834C2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6548C27">
      <w:pPr>
        <w:spacing w:line="360" w:lineRule="auto"/>
        <w:jc w:val="center"/>
        <w:rPr>
          <w:rFonts w:hint="eastAsia" w:ascii="仿宋" w:hAnsi="仿宋" w:eastAsia="仿宋" w:cs="仿宋"/>
          <w:b/>
          <w:color w:val="auto"/>
          <w:sz w:val="24"/>
          <w:highlight w:val="none"/>
        </w:rPr>
      </w:pPr>
    </w:p>
    <w:p w14:paraId="0805476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6A6A5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CA47B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E85D2B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FFFD33">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755AE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0093D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740E3C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95E5F9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BAC3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A110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77E7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159B2B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AEB20A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B0C2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7434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60DA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840D4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3B68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C3AE9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AFBBF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95A8EC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CE549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9810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29AC57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DA3EE0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2637DA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E4383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48723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0626F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3BAF87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9CBF54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048B0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3F425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8AEB29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BF903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6693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00E39B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D3471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8985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1E939FA">
      <w:pPr>
        <w:spacing w:line="360" w:lineRule="auto"/>
        <w:rPr>
          <w:rFonts w:hint="eastAsia" w:ascii="仿宋" w:hAnsi="仿宋" w:eastAsia="仿宋" w:cs="仿宋"/>
          <w:b/>
          <w:color w:val="auto"/>
          <w:sz w:val="24"/>
          <w:highlight w:val="none"/>
        </w:rPr>
      </w:pPr>
    </w:p>
    <w:p w14:paraId="365C4CA7">
      <w:pPr>
        <w:spacing w:line="360" w:lineRule="auto"/>
        <w:rPr>
          <w:rFonts w:hint="eastAsia" w:ascii="仿宋" w:hAnsi="仿宋" w:eastAsia="仿宋" w:cs="仿宋"/>
          <w:b/>
          <w:color w:val="auto"/>
          <w:sz w:val="24"/>
          <w:highlight w:val="none"/>
        </w:rPr>
      </w:pPr>
    </w:p>
    <w:p w14:paraId="5E4154C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D0E952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41F428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81835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96F6F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D1656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3FA808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7EF477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FBBFED3">
      <w:pPr>
        <w:spacing w:line="360" w:lineRule="auto"/>
        <w:rPr>
          <w:rFonts w:hint="eastAsia" w:ascii="仿宋" w:hAnsi="仿宋" w:eastAsia="仿宋" w:cs="仿宋"/>
          <w:b/>
          <w:color w:val="auto"/>
          <w:sz w:val="24"/>
          <w:highlight w:val="none"/>
        </w:rPr>
      </w:pPr>
    </w:p>
    <w:p w14:paraId="54E4BDBD">
      <w:pPr>
        <w:autoSpaceDE w:val="0"/>
        <w:autoSpaceDN w:val="0"/>
        <w:jc w:val="center"/>
        <w:rPr>
          <w:rFonts w:hint="eastAsia" w:ascii="仿宋" w:hAnsi="仿宋" w:eastAsia="仿宋" w:cs="仿宋"/>
          <w:b/>
          <w:color w:val="auto"/>
          <w:spacing w:val="6"/>
          <w:sz w:val="32"/>
          <w:szCs w:val="32"/>
          <w:highlight w:val="none"/>
        </w:rPr>
      </w:pPr>
    </w:p>
    <w:p w14:paraId="516B46B0">
      <w:pPr>
        <w:autoSpaceDE w:val="0"/>
        <w:autoSpaceDN w:val="0"/>
        <w:jc w:val="center"/>
        <w:rPr>
          <w:rFonts w:hint="eastAsia" w:ascii="仿宋" w:hAnsi="仿宋" w:eastAsia="仿宋" w:cs="仿宋"/>
          <w:b/>
          <w:color w:val="auto"/>
          <w:spacing w:val="6"/>
          <w:sz w:val="32"/>
          <w:szCs w:val="32"/>
          <w:highlight w:val="none"/>
        </w:rPr>
      </w:pPr>
    </w:p>
    <w:p w14:paraId="483AEEB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6FABE59">
      <w:pPr>
        <w:spacing w:line="360" w:lineRule="auto"/>
        <w:rPr>
          <w:rFonts w:hint="eastAsia" w:ascii="仿宋" w:hAnsi="仿宋" w:eastAsia="仿宋" w:cs="仿宋"/>
          <w:color w:val="auto"/>
          <w:sz w:val="24"/>
          <w:highlight w:val="none"/>
          <w:u w:val="single"/>
        </w:rPr>
      </w:pPr>
    </w:p>
    <w:p w14:paraId="66588A4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CF48C8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17402B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85BD500">
      <w:pPr>
        <w:spacing w:line="360" w:lineRule="auto"/>
        <w:ind w:firstLine="494"/>
        <w:rPr>
          <w:rFonts w:hint="eastAsia" w:ascii="仿宋" w:hAnsi="仿宋" w:eastAsia="仿宋" w:cs="仿宋"/>
          <w:color w:val="auto"/>
          <w:sz w:val="24"/>
          <w:highlight w:val="none"/>
        </w:rPr>
      </w:pPr>
    </w:p>
    <w:p w14:paraId="36D39FAD">
      <w:pPr>
        <w:spacing w:line="360" w:lineRule="auto"/>
        <w:ind w:firstLine="494"/>
        <w:rPr>
          <w:rFonts w:hint="eastAsia" w:ascii="仿宋" w:hAnsi="仿宋" w:eastAsia="仿宋" w:cs="仿宋"/>
          <w:color w:val="auto"/>
          <w:sz w:val="24"/>
          <w:highlight w:val="none"/>
        </w:rPr>
      </w:pPr>
    </w:p>
    <w:p w14:paraId="58573982">
      <w:pPr>
        <w:spacing w:line="360" w:lineRule="auto"/>
        <w:ind w:firstLine="494"/>
        <w:rPr>
          <w:rFonts w:hint="eastAsia" w:ascii="仿宋" w:hAnsi="仿宋" w:eastAsia="仿宋" w:cs="仿宋"/>
          <w:color w:val="auto"/>
          <w:sz w:val="24"/>
          <w:highlight w:val="none"/>
        </w:rPr>
      </w:pPr>
    </w:p>
    <w:p w14:paraId="25AC1D87">
      <w:pPr>
        <w:spacing w:line="360" w:lineRule="auto"/>
        <w:ind w:firstLine="494"/>
        <w:rPr>
          <w:rFonts w:hint="eastAsia" w:ascii="仿宋" w:hAnsi="仿宋" w:eastAsia="仿宋" w:cs="仿宋"/>
          <w:color w:val="auto"/>
          <w:sz w:val="24"/>
          <w:highlight w:val="none"/>
        </w:rPr>
      </w:pPr>
    </w:p>
    <w:p w14:paraId="6D9A444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E74DC64">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5CC0A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DFE60E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ECF2A4D">
      <w:pPr>
        <w:autoSpaceDE w:val="0"/>
        <w:autoSpaceDN w:val="0"/>
        <w:jc w:val="center"/>
        <w:rPr>
          <w:rFonts w:hint="eastAsia" w:ascii="仿宋" w:hAnsi="仿宋" w:eastAsia="仿宋" w:cs="仿宋"/>
          <w:b/>
          <w:color w:val="auto"/>
          <w:spacing w:val="6"/>
          <w:sz w:val="32"/>
          <w:szCs w:val="32"/>
          <w:highlight w:val="none"/>
        </w:rPr>
      </w:pPr>
    </w:p>
    <w:p w14:paraId="2A92CF3B">
      <w:pPr>
        <w:autoSpaceDE w:val="0"/>
        <w:autoSpaceDN w:val="0"/>
        <w:jc w:val="center"/>
        <w:rPr>
          <w:rFonts w:hint="eastAsia" w:ascii="仿宋" w:hAnsi="仿宋" w:eastAsia="仿宋" w:cs="仿宋"/>
          <w:b/>
          <w:color w:val="auto"/>
          <w:spacing w:val="6"/>
          <w:sz w:val="32"/>
          <w:szCs w:val="32"/>
          <w:highlight w:val="none"/>
        </w:rPr>
      </w:pPr>
    </w:p>
    <w:p w14:paraId="730CD630">
      <w:pPr>
        <w:autoSpaceDE w:val="0"/>
        <w:autoSpaceDN w:val="0"/>
        <w:jc w:val="center"/>
        <w:rPr>
          <w:rFonts w:hint="eastAsia" w:ascii="仿宋" w:hAnsi="仿宋" w:eastAsia="仿宋" w:cs="仿宋"/>
          <w:b/>
          <w:color w:val="auto"/>
          <w:spacing w:val="6"/>
          <w:sz w:val="32"/>
          <w:szCs w:val="32"/>
          <w:highlight w:val="none"/>
        </w:rPr>
      </w:pPr>
    </w:p>
    <w:p w14:paraId="74E78F12">
      <w:pPr>
        <w:autoSpaceDE w:val="0"/>
        <w:autoSpaceDN w:val="0"/>
        <w:jc w:val="center"/>
        <w:rPr>
          <w:rFonts w:hint="eastAsia" w:ascii="仿宋" w:hAnsi="仿宋" w:eastAsia="仿宋" w:cs="仿宋"/>
          <w:b/>
          <w:color w:val="auto"/>
          <w:spacing w:val="6"/>
          <w:sz w:val="32"/>
          <w:szCs w:val="32"/>
          <w:highlight w:val="none"/>
        </w:rPr>
      </w:pPr>
    </w:p>
    <w:p w14:paraId="2CFF395C">
      <w:pPr>
        <w:autoSpaceDE w:val="0"/>
        <w:autoSpaceDN w:val="0"/>
        <w:jc w:val="center"/>
        <w:rPr>
          <w:rFonts w:hint="eastAsia" w:ascii="仿宋" w:hAnsi="仿宋" w:eastAsia="仿宋" w:cs="仿宋"/>
          <w:b/>
          <w:color w:val="auto"/>
          <w:spacing w:val="6"/>
          <w:sz w:val="32"/>
          <w:szCs w:val="32"/>
          <w:highlight w:val="none"/>
        </w:rPr>
      </w:pPr>
    </w:p>
    <w:p w14:paraId="534377F9">
      <w:pPr>
        <w:autoSpaceDE w:val="0"/>
        <w:autoSpaceDN w:val="0"/>
        <w:jc w:val="center"/>
        <w:rPr>
          <w:rFonts w:hint="eastAsia" w:ascii="仿宋" w:hAnsi="仿宋" w:eastAsia="仿宋" w:cs="仿宋"/>
          <w:b/>
          <w:color w:val="auto"/>
          <w:spacing w:val="6"/>
          <w:sz w:val="32"/>
          <w:szCs w:val="32"/>
          <w:highlight w:val="none"/>
        </w:rPr>
      </w:pPr>
    </w:p>
    <w:p w14:paraId="58FDA55E">
      <w:pPr>
        <w:autoSpaceDE w:val="0"/>
        <w:autoSpaceDN w:val="0"/>
        <w:jc w:val="center"/>
        <w:rPr>
          <w:rFonts w:hint="eastAsia" w:ascii="仿宋" w:hAnsi="仿宋" w:eastAsia="仿宋" w:cs="仿宋"/>
          <w:b/>
          <w:color w:val="auto"/>
          <w:spacing w:val="6"/>
          <w:sz w:val="32"/>
          <w:szCs w:val="32"/>
          <w:highlight w:val="none"/>
        </w:rPr>
      </w:pPr>
    </w:p>
    <w:p w14:paraId="7DE14A1F">
      <w:pPr>
        <w:autoSpaceDE w:val="0"/>
        <w:autoSpaceDN w:val="0"/>
        <w:jc w:val="center"/>
        <w:rPr>
          <w:rFonts w:hint="eastAsia" w:ascii="仿宋" w:hAnsi="仿宋" w:eastAsia="仿宋" w:cs="仿宋"/>
          <w:b/>
          <w:color w:val="auto"/>
          <w:spacing w:val="6"/>
          <w:sz w:val="32"/>
          <w:szCs w:val="32"/>
          <w:highlight w:val="none"/>
        </w:rPr>
      </w:pPr>
    </w:p>
    <w:p w14:paraId="269FCC1A">
      <w:pPr>
        <w:autoSpaceDE w:val="0"/>
        <w:autoSpaceDN w:val="0"/>
        <w:jc w:val="center"/>
        <w:rPr>
          <w:rFonts w:hint="eastAsia" w:ascii="仿宋" w:hAnsi="仿宋" w:eastAsia="仿宋" w:cs="仿宋"/>
          <w:b/>
          <w:color w:val="auto"/>
          <w:spacing w:val="6"/>
          <w:sz w:val="32"/>
          <w:szCs w:val="32"/>
          <w:highlight w:val="none"/>
        </w:rPr>
      </w:pPr>
    </w:p>
    <w:p w14:paraId="1082723A">
      <w:pPr>
        <w:autoSpaceDE w:val="0"/>
        <w:autoSpaceDN w:val="0"/>
        <w:jc w:val="center"/>
        <w:rPr>
          <w:rFonts w:hint="eastAsia" w:ascii="仿宋" w:hAnsi="仿宋" w:eastAsia="仿宋" w:cs="仿宋"/>
          <w:b/>
          <w:color w:val="auto"/>
          <w:spacing w:val="6"/>
          <w:sz w:val="32"/>
          <w:szCs w:val="32"/>
          <w:highlight w:val="none"/>
        </w:rPr>
      </w:pPr>
    </w:p>
    <w:p w14:paraId="62E34D7B">
      <w:pPr>
        <w:autoSpaceDE w:val="0"/>
        <w:autoSpaceDN w:val="0"/>
        <w:jc w:val="center"/>
        <w:rPr>
          <w:rFonts w:hint="eastAsia" w:ascii="仿宋" w:hAnsi="仿宋" w:eastAsia="仿宋" w:cs="仿宋"/>
          <w:b/>
          <w:color w:val="auto"/>
          <w:spacing w:val="6"/>
          <w:sz w:val="32"/>
          <w:szCs w:val="32"/>
          <w:highlight w:val="none"/>
        </w:rPr>
      </w:pPr>
    </w:p>
    <w:p w14:paraId="58F13AD1">
      <w:pPr>
        <w:autoSpaceDE w:val="0"/>
        <w:autoSpaceDN w:val="0"/>
        <w:jc w:val="center"/>
        <w:rPr>
          <w:rFonts w:hint="eastAsia" w:ascii="仿宋" w:hAnsi="仿宋" w:eastAsia="仿宋" w:cs="仿宋"/>
          <w:b/>
          <w:color w:val="auto"/>
          <w:spacing w:val="6"/>
          <w:sz w:val="32"/>
          <w:szCs w:val="32"/>
          <w:highlight w:val="none"/>
        </w:rPr>
      </w:pPr>
    </w:p>
    <w:p w14:paraId="51A2AC22">
      <w:pPr>
        <w:autoSpaceDE w:val="0"/>
        <w:autoSpaceDN w:val="0"/>
        <w:jc w:val="center"/>
        <w:rPr>
          <w:rFonts w:hint="eastAsia" w:ascii="仿宋" w:hAnsi="仿宋" w:eastAsia="仿宋" w:cs="仿宋"/>
          <w:b/>
          <w:color w:val="auto"/>
          <w:spacing w:val="6"/>
          <w:sz w:val="32"/>
          <w:szCs w:val="32"/>
          <w:highlight w:val="none"/>
        </w:rPr>
      </w:pPr>
    </w:p>
    <w:p w14:paraId="6702A81C">
      <w:pPr>
        <w:autoSpaceDE w:val="0"/>
        <w:autoSpaceDN w:val="0"/>
        <w:jc w:val="center"/>
        <w:rPr>
          <w:rFonts w:hint="eastAsia" w:ascii="仿宋" w:hAnsi="仿宋" w:eastAsia="仿宋" w:cs="仿宋"/>
          <w:b/>
          <w:color w:val="auto"/>
          <w:spacing w:val="6"/>
          <w:sz w:val="32"/>
          <w:szCs w:val="32"/>
          <w:highlight w:val="none"/>
        </w:rPr>
      </w:pPr>
    </w:p>
    <w:p w14:paraId="04FCB48D">
      <w:pPr>
        <w:autoSpaceDE w:val="0"/>
        <w:autoSpaceDN w:val="0"/>
        <w:jc w:val="center"/>
        <w:rPr>
          <w:rFonts w:hint="eastAsia" w:ascii="仿宋" w:hAnsi="仿宋" w:eastAsia="仿宋" w:cs="仿宋"/>
          <w:b/>
          <w:color w:val="auto"/>
          <w:spacing w:val="6"/>
          <w:sz w:val="32"/>
          <w:szCs w:val="32"/>
          <w:highlight w:val="none"/>
        </w:rPr>
      </w:pPr>
    </w:p>
    <w:p w14:paraId="15AEEE14">
      <w:pPr>
        <w:autoSpaceDE w:val="0"/>
        <w:autoSpaceDN w:val="0"/>
        <w:jc w:val="center"/>
        <w:rPr>
          <w:rFonts w:hint="eastAsia" w:ascii="仿宋" w:hAnsi="仿宋" w:eastAsia="仿宋" w:cs="仿宋"/>
          <w:b/>
          <w:color w:val="auto"/>
          <w:spacing w:val="6"/>
          <w:sz w:val="32"/>
          <w:szCs w:val="32"/>
          <w:highlight w:val="none"/>
        </w:rPr>
      </w:pPr>
    </w:p>
    <w:p w14:paraId="2D93D958">
      <w:pPr>
        <w:autoSpaceDE w:val="0"/>
        <w:autoSpaceDN w:val="0"/>
        <w:jc w:val="center"/>
        <w:rPr>
          <w:rFonts w:hint="eastAsia" w:ascii="仿宋" w:hAnsi="仿宋" w:eastAsia="仿宋" w:cs="仿宋"/>
          <w:b/>
          <w:color w:val="auto"/>
          <w:spacing w:val="6"/>
          <w:sz w:val="32"/>
          <w:szCs w:val="32"/>
          <w:highlight w:val="none"/>
        </w:rPr>
      </w:pPr>
    </w:p>
    <w:p w14:paraId="06ACD8E9">
      <w:pPr>
        <w:autoSpaceDE w:val="0"/>
        <w:autoSpaceDN w:val="0"/>
        <w:jc w:val="center"/>
        <w:rPr>
          <w:rFonts w:hint="eastAsia" w:ascii="仿宋" w:hAnsi="仿宋" w:eastAsia="仿宋" w:cs="仿宋"/>
          <w:b/>
          <w:color w:val="auto"/>
          <w:spacing w:val="6"/>
          <w:sz w:val="32"/>
          <w:szCs w:val="32"/>
          <w:highlight w:val="none"/>
        </w:rPr>
      </w:pPr>
    </w:p>
    <w:p w14:paraId="22C4B656">
      <w:pPr>
        <w:autoSpaceDE w:val="0"/>
        <w:autoSpaceDN w:val="0"/>
        <w:jc w:val="center"/>
        <w:rPr>
          <w:rFonts w:hint="eastAsia" w:ascii="仿宋" w:hAnsi="仿宋" w:eastAsia="仿宋" w:cs="仿宋"/>
          <w:b/>
          <w:color w:val="auto"/>
          <w:spacing w:val="6"/>
          <w:sz w:val="32"/>
          <w:szCs w:val="32"/>
          <w:highlight w:val="none"/>
        </w:rPr>
      </w:pPr>
    </w:p>
    <w:p w14:paraId="6C7DD5B9">
      <w:pPr>
        <w:autoSpaceDE w:val="0"/>
        <w:autoSpaceDN w:val="0"/>
        <w:jc w:val="center"/>
        <w:rPr>
          <w:rFonts w:hint="eastAsia" w:ascii="仿宋" w:hAnsi="仿宋" w:eastAsia="仿宋" w:cs="仿宋"/>
          <w:b/>
          <w:color w:val="auto"/>
          <w:spacing w:val="6"/>
          <w:sz w:val="32"/>
          <w:szCs w:val="32"/>
          <w:highlight w:val="none"/>
        </w:rPr>
      </w:pPr>
    </w:p>
    <w:p w14:paraId="55A7C298">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1BD8E22">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3AAE6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31C5673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6C262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CB7C9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D984C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DBFC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A690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E944E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54322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82" w:name="_Hlk101131882"/>
      <w:r>
        <w:rPr>
          <w:rFonts w:hint="eastAsia" w:ascii="仿宋" w:hAnsi="仿宋" w:eastAsia="仿宋" w:cs="仿宋"/>
          <w:color w:val="auto"/>
          <w:kern w:val="0"/>
          <w:sz w:val="24"/>
          <w:highlight w:val="none"/>
          <w:u w:val="single"/>
        </w:rPr>
        <w:t>联合体成员X,……</w:t>
      </w:r>
      <w:bookmarkEnd w:id="18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3"/>
      <w:r>
        <w:rPr>
          <w:rFonts w:hint="eastAsia" w:ascii="仿宋" w:hAnsi="仿宋" w:eastAsia="仿宋" w:cs="仿宋"/>
          <w:b/>
          <w:color w:val="auto"/>
          <w:kern w:val="0"/>
          <w:sz w:val="24"/>
          <w:highlight w:val="none"/>
          <w:lang w:val="zh-CN"/>
        </w:rPr>
        <w:t>）</w:t>
      </w:r>
    </w:p>
    <w:p w14:paraId="7BEC990F">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4"/>
    </w:p>
    <w:p w14:paraId="244254F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9D8B92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F93ED9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0A44D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C9C63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858D5D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26A27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81FEA">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2790911">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1B3FD1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62D13F2">
      <w:pPr>
        <w:autoSpaceDE w:val="0"/>
        <w:autoSpaceDN w:val="0"/>
        <w:jc w:val="center"/>
        <w:rPr>
          <w:rFonts w:hint="eastAsia" w:ascii="仿宋" w:hAnsi="仿宋" w:eastAsia="仿宋" w:cs="仿宋"/>
          <w:b/>
          <w:color w:val="auto"/>
          <w:spacing w:val="6"/>
          <w:sz w:val="32"/>
          <w:szCs w:val="32"/>
          <w:highlight w:val="none"/>
        </w:rPr>
      </w:pPr>
    </w:p>
    <w:p w14:paraId="0396A8F4">
      <w:pPr>
        <w:autoSpaceDE w:val="0"/>
        <w:autoSpaceDN w:val="0"/>
        <w:jc w:val="center"/>
        <w:rPr>
          <w:rFonts w:hint="eastAsia" w:ascii="仿宋" w:hAnsi="仿宋" w:eastAsia="仿宋" w:cs="仿宋"/>
          <w:b/>
          <w:color w:val="auto"/>
          <w:spacing w:val="6"/>
          <w:sz w:val="32"/>
          <w:szCs w:val="32"/>
          <w:highlight w:val="none"/>
        </w:rPr>
      </w:pPr>
    </w:p>
    <w:p w14:paraId="75B8C990">
      <w:pPr>
        <w:autoSpaceDE w:val="0"/>
        <w:autoSpaceDN w:val="0"/>
        <w:jc w:val="center"/>
        <w:rPr>
          <w:rFonts w:hint="eastAsia" w:ascii="仿宋" w:hAnsi="仿宋" w:eastAsia="仿宋" w:cs="仿宋"/>
          <w:b/>
          <w:color w:val="auto"/>
          <w:spacing w:val="6"/>
          <w:sz w:val="32"/>
          <w:szCs w:val="32"/>
          <w:highlight w:val="none"/>
        </w:rPr>
      </w:pPr>
    </w:p>
    <w:p w14:paraId="6B34C0EE">
      <w:pPr>
        <w:autoSpaceDE w:val="0"/>
        <w:autoSpaceDN w:val="0"/>
        <w:jc w:val="center"/>
        <w:rPr>
          <w:rFonts w:hint="eastAsia" w:ascii="仿宋" w:hAnsi="仿宋" w:eastAsia="仿宋" w:cs="仿宋"/>
          <w:b/>
          <w:color w:val="auto"/>
          <w:spacing w:val="6"/>
          <w:sz w:val="32"/>
          <w:szCs w:val="32"/>
          <w:highlight w:val="none"/>
        </w:rPr>
      </w:pPr>
    </w:p>
    <w:p w14:paraId="47DDEB2C">
      <w:pPr>
        <w:autoSpaceDE w:val="0"/>
        <w:autoSpaceDN w:val="0"/>
        <w:jc w:val="center"/>
        <w:rPr>
          <w:rFonts w:hint="eastAsia" w:ascii="仿宋" w:hAnsi="仿宋" w:eastAsia="仿宋" w:cs="仿宋"/>
          <w:b/>
          <w:color w:val="auto"/>
          <w:spacing w:val="6"/>
          <w:sz w:val="32"/>
          <w:szCs w:val="32"/>
          <w:highlight w:val="none"/>
        </w:rPr>
      </w:pPr>
    </w:p>
    <w:p w14:paraId="640D96F0">
      <w:pPr>
        <w:autoSpaceDE w:val="0"/>
        <w:autoSpaceDN w:val="0"/>
        <w:jc w:val="center"/>
        <w:rPr>
          <w:rFonts w:hint="eastAsia" w:ascii="仿宋" w:hAnsi="仿宋" w:eastAsia="仿宋" w:cs="仿宋"/>
          <w:b/>
          <w:color w:val="auto"/>
          <w:spacing w:val="6"/>
          <w:sz w:val="32"/>
          <w:szCs w:val="32"/>
          <w:highlight w:val="none"/>
        </w:rPr>
      </w:pPr>
    </w:p>
    <w:p w14:paraId="12996D69">
      <w:pPr>
        <w:autoSpaceDE w:val="0"/>
        <w:autoSpaceDN w:val="0"/>
        <w:jc w:val="center"/>
        <w:rPr>
          <w:rFonts w:hint="eastAsia" w:ascii="仿宋" w:hAnsi="仿宋" w:eastAsia="仿宋" w:cs="仿宋"/>
          <w:b/>
          <w:color w:val="auto"/>
          <w:spacing w:val="6"/>
          <w:sz w:val="32"/>
          <w:szCs w:val="32"/>
          <w:highlight w:val="none"/>
        </w:rPr>
      </w:pPr>
    </w:p>
    <w:p w14:paraId="5097ED57">
      <w:pPr>
        <w:autoSpaceDE w:val="0"/>
        <w:autoSpaceDN w:val="0"/>
        <w:jc w:val="center"/>
        <w:rPr>
          <w:rFonts w:hint="eastAsia" w:ascii="仿宋" w:hAnsi="仿宋" w:eastAsia="仿宋" w:cs="仿宋"/>
          <w:b/>
          <w:color w:val="auto"/>
          <w:spacing w:val="6"/>
          <w:sz w:val="32"/>
          <w:szCs w:val="32"/>
          <w:highlight w:val="none"/>
        </w:rPr>
      </w:pPr>
    </w:p>
    <w:p w14:paraId="7394E2F3">
      <w:pPr>
        <w:autoSpaceDE w:val="0"/>
        <w:autoSpaceDN w:val="0"/>
        <w:jc w:val="center"/>
        <w:rPr>
          <w:rFonts w:hint="eastAsia" w:ascii="仿宋" w:hAnsi="仿宋" w:eastAsia="仿宋" w:cs="仿宋"/>
          <w:b/>
          <w:color w:val="auto"/>
          <w:spacing w:val="6"/>
          <w:sz w:val="32"/>
          <w:szCs w:val="32"/>
          <w:highlight w:val="none"/>
        </w:rPr>
      </w:pPr>
    </w:p>
    <w:p w14:paraId="208FD3BC">
      <w:pPr>
        <w:autoSpaceDE w:val="0"/>
        <w:autoSpaceDN w:val="0"/>
        <w:jc w:val="center"/>
        <w:rPr>
          <w:rFonts w:hint="eastAsia" w:ascii="仿宋" w:hAnsi="仿宋" w:eastAsia="仿宋" w:cs="仿宋"/>
          <w:b/>
          <w:color w:val="auto"/>
          <w:spacing w:val="6"/>
          <w:sz w:val="32"/>
          <w:szCs w:val="32"/>
          <w:highlight w:val="none"/>
        </w:rPr>
      </w:pPr>
    </w:p>
    <w:p w14:paraId="5EC74B9F">
      <w:pPr>
        <w:autoSpaceDE w:val="0"/>
        <w:autoSpaceDN w:val="0"/>
        <w:jc w:val="center"/>
        <w:rPr>
          <w:rFonts w:hint="eastAsia" w:ascii="仿宋" w:hAnsi="仿宋" w:eastAsia="仿宋" w:cs="仿宋"/>
          <w:b/>
          <w:color w:val="auto"/>
          <w:spacing w:val="6"/>
          <w:sz w:val="32"/>
          <w:szCs w:val="32"/>
          <w:highlight w:val="none"/>
        </w:rPr>
      </w:pPr>
    </w:p>
    <w:p w14:paraId="77000ED1">
      <w:pPr>
        <w:autoSpaceDE w:val="0"/>
        <w:autoSpaceDN w:val="0"/>
        <w:jc w:val="center"/>
        <w:rPr>
          <w:rFonts w:hint="eastAsia" w:ascii="仿宋" w:hAnsi="仿宋" w:eastAsia="仿宋" w:cs="仿宋"/>
          <w:b/>
          <w:color w:val="auto"/>
          <w:spacing w:val="6"/>
          <w:sz w:val="32"/>
          <w:szCs w:val="32"/>
          <w:highlight w:val="none"/>
        </w:rPr>
      </w:pPr>
    </w:p>
    <w:p w14:paraId="078E11D5">
      <w:pPr>
        <w:autoSpaceDE w:val="0"/>
        <w:autoSpaceDN w:val="0"/>
        <w:jc w:val="center"/>
        <w:rPr>
          <w:rFonts w:hint="eastAsia" w:ascii="仿宋" w:hAnsi="仿宋" w:eastAsia="仿宋" w:cs="仿宋"/>
          <w:b/>
          <w:color w:val="auto"/>
          <w:spacing w:val="6"/>
          <w:sz w:val="32"/>
          <w:szCs w:val="32"/>
          <w:highlight w:val="none"/>
        </w:rPr>
      </w:pPr>
    </w:p>
    <w:p w14:paraId="4FDE3985">
      <w:pPr>
        <w:autoSpaceDE w:val="0"/>
        <w:autoSpaceDN w:val="0"/>
        <w:jc w:val="center"/>
        <w:rPr>
          <w:rFonts w:hint="eastAsia" w:ascii="仿宋" w:hAnsi="仿宋" w:eastAsia="仿宋" w:cs="仿宋"/>
          <w:b/>
          <w:color w:val="auto"/>
          <w:spacing w:val="6"/>
          <w:sz w:val="32"/>
          <w:szCs w:val="32"/>
          <w:highlight w:val="none"/>
        </w:rPr>
      </w:pPr>
    </w:p>
    <w:p w14:paraId="087B17D4">
      <w:pPr>
        <w:autoSpaceDE w:val="0"/>
        <w:autoSpaceDN w:val="0"/>
        <w:jc w:val="center"/>
        <w:rPr>
          <w:rFonts w:hint="eastAsia" w:ascii="仿宋" w:hAnsi="仿宋" w:eastAsia="仿宋" w:cs="仿宋"/>
          <w:b/>
          <w:color w:val="auto"/>
          <w:spacing w:val="6"/>
          <w:sz w:val="32"/>
          <w:szCs w:val="32"/>
          <w:highlight w:val="none"/>
        </w:rPr>
      </w:pPr>
    </w:p>
    <w:p w14:paraId="3E68A18D">
      <w:pPr>
        <w:autoSpaceDE w:val="0"/>
        <w:autoSpaceDN w:val="0"/>
        <w:jc w:val="center"/>
        <w:rPr>
          <w:rFonts w:hint="eastAsia" w:ascii="仿宋" w:hAnsi="仿宋" w:eastAsia="仿宋" w:cs="仿宋"/>
          <w:b/>
          <w:color w:val="auto"/>
          <w:spacing w:val="6"/>
          <w:sz w:val="32"/>
          <w:szCs w:val="32"/>
          <w:highlight w:val="none"/>
        </w:rPr>
      </w:pPr>
    </w:p>
    <w:p w14:paraId="4C7A2B3B">
      <w:pPr>
        <w:autoSpaceDE w:val="0"/>
        <w:autoSpaceDN w:val="0"/>
        <w:jc w:val="center"/>
        <w:rPr>
          <w:rFonts w:hint="eastAsia" w:ascii="仿宋" w:hAnsi="仿宋" w:eastAsia="仿宋" w:cs="仿宋"/>
          <w:b/>
          <w:color w:val="auto"/>
          <w:spacing w:val="6"/>
          <w:sz w:val="32"/>
          <w:szCs w:val="32"/>
          <w:highlight w:val="none"/>
        </w:rPr>
      </w:pPr>
    </w:p>
    <w:p w14:paraId="3EBE89A0">
      <w:pPr>
        <w:autoSpaceDE w:val="0"/>
        <w:autoSpaceDN w:val="0"/>
        <w:jc w:val="center"/>
        <w:rPr>
          <w:rFonts w:hint="eastAsia" w:ascii="仿宋" w:hAnsi="仿宋" w:eastAsia="仿宋" w:cs="仿宋"/>
          <w:b/>
          <w:color w:val="auto"/>
          <w:spacing w:val="6"/>
          <w:sz w:val="32"/>
          <w:szCs w:val="32"/>
          <w:highlight w:val="none"/>
        </w:rPr>
      </w:pPr>
    </w:p>
    <w:p w14:paraId="38D04E2B">
      <w:pPr>
        <w:autoSpaceDE w:val="0"/>
        <w:autoSpaceDN w:val="0"/>
        <w:jc w:val="center"/>
        <w:rPr>
          <w:rFonts w:hint="eastAsia" w:ascii="仿宋" w:hAnsi="仿宋" w:eastAsia="仿宋" w:cs="仿宋"/>
          <w:b/>
          <w:color w:val="auto"/>
          <w:spacing w:val="6"/>
          <w:sz w:val="32"/>
          <w:szCs w:val="32"/>
          <w:highlight w:val="none"/>
        </w:rPr>
      </w:pPr>
    </w:p>
    <w:p w14:paraId="0C59367D">
      <w:pPr>
        <w:autoSpaceDE w:val="0"/>
        <w:autoSpaceDN w:val="0"/>
        <w:jc w:val="center"/>
        <w:rPr>
          <w:rFonts w:hint="eastAsia" w:ascii="仿宋" w:hAnsi="仿宋" w:eastAsia="仿宋" w:cs="仿宋"/>
          <w:b/>
          <w:color w:val="auto"/>
          <w:spacing w:val="6"/>
          <w:sz w:val="32"/>
          <w:szCs w:val="32"/>
          <w:highlight w:val="none"/>
        </w:rPr>
      </w:pPr>
    </w:p>
    <w:p w14:paraId="63FF30B2">
      <w:pPr>
        <w:autoSpaceDE w:val="0"/>
        <w:autoSpaceDN w:val="0"/>
        <w:jc w:val="center"/>
        <w:rPr>
          <w:rFonts w:hint="eastAsia" w:ascii="仿宋" w:hAnsi="仿宋" w:eastAsia="仿宋" w:cs="仿宋"/>
          <w:b/>
          <w:color w:val="auto"/>
          <w:spacing w:val="6"/>
          <w:sz w:val="32"/>
          <w:szCs w:val="32"/>
          <w:highlight w:val="none"/>
        </w:rPr>
      </w:pPr>
    </w:p>
    <w:p w14:paraId="145D55F7">
      <w:pPr>
        <w:autoSpaceDE w:val="0"/>
        <w:autoSpaceDN w:val="0"/>
        <w:jc w:val="center"/>
        <w:rPr>
          <w:rFonts w:hint="eastAsia" w:ascii="仿宋" w:hAnsi="仿宋" w:eastAsia="仿宋" w:cs="仿宋"/>
          <w:b/>
          <w:color w:val="auto"/>
          <w:spacing w:val="6"/>
          <w:sz w:val="32"/>
          <w:szCs w:val="32"/>
          <w:highlight w:val="none"/>
        </w:rPr>
      </w:pPr>
    </w:p>
    <w:p w14:paraId="17406715">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67947D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59084C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BA0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1460A9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C0C2233">
      <w:pPr>
        <w:pStyle w:val="3"/>
        <w:numPr>
          <w:ilvl w:val="1"/>
          <w:numId w:val="2"/>
        </w:numPr>
        <w:bidi w:val="0"/>
        <w:rPr>
          <w:rFonts w:hint="eastAsia"/>
          <w:color w:val="auto"/>
          <w:highlight w:val="none"/>
        </w:rPr>
      </w:pPr>
      <w:r>
        <w:rPr>
          <w:rFonts w:hint="eastAsia"/>
          <w:color w:val="auto"/>
          <w:highlight w:val="none"/>
        </w:rPr>
        <w:t>……</w:t>
      </w:r>
    </w:p>
    <w:p w14:paraId="4CFCCFC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B8BA4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3A31B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3AE27C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97F78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3EC53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4E596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B833B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A3237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1BB8DFB">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D8ABB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8822C3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66758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90BE3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A0B1E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9A38B8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E29799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5E20F46">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8E13A1D">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91F335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4D62E9">
      <w:pPr>
        <w:autoSpaceDE w:val="0"/>
        <w:autoSpaceDN w:val="0"/>
        <w:jc w:val="center"/>
        <w:rPr>
          <w:rFonts w:hint="eastAsia" w:ascii="仿宋" w:hAnsi="仿宋" w:eastAsia="仿宋" w:cs="仿宋"/>
          <w:b/>
          <w:color w:val="auto"/>
          <w:spacing w:val="6"/>
          <w:sz w:val="32"/>
          <w:szCs w:val="32"/>
          <w:highlight w:val="none"/>
        </w:rPr>
      </w:pPr>
    </w:p>
    <w:p w14:paraId="2520FD0A">
      <w:pPr>
        <w:autoSpaceDE w:val="0"/>
        <w:autoSpaceDN w:val="0"/>
        <w:jc w:val="center"/>
        <w:rPr>
          <w:rFonts w:hint="eastAsia" w:ascii="仿宋" w:hAnsi="仿宋" w:eastAsia="仿宋" w:cs="仿宋"/>
          <w:b/>
          <w:color w:val="auto"/>
          <w:spacing w:val="6"/>
          <w:sz w:val="32"/>
          <w:szCs w:val="32"/>
          <w:highlight w:val="none"/>
        </w:rPr>
      </w:pPr>
    </w:p>
    <w:p w14:paraId="4741553D">
      <w:pPr>
        <w:autoSpaceDE w:val="0"/>
        <w:autoSpaceDN w:val="0"/>
        <w:jc w:val="center"/>
        <w:rPr>
          <w:rFonts w:hint="eastAsia" w:ascii="仿宋" w:hAnsi="仿宋" w:eastAsia="仿宋" w:cs="仿宋"/>
          <w:b/>
          <w:color w:val="auto"/>
          <w:spacing w:val="6"/>
          <w:sz w:val="32"/>
          <w:szCs w:val="32"/>
          <w:highlight w:val="none"/>
        </w:rPr>
      </w:pPr>
    </w:p>
    <w:p w14:paraId="34AB2755">
      <w:pPr>
        <w:pStyle w:val="80"/>
        <w:rPr>
          <w:rFonts w:hint="eastAsia" w:ascii="仿宋" w:hAnsi="仿宋" w:eastAsia="仿宋" w:cs="仿宋"/>
          <w:b/>
          <w:color w:val="auto"/>
          <w:spacing w:val="6"/>
          <w:sz w:val="32"/>
          <w:szCs w:val="32"/>
          <w:highlight w:val="none"/>
        </w:rPr>
      </w:pPr>
    </w:p>
    <w:p w14:paraId="4E565244">
      <w:pPr>
        <w:pStyle w:val="81"/>
        <w:rPr>
          <w:rFonts w:hint="eastAsia" w:ascii="仿宋" w:hAnsi="仿宋" w:eastAsia="仿宋" w:cs="仿宋"/>
          <w:b/>
          <w:color w:val="auto"/>
          <w:spacing w:val="6"/>
          <w:sz w:val="32"/>
          <w:szCs w:val="32"/>
          <w:highlight w:val="none"/>
        </w:rPr>
      </w:pPr>
    </w:p>
    <w:p w14:paraId="28DB2B3A">
      <w:pPr>
        <w:rPr>
          <w:rFonts w:hint="eastAsia" w:ascii="仿宋" w:hAnsi="仿宋" w:eastAsia="仿宋" w:cs="仿宋"/>
          <w:b/>
          <w:color w:val="auto"/>
          <w:spacing w:val="6"/>
          <w:sz w:val="32"/>
          <w:szCs w:val="32"/>
          <w:highlight w:val="none"/>
        </w:rPr>
      </w:pPr>
    </w:p>
    <w:p w14:paraId="0FA34D13">
      <w:pPr>
        <w:pStyle w:val="80"/>
        <w:rPr>
          <w:rFonts w:hint="eastAsia" w:ascii="仿宋" w:hAnsi="仿宋" w:eastAsia="仿宋" w:cs="仿宋"/>
          <w:b/>
          <w:color w:val="auto"/>
          <w:spacing w:val="6"/>
          <w:sz w:val="32"/>
          <w:szCs w:val="32"/>
          <w:highlight w:val="none"/>
        </w:rPr>
      </w:pPr>
    </w:p>
    <w:p w14:paraId="51A20293">
      <w:pPr>
        <w:pStyle w:val="81"/>
        <w:rPr>
          <w:rFonts w:hint="eastAsia" w:ascii="仿宋" w:hAnsi="仿宋" w:eastAsia="仿宋" w:cs="仿宋"/>
          <w:b/>
          <w:color w:val="auto"/>
          <w:spacing w:val="6"/>
          <w:sz w:val="32"/>
          <w:szCs w:val="32"/>
          <w:highlight w:val="none"/>
        </w:rPr>
      </w:pPr>
    </w:p>
    <w:p w14:paraId="4B933101">
      <w:pPr>
        <w:rPr>
          <w:rFonts w:hint="eastAsia" w:ascii="仿宋" w:hAnsi="仿宋" w:eastAsia="仿宋" w:cs="仿宋"/>
          <w:b/>
          <w:color w:val="auto"/>
          <w:spacing w:val="6"/>
          <w:sz w:val="32"/>
          <w:szCs w:val="32"/>
          <w:highlight w:val="none"/>
        </w:rPr>
      </w:pPr>
    </w:p>
    <w:p w14:paraId="2642C94C">
      <w:pPr>
        <w:pStyle w:val="80"/>
        <w:rPr>
          <w:rFonts w:hint="eastAsia" w:ascii="仿宋" w:hAnsi="仿宋" w:eastAsia="仿宋" w:cs="仿宋"/>
          <w:b/>
          <w:color w:val="auto"/>
          <w:spacing w:val="6"/>
          <w:sz w:val="32"/>
          <w:szCs w:val="32"/>
          <w:highlight w:val="none"/>
        </w:rPr>
      </w:pPr>
    </w:p>
    <w:p w14:paraId="48A350FA">
      <w:pPr>
        <w:pStyle w:val="81"/>
        <w:rPr>
          <w:rFonts w:hint="eastAsia" w:ascii="仿宋" w:hAnsi="仿宋" w:eastAsia="仿宋" w:cs="仿宋"/>
          <w:b/>
          <w:color w:val="auto"/>
          <w:spacing w:val="6"/>
          <w:sz w:val="32"/>
          <w:szCs w:val="32"/>
          <w:highlight w:val="none"/>
        </w:rPr>
      </w:pPr>
    </w:p>
    <w:p w14:paraId="65912D71">
      <w:pPr>
        <w:rPr>
          <w:rFonts w:hint="eastAsia" w:ascii="仿宋" w:hAnsi="仿宋" w:eastAsia="仿宋" w:cs="仿宋"/>
          <w:b/>
          <w:color w:val="auto"/>
          <w:spacing w:val="6"/>
          <w:sz w:val="32"/>
          <w:szCs w:val="32"/>
          <w:highlight w:val="none"/>
        </w:rPr>
      </w:pPr>
    </w:p>
    <w:p w14:paraId="17233FD7">
      <w:pPr>
        <w:pStyle w:val="80"/>
        <w:rPr>
          <w:rFonts w:hint="eastAsia" w:ascii="仿宋" w:hAnsi="仿宋" w:eastAsia="仿宋" w:cs="仿宋"/>
          <w:b/>
          <w:color w:val="auto"/>
          <w:spacing w:val="6"/>
          <w:sz w:val="32"/>
          <w:szCs w:val="32"/>
          <w:highlight w:val="none"/>
        </w:rPr>
      </w:pPr>
    </w:p>
    <w:p w14:paraId="77B74280">
      <w:pPr>
        <w:pStyle w:val="81"/>
        <w:rPr>
          <w:rFonts w:hint="eastAsia" w:ascii="仿宋" w:hAnsi="仿宋" w:eastAsia="仿宋" w:cs="仿宋"/>
          <w:b/>
          <w:color w:val="auto"/>
          <w:spacing w:val="6"/>
          <w:sz w:val="32"/>
          <w:szCs w:val="32"/>
          <w:highlight w:val="none"/>
        </w:rPr>
      </w:pPr>
    </w:p>
    <w:p w14:paraId="6AFA6E8D">
      <w:pPr>
        <w:rPr>
          <w:rFonts w:hint="eastAsia" w:ascii="仿宋" w:hAnsi="仿宋" w:eastAsia="仿宋" w:cs="仿宋"/>
          <w:b/>
          <w:color w:val="auto"/>
          <w:spacing w:val="6"/>
          <w:sz w:val="32"/>
          <w:szCs w:val="32"/>
          <w:highlight w:val="none"/>
        </w:rPr>
      </w:pPr>
    </w:p>
    <w:p w14:paraId="58AC98D7">
      <w:pPr>
        <w:pStyle w:val="80"/>
        <w:rPr>
          <w:rFonts w:hint="eastAsia" w:ascii="仿宋" w:hAnsi="仿宋" w:eastAsia="仿宋" w:cs="仿宋"/>
          <w:b/>
          <w:color w:val="auto"/>
          <w:spacing w:val="6"/>
          <w:sz w:val="32"/>
          <w:szCs w:val="32"/>
          <w:highlight w:val="none"/>
        </w:rPr>
      </w:pPr>
    </w:p>
    <w:p w14:paraId="4FDB611B">
      <w:pPr>
        <w:pStyle w:val="81"/>
        <w:rPr>
          <w:rFonts w:hint="eastAsia" w:ascii="仿宋" w:hAnsi="仿宋" w:eastAsia="仿宋" w:cs="仿宋"/>
          <w:b/>
          <w:color w:val="auto"/>
          <w:spacing w:val="6"/>
          <w:sz w:val="32"/>
          <w:szCs w:val="32"/>
          <w:highlight w:val="none"/>
        </w:rPr>
      </w:pPr>
    </w:p>
    <w:p w14:paraId="753222DB">
      <w:pPr>
        <w:rPr>
          <w:rFonts w:hint="eastAsia" w:ascii="仿宋" w:hAnsi="仿宋" w:eastAsia="仿宋" w:cs="仿宋"/>
          <w:b/>
          <w:color w:val="auto"/>
          <w:spacing w:val="6"/>
          <w:sz w:val="32"/>
          <w:szCs w:val="32"/>
          <w:highlight w:val="none"/>
        </w:rPr>
      </w:pPr>
    </w:p>
    <w:p w14:paraId="227BED57">
      <w:pPr>
        <w:pStyle w:val="80"/>
        <w:rPr>
          <w:rFonts w:hint="eastAsia" w:ascii="仿宋" w:hAnsi="仿宋" w:eastAsia="仿宋" w:cs="仿宋"/>
          <w:b/>
          <w:color w:val="auto"/>
          <w:spacing w:val="6"/>
          <w:sz w:val="32"/>
          <w:szCs w:val="32"/>
          <w:highlight w:val="none"/>
        </w:rPr>
      </w:pPr>
    </w:p>
    <w:p w14:paraId="0DEF79CE">
      <w:pPr>
        <w:pStyle w:val="81"/>
        <w:rPr>
          <w:rFonts w:hint="eastAsia" w:ascii="仿宋" w:hAnsi="仿宋" w:eastAsia="仿宋" w:cs="仿宋"/>
          <w:b/>
          <w:color w:val="auto"/>
          <w:spacing w:val="6"/>
          <w:sz w:val="32"/>
          <w:szCs w:val="32"/>
          <w:highlight w:val="none"/>
        </w:rPr>
      </w:pPr>
    </w:p>
    <w:p w14:paraId="63852351">
      <w:pPr>
        <w:rPr>
          <w:rFonts w:hint="eastAsia" w:ascii="仿宋" w:hAnsi="仿宋" w:eastAsia="仿宋" w:cs="仿宋"/>
          <w:b/>
          <w:color w:val="auto"/>
          <w:spacing w:val="6"/>
          <w:sz w:val="32"/>
          <w:szCs w:val="32"/>
          <w:highlight w:val="none"/>
        </w:rPr>
      </w:pPr>
    </w:p>
    <w:p w14:paraId="2507C525">
      <w:pPr>
        <w:spacing w:line="360" w:lineRule="auto"/>
        <w:jc w:val="both"/>
        <w:rPr>
          <w:rFonts w:hint="eastAsia" w:ascii="仿宋" w:hAnsi="仿宋" w:eastAsia="仿宋" w:cs="仿宋"/>
          <w:b/>
          <w:color w:val="auto"/>
          <w:spacing w:val="6"/>
          <w:sz w:val="32"/>
          <w:szCs w:val="32"/>
          <w:highlight w:val="none"/>
        </w:rPr>
      </w:pPr>
    </w:p>
    <w:p w14:paraId="40ECA4B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5" w:name="OLE_LINK14"/>
      <w:bookmarkStart w:id="186" w:name="OLE_LINK13"/>
      <w:r>
        <w:rPr>
          <w:rFonts w:hint="eastAsia" w:ascii="仿宋" w:hAnsi="仿宋" w:eastAsia="仿宋" w:cs="仿宋"/>
          <w:b/>
          <w:color w:val="auto"/>
          <w:spacing w:val="6"/>
          <w:sz w:val="32"/>
          <w:szCs w:val="32"/>
          <w:highlight w:val="none"/>
        </w:rPr>
        <w:t>残疾人福利性单位声明函</w:t>
      </w:r>
    </w:p>
    <w:bookmarkEnd w:id="185"/>
    <w:bookmarkEnd w:id="186"/>
    <w:p w14:paraId="37B21240">
      <w:pPr>
        <w:spacing w:line="360" w:lineRule="auto"/>
        <w:rPr>
          <w:rFonts w:hint="eastAsia" w:ascii="仿宋" w:hAnsi="仿宋" w:eastAsia="仿宋" w:cs="仿宋"/>
          <w:b/>
          <w:color w:val="auto"/>
          <w:spacing w:val="6"/>
          <w:sz w:val="30"/>
          <w:szCs w:val="30"/>
          <w:highlight w:val="none"/>
        </w:rPr>
      </w:pPr>
    </w:p>
    <w:p w14:paraId="4BC8D6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A612B0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DE3C32A">
      <w:pPr>
        <w:spacing w:line="360" w:lineRule="auto"/>
        <w:ind w:firstLine="480" w:firstLineChars="200"/>
        <w:rPr>
          <w:rFonts w:hint="eastAsia" w:ascii="仿宋" w:hAnsi="仿宋" w:eastAsia="仿宋" w:cs="仿宋"/>
          <w:color w:val="auto"/>
          <w:sz w:val="24"/>
          <w:highlight w:val="none"/>
        </w:rPr>
      </w:pPr>
    </w:p>
    <w:p w14:paraId="4C9943A1">
      <w:pPr>
        <w:spacing w:line="360" w:lineRule="auto"/>
        <w:ind w:firstLine="480" w:firstLineChars="200"/>
        <w:rPr>
          <w:rFonts w:hint="eastAsia" w:ascii="仿宋" w:hAnsi="仿宋" w:eastAsia="仿宋" w:cs="仿宋"/>
          <w:color w:val="auto"/>
          <w:sz w:val="24"/>
          <w:highlight w:val="none"/>
        </w:rPr>
      </w:pPr>
    </w:p>
    <w:p w14:paraId="3C038C4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CBE5CB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60FF06">
      <w:pPr>
        <w:autoSpaceDE w:val="0"/>
        <w:autoSpaceDN w:val="0"/>
        <w:jc w:val="center"/>
        <w:rPr>
          <w:rFonts w:hint="eastAsia" w:ascii="仿宋" w:hAnsi="仿宋" w:eastAsia="仿宋" w:cs="仿宋"/>
          <w:b/>
          <w:color w:val="auto"/>
          <w:spacing w:val="6"/>
          <w:sz w:val="32"/>
          <w:szCs w:val="32"/>
          <w:highlight w:val="none"/>
        </w:rPr>
      </w:pPr>
    </w:p>
    <w:p w14:paraId="3BC32928">
      <w:pPr>
        <w:autoSpaceDE w:val="0"/>
        <w:autoSpaceDN w:val="0"/>
        <w:jc w:val="center"/>
        <w:rPr>
          <w:rFonts w:hint="eastAsia" w:ascii="仿宋" w:hAnsi="仿宋" w:eastAsia="仿宋" w:cs="仿宋"/>
          <w:b/>
          <w:color w:val="auto"/>
          <w:spacing w:val="6"/>
          <w:sz w:val="32"/>
          <w:szCs w:val="32"/>
          <w:highlight w:val="none"/>
        </w:rPr>
      </w:pPr>
    </w:p>
    <w:p w14:paraId="55396797">
      <w:pPr>
        <w:autoSpaceDE w:val="0"/>
        <w:autoSpaceDN w:val="0"/>
        <w:jc w:val="center"/>
        <w:rPr>
          <w:rFonts w:hint="eastAsia" w:ascii="仿宋" w:hAnsi="仿宋" w:eastAsia="仿宋" w:cs="仿宋"/>
          <w:b/>
          <w:color w:val="auto"/>
          <w:spacing w:val="6"/>
          <w:sz w:val="32"/>
          <w:szCs w:val="32"/>
          <w:highlight w:val="none"/>
        </w:rPr>
      </w:pPr>
    </w:p>
    <w:p w14:paraId="3DAC1DE6">
      <w:pPr>
        <w:autoSpaceDE w:val="0"/>
        <w:autoSpaceDN w:val="0"/>
        <w:jc w:val="center"/>
        <w:rPr>
          <w:rFonts w:hint="eastAsia" w:ascii="仿宋" w:hAnsi="仿宋" w:eastAsia="仿宋" w:cs="仿宋"/>
          <w:b/>
          <w:color w:val="auto"/>
          <w:spacing w:val="6"/>
          <w:sz w:val="32"/>
          <w:szCs w:val="32"/>
          <w:highlight w:val="none"/>
        </w:rPr>
      </w:pPr>
    </w:p>
    <w:p w14:paraId="3CB0C76D">
      <w:pPr>
        <w:autoSpaceDE w:val="0"/>
        <w:autoSpaceDN w:val="0"/>
        <w:jc w:val="center"/>
        <w:rPr>
          <w:rFonts w:hint="eastAsia" w:ascii="仿宋" w:hAnsi="仿宋" w:eastAsia="仿宋" w:cs="仿宋"/>
          <w:b/>
          <w:color w:val="auto"/>
          <w:spacing w:val="6"/>
          <w:sz w:val="32"/>
          <w:szCs w:val="32"/>
          <w:highlight w:val="none"/>
        </w:rPr>
      </w:pPr>
    </w:p>
    <w:p w14:paraId="3AB75C46">
      <w:pPr>
        <w:autoSpaceDE w:val="0"/>
        <w:autoSpaceDN w:val="0"/>
        <w:jc w:val="center"/>
        <w:rPr>
          <w:rFonts w:hint="eastAsia" w:ascii="仿宋" w:hAnsi="仿宋" w:eastAsia="仿宋" w:cs="仿宋"/>
          <w:b/>
          <w:color w:val="auto"/>
          <w:spacing w:val="6"/>
          <w:sz w:val="32"/>
          <w:szCs w:val="32"/>
          <w:highlight w:val="none"/>
        </w:rPr>
      </w:pPr>
    </w:p>
    <w:p w14:paraId="3D58B1EB">
      <w:pPr>
        <w:autoSpaceDE w:val="0"/>
        <w:autoSpaceDN w:val="0"/>
        <w:jc w:val="center"/>
        <w:rPr>
          <w:rFonts w:hint="eastAsia" w:ascii="仿宋" w:hAnsi="仿宋" w:eastAsia="仿宋" w:cs="仿宋"/>
          <w:b/>
          <w:color w:val="auto"/>
          <w:spacing w:val="6"/>
          <w:sz w:val="32"/>
          <w:szCs w:val="32"/>
          <w:highlight w:val="none"/>
        </w:rPr>
      </w:pPr>
    </w:p>
    <w:p w14:paraId="71745428">
      <w:pPr>
        <w:autoSpaceDE w:val="0"/>
        <w:autoSpaceDN w:val="0"/>
        <w:jc w:val="center"/>
        <w:rPr>
          <w:rFonts w:hint="eastAsia" w:ascii="仿宋" w:hAnsi="仿宋" w:eastAsia="仿宋" w:cs="仿宋"/>
          <w:b/>
          <w:color w:val="auto"/>
          <w:spacing w:val="6"/>
          <w:sz w:val="32"/>
          <w:szCs w:val="32"/>
          <w:highlight w:val="none"/>
        </w:rPr>
      </w:pPr>
    </w:p>
    <w:p w14:paraId="4365858F">
      <w:pPr>
        <w:autoSpaceDE w:val="0"/>
        <w:autoSpaceDN w:val="0"/>
        <w:jc w:val="center"/>
        <w:rPr>
          <w:rFonts w:hint="eastAsia" w:ascii="仿宋" w:hAnsi="仿宋" w:eastAsia="仿宋" w:cs="仿宋"/>
          <w:b/>
          <w:color w:val="auto"/>
          <w:spacing w:val="6"/>
          <w:sz w:val="32"/>
          <w:szCs w:val="32"/>
          <w:highlight w:val="none"/>
        </w:rPr>
      </w:pPr>
    </w:p>
    <w:p w14:paraId="7B9EF09B">
      <w:pPr>
        <w:autoSpaceDE w:val="0"/>
        <w:autoSpaceDN w:val="0"/>
        <w:jc w:val="center"/>
        <w:rPr>
          <w:rFonts w:hint="eastAsia" w:ascii="仿宋" w:hAnsi="仿宋" w:eastAsia="仿宋" w:cs="仿宋"/>
          <w:b/>
          <w:color w:val="auto"/>
          <w:spacing w:val="6"/>
          <w:sz w:val="32"/>
          <w:szCs w:val="32"/>
          <w:highlight w:val="none"/>
        </w:rPr>
      </w:pPr>
    </w:p>
    <w:p w14:paraId="354522AB">
      <w:pPr>
        <w:snapToGrid w:val="0"/>
        <w:spacing w:line="360" w:lineRule="auto"/>
        <w:rPr>
          <w:rFonts w:hint="eastAsia" w:ascii="仿宋" w:hAnsi="仿宋" w:eastAsia="仿宋" w:cs="仿宋"/>
          <w:b/>
          <w:color w:val="auto"/>
          <w:kern w:val="0"/>
          <w:sz w:val="32"/>
          <w:szCs w:val="32"/>
          <w:highlight w:val="none"/>
        </w:rPr>
      </w:pPr>
    </w:p>
    <w:p w14:paraId="434C76A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0FF92BA">
      <w:pPr>
        <w:spacing w:line="360" w:lineRule="auto"/>
        <w:jc w:val="center"/>
        <w:rPr>
          <w:rFonts w:hint="eastAsia" w:ascii="仿宋" w:hAnsi="仿宋" w:eastAsia="仿宋" w:cs="仿宋"/>
          <w:color w:val="auto"/>
          <w:sz w:val="24"/>
          <w:highlight w:val="none"/>
          <w:u w:val="single"/>
        </w:rPr>
      </w:pPr>
    </w:p>
    <w:p w14:paraId="48A6F7B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7C3D8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6BF26A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880DB9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E7AA7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631EAA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6BAE38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BAD1D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8797006">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2986FBB">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28E17A0">
      <w:pPr>
        <w:spacing w:line="360" w:lineRule="auto"/>
        <w:ind w:right="420"/>
        <w:rPr>
          <w:rFonts w:hint="eastAsia" w:ascii="仿宋" w:hAnsi="仿宋" w:eastAsia="仿宋" w:cs="仿宋"/>
          <w:color w:val="auto"/>
          <w:sz w:val="24"/>
          <w:highlight w:val="none"/>
        </w:rPr>
      </w:pPr>
    </w:p>
    <w:p w14:paraId="05EE79E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BE90D1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18D700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A6B8E26">
      <w:pPr>
        <w:pStyle w:val="3"/>
        <w:numPr>
          <w:ilvl w:val="1"/>
          <w:numId w:val="2"/>
        </w:numPr>
        <w:bidi w:val="0"/>
        <w:rPr>
          <w:rFonts w:hint="eastAsia"/>
          <w:color w:val="auto"/>
          <w:highlight w:val="none"/>
          <w:lang w:val="en-US"/>
        </w:rPr>
      </w:pPr>
    </w:p>
    <w:p w14:paraId="1C244E3D">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FEC83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F14697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C3C95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8CD696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F72EDC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5C63DD">
      <w:pPr>
        <w:pStyle w:val="23"/>
        <w:rPr>
          <w:rFonts w:hint="eastAsia"/>
          <w:color w:val="auto"/>
          <w:highlight w:val="none"/>
          <w:lang w:val="en-US" w:eastAsia="zh-CN"/>
        </w:rPr>
      </w:pPr>
    </w:p>
    <w:p w14:paraId="58A1ED0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A29C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0AE52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5049B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172A52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59FFB7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DCD3F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0E8156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DD9BC12">
      <w:pPr>
        <w:widowControl/>
        <w:jc w:val="left"/>
        <w:rPr>
          <w:rFonts w:hint="eastAsia" w:ascii="仿宋" w:hAnsi="仿宋" w:eastAsia="仿宋" w:cs="仿宋"/>
          <w:color w:val="auto"/>
          <w:kern w:val="0"/>
          <w:sz w:val="24"/>
          <w:highlight w:val="none"/>
        </w:rPr>
      </w:pPr>
    </w:p>
    <w:p w14:paraId="268FAA3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5F40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5F70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8201F5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4BA2B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B054F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7626D2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3CBC3E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94899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B29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A817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5BA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7A31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8B3F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4EA74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8F5E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302F3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54B5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89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4E9E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01DC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6BF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20C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F1A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AED3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D9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4D621E">
            <w:pPr>
              <w:widowControl/>
              <w:jc w:val="left"/>
              <w:rPr>
                <w:rFonts w:hint="eastAsia" w:ascii="仿宋" w:hAnsi="仿宋" w:eastAsia="仿宋" w:cs="仿宋"/>
                <w:color w:val="auto"/>
                <w:kern w:val="0"/>
                <w:sz w:val="24"/>
                <w:highlight w:val="none"/>
              </w:rPr>
            </w:pPr>
          </w:p>
        </w:tc>
        <w:tc>
          <w:tcPr>
            <w:tcW w:w="1560" w:type="dxa"/>
            <w:vAlign w:val="center"/>
          </w:tcPr>
          <w:p w14:paraId="0CCDE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9C0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0E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D78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048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22AC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CFE8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D68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7D2A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986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9A4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8B60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A0CE9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7499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D4C9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D671F5">
            <w:pPr>
              <w:widowControl/>
              <w:jc w:val="left"/>
              <w:rPr>
                <w:rFonts w:hint="eastAsia" w:ascii="仿宋" w:hAnsi="仿宋" w:eastAsia="仿宋" w:cs="仿宋"/>
                <w:color w:val="auto"/>
                <w:kern w:val="0"/>
                <w:sz w:val="24"/>
                <w:highlight w:val="none"/>
              </w:rPr>
            </w:pPr>
          </w:p>
        </w:tc>
        <w:tc>
          <w:tcPr>
            <w:tcW w:w="1560" w:type="dxa"/>
            <w:vAlign w:val="center"/>
          </w:tcPr>
          <w:p w14:paraId="0AD55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2C5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C0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5B0D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7625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2888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9C8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24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4A82E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4EE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D29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AD9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5478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824C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4B0F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E805D">
            <w:pPr>
              <w:widowControl/>
              <w:jc w:val="left"/>
              <w:rPr>
                <w:rFonts w:hint="eastAsia" w:ascii="仿宋" w:hAnsi="仿宋" w:eastAsia="仿宋" w:cs="仿宋"/>
                <w:color w:val="auto"/>
                <w:kern w:val="0"/>
                <w:sz w:val="24"/>
                <w:highlight w:val="none"/>
              </w:rPr>
            </w:pPr>
          </w:p>
        </w:tc>
        <w:tc>
          <w:tcPr>
            <w:tcW w:w="1560" w:type="dxa"/>
            <w:vAlign w:val="center"/>
          </w:tcPr>
          <w:p w14:paraId="1E309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088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3D5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5278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B51BC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B10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954C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AA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62D6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15C5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BF3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728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95A9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4473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39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125A43">
            <w:pPr>
              <w:widowControl/>
              <w:jc w:val="left"/>
              <w:rPr>
                <w:rFonts w:hint="eastAsia" w:ascii="仿宋" w:hAnsi="仿宋" w:eastAsia="仿宋" w:cs="仿宋"/>
                <w:color w:val="auto"/>
                <w:kern w:val="0"/>
                <w:sz w:val="24"/>
                <w:highlight w:val="none"/>
              </w:rPr>
            </w:pPr>
          </w:p>
        </w:tc>
        <w:tc>
          <w:tcPr>
            <w:tcW w:w="1560" w:type="dxa"/>
            <w:vAlign w:val="center"/>
          </w:tcPr>
          <w:p w14:paraId="225FA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8D4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E9CB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877E3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C0F4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D65EF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695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7405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E0C38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58B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E3B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15A14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2885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5B39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457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912D1B">
            <w:pPr>
              <w:widowControl/>
              <w:jc w:val="left"/>
              <w:rPr>
                <w:rFonts w:hint="eastAsia" w:ascii="仿宋" w:hAnsi="仿宋" w:eastAsia="仿宋" w:cs="仿宋"/>
                <w:color w:val="auto"/>
                <w:kern w:val="0"/>
                <w:sz w:val="24"/>
                <w:highlight w:val="none"/>
              </w:rPr>
            </w:pPr>
          </w:p>
        </w:tc>
        <w:tc>
          <w:tcPr>
            <w:tcW w:w="1560" w:type="dxa"/>
            <w:vAlign w:val="center"/>
          </w:tcPr>
          <w:p w14:paraId="1D2A3A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045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EDBD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FC6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AA966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D348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BF23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C1D0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1F68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17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89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D458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49CA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C3A1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597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B689EC">
            <w:pPr>
              <w:widowControl/>
              <w:jc w:val="left"/>
              <w:rPr>
                <w:rFonts w:hint="eastAsia" w:ascii="仿宋" w:hAnsi="仿宋" w:eastAsia="仿宋" w:cs="仿宋"/>
                <w:color w:val="auto"/>
                <w:kern w:val="0"/>
                <w:sz w:val="24"/>
                <w:highlight w:val="none"/>
              </w:rPr>
            </w:pPr>
          </w:p>
        </w:tc>
        <w:tc>
          <w:tcPr>
            <w:tcW w:w="1560" w:type="dxa"/>
            <w:vAlign w:val="center"/>
          </w:tcPr>
          <w:p w14:paraId="21633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FE3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396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082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AB3E2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000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62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178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E132F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0D3F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7DD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0F62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CEF1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DD3BE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480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5A2B12">
            <w:pPr>
              <w:widowControl/>
              <w:jc w:val="left"/>
              <w:rPr>
                <w:rFonts w:hint="eastAsia" w:ascii="仿宋" w:hAnsi="仿宋" w:eastAsia="仿宋" w:cs="仿宋"/>
                <w:color w:val="auto"/>
                <w:kern w:val="0"/>
                <w:sz w:val="24"/>
                <w:highlight w:val="none"/>
              </w:rPr>
            </w:pPr>
          </w:p>
        </w:tc>
        <w:tc>
          <w:tcPr>
            <w:tcW w:w="1560" w:type="dxa"/>
            <w:vAlign w:val="center"/>
          </w:tcPr>
          <w:p w14:paraId="4E4F81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D09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29E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34D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53DB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EEF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36E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73D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18D91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33A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01B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016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502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C94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D03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BA450F">
            <w:pPr>
              <w:widowControl/>
              <w:jc w:val="left"/>
              <w:rPr>
                <w:rFonts w:hint="eastAsia" w:ascii="仿宋" w:hAnsi="仿宋" w:eastAsia="仿宋" w:cs="仿宋"/>
                <w:color w:val="auto"/>
                <w:kern w:val="0"/>
                <w:sz w:val="24"/>
                <w:highlight w:val="none"/>
              </w:rPr>
            </w:pPr>
          </w:p>
        </w:tc>
        <w:tc>
          <w:tcPr>
            <w:tcW w:w="1560" w:type="dxa"/>
            <w:vAlign w:val="center"/>
          </w:tcPr>
          <w:p w14:paraId="517AE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FD4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62C5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85507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500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7203E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AC9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62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4A34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4C5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383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67B7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2053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C63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10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F872F">
            <w:pPr>
              <w:widowControl/>
              <w:jc w:val="left"/>
              <w:rPr>
                <w:rFonts w:hint="eastAsia" w:ascii="仿宋" w:hAnsi="仿宋" w:eastAsia="仿宋" w:cs="仿宋"/>
                <w:color w:val="auto"/>
                <w:kern w:val="0"/>
                <w:sz w:val="24"/>
                <w:highlight w:val="none"/>
              </w:rPr>
            </w:pPr>
          </w:p>
        </w:tc>
        <w:tc>
          <w:tcPr>
            <w:tcW w:w="1560" w:type="dxa"/>
            <w:vAlign w:val="center"/>
          </w:tcPr>
          <w:p w14:paraId="2C5C9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8AE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7ED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51D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A690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D7CC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18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E0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2F4F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A81F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6075B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6F27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A7FC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34A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343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529954">
            <w:pPr>
              <w:widowControl/>
              <w:jc w:val="left"/>
              <w:rPr>
                <w:rFonts w:hint="eastAsia" w:ascii="仿宋" w:hAnsi="仿宋" w:eastAsia="仿宋" w:cs="仿宋"/>
                <w:color w:val="auto"/>
                <w:kern w:val="0"/>
                <w:sz w:val="24"/>
                <w:highlight w:val="none"/>
              </w:rPr>
            </w:pPr>
          </w:p>
        </w:tc>
        <w:tc>
          <w:tcPr>
            <w:tcW w:w="1560" w:type="dxa"/>
            <w:vAlign w:val="center"/>
          </w:tcPr>
          <w:p w14:paraId="62AE7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944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E9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7867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2205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B8CE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27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316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BA90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40BB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904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1B8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BDEC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9336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124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E4C2D8">
            <w:pPr>
              <w:widowControl/>
              <w:jc w:val="left"/>
              <w:rPr>
                <w:rFonts w:hint="eastAsia" w:ascii="仿宋" w:hAnsi="仿宋" w:eastAsia="仿宋" w:cs="仿宋"/>
                <w:color w:val="auto"/>
                <w:kern w:val="0"/>
                <w:sz w:val="24"/>
                <w:highlight w:val="none"/>
              </w:rPr>
            </w:pPr>
          </w:p>
        </w:tc>
        <w:tc>
          <w:tcPr>
            <w:tcW w:w="1560" w:type="dxa"/>
            <w:vAlign w:val="center"/>
          </w:tcPr>
          <w:p w14:paraId="4BD3E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8E4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3A08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79E2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AA37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194E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623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DF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465AA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570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032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6BE6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B531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71B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DA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CEC1F">
            <w:pPr>
              <w:widowControl/>
              <w:jc w:val="left"/>
              <w:rPr>
                <w:rFonts w:hint="eastAsia" w:ascii="仿宋" w:hAnsi="仿宋" w:eastAsia="仿宋" w:cs="仿宋"/>
                <w:color w:val="auto"/>
                <w:kern w:val="0"/>
                <w:sz w:val="24"/>
                <w:highlight w:val="none"/>
              </w:rPr>
            </w:pPr>
          </w:p>
        </w:tc>
        <w:tc>
          <w:tcPr>
            <w:tcW w:w="1560" w:type="dxa"/>
            <w:vAlign w:val="center"/>
          </w:tcPr>
          <w:p w14:paraId="6E61D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B2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CA1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14B5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51C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AE66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37FA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85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3688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91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4E6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8C2D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FA0D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E18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148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ED34A">
            <w:pPr>
              <w:widowControl/>
              <w:jc w:val="left"/>
              <w:rPr>
                <w:rFonts w:hint="eastAsia" w:ascii="仿宋" w:hAnsi="仿宋" w:eastAsia="仿宋" w:cs="仿宋"/>
                <w:color w:val="auto"/>
                <w:kern w:val="0"/>
                <w:sz w:val="24"/>
                <w:highlight w:val="none"/>
              </w:rPr>
            </w:pPr>
          </w:p>
        </w:tc>
        <w:tc>
          <w:tcPr>
            <w:tcW w:w="1560" w:type="dxa"/>
            <w:vAlign w:val="center"/>
          </w:tcPr>
          <w:p w14:paraId="5A1163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C9FB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693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0AA1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2DA3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6C2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2E1B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25F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156B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9000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FAD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E31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7F7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A4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967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DD7AB3">
            <w:pPr>
              <w:widowControl/>
              <w:jc w:val="left"/>
              <w:rPr>
                <w:rFonts w:hint="eastAsia" w:ascii="仿宋" w:hAnsi="仿宋" w:eastAsia="仿宋" w:cs="仿宋"/>
                <w:color w:val="auto"/>
                <w:kern w:val="0"/>
                <w:sz w:val="24"/>
                <w:highlight w:val="none"/>
              </w:rPr>
            </w:pPr>
          </w:p>
        </w:tc>
        <w:tc>
          <w:tcPr>
            <w:tcW w:w="1560" w:type="dxa"/>
            <w:vAlign w:val="center"/>
          </w:tcPr>
          <w:p w14:paraId="7F1CE6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01F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256A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BBE7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A6388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340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63BC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CABA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5424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E48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086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91C4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9464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87B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623ED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33427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D182C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53E0F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562FB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B1DAD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83901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DB65205">
      <w:pPr>
        <w:widowControl/>
        <w:jc w:val="left"/>
        <w:rPr>
          <w:rFonts w:hint="eastAsia" w:ascii="仿宋" w:hAnsi="仿宋" w:eastAsia="仿宋" w:cs="仿宋"/>
          <w:color w:val="auto"/>
          <w:kern w:val="0"/>
          <w:sz w:val="24"/>
          <w:highlight w:val="none"/>
        </w:rPr>
      </w:pPr>
    </w:p>
    <w:p w14:paraId="7D6728C8">
      <w:pPr>
        <w:widowControl/>
        <w:jc w:val="left"/>
        <w:rPr>
          <w:rFonts w:hint="eastAsia" w:ascii="仿宋" w:hAnsi="仿宋" w:eastAsia="仿宋" w:cs="仿宋"/>
          <w:color w:val="auto"/>
          <w:kern w:val="0"/>
          <w:sz w:val="24"/>
          <w:highlight w:val="none"/>
        </w:rPr>
      </w:pPr>
    </w:p>
    <w:p w14:paraId="0FB433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0CCC13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363FF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0C2FF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D0AC63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8106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CD7D3E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73448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26E3E78">
      <w:pPr>
        <w:widowControl/>
        <w:jc w:val="left"/>
        <w:rPr>
          <w:rFonts w:hint="eastAsia" w:ascii="仿宋" w:hAnsi="仿宋" w:eastAsia="仿宋" w:cs="仿宋"/>
          <w:color w:val="auto"/>
          <w:kern w:val="0"/>
          <w:sz w:val="18"/>
          <w:szCs w:val="18"/>
          <w:highlight w:val="none"/>
        </w:rPr>
      </w:pPr>
    </w:p>
    <w:p w14:paraId="5F03F35E">
      <w:pPr>
        <w:widowControl/>
        <w:jc w:val="left"/>
        <w:rPr>
          <w:rFonts w:hint="eastAsia" w:ascii="仿宋" w:hAnsi="仿宋" w:eastAsia="仿宋" w:cs="仿宋"/>
          <w:color w:val="auto"/>
          <w:kern w:val="0"/>
          <w:sz w:val="18"/>
          <w:szCs w:val="18"/>
          <w:highlight w:val="none"/>
        </w:rPr>
      </w:pPr>
    </w:p>
    <w:p w14:paraId="48041E1C">
      <w:pPr>
        <w:widowControl/>
        <w:jc w:val="left"/>
        <w:rPr>
          <w:rFonts w:hint="eastAsia" w:ascii="仿宋" w:hAnsi="仿宋" w:eastAsia="仿宋" w:cs="仿宋"/>
          <w:color w:val="auto"/>
          <w:kern w:val="0"/>
          <w:sz w:val="18"/>
          <w:szCs w:val="18"/>
          <w:highlight w:val="none"/>
        </w:rPr>
      </w:pPr>
    </w:p>
    <w:p w14:paraId="480EEF2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E88F67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5C4921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401ED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D4E07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17626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F8737B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5606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C3F5C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33CB3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8A5A9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7C303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64029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DE253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EA7F1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57D20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6F8DC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E5247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A539E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0A98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64B9B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08C4A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72D2A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94CF3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9E09B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643248F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A4130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C4A27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8DD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F4DD2E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47D99E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35B5E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30085B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F989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B933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FAD5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471B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B5D8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F749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10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D254AC">
            <w:pPr>
              <w:widowControl/>
              <w:jc w:val="left"/>
              <w:rPr>
                <w:rFonts w:hint="eastAsia" w:ascii="仿宋" w:hAnsi="仿宋" w:eastAsia="仿宋" w:cs="仿宋"/>
                <w:color w:val="auto"/>
                <w:kern w:val="0"/>
                <w:sz w:val="24"/>
                <w:highlight w:val="none"/>
              </w:rPr>
            </w:pPr>
          </w:p>
        </w:tc>
        <w:tc>
          <w:tcPr>
            <w:tcW w:w="1025" w:type="dxa"/>
            <w:vMerge w:val="continue"/>
            <w:vAlign w:val="center"/>
          </w:tcPr>
          <w:p w14:paraId="54460763">
            <w:pPr>
              <w:widowControl/>
              <w:jc w:val="left"/>
              <w:rPr>
                <w:rFonts w:hint="eastAsia" w:ascii="仿宋" w:hAnsi="仿宋" w:eastAsia="仿宋" w:cs="仿宋"/>
                <w:color w:val="auto"/>
                <w:kern w:val="0"/>
                <w:sz w:val="24"/>
                <w:highlight w:val="none"/>
              </w:rPr>
            </w:pPr>
          </w:p>
        </w:tc>
        <w:tc>
          <w:tcPr>
            <w:tcW w:w="2836" w:type="dxa"/>
            <w:vMerge w:val="continue"/>
            <w:vAlign w:val="center"/>
          </w:tcPr>
          <w:p w14:paraId="2D439403">
            <w:pPr>
              <w:widowControl/>
              <w:jc w:val="left"/>
              <w:rPr>
                <w:rFonts w:hint="eastAsia" w:ascii="仿宋" w:hAnsi="仿宋" w:eastAsia="仿宋" w:cs="仿宋"/>
                <w:color w:val="auto"/>
                <w:kern w:val="0"/>
                <w:sz w:val="24"/>
                <w:highlight w:val="none"/>
              </w:rPr>
            </w:pPr>
          </w:p>
        </w:tc>
        <w:tc>
          <w:tcPr>
            <w:tcW w:w="606" w:type="dxa"/>
            <w:vAlign w:val="center"/>
          </w:tcPr>
          <w:p w14:paraId="003E8A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F82D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2483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4F9B5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A00343">
            <w:pPr>
              <w:widowControl/>
              <w:jc w:val="left"/>
              <w:rPr>
                <w:rFonts w:hint="eastAsia" w:ascii="仿宋" w:hAnsi="仿宋" w:eastAsia="仿宋" w:cs="仿宋"/>
                <w:color w:val="auto"/>
                <w:kern w:val="0"/>
                <w:sz w:val="24"/>
                <w:highlight w:val="none"/>
              </w:rPr>
            </w:pPr>
          </w:p>
        </w:tc>
        <w:tc>
          <w:tcPr>
            <w:tcW w:w="2836" w:type="dxa"/>
            <w:vMerge w:val="continue"/>
            <w:vAlign w:val="center"/>
          </w:tcPr>
          <w:p w14:paraId="75A4E671">
            <w:pPr>
              <w:widowControl/>
              <w:jc w:val="left"/>
              <w:rPr>
                <w:rFonts w:hint="eastAsia" w:ascii="仿宋" w:hAnsi="仿宋" w:eastAsia="仿宋" w:cs="仿宋"/>
                <w:color w:val="auto"/>
                <w:kern w:val="0"/>
                <w:sz w:val="24"/>
                <w:highlight w:val="none"/>
              </w:rPr>
            </w:pPr>
          </w:p>
        </w:tc>
        <w:tc>
          <w:tcPr>
            <w:tcW w:w="606" w:type="dxa"/>
            <w:vAlign w:val="center"/>
          </w:tcPr>
          <w:p w14:paraId="7C425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F287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161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5DBD6A">
            <w:pPr>
              <w:widowControl/>
              <w:jc w:val="left"/>
              <w:rPr>
                <w:rFonts w:hint="eastAsia" w:ascii="仿宋" w:hAnsi="仿宋" w:eastAsia="仿宋" w:cs="仿宋"/>
                <w:color w:val="auto"/>
                <w:kern w:val="0"/>
                <w:sz w:val="24"/>
                <w:highlight w:val="none"/>
              </w:rPr>
            </w:pPr>
          </w:p>
        </w:tc>
        <w:tc>
          <w:tcPr>
            <w:tcW w:w="1025" w:type="dxa"/>
            <w:vMerge w:val="restart"/>
            <w:vAlign w:val="center"/>
          </w:tcPr>
          <w:p w14:paraId="35E2C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31510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CE79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E9D6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32F8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8481A">
            <w:pPr>
              <w:widowControl/>
              <w:jc w:val="left"/>
              <w:rPr>
                <w:rFonts w:hint="eastAsia" w:ascii="仿宋" w:hAnsi="仿宋" w:eastAsia="仿宋" w:cs="仿宋"/>
                <w:color w:val="auto"/>
                <w:kern w:val="0"/>
                <w:sz w:val="24"/>
                <w:highlight w:val="none"/>
              </w:rPr>
            </w:pPr>
          </w:p>
        </w:tc>
        <w:tc>
          <w:tcPr>
            <w:tcW w:w="1025" w:type="dxa"/>
            <w:vMerge w:val="continue"/>
            <w:vAlign w:val="center"/>
          </w:tcPr>
          <w:p w14:paraId="3E91343D">
            <w:pPr>
              <w:widowControl/>
              <w:jc w:val="left"/>
              <w:rPr>
                <w:rFonts w:hint="eastAsia" w:ascii="仿宋" w:hAnsi="仿宋" w:eastAsia="仿宋" w:cs="仿宋"/>
                <w:color w:val="auto"/>
                <w:kern w:val="0"/>
                <w:sz w:val="24"/>
                <w:highlight w:val="none"/>
              </w:rPr>
            </w:pPr>
          </w:p>
        </w:tc>
        <w:tc>
          <w:tcPr>
            <w:tcW w:w="2836" w:type="dxa"/>
            <w:vMerge w:val="continue"/>
            <w:vAlign w:val="center"/>
          </w:tcPr>
          <w:p w14:paraId="51C8547D">
            <w:pPr>
              <w:widowControl/>
              <w:jc w:val="left"/>
              <w:rPr>
                <w:rFonts w:hint="eastAsia" w:ascii="仿宋" w:hAnsi="仿宋" w:eastAsia="仿宋" w:cs="仿宋"/>
                <w:color w:val="auto"/>
                <w:kern w:val="0"/>
                <w:sz w:val="24"/>
                <w:highlight w:val="none"/>
              </w:rPr>
            </w:pPr>
          </w:p>
        </w:tc>
        <w:tc>
          <w:tcPr>
            <w:tcW w:w="606" w:type="dxa"/>
            <w:vAlign w:val="center"/>
          </w:tcPr>
          <w:p w14:paraId="6E2FE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8BB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FB1B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AC6453">
            <w:pPr>
              <w:widowControl/>
              <w:jc w:val="left"/>
              <w:rPr>
                <w:rFonts w:hint="eastAsia" w:ascii="仿宋" w:hAnsi="仿宋" w:eastAsia="仿宋" w:cs="仿宋"/>
                <w:color w:val="auto"/>
                <w:kern w:val="0"/>
                <w:sz w:val="24"/>
                <w:highlight w:val="none"/>
              </w:rPr>
            </w:pPr>
          </w:p>
        </w:tc>
        <w:tc>
          <w:tcPr>
            <w:tcW w:w="1025" w:type="dxa"/>
            <w:vMerge w:val="continue"/>
            <w:vAlign w:val="center"/>
          </w:tcPr>
          <w:p w14:paraId="1399A9EB">
            <w:pPr>
              <w:widowControl/>
              <w:jc w:val="left"/>
              <w:rPr>
                <w:rFonts w:hint="eastAsia" w:ascii="仿宋" w:hAnsi="仿宋" w:eastAsia="仿宋" w:cs="仿宋"/>
                <w:color w:val="auto"/>
                <w:kern w:val="0"/>
                <w:sz w:val="24"/>
                <w:highlight w:val="none"/>
              </w:rPr>
            </w:pPr>
          </w:p>
        </w:tc>
        <w:tc>
          <w:tcPr>
            <w:tcW w:w="2836" w:type="dxa"/>
            <w:vMerge w:val="continue"/>
            <w:vAlign w:val="center"/>
          </w:tcPr>
          <w:p w14:paraId="1AB971AA">
            <w:pPr>
              <w:widowControl/>
              <w:jc w:val="left"/>
              <w:rPr>
                <w:rFonts w:hint="eastAsia" w:ascii="仿宋" w:hAnsi="仿宋" w:eastAsia="仿宋" w:cs="仿宋"/>
                <w:color w:val="auto"/>
                <w:kern w:val="0"/>
                <w:sz w:val="24"/>
                <w:highlight w:val="none"/>
              </w:rPr>
            </w:pPr>
          </w:p>
        </w:tc>
        <w:tc>
          <w:tcPr>
            <w:tcW w:w="606" w:type="dxa"/>
            <w:vAlign w:val="center"/>
          </w:tcPr>
          <w:p w14:paraId="0C7EE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465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12DC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342E2">
            <w:pPr>
              <w:widowControl/>
              <w:jc w:val="left"/>
              <w:rPr>
                <w:rFonts w:hint="eastAsia" w:ascii="仿宋" w:hAnsi="仿宋" w:eastAsia="仿宋" w:cs="仿宋"/>
                <w:color w:val="auto"/>
                <w:kern w:val="0"/>
                <w:sz w:val="24"/>
                <w:highlight w:val="none"/>
              </w:rPr>
            </w:pPr>
          </w:p>
        </w:tc>
        <w:tc>
          <w:tcPr>
            <w:tcW w:w="1025" w:type="dxa"/>
            <w:vMerge w:val="continue"/>
            <w:vAlign w:val="center"/>
          </w:tcPr>
          <w:p w14:paraId="378B3089">
            <w:pPr>
              <w:widowControl/>
              <w:jc w:val="left"/>
              <w:rPr>
                <w:rFonts w:hint="eastAsia" w:ascii="仿宋" w:hAnsi="仿宋" w:eastAsia="仿宋" w:cs="仿宋"/>
                <w:color w:val="auto"/>
                <w:kern w:val="0"/>
                <w:sz w:val="24"/>
                <w:highlight w:val="none"/>
              </w:rPr>
            </w:pPr>
          </w:p>
        </w:tc>
        <w:tc>
          <w:tcPr>
            <w:tcW w:w="2836" w:type="dxa"/>
            <w:vMerge w:val="restart"/>
            <w:vAlign w:val="center"/>
          </w:tcPr>
          <w:p w14:paraId="545DF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14693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917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9FC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AC7C9">
            <w:pPr>
              <w:widowControl/>
              <w:jc w:val="left"/>
              <w:rPr>
                <w:rFonts w:hint="eastAsia" w:ascii="仿宋" w:hAnsi="仿宋" w:eastAsia="仿宋" w:cs="仿宋"/>
                <w:color w:val="auto"/>
                <w:kern w:val="0"/>
                <w:sz w:val="24"/>
                <w:highlight w:val="none"/>
              </w:rPr>
            </w:pPr>
          </w:p>
        </w:tc>
        <w:tc>
          <w:tcPr>
            <w:tcW w:w="1025" w:type="dxa"/>
            <w:vMerge w:val="continue"/>
            <w:vAlign w:val="center"/>
          </w:tcPr>
          <w:p w14:paraId="4B60E1B8">
            <w:pPr>
              <w:widowControl/>
              <w:jc w:val="left"/>
              <w:rPr>
                <w:rFonts w:hint="eastAsia" w:ascii="仿宋" w:hAnsi="仿宋" w:eastAsia="仿宋" w:cs="仿宋"/>
                <w:color w:val="auto"/>
                <w:kern w:val="0"/>
                <w:sz w:val="24"/>
                <w:highlight w:val="none"/>
              </w:rPr>
            </w:pPr>
          </w:p>
        </w:tc>
        <w:tc>
          <w:tcPr>
            <w:tcW w:w="2836" w:type="dxa"/>
            <w:vMerge w:val="continue"/>
            <w:vAlign w:val="center"/>
          </w:tcPr>
          <w:p w14:paraId="1DB88352">
            <w:pPr>
              <w:widowControl/>
              <w:jc w:val="left"/>
              <w:rPr>
                <w:rFonts w:hint="eastAsia" w:ascii="仿宋" w:hAnsi="仿宋" w:eastAsia="仿宋" w:cs="仿宋"/>
                <w:color w:val="auto"/>
                <w:kern w:val="0"/>
                <w:sz w:val="24"/>
                <w:highlight w:val="none"/>
              </w:rPr>
            </w:pPr>
          </w:p>
        </w:tc>
        <w:tc>
          <w:tcPr>
            <w:tcW w:w="606" w:type="dxa"/>
            <w:vAlign w:val="center"/>
          </w:tcPr>
          <w:p w14:paraId="3509C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2EF1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192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018FB">
            <w:pPr>
              <w:widowControl/>
              <w:jc w:val="left"/>
              <w:rPr>
                <w:rFonts w:hint="eastAsia" w:ascii="仿宋" w:hAnsi="仿宋" w:eastAsia="仿宋" w:cs="仿宋"/>
                <w:color w:val="auto"/>
                <w:kern w:val="0"/>
                <w:sz w:val="24"/>
                <w:highlight w:val="none"/>
              </w:rPr>
            </w:pPr>
          </w:p>
        </w:tc>
        <w:tc>
          <w:tcPr>
            <w:tcW w:w="1025" w:type="dxa"/>
            <w:vMerge w:val="continue"/>
            <w:vAlign w:val="center"/>
          </w:tcPr>
          <w:p w14:paraId="1DB5B19B">
            <w:pPr>
              <w:widowControl/>
              <w:jc w:val="left"/>
              <w:rPr>
                <w:rFonts w:hint="eastAsia" w:ascii="仿宋" w:hAnsi="仿宋" w:eastAsia="仿宋" w:cs="仿宋"/>
                <w:color w:val="auto"/>
                <w:kern w:val="0"/>
                <w:sz w:val="24"/>
                <w:highlight w:val="none"/>
              </w:rPr>
            </w:pPr>
          </w:p>
        </w:tc>
        <w:tc>
          <w:tcPr>
            <w:tcW w:w="2836" w:type="dxa"/>
            <w:vMerge w:val="continue"/>
            <w:vAlign w:val="center"/>
          </w:tcPr>
          <w:p w14:paraId="73E7ACB9">
            <w:pPr>
              <w:widowControl/>
              <w:jc w:val="left"/>
              <w:rPr>
                <w:rFonts w:hint="eastAsia" w:ascii="仿宋" w:hAnsi="仿宋" w:eastAsia="仿宋" w:cs="仿宋"/>
                <w:color w:val="auto"/>
                <w:kern w:val="0"/>
                <w:sz w:val="24"/>
                <w:highlight w:val="none"/>
              </w:rPr>
            </w:pPr>
          </w:p>
        </w:tc>
        <w:tc>
          <w:tcPr>
            <w:tcW w:w="606" w:type="dxa"/>
            <w:vAlign w:val="center"/>
          </w:tcPr>
          <w:p w14:paraId="78A4D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CE4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59E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C55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914A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6800F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E67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F08E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744D44">
            <w:pPr>
              <w:widowControl/>
              <w:jc w:val="left"/>
              <w:rPr>
                <w:rFonts w:hint="eastAsia" w:ascii="仿宋" w:hAnsi="仿宋" w:eastAsia="仿宋" w:cs="仿宋"/>
                <w:color w:val="auto"/>
                <w:kern w:val="0"/>
                <w:sz w:val="24"/>
                <w:highlight w:val="none"/>
              </w:rPr>
            </w:pPr>
          </w:p>
        </w:tc>
        <w:tc>
          <w:tcPr>
            <w:tcW w:w="2836" w:type="dxa"/>
            <w:vMerge w:val="continue"/>
            <w:vAlign w:val="center"/>
          </w:tcPr>
          <w:p w14:paraId="788BF349">
            <w:pPr>
              <w:widowControl/>
              <w:jc w:val="left"/>
              <w:rPr>
                <w:rFonts w:hint="eastAsia" w:ascii="仿宋" w:hAnsi="仿宋" w:eastAsia="仿宋" w:cs="仿宋"/>
                <w:color w:val="auto"/>
                <w:kern w:val="0"/>
                <w:sz w:val="24"/>
                <w:highlight w:val="none"/>
              </w:rPr>
            </w:pPr>
          </w:p>
        </w:tc>
        <w:tc>
          <w:tcPr>
            <w:tcW w:w="606" w:type="dxa"/>
            <w:vAlign w:val="center"/>
          </w:tcPr>
          <w:p w14:paraId="3D91D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8F34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636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140EA4">
            <w:pPr>
              <w:widowControl/>
              <w:jc w:val="left"/>
              <w:rPr>
                <w:rFonts w:hint="eastAsia" w:ascii="仿宋" w:hAnsi="仿宋" w:eastAsia="仿宋" w:cs="仿宋"/>
                <w:color w:val="auto"/>
                <w:kern w:val="0"/>
                <w:sz w:val="24"/>
                <w:highlight w:val="none"/>
              </w:rPr>
            </w:pPr>
          </w:p>
        </w:tc>
        <w:tc>
          <w:tcPr>
            <w:tcW w:w="2836" w:type="dxa"/>
            <w:vMerge w:val="continue"/>
            <w:vAlign w:val="center"/>
          </w:tcPr>
          <w:p w14:paraId="3B5010E7">
            <w:pPr>
              <w:widowControl/>
              <w:jc w:val="left"/>
              <w:rPr>
                <w:rFonts w:hint="eastAsia" w:ascii="仿宋" w:hAnsi="仿宋" w:eastAsia="仿宋" w:cs="仿宋"/>
                <w:color w:val="auto"/>
                <w:kern w:val="0"/>
                <w:sz w:val="24"/>
                <w:highlight w:val="none"/>
              </w:rPr>
            </w:pPr>
          </w:p>
        </w:tc>
        <w:tc>
          <w:tcPr>
            <w:tcW w:w="606" w:type="dxa"/>
            <w:vAlign w:val="center"/>
          </w:tcPr>
          <w:p w14:paraId="1DDAE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98E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5976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980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26E5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6763D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BD5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0DC8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63BBF9">
            <w:pPr>
              <w:widowControl/>
              <w:jc w:val="left"/>
              <w:rPr>
                <w:rFonts w:hint="eastAsia" w:ascii="仿宋" w:hAnsi="仿宋" w:eastAsia="仿宋" w:cs="仿宋"/>
                <w:color w:val="auto"/>
                <w:kern w:val="0"/>
                <w:sz w:val="24"/>
                <w:highlight w:val="none"/>
              </w:rPr>
            </w:pPr>
          </w:p>
        </w:tc>
        <w:tc>
          <w:tcPr>
            <w:tcW w:w="2836" w:type="dxa"/>
            <w:vMerge w:val="continue"/>
            <w:vAlign w:val="center"/>
          </w:tcPr>
          <w:p w14:paraId="25D9BDB5">
            <w:pPr>
              <w:widowControl/>
              <w:jc w:val="left"/>
              <w:rPr>
                <w:rFonts w:hint="eastAsia" w:ascii="仿宋" w:hAnsi="仿宋" w:eastAsia="仿宋" w:cs="仿宋"/>
                <w:color w:val="auto"/>
                <w:kern w:val="0"/>
                <w:sz w:val="24"/>
                <w:highlight w:val="none"/>
              </w:rPr>
            </w:pPr>
          </w:p>
        </w:tc>
        <w:tc>
          <w:tcPr>
            <w:tcW w:w="606" w:type="dxa"/>
            <w:vAlign w:val="center"/>
          </w:tcPr>
          <w:p w14:paraId="04B045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DED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2D86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6C8987">
            <w:pPr>
              <w:widowControl/>
              <w:jc w:val="left"/>
              <w:rPr>
                <w:rFonts w:hint="eastAsia" w:ascii="仿宋" w:hAnsi="仿宋" w:eastAsia="仿宋" w:cs="仿宋"/>
                <w:color w:val="auto"/>
                <w:kern w:val="0"/>
                <w:sz w:val="24"/>
                <w:highlight w:val="none"/>
              </w:rPr>
            </w:pPr>
          </w:p>
        </w:tc>
        <w:tc>
          <w:tcPr>
            <w:tcW w:w="2836" w:type="dxa"/>
            <w:vMerge w:val="continue"/>
            <w:vAlign w:val="center"/>
          </w:tcPr>
          <w:p w14:paraId="79DFD60A">
            <w:pPr>
              <w:widowControl/>
              <w:jc w:val="left"/>
              <w:rPr>
                <w:rFonts w:hint="eastAsia" w:ascii="仿宋" w:hAnsi="仿宋" w:eastAsia="仿宋" w:cs="仿宋"/>
                <w:color w:val="auto"/>
                <w:kern w:val="0"/>
                <w:sz w:val="24"/>
                <w:highlight w:val="none"/>
              </w:rPr>
            </w:pPr>
          </w:p>
        </w:tc>
        <w:tc>
          <w:tcPr>
            <w:tcW w:w="606" w:type="dxa"/>
            <w:vAlign w:val="center"/>
          </w:tcPr>
          <w:p w14:paraId="593DFF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1BA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577E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F32F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C9AC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0CA2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18F98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3FA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1D0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3D9C5">
            <w:pPr>
              <w:widowControl/>
              <w:jc w:val="left"/>
              <w:rPr>
                <w:rFonts w:hint="eastAsia" w:ascii="仿宋" w:hAnsi="仿宋" w:eastAsia="仿宋" w:cs="仿宋"/>
                <w:color w:val="auto"/>
                <w:kern w:val="0"/>
                <w:sz w:val="24"/>
                <w:highlight w:val="none"/>
              </w:rPr>
            </w:pPr>
          </w:p>
        </w:tc>
        <w:tc>
          <w:tcPr>
            <w:tcW w:w="1025" w:type="dxa"/>
            <w:vMerge w:val="continue"/>
            <w:vAlign w:val="center"/>
          </w:tcPr>
          <w:p w14:paraId="096795DB">
            <w:pPr>
              <w:widowControl/>
              <w:jc w:val="left"/>
              <w:rPr>
                <w:rFonts w:hint="eastAsia" w:ascii="仿宋" w:hAnsi="仿宋" w:eastAsia="仿宋" w:cs="仿宋"/>
                <w:color w:val="auto"/>
                <w:kern w:val="0"/>
                <w:sz w:val="24"/>
                <w:highlight w:val="none"/>
              </w:rPr>
            </w:pPr>
          </w:p>
        </w:tc>
        <w:tc>
          <w:tcPr>
            <w:tcW w:w="2836" w:type="dxa"/>
            <w:vMerge w:val="continue"/>
            <w:vAlign w:val="center"/>
          </w:tcPr>
          <w:p w14:paraId="54C2A721">
            <w:pPr>
              <w:widowControl/>
              <w:jc w:val="left"/>
              <w:rPr>
                <w:rFonts w:hint="eastAsia" w:ascii="仿宋" w:hAnsi="仿宋" w:eastAsia="仿宋" w:cs="仿宋"/>
                <w:color w:val="auto"/>
                <w:kern w:val="0"/>
                <w:sz w:val="24"/>
                <w:highlight w:val="none"/>
              </w:rPr>
            </w:pPr>
          </w:p>
        </w:tc>
        <w:tc>
          <w:tcPr>
            <w:tcW w:w="606" w:type="dxa"/>
            <w:vAlign w:val="center"/>
          </w:tcPr>
          <w:p w14:paraId="4CB3D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74D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55A1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6711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E2BE0BC">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DCA76">
            <w:pPr>
              <w:widowControl/>
              <w:jc w:val="left"/>
              <w:rPr>
                <w:rFonts w:hint="eastAsia" w:ascii="仿宋" w:hAnsi="仿宋" w:eastAsia="仿宋" w:cs="仿宋"/>
                <w:color w:val="auto"/>
                <w:kern w:val="0"/>
                <w:sz w:val="24"/>
                <w:highlight w:val="none"/>
              </w:rPr>
            </w:pPr>
          </w:p>
        </w:tc>
        <w:tc>
          <w:tcPr>
            <w:tcW w:w="606" w:type="dxa"/>
            <w:vAlign w:val="center"/>
          </w:tcPr>
          <w:p w14:paraId="45448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3A47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93AB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B2AE2">
            <w:pPr>
              <w:widowControl/>
              <w:jc w:val="left"/>
              <w:rPr>
                <w:rFonts w:hint="eastAsia" w:ascii="仿宋" w:hAnsi="仿宋" w:eastAsia="仿宋" w:cs="仿宋"/>
                <w:color w:val="auto"/>
                <w:kern w:val="0"/>
                <w:sz w:val="24"/>
                <w:highlight w:val="none"/>
              </w:rPr>
            </w:pPr>
          </w:p>
        </w:tc>
        <w:tc>
          <w:tcPr>
            <w:tcW w:w="1025" w:type="dxa"/>
            <w:vMerge w:val="restart"/>
            <w:vAlign w:val="center"/>
          </w:tcPr>
          <w:p w14:paraId="5CA4C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9534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4627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F88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E44C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A63BEE">
            <w:pPr>
              <w:widowControl/>
              <w:jc w:val="left"/>
              <w:rPr>
                <w:rFonts w:hint="eastAsia" w:ascii="仿宋" w:hAnsi="仿宋" w:eastAsia="仿宋" w:cs="仿宋"/>
                <w:color w:val="auto"/>
                <w:kern w:val="0"/>
                <w:sz w:val="24"/>
                <w:highlight w:val="none"/>
              </w:rPr>
            </w:pPr>
          </w:p>
        </w:tc>
        <w:tc>
          <w:tcPr>
            <w:tcW w:w="1025" w:type="dxa"/>
            <w:vMerge w:val="continue"/>
            <w:vAlign w:val="center"/>
          </w:tcPr>
          <w:p w14:paraId="28ADC6C6">
            <w:pPr>
              <w:widowControl/>
              <w:jc w:val="left"/>
              <w:rPr>
                <w:rFonts w:hint="eastAsia" w:ascii="仿宋" w:hAnsi="仿宋" w:eastAsia="仿宋" w:cs="仿宋"/>
                <w:color w:val="auto"/>
                <w:kern w:val="0"/>
                <w:sz w:val="24"/>
                <w:highlight w:val="none"/>
              </w:rPr>
            </w:pPr>
          </w:p>
        </w:tc>
        <w:tc>
          <w:tcPr>
            <w:tcW w:w="2836" w:type="dxa"/>
            <w:vMerge w:val="continue"/>
            <w:vAlign w:val="center"/>
          </w:tcPr>
          <w:p w14:paraId="2D56987D">
            <w:pPr>
              <w:widowControl/>
              <w:jc w:val="left"/>
              <w:rPr>
                <w:rFonts w:hint="eastAsia" w:ascii="仿宋" w:hAnsi="仿宋" w:eastAsia="仿宋" w:cs="仿宋"/>
                <w:color w:val="auto"/>
                <w:kern w:val="0"/>
                <w:sz w:val="24"/>
                <w:highlight w:val="none"/>
              </w:rPr>
            </w:pPr>
          </w:p>
        </w:tc>
        <w:tc>
          <w:tcPr>
            <w:tcW w:w="606" w:type="dxa"/>
            <w:vAlign w:val="center"/>
          </w:tcPr>
          <w:p w14:paraId="5BA2A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E35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DDA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E4B65">
            <w:pPr>
              <w:widowControl/>
              <w:jc w:val="left"/>
              <w:rPr>
                <w:rFonts w:hint="eastAsia" w:ascii="仿宋" w:hAnsi="仿宋" w:eastAsia="仿宋" w:cs="仿宋"/>
                <w:color w:val="auto"/>
                <w:kern w:val="0"/>
                <w:sz w:val="24"/>
                <w:highlight w:val="none"/>
              </w:rPr>
            </w:pPr>
          </w:p>
        </w:tc>
        <w:tc>
          <w:tcPr>
            <w:tcW w:w="1025" w:type="dxa"/>
            <w:vMerge w:val="continue"/>
            <w:vAlign w:val="center"/>
          </w:tcPr>
          <w:p w14:paraId="7E81FB7E">
            <w:pPr>
              <w:widowControl/>
              <w:jc w:val="left"/>
              <w:rPr>
                <w:rFonts w:hint="eastAsia" w:ascii="仿宋" w:hAnsi="仿宋" w:eastAsia="仿宋" w:cs="仿宋"/>
                <w:color w:val="auto"/>
                <w:kern w:val="0"/>
                <w:sz w:val="24"/>
                <w:highlight w:val="none"/>
              </w:rPr>
            </w:pPr>
          </w:p>
        </w:tc>
        <w:tc>
          <w:tcPr>
            <w:tcW w:w="2836" w:type="dxa"/>
            <w:vMerge w:val="continue"/>
            <w:vAlign w:val="center"/>
          </w:tcPr>
          <w:p w14:paraId="7736C131">
            <w:pPr>
              <w:widowControl/>
              <w:jc w:val="left"/>
              <w:rPr>
                <w:rFonts w:hint="eastAsia" w:ascii="仿宋" w:hAnsi="仿宋" w:eastAsia="仿宋" w:cs="仿宋"/>
                <w:color w:val="auto"/>
                <w:kern w:val="0"/>
                <w:sz w:val="24"/>
                <w:highlight w:val="none"/>
              </w:rPr>
            </w:pPr>
          </w:p>
        </w:tc>
        <w:tc>
          <w:tcPr>
            <w:tcW w:w="606" w:type="dxa"/>
            <w:vAlign w:val="center"/>
          </w:tcPr>
          <w:p w14:paraId="5B142F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D2C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16E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FB0C3">
            <w:pPr>
              <w:widowControl/>
              <w:jc w:val="left"/>
              <w:rPr>
                <w:rFonts w:hint="eastAsia" w:ascii="仿宋" w:hAnsi="仿宋" w:eastAsia="仿宋" w:cs="仿宋"/>
                <w:color w:val="auto"/>
                <w:kern w:val="0"/>
                <w:sz w:val="24"/>
                <w:highlight w:val="none"/>
              </w:rPr>
            </w:pPr>
          </w:p>
        </w:tc>
        <w:tc>
          <w:tcPr>
            <w:tcW w:w="1025" w:type="dxa"/>
            <w:vMerge w:val="restart"/>
            <w:vAlign w:val="center"/>
          </w:tcPr>
          <w:p w14:paraId="6B3F6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07D7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D54A4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EFF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854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A811EA">
            <w:pPr>
              <w:widowControl/>
              <w:jc w:val="left"/>
              <w:rPr>
                <w:rFonts w:hint="eastAsia" w:ascii="仿宋" w:hAnsi="仿宋" w:eastAsia="仿宋" w:cs="仿宋"/>
                <w:color w:val="auto"/>
                <w:kern w:val="0"/>
                <w:sz w:val="24"/>
                <w:highlight w:val="none"/>
              </w:rPr>
            </w:pPr>
          </w:p>
        </w:tc>
        <w:tc>
          <w:tcPr>
            <w:tcW w:w="1025" w:type="dxa"/>
            <w:vMerge w:val="continue"/>
            <w:vAlign w:val="center"/>
          </w:tcPr>
          <w:p w14:paraId="5829E506">
            <w:pPr>
              <w:widowControl/>
              <w:jc w:val="left"/>
              <w:rPr>
                <w:rFonts w:hint="eastAsia" w:ascii="仿宋" w:hAnsi="仿宋" w:eastAsia="仿宋" w:cs="仿宋"/>
                <w:color w:val="auto"/>
                <w:kern w:val="0"/>
                <w:sz w:val="24"/>
                <w:highlight w:val="none"/>
              </w:rPr>
            </w:pPr>
          </w:p>
        </w:tc>
        <w:tc>
          <w:tcPr>
            <w:tcW w:w="2836" w:type="dxa"/>
            <w:vMerge w:val="continue"/>
            <w:vAlign w:val="center"/>
          </w:tcPr>
          <w:p w14:paraId="7A6AF9A3">
            <w:pPr>
              <w:widowControl/>
              <w:jc w:val="left"/>
              <w:rPr>
                <w:rFonts w:hint="eastAsia" w:ascii="仿宋" w:hAnsi="仿宋" w:eastAsia="仿宋" w:cs="仿宋"/>
                <w:color w:val="auto"/>
                <w:kern w:val="0"/>
                <w:sz w:val="24"/>
                <w:highlight w:val="none"/>
              </w:rPr>
            </w:pPr>
          </w:p>
        </w:tc>
        <w:tc>
          <w:tcPr>
            <w:tcW w:w="606" w:type="dxa"/>
            <w:vAlign w:val="center"/>
          </w:tcPr>
          <w:p w14:paraId="636223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70A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2BCE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6B5917">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1D55F">
            <w:pPr>
              <w:widowControl/>
              <w:jc w:val="left"/>
              <w:rPr>
                <w:rFonts w:hint="eastAsia" w:ascii="仿宋" w:hAnsi="仿宋" w:eastAsia="仿宋" w:cs="仿宋"/>
                <w:color w:val="auto"/>
                <w:kern w:val="0"/>
                <w:sz w:val="24"/>
                <w:highlight w:val="none"/>
              </w:rPr>
            </w:pPr>
          </w:p>
        </w:tc>
        <w:tc>
          <w:tcPr>
            <w:tcW w:w="2836" w:type="dxa"/>
            <w:vMerge w:val="continue"/>
            <w:vAlign w:val="center"/>
          </w:tcPr>
          <w:p w14:paraId="10F17413">
            <w:pPr>
              <w:widowControl/>
              <w:jc w:val="left"/>
              <w:rPr>
                <w:rFonts w:hint="eastAsia" w:ascii="仿宋" w:hAnsi="仿宋" w:eastAsia="仿宋" w:cs="仿宋"/>
                <w:color w:val="auto"/>
                <w:kern w:val="0"/>
                <w:sz w:val="24"/>
                <w:highlight w:val="none"/>
              </w:rPr>
            </w:pPr>
          </w:p>
        </w:tc>
        <w:tc>
          <w:tcPr>
            <w:tcW w:w="606" w:type="dxa"/>
            <w:vAlign w:val="center"/>
          </w:tcPr>
          <w:p w14:paraId="4B4A3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498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0D9F0B">
      <w:pPr>
        <w:rPr>
          <w:rFonts w:hint="eastAsia" w:ascii="仿宋" w:hAnsi="仿宋" w:eastAsia="仿宋" w:cs="仿宋"/>
          <w:color w:val="auto"/>
          <w:sz w:val="24"/>
          <w:highlight w:val="none"/>
        </w:rPr>
      </w:pPr>
    </w:p>
    <w:p w14:paraId="62B0F47E">
      <w:pPr>
        <w:ind w:firstLine="420" w:firstLineChars="200"/>
        <w:rPr>
          <w:rFonts w:hint="eastAsia" w:ascii="仿宋" w:hAnsi="仿宋" w:eastAsia="仿宋" w:cs="仿宋"/>
          <w:color w:val="auto"/>
          <w:highlight w:val="none"/>
        </w:rPr>
      </w:pPr>
    </w:p>
    <w:p w14:paraId="16AA6204">
      <w:pPr>
        <w:spacing w:line="360" w:lineRule="auto"/>
        <w:ind w:right="420"/>
        <w:rPr>
          <w:rFonts w:hint="eastAsia" w:ascii="仿宋" w:hAnsi="仿宋" w:eastAsia="仿宋" w:cs="仿宋"/>
          <w:color w:val="auto"/>
          <w:highlight w:val="none"/>
        </w:rPr>
      </w:pPr>
    </w:p>
    <w:p w14:paraId="609911A3">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inherit">
    <w:altName w:val="Cambria"/>
    <w:panose1 w:val="00000000000000000000"/>
    <w:charset w:val="00"/>
    <w:family w:val="roman"/>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05F94">
    <w:pPr>
      <w:pStyle w:val="4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3503">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A4DF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40A4DF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99A2D">
    <w:pPr>
      <w:pStyle w:val="41"/>
      <w:framePr w:wrap="around" w:vAnchor="text" w:hAnchor="margin" w:xAlign="right" w:y="1"/>
      <w:rPr>
        <w:rStyle w:val="73"/>
      </w:rPr>
    </w:pPr>
    <w:r>
      <w:fldChar w:fldCharType="begin"/>
    </w:r>
    <w:r>
      <w:rPr>
        <w:rStyle w:val="73"/>
      </w:rPr>
      <w:instrText xml:space="preserve">PAGE  </w:instrText>
    </w:r>
    <w:r>
      <w:fldChar w:fldCharType="end"/>
    </w:r>
  </w:p>
  <w:p w14:paraId="3F01ABE9">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620D">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61A3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7" w:name="_Toc164085800"/>
                          <w:bookmarkStart w:id="188" w:name="_Toc36110187"/>
                          <w:bookmarkStart w:id="189" w:name="_Toc91899912"/>
                          <w:bookmarkStart w:id="190" w:name="_Toc131845147"/>
                          <w:r>
                            <w:rPr>
                              <w:rFonts w:hint="eastAsia" w:ascii="仿宋_GB2312" w:eastAsia="仿宋_GB2312"/>
                              <w:kern w:val="0"/>
                              <w:szCs w:val="21"/>
                            </w:rPr>
                            <w:t xml:space="preserve"> 页</w:t>
                          </w:r>
                          <w:bookmarkEnd w:id="187"/>
                          <w:bookmarkEnd w:id="188"/>
                          <w:bookmarkEnd w:id="189"/>
                          <w:bookmarkEnd w:id="19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4361A36">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7" w:name="_Toc164085800"/>
                    <w:bookmarkStart w:id="188" w:name="_Toc36110187"/>
                    <w:bookmarkStart w:id="189" w:name="_Toc91899912"/>
                    <w:bookmarkStart w:id="190" w:name="_Toc131845147"/>
                    <w:r>
                      <w:rPr>
                        <w:rFonts w:hint="eastAsia" w:ascii="仿宋_GB2312" w:eastAsia="仿宋_GB2312"/>
                        <w:kern w:val="0"/>
                        <w:szCs w:val="21"/>
                      </w:rPr>
                      <w:t xml:space="preserve"> 页</w:t>
                    </w:r>
                    <w:bookmarkEnd w:id="187"/>
                    <w:bookmarkEnd w:id="188"/>
                    <w:bookmarkEnd w:id="189"/>
                    <w:bookmarkEnd w:id="19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3176">
    <w:pPr>
      <w:pStyle w:val="41"/>
      <w:framePr w:wrap="around" w:vAnchor="text" w:hAnchor="margin" w:xAlign="right" w:y="1"/>
      <w:rPr>
        <w:rStyle w:val="73"/>
      </w:rPr>
    </w:pPr>
    <w:r>
      <w:fldChar w:fldCharType="begin"/>
    </w:r>
    <w:r>
      <w:rPr>
        <w:rStyle w:val="73"/>
      </w:rPr>
      <w:instrText xml:space="preserve">PAGE  </w:instrText>
    </w:r>
    <w:r>
      <w:fldChar w:fldCharType="end"/>
    </w:r>
  </w:p>
  <w:p w14:paraId="3C352404">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A626">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42CD1">
    <w:pPr>
      <w:pStyle w:val="41"/>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C7220">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9CE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B19CED">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05B2">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D3E5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3D3E5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F3C965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40491">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48D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1448D7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E3E92B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9C15C">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1EB6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81EB6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EB10A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492B5">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419A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AD419A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9938EE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017DB">
    <w:pPr>
      <w:pStyle w:val="42"/>
      <w:jc w:val="left"/>
      <w:rPr>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BDC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ascii="仿宋" w:hAnsi="仿宋" w:eastAsia="仿宋" w:cs="仿宋"/>
        <w:lang w:val="en-US" w:eastAsia="zh-CN"/>
      </w:rPr>
      <w:t xml:space="preserve"> </w:t>
    </w:r>
  </w:p>
  <w:p w14:paraId="6FF0102D">
    <w:pPr>
      <w:pStyle w:val="42"/>
      <w:pBdr>
        <w:bottom w:val="none" w:color="auto" w:sz="0" w:space="0"/>
      </w:pBdr>
      <w:tabs>
        <w:tab w:val="clear" w:pos="4153"/>
        <w:tab w:val="clear" w:pos="8306"/>
      </w:tabs>
      <w:jc w:val="both"/>
    </w:pPr>
  </w:p>
  <w:p w14:paraId="6AB8AEBE">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8FE07">
    <w:pPr>
      <w:pStyle w:val="42"/>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7DBC">
    <w:pPr>
      <w:pStyle w:val="42"/>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2E9DB">
    <w:pPr>
      <w:jc w:val="left"/>
      <w:rPr>
        <w:rFonts w:ascii="仿宋_GB2312" w:eastAsia="仿宋_GB2312"/>
        <w:b/>
        <w:i/>
        <w:sz w:val="18"/>
        <w:u w:val="single"/>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FF219">
    <w:pPr>
      <w:pStyle w:val="42"/>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绍柯采[2025]222号-1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2B54">
    <w:pPr>
      <w:pStyle w:val="42"/>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699F">
    <w:pPr>
      <w:pStyle w:val="42"/>
      <w:pBdr>
        <w:bottom w:val="none" w:color="auto" w:sz="0" w:space="1"/>
      </w:pBdr>
      <w:jc w:val="left"/>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w:t>
    </w:r>
    <w:r>
      <w:rPr>
        <w:rFonts w:hint="eastAsia" w:ascii="仿宋" w:hAnsi="仿宋" w:eastAsia="仿宋" w:cs="仿宋"/>
        <w:lang w:val="en-US" w:eastAsia="zh-CN"/>
      </w:rPr>
      <w:t>2025</w:t>
    </w:r>
    <w:r>
      <w:rPr>
        <w:rFonts w:hint="eastAsia" w:ascii="仿宋" w:hAnsi="仿宋" w:eastAsia="仿宋" w:cs="仿宋"/>
        <w:lang w:eastAsia="zh-CN"/>
      </w:rPr>
      <w:t>】</w:t>
    </w:r>
    <w:r>
      <w:rPr>
        <w:rFonts w:hint="eastAsia" w:ascii="仿宋" w:hAnsi="仿宋" w:eastAsia="仿宋" w:cs="仿宋"/>
        <w:lang w:val="en-US" w:eastAsia="zh-CN"/>
      </w:rPr>
      <w:t>700号-1</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475CD"/>
    <w:multiLevelType w:val="multilevel"/>
    <w:tmpl w:val="80C475CD"/>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89F4B54"/>
    <w:multiLevelType w:val="singleLevel"/>
    <w:tmpl w:val="889F4B54"/>
    <w:lvl w:ilvl="0" w:tentative="0">
      <w:start w:val="1"/>
      <w:numFmt w:val="decimal"/>
      <w:suff w:val="nothing"/>
      <w:lvlText w:val="%1、"/>
      <w:lvlJc w:val="left"/>
      <w:pPr>
        <w:ind w:left="210" w:hanging="210"/>
      </w:pPr>
    </w:lvl>
  </w:abstractNum>
  <w:abstractNum w:abstractNumId="2">
    <w:nsid w:val="928DDF4E"/>
    <w:multiLevelType w:val="singleLevel"/>
    <w:tmpl w:val="928DDF4E"/>
    <w:lvl w:ilvl="0" w:tentative="0">
      <w:start w:val="1"/>
      <w:numFmt w:val="chineseCounting"/>
      <w:suff w:val="space"/>
      <w:lvlText w:val="（%1）"/>
      <w:lvlJc w:val="left"/>
      <w:rPr>
        <w:rFonts w:hint="eastAsia"/>
      </w:rPr>
    </w:lvl>
  </w:abstractNum>
  <w:abstractNum w:abstractNumId="3">
    <w:nsid w:val="93C9E629"/>
    <w:multiLevelType w:val="singleLevel"/>
    <w:tmpl w:val="93C9E629"/>
    <w:lvl w:ilvl="0" w:tentative="0">
      <w:start w:val="1"/>
      <w:numFmt w:val="decimal"/>
      <w:suff w:val="nothing"/>
      <w:lvlText w:val="%1、"/>
      <w:lvlJc w:val="left"/>
    </w:lvl>
  </w:abstractNum>
  <w:abstractNum w:abstractNumId="4">
    <w:nsid w:val="9450EDF9"/>
    <w:multiLevelType w:val="singleLevel"/>
    <w:tmpl w:val="9450EDF9"/>
    <w:lvl w:ilvl="0" w:tentative="0">
      <w:start w:val="1"/>
      <w:numFmt w:val="decimal"/>
      <w:suff w:val="nothing"/>
      <w:lvlText w:val="%1、"/>
      <w:lvlJc w:val="left"/>
    </w:lvl>
  </w:abstractNum>
  <w:abstractNum w:abstractNumId="5">
    <w:nsid w:val="97082FB1"/>
    <w:multiLevelType w:val="singleLevel"/>
    <w:tmpl w:val="97082FB1"/>
    <w:lvl w:ilvl="0" w:tentative="0">
      <w:start w:val="1"/>
      <w:numFmt w:val="decimal"/>
      <w:suff w:val="nothing"/>
      <w:lvlText w:val="%1、"/>
      <w:lvlJc w:val="left"/>
    </w:lvl>
  </w:abstractNum>
  <w:abstractNum w:abstractNumId="6">
    <w:nsid w:val="9757950E"/>
    <w:multiLevelType w:val="singleLevel"/>
    <w:tmpl w:val="9757950E"/>
    <w:lvl w:ilvl="0" w:tentative="0">
      <w:start w:val="1"/>
      <w:numFmt w:val="decimal"/>
      <w:suff w:val="nothing"/>
      <w:lvlText w:val="%1、"/>
      <w:lvlJc w:val="left"/>
    </w:lvl>
  </w:abstractNum>
  <w:abstractNum w:abstractNumId="7">
    <w:nsid w:val="97D61883"/>
    <w:multiLevelType w:val="singleLevel"/>
    <w:tmpl w:val="97D61883"/>
    <w:lvl w:ilvl="0" w:tentative="0">
      <w:start w:val="1"/>
      <w:numFmt w:val="decimal"/>
      <w:suff w:val="nothing"/>
      <w:lvlText w:val="%1、"/>
      <w:lvlJc w:val="left"/>
      <w:pPr>
        <w:ind w:left="0" w:firstLine="0"/>
      </w:pPr>
      <w:rPr>
        <w:rFonts w:hint="eastAsia"/>
      </w:rPr>
    </w:lvl>
  </w:abstractNum>
  <w:abstractNum w:abstractNumId="8">
    <w:nsid w:val="97D9478A"/>
    <w:multiLevelType w:val="multilevel"/>
    <w:tmpl w:val="97D9478A"/>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99025EF9"/>
    <w:multiLevelType w:val="singleLevel"/>
    <w:tmpl w:val="99025EF9"/>
    <w:lvl w:ilvl="0" w:tentative="0">
      <w:start w:val="1"/>
      <w:numFmt w:val="decimal"/>
      <w:suff w:val="nothing"/>
      <w:lvlText w:val="%1、"/>
      <w:lvlJc w:val="left"/>
    </w:lvl>
  </w:abstractNum>
  <w:abstractNum w:abstractNumId="10">
    <w:nsid w:val="9F4624C9"/>
    <w:multiLevelType w:val="multilevel"/>
    <w:tmpl w:val="9F4624C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A547CA77"/>
    <w:multiLevelType w:val="multilevel"/>
    <w:tmpl w:val="A547CA7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A7BCBE65"/>
    <w:multiLevelType w:val="singleLevel"/>
    <w:tmpl w:val="A7BCBE65"/>
    <w:lvl w:ilvl="0" w:tentative="0">
      <w:start w:val="1"/>
      <w:numFmt w:val="decimal"/>
      <w:suff w:val="nothing"/>
      <w:lvlText w:val="%1、"/>
      <w:lvlJc w:val="left"/>
      <w:pPr>
        <w:ind w:left="0" w:firstLine="0"/>
      </w:pPr>
      <w:rPr>
        <w:rFonts w:hint="eastAsia"/>
      </w:rPr>
    </w:lvl>
  </w:abstractNum>
  <w:abstractNum w:abstractNumId="13">
    <w:nsid w:val="A943B361"/>
    <w:multiLevelType w:val="singleLevel"/>
    <w:tmpl w:val="A943B361"/>
    <w:lvl w:ilvl="0" w:tentative="0">
      <w:start w:val="3"/>
      <w:numFmt w:val="decimal"/>
      <w:suff w:val="nothing"/>
      <w:lvlText w:val="（%1）"/>
      <w:lvlJc w:val="left"/>
    </w:lvl>
  </w:abstractNum>
  <w:abstractNum w:abstractNumId="14">
    <w:nsid w:val="ADD3AA6A"/>
    <w:multiLevelType w:val="singleLevel"/>
    <w:tmpl w:val="ADD3AA6A"/>
    <w:lvl w:ilvl="0" w:tentative="0">
      <w:start w:val="1"/>
      <w:numFmt w:val="decimal"/>
      <w:suff w:val="space"/>
      <w:lvlText w:val="%1、"/>
      <w:lvlJc w:val="left"/>
      <w:pPr>
        <w:ind w:left="0" w:firstLine="0"/>
      </w:pPr>
      <w:rPr>
        <w:rFonts w:hint="eastAsia"/>
      </w:rPr>
    </w:lvl>
  </w:abstractNum>
  <w:abstractNum w:abstractNumId="15">
    <w:nsid w:val="B5E46C53"/>
    <w:multiLevelType w:val="singleLevel"/>
    <w:tmpl w:val="B5E46C53"/>
    <w:lvl w:ilvl="0" w:tentative="0">
      <w:start w:val="1"/>
      <w:numFmt w:val="decimal"/>
      <w:suff w:val="nothing"/>
      <w:lvlText w:val="%1、"/>
      <w:lvlJc w:val="left"/>
    </w:lvl>
  </w:abstractNum>
  <w:abstractNum w:abstractNumId="16">
    <w:nsid w:val="C1255C0E"/>
    <w:multiLevelType w:val="singleLevel"/>
    <w:tmpl w:val="C1255C0E"/>
    <w:lvl w:ilvl="0" w:tentative="0">
      <w:start w:val="1"/>
      <w:numFmt w:val="decimal"/>
      <w:suff w:val="nothing"/>
      <w:lvlText w:val="%1、"/>
      <w:lvlJc w:val="left"/>
    </w:lvl>
  </w:abstractNum>
  <w:abstractNum w:abstractNumId="17">
    <w:nsid w:val="CFDF7645"/>
    <w:multiLevelType w:val="singleLevel"/>
    <w:tmpl w:val="CFDF7645"/>
    <w:lvl w:ilvl="0" w:tentative="0">
      <w:start w:val="1"/>
      <w:numFmt w:val="decimal"/>
      <w:suff w:val="nothing"/>
      <w:lvlText w:val="%1、"/>
      <w:lvlJc w:val="left"/>
    </w:lvl>
  </w:abstractNum>
  <w:abstractNum w:abstractNumId="18">
    <w:nsid w:val="D5B36D35"/>
    <w:multiLevelType w:val="singleLevel"/>
    <w:tmpl w:val="D5B36D35"/>
    <w:lvl w:ilvl="0" w:tentative="0">
      <w:start w:val="1"/>
      <w:numFmt w:val="decimal"/>
      <w:suff w:val="nothing"/>
      <w:lvlText w:val="%1、"/>
      <w:lvlJc w:val="left"/>
    </w:lvl>
  </w:abstractNum>
  <w:abstractNum w:abstractNumId="19">
    <w:nsid w:val="D5EF687B"/>
    <w:multiLevelType w:val="singleLevel"/>
    <w:tmpl w:val="D5EF687B"/>
    <w:lvl w:ilvl="0" w:tentative="0">
      <w:start w:val="1"/>
      <w:numFmt w:val="decimal"/>
      <w:suff w:val="nothing"/>
      <w:lvlText w:val="%1、"/>
      <w:lvlJc w:val="left"/>
    </w:lvl>
  </w:abstractNum>
  <w:abstractNum w:abstractNumId="20">
    <w:nsid w:val="DBCB42FB"/>
    <w:multiLevelType w:val="singleLevel"/>
    <w:tmpl w:val="DBCB42FB"/>
    <w:lvl w:ilvl="0" w:tentative="0">
      <w:start w:val="1"/>
      <w:numFmt w:val="decimal"/>
      <w:suff w:val="nothing"/>
      <w:lvlText w:val="%1、"/>
      <w:lvlJc w:val="left"/>
      <w:pPr>
        <w:ind w:left="210" w:hanging="210"/>
      </w:pPr>
    </w:lvl>
  </w:abstractNum>
  <w:abstractNum w:abstractNumId="21">
    <w:nsid w:val="E17E8C70"/>
    <w:multiLevelType w:val="multilevel"/>
    <w:tmpl w:val="E17E8C70"/>
    <w:lvl w:ilvl="0" w:tentative="0">
      <w:start w:val="1"/>
      <w:numFmt w:val="decimal"/>
      <w:suff w:val="space"/>
      <w:lvlText w:val="%1、"/>
      <w:lvlJc w:val="left"/>
      <w:pPr>
        <w:ind w:left="0" w:leftChars="0" w:firstLine="0" w:firstLineChars="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EFF6C1EA"/>
    <w:multiLevelType w:val="singleLevel"/>
    <w:tmpl w:val="EFF6C1EA"/>
    <w:lvl w:ilvl="0" w:tentative="0">
      <w:start w:val="1"/>
      <w:numFmt w:val="decimal"/>
      <w:suff w:val="nothing"/>
      <w:lvlText w:val="%1、"/>
      <w:lvlJc w:val="left"/>
    </w:lvl>
  </w:abstractNum>
  <w:abstractNum w:abstractNumId="23">
    <w:nsid w:val="F0199D34"/>
    <w:multiLevelType w:val="multilevel"/>
    <w:tmpl w:val="F0199D3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F1D18D8B"/>
    <w:multiLevelType w:val="multilevel"/>
    <w:tmpl w:val="F1D18D8B"/>
    <w:lvl w:ilvl="0" w:tentative="0">
      <w:start w:val="1"/>
      <w:numFmt w:val="decimal"/>
      <w:suff w:val="nothing"/>
      <w:lvlText w:val="%1、"/>
      <w:lvlJc w:val="left"/>
      <w:pPr>
        <w:ind w:left="127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FCFEC94D"/>
    <w:multiLevelType w:val="singleLevel"/>
    <w:tmpl w:val="FCFEC94D"/>
    <w:lvl w:ilvl="0" w:tentative="0">
      <w:start w:val="1"/>
      <w:numFmt w:val="decimal"/>
      <w:suff w:val="nothing"/>
      <w:lvlText w:val="%1、"/>
      <w:lvlJc w:val="left"/>
    </w:lvl>
  </w:abstractNum>
  <w:abstractNum w:abstractNumId="26">
    <w:nsid w:val="00000000"/>
    <w:multiLevelType w:val="singleLevel"/>
    <w:tmpl w:val="00000000"/>
    <w:lvl w:ilvl="0" w:tentative="0">
      <w:start w:val="1"/>
      <w:numFmt w:val="decimal"/>
      <w:suff w:val="nothing"/>
      <w:lvlText w:val="（%1）"/>
      <w:lvlJc w:val="left"/>
    </w:lvl>
  </w:abstractNum>
  <w:abstractNum w:abstractNumId="2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8">
    <w:nsid w:val="02ED68FD"/>
    <w:multiLevelType w:val="singleLevel"/>
    <w:tmpl w:val="02ED68FD"/>
    <w:lvl w:ilvl="0" w:tentative="0">
      <w:start w:val="1"/>
      <w:numFmt w:val="decimal"/>
      <w:suff w:val="nothing"/>
      <w:lvlText w:val="%1、"/>
      <w:lvlJc w:val="left"/>
      <w:pPr>
        <w:ind w:left="360" w:hanging="360"/>
      </w:pPr>
    </w:lvl>
  </w:abstractNum>
  <w:abstractNum w:abstractNumId="29">
    <w:nsid w:val="110F70F7"/>
    <w:multiLevelType w:val="singleLevel"/>
    <w:tmpl w:val="110F70F7"/>
    <w:lvl w:ilvl="0" w:tentative="0">
      <w:start w:val="1"/>
      <w:numFmt w:val="decimal"/>
      <w:suff w:val="nothing"/>
      <w:lvlText w:val="%1、"/>
      <w:lvlJc w:val="left"/>
    </w:lvl>
  </w:abstractNum>
  <w:abstractNum w:abstractNumId="30">
    <w:nsid w:val="14FC4A55"/>
    <w:multiLevelType w:val="singleLevel"/>
    <w:tmpl w:val="14FC4A55"/>
    <w:lvl w:ilvl="0" w:tentative="0">
      <w:start w:val="1"/>
      <w:numFmt w:val="decimal"/>
      <w:suff w:val="nothing"/>
      <w:lvlText w:val="%1、"/>
      <w:lvlJc w:val="left"/>
    </w:lvl>
  </w:abstractNum>
  <w:abstractNum w:abstractNumId="31">
    <w:nsid w:val="1A3A99B8"/>
    <w:multiLevelType w:val="singleLevel"/>
    <w:tmpl w:val="1A3A99B8"/>
    <w:lvl w:ilvl="0" w:tentative="0">
      <w:start w:val="1"/>
      <w:numFmt w:val="decimal"/>
      <w:suff w:val="nothing"/>
      <w:lvlText w:val="%1、"/>
      <w:lvlJc w:val="left"/>
    </w:lvl>
  </w:abstractNum>
  <w:abstractNum w:abstractNumId="32">
    <w:nsid w:val="1D09F6A9"/>
    <w:multiLevelType w:val="multilevel"/>
    <w:tmpl w:val="1D09F6A9"/>
    <w:lvl w:ilvl="0" w:tentative="0">
      <w:start w:val="1"/>
      <w:numFmt w:val="decimal"/>
      <w:suff w:val="nothing"/>
      <w:lvlText w:val="%1、"/>
      <w:lvlJc w:val="left"/>
      <w:pPr>
        <w:ind w:left="522" w:hanging="420"/>
      </w:pPr>
      <w:rPr>
        <w:rFonts w:hint="eastAsia"/>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abstractNum w:abstractNumId="33">
    <w:nsid w:val="2DE1FCD6"/>
    <w:multiLevelType w:val="multilevel"/>
    <w:tmpl w:val="2DE1FCD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61CA042"/>
    <w:multiLevelType w:val="singleLevel"/>
    <w:tmpl w:val="361CA042"/>
    <w:lvl w:ilvl="0" w:tentative="0">
      <w:start w:val="1"/>
      <w:numFmt w:val="decimal"/>
      <w:suff w:val="nothing"/>
      <w:lvlText w:val="%1、"/>
      <w:lvlJc w:val="left"/>
    </w:lvl>
  </w:abstractNum>
  <w:abstractNum w:abstractNumId="35">
    <w:nsid w:val="41E35D41"/>
    <w:multiLevelType w:val="multilevel"/>
    <w:tmpl w:val="41E35D4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42222FD4"/>
    <w:multiLevelType w:val="singleLevel"/>
    <w:tmpl w:val="42222FD4"/>
    <w:lvl w:ilvl="0" w:tentative="0">
      <w:start w:val="1"/>
      <w:numFmt w:val="decimal"/>
      <w:suff w:val="nothing"/>
      <w:lvlText w:val="%1、"/>
      <w:lvlJc w:val="left"/>
      <w:pPr>
        <w:ind w:left="360" w:hanging="360"/>
      </w:pPr>
    </w:lvl>
  </w:abstractNum>
  <w:abstractNum w:abstractNumId="37">
    <w:nsid w:val="4B94FD0A"/>
    <w:multiLevelType w:val="singleLevel"/>
    <w:tmpl w:val="4B94FD0A"/>
    <w:lvl w:ilvl="0" w:tentative="0">
      <w:start w:val="1"/>
      <w:numFmt w:val="chineseCounting"/>
      <w:suff w:val="space"/>
      <w:lvlText w:val="（%1）"/>
      <w:lvlJc w:val="left"/>
      <w:rPr>
        <w:rFonts w:hint="eastAsia"/>
      </w:rPr>
    </w:lvl>
  </w:abstractNum>
  <w:abstractNum w:abstractNumId="38">
    <w:nsid w:val="50A7C32D"/>
    <w:multiLevelType w:val="singleLevel"/>
    <w:tmpl w:val="50A7C32D"/>
    <w:lvl w:ilvl="0" w:tentative="0">
      <w:start w:val="1"/>
      <w:numFmt w:val="decimal"/>
      <w:suff w:val="nothing"/>
      <w:lvlText w:val="%1、"/>
      <w:lvlJc w:val="left"/>
      <w:pPr>
        <w:ind w:left="0" w:firstLine="0"/>
      </w:pPr>
      <w:rPr>
        <w:rFonts w:hint="eastAsia"/>
      </w:rPr>
    </w:lvl>
  </w:abstractNum>
  <w:abstractNum w:abstractNumId="39">
    <w:nsid w:val="519CA16B"/>
    <w:multiLevelType w:val="singleLevel"/>
    <w:tmpl w:val="519CA16B"/>
    <w:lvl w:ilvl="0" w:tentative="0">
      <w:start w:val="1"/>
      <w:numFmt w:val="chineseCounting"/>
      <w:suff w:val="space"/>
      <w:lvlText w:val="（%1）"/>
      <w:lvlJc w:val="left"/>
      <w:pPr>
        <w:ind w:left="0" w:firstLine="0"/>
      </w:pPr>
      <w:rPr>
        <w:rFonts w:hint="eastAsia"/>
      </w:rPr>
    </w:lvl>
  </w:abstractNum>
  <w:abstractNum w:abstractNumId="40">
    <w:nsid w:val="52660925"/>
    <w:multiLevelType w:val="multilevel"/>
    <w:tmpl w:val="5266092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41">
    <w:nsid w:val="56D64A03"/>
    <w:multiLevelType w:val="singleLevel"/>
    <w:tmpl w:val="56D64A03"/>
    <w:lvl w:ilvl="0" w:tentative="0">
      <w:start w:val="1"/>
      <w:numFmt w:val="decimal"/>
      <w:suff w:val="nothing"/>
      <w:lvlText w:val="%1、"/>
      <w:lvlJc w:val="left"/>
    </w:lvl>
  </w:abstractNum>
  <w:abstractNum w:abstractNumId="42">
    <w:nsid w:val="5F0932BB"/>
    <w:multiLevelType w:val="singleLevel"/>
    <w:tmpl w:val="5F0932BB"/>
    <w:lvl w:ilvl="0" w:tentative="0">
      <w:start w:val="1"/>
      <w:numFmt w:val="decimal"/>
      <w:suff w:val="nothing"/>
      <w:lvlText w:val="%1、"/>
      <w:lvlJc w:val="left"/>
      <w:pPr>
        <w:ind w:left="-425"/>
      </w:pPr>
    </w:lvl>
  </w:abstractNum>
  <w:abstractNum w:abstractNumId="43">
    <w:nsid w:val="5F0932DC"/>
    <w:multiLevelType w:val="singleLevel"/>
    <w:tmpl w:val="5F0932DC"/>
    <w:lvl w:ilvl="0" w:tentative="0">
      <w:start w:val="1"/>
      <w:numFmt w:val="decimal"/>
      <w:suff w:val="nothing"/>
      <w:lvlText w:val="%1、"/>
      <w:lvlJc w:val="left"/>
    </w:lvl>
  </w:abstractNum>
  <w:abstractNum w:abstractNumId="44">
    <w:nsid w:val="5F0933AD"/>
    <w:multiLevelType w:val="singleLevel"/>
    <w:tmpl w:val="5F0933AD"/>
    <w:lvl w:ilvl="0" w:tentative="0">
      <w:start w:val="1"/>
      <w:numFmt w:val="decimal"/>
      <w:suff w:val="nothing"/>
      <w:lvlText w:val="%1、"/>
      <w:lvlJc w:val="left"/>
    </w:lvl>
  </w:abstractNum>
  <w:abstractNum w:abstractNumId="45">
    <w:nsid w:val="5F0936FB"/>
    <w:multiLevelType w:val="singleLevel"/>
    <w:tmpl w:val="5F0936FB"/>
    <w:lvl w:ilvl="0" w:tentative="0">
      <w:start w:val="1"/>
      <w:numFmt w:val="decimal"/>
      <w:suff w:val="nothing"/>
      <w:lvlText w:val="%1、"/>
      <w:lvlJc w:val="left"/>
    </w:lvl>
  </w:abstractNum>
  <w:abstractNum w:abstractNumId="46">
    <w:nsid w:val="5F093E12"/>
    <w:multiLevelType w:val="singleLevel"/>
    <w:tmpl w:val="5F093E12"/>
    <w:lvl w:ilvl="0" w:tentative="0">
      <w:start w:val="1"/>
      <w:numFmt w:val="decimal"/>
      <w:suff w:val="nothing"/>
      <w:lvlText w:val="%1、"/>
      <w:lvlJc w:val="left"/>
    </w:lvl>
  </w:abstractNum>
  <w:abstractNum w:abstractNumId="47">
    <w:nsid w:val="5F0958E0"/>
    <w:multiLevelType w:val="singleLevel"/>
    <w:tmpl w:val="5F0958E0"/>
    <w:lvl w:ilvl="0" w:tentative="0">
      <w:start w:val="1"/>
      <w:numFmt w:val="decimal"/>
      <w:suff w:val="nothing"/>
      <w:lvlText w:val="%1、"/>
      <w:lvlJc w:val="left"/>
    </w:lvl>
  </w:abstractNum>
  <w:abstractNum w:abstractNumId="48">
    <w:nsid w:val="5F095986"/>
    <w:multiLevelType w:val="singleLevel"/>
    <w:tmpl w:val="5F095986"/>
    <w:lvl w:ilvl="0" w:tentative="0">
      <w:start w:val="1"/>
      <w:numFmt w:val="decimal"/>
      <w:suff w:val="nothing"/>
      <w:lvlText w:val="%1、"/>
      <w:lvlJc w:val="left"/>
    </w:lvl>
  </w:abstractNum>
  <w:abstractNum w:abstractNumId="49">
    <w:nsid w:val="5F095A85"/>
    <w:multiLevelType w:val="singleLevel"/>
    <w:tmpl w:val="5F095A85"/>
    <w:lvl w:ilvl="0" w:tentative="0">
      <w:start w:val="1"/>
      <w:numFmt w:val="decimal"/>
      <w:suff w:val="nothing"/>
      <w:lvlText w:val="%1、"/>
      <w:lvlJc w:val="left"/>
    </w:lvl>
  </w:abstractNum>
  <w:abstractNum w:abstractNumId="50">
    <w:nsid w:val="5F095B0B"/>
    <w:multiLevelType w:val="singleLevel"/>
    <w:tmpl w:val="5F095B0B"/>
    <w:lvl w:ilvl="0" w:tentative="0">
      <w:start w:val="1"/>
      <w:numFmt w:val="decimal"/>
      <w:suff w:val="nothing"/>
      <w:lvlText w:val="%1、"/>
      <w:lvlJc w:val="left"/>
    </w:lvl>
  </w:abstractNum>
  <w:abstractNum w:abstractNumId="51">
    <w:nsid w:val="5F097869"/>
    <w:multiLevelType w:val="singleLevel"/>
    <w:tmpl w:val="5F097869"/>
    <w:lvl w:ilvl="0" w:tentative="0">
      <w:start w:val="1"/>
      <w:numFmt w:val="decimal"/>
      <w:suff w:val="nothing"/>
      <w:lvlText w:val="%1、"/>
      <w:lvlJc w:val="left"/>
    </w:lvl>
  </w:abstractNum>
  <w:abstractNum w:abstractNumId="52">
    <w:nsid w:val="5F0978A2"/>
    <w:multiLevelType w:val="singleLevel"/>
    <w:tmpl w:val="5F0978A2"/>
    <w:lvl w:ilvl="0" w:tentative="0">
      <w:start w:val="1"/>
      <w:numFmt w:val="decimal"/>
      <w:suff w:val="nothing"/>
      <w:lvlText w:val="%1、"/>
      <w:lvlJc w:val="left"/>
    </w:lvl>
  </w:abstractNum>
  <w:abstractNum w:abstractNumId="53">
    <w:nsid w:val="61E59AAB"/>
    <w:multiLevelType w:val="singleLevel"/>
    <w:tmpl w:val="61E59AAB"/>
    <w:lvl w:ilvl="0" w:tentative="0">
      <w:start w:val="1"/>
      <w:numFmt w:val="decimal"/>
      <w:suff w:val="nothing"/>
      <w:lvlText w:val="%1、"/>
      <w:lvlJc w:val="left"/>
    </w:lvl>
  </w:abstractNum>
  <w:abstractNum w:abstractNumId="54">
    <w:nsid w:val="6C074085"/>
    <w:multiLevelType w:val="singleLevel"/>
    <w:tmpl w:val="6C074085"/>
    <w:lvl w:ilvl="0" w:tentative="0">
      <w:start w:val="2"/>
      <w:numFmt w:val="decimal"/>
      <w:suff w:val="nothing"/>
      <w:lvlText w:val="（%1）"/>
      <w:lvlJc w:val="left"/>
    </w:lvl>
  </w:abstractNum>
  <w:abstractNum w:abstractNumId="55">
    <w:nsid w:val="70D5AEEA"/>
    <w:multiLevelType w:val="singleLevel"/>
    <w:tmpl w:val="70D5AEEA"/>
    <w:lvl w:ilvl="0" w:tentative="0">
      <w:start w:val="3"/>
      <w:numFmt w:val="chineseCounting"/>
      <w:suff w:val="nothing"/>
      <w:lvlText w:val="（%1）"/>
      <w:lvlJc w:val="left"/>
      <w:rPr>
        <w:rFonts w:hint="eastAsia"/>
      </w:rPr>
    </w:lvl>
  </w:abstractNum>
  <w:abstractNum w:abstractNumId="56">
    <w:nsid w:val="719CB213"/>
    <w:multiLevelType w:val="singleLevel"/>
    <w:tmpl w:val="719CB213"/>
    <w:lvl w:ilvl="0" w:tentative="0">
      <w:start w:val="1"/>
      <w:numFmt w:val="decimal"/>
      <w:suff w:val="nothing"/>
      <w:lvlText w:val="%1、"/>
      <w:lvlJc w:val="left"/>
    </w:lvl>
  </w:abstractNum>
  <w:abstractNum w:abstractNumId="57">
    <w:nsid w:val="740F1BC7"/>
    <w:multiLevelType w:val="multilevel"/>
    <w:tmpl w:val="740F1BC7"/>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2D1BF9"/>
    <w:multiLevelType w:val="singleLevel"/>
    <w:tmpl w:val="742D1BF9"/>
    <w:lvl w:ilvl="0" w:tentative="0">
      <w:start w:val="1"/>
      <w:numFmt w:val="decimal"/>
      <w:suff w:val="nothing"/>
      <w:lvlText w:val="%1、"/>
      <w:lvlJc w:val="left"/>
      <w:pPr>
        <w:ind w:left="0" w:firstLine="0"/>
      </w:pPr>
      <w:rPr>
        <w:rFonts w:hint="eastAsia"/>
      </w:rPr>
    </w:lvl>
  </w:abstractNum>
  <w:abstractNum w:abstractNumId="59">
    <w:nsid w:val="7567A85F"/>
    <w:multiLevelType w:val="singleLevel"/>
    <w:tmpl w:val="7567A85F"/>
    <w:lvl w:ilvl="0" w:tentative="0">
      <w:start w:val="1"/>
      <w:numFmt w:val="decimal"/>
      <w:suff w:val="nothing"/>
      <w:lvlText w:val="%1、"/>
      <w:lvlJc w:val="left"/>
    </w:lvl>
  </w:abstractNum>
  <w:abstractNum w:abstractNumId="60">
    <w:nsid w:val="78D92E8E"/>
    <w:multiLevelType w:val="singleLevel"/>
    <w:tmpl w:val="78D92E8E"/>
    <w:lvl w:ilvl="0" w:tentative="0">
      <w:start w:val="1"/>
      <w:numFmt w:val="decimal"/>
      <w:suff w:val="nothing"/>
      <w:lvlText w:val="%1、"/>
      <w:lvlJc w:val="left"/>
      <w:pPr>
        <w:ind w:left="0" w:firstLine="0"/>
      </w:pPr>
      <w:rPr>
        <w:rFonts w:hint="eastAsia"/>
      </w:rPr>
    </w:lvl>
  </w:abstractNum>
  <w:num w:numId="1">
    <w:abstractNumId w:val="40"/>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1"/>
  </w:num>
  <w:num w:numId="5">
    <w:abstractNumId w:val="37"/>
  </w:num>
  <w:num w:numId="6">
    <w:abstractNumId w:val="2"/>
  </w:num>
  <w:num w:numId="7">
    <w:abstractNumId w:val="41"/>
  </w:num>
  <w:num w:numId="8">
    <w:abstractNumId w:val="39"/>
  </w:num>
  <w:num w:numId="9">
    <w:abstractNumId w:val="6"/>
  </w:num>
  <w:num w:numId="10">
    <w:abstractNumId w:val="34"/>
  </w:num>
  <w:num w:numId="11">
    <w:abstractNumId w:val="59"/>
  </w:num>
  <w:num w:numId="12">
    <w:abstractNumId w:val="53"/>
  </w:num>
  <w:num w:numId="13">
    <w:abstractNumId w:val="3"/>
  </w:num>
  <w:num w:numId="14">
    <w:abstractNumId w:val="15"/>
  </w:num>
  <w:num w:numId="15">
    <w:abstractNumId w:val="19"/>
  </w:num>
  <w:num w:numId="16">
    <w:abstractNumId w:val="55"/>
  </w:num>
  <w:num w:numId="17">
    <w:abstractNumId w:val="16"/>
  </w:num>
  <w:num w:numId="18">
    <w:abstractNumId w:val="29"/>
  </w:num>
  <w:num w:numId="19">
    <w:abstractNumId w:val="56"/>
  </w:num>
  <w:num w:numId="20">
    <w:abstractNumId w:val="18"/>
  </w:num>
  <w:num w:numId="21">
    <w:abstractNumId w:val="13"/>
  </w:num>
  <w:num w:numId="22">
    <w:abstractNumId w:val="54"/>
  </w:num>
  <w:num w:numId="23">
    <w:abstractNumId w:val="5"/>
  </w:num>
  <w:num w:numId="24">
    <w:abstractNumId w:val="9"/>
  </w:num>
  <w:num w:numId="25">
    <w:abstractNumId w:val="58"/>
  </w:num>
  <w:num w:numId="26">
    <w:abstractNumId w:val="38"/>
  </w:num>
  <w:num w:numId="27">
    <w:abstractNumId w:val="12"/>
  </w:num>
  <w:num w:numId="28">
    <w:abstractNumId w:val="60"/>
  </w:num>
  <w:num w:numId="29">
    <w:abstractNumId w:val="7"/>
  </w:num>
  <w:num w:numId="30">
    <w:abstractNumId w:val="21"/>
  </w:num>
  <w:num w:numId="31">
    <w:abstractNumId w:val="14"/>
  </w:num>
  <w:num w:numId="32">
    <w:abstractNumId w:val="30"/>
  </w:num>
  <w:num w:numId="33">
    <w:abstractNumId w:val="43"/>
  </w:num>
  <w:num w:numId="34">
    <w:abstractNumId w:val="42"/>
  </w:num>
  <w:num w:numId="35">
    <w:abstractNumId w:val="44"/>
  </w:num>
  <w:num w:numId="36">
    <w:abstractNumId w:val="45"/>
  </w:num>
  <w:num w:numId="37">
    <w:abstractNumId w:val="4"/>
  </w:num>
  <w:num w:numId="38">
    <w:abstractNumId w:val="49"/>
  </w:num>
  <w:num w:numId="39">
    <w:abstractNumId w:val="46"/>
  </w:num>
  <w:num w:numId="40">
    <w:abstractNumId w:val="51"/>
  </w:num>
  <w:num w:numId="41">
    <w:abstractNumId w:val="52"/>
  </w:num>
  <w:num w:numId="42">
    <w:abstractNumId w:val="17"/>
  </w:num>
  <w:num w:numId="43">
    <w:abstractNumId w:val="22"/>
  </w:num>
  <w:num w:numId="44">
    <w:abstractNumId w:val="25"/>
  </w:num>
  <w:num w:numId="45">
    <w:abstractNumId w:val="47"/>
  </w:num>
  <w:num w:numId="46">
    <w:abstractNumId w:val="48"/>
  </w:num>
  <w:num w:numId="47">
    <w:abstractNumId w:val="50"/>
  </w:num>
  <w:num w:numId="48">
    <w:abstractNumId w:val="20"/>
  </w:num>
  <w:num w:numId="49">
    <w:abstractNumId w:val="1"/>
  </w:num>
  <w:num w:numId="50">
    <w:abstractNumId w:val="36"/>
  </w:num>
  <w:num w:numId="51">
    <w:abstractNumId w:val="28"/>
  </w:num>
  <w:num w:numId="52">
    <w:abstractNumId w:val="0"/>
  </w:num>
  <w:num w:numId="53">
    <w:abstractNumId w:val="33"/>
  </w:num>
  <w:num w:numId="54">
    <w:abstractNumId w:val="32"/>
  </w:num>
  <w:num w:numId="55">
    <w:abstractNumId w:val="24"/>
  </w:num>
  <w:num w:numId="56">
    <w:abstractNumId w:val="23"/>
  </w:num>
  <w:num w:numId="57">
    <w:abstractNumId w:val="57"/>
  </w:num>
  <w:num w:numId="58">
    <w:abstractNumId w:val="8"/>
  </w:num>
  <w:num w:numId="59">
    <w:abstractNumId w:val="10"/>
  </w:num>
  <w:num w:numId="60">
    <w:abstractNumId w:val="11"/>
  </w:num>
  <w:num w:numId="61">
    <w:abstractNumId w:val="26"/>
  </w:num>
  <w:num w:numId="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172A27"/>
    <w:rsid w:val="00137A5B"/>
    <w:rsid w:val="00AF1302"/>
    <w:rsid w:val="00B34AC1"/>
    <w:rsid w:val="00D24FF0"/>
    <w:rsid w:val="013048A9"/>
    <w:rsid w:val="01AD5116"/>
    <w:rsid w:val="01BB5A85"/>
    <w:rsid w:val="029F4324"/>
    <w:rsid w:val="035BEF8B"/>
    <w:rsid w:val="03653EFA"/>
    <w:rsid w:val="03DF446C"/>
    <w:rsid w:val="04E62E18"/>
    <w:rsid w:val="0510665E"/>
    <w:rsid w:val="06824DC3"/>
    <w:rsid w:val="068E3768"/>
    <w:rsid w:val="07E06245"/>
    <w:rsid w:val="08C95B0B"/>
    <w:rsid w:val="09821D85"/>
    <w:rsid w:val="09D7728E"/>
    <w:rsid w:val="0B865355"/>
    <w:rsid w:val="0C0B7609"/>
    <w:rsid w:val="0D0212CD"/>
    <w:rsid w:val="0F096B8F"/>
    <w:rsid w:val="0F63063F"/>
    <w:rsid w:val="10387498"/>
    <w:rsid w:val="111932CC"/>
    <w:rsid w:val="11334BBD"/>
    <w:rsid w:val="114C54EF"/>
    <w:rsid w:val="12AF6F40"/>
    <w:rsid w:val="154716B1"/>
    <w:rsid w:val="156C736A"/>
    <w:rsid w:val="16223ECC"/>
    <w:rsid w:val="16870F53"/>
    <w:rsid w:val="18E60774"/>
    <w:rsid w:val="18ED6A14"/>
    <w:rsid w:val="1A7171D0"/>
    <w:rsid w:val="1BB05AD7"/>
    <w:rsid w:val="1C793BAD"/>
    <w:rsid w:val="1CB36008"/>
    <w:rsid w:val="1CB735C0"/>
    <w:rsid w:val="1D167BBB"/>
    <w:rsid w:val="1D2F1C3B"/>
    <w:rsid w:val="1EB51D82"/>
    <w:rsid w:val="1EC320CB"/>
    <w:rsid w:val="1F304C31"/>
    <w:rsid w:val="1F4D1FBA"/>
    <w:rsid w:val="1FA56F70"/>
    <w:rsid w:val="1FBFFEB0"/>
    <w:rsid w:val="20B9542D"/>
    <w:rsid w:val="24AC7783"/>
    <w:rsid w:val="255A71DF"/>
    <w:rsid w:val="2579126D"/>
    <w:rsid w:val="25A21FD6"/>
    <w:rsid w:val="25B763DF"/>
    <w:rsid w:val="26920BFA"/>
    <w:rsid w:val="275DFFED"/>
    <w:rsid w:val="281178FD"/>
    <w:rsid w:val="282E2F5D"/>
    <w:rsid w:val="28A606A1"/>
    <w:rsid w:val="28B25590"/>
    <w:rsid w:val="2ACF5F79"/>
    <w:rsid w:val="2AED4F9A"/>
    <w:rsid w:val="2BCC3859"/>
    <w:rsid w:val="2BF85378"/>
    <w:rsid w:val="2D684463"/>
    <w:rsid w:val="2D6F57F1"/>
    <w:rsid w:val="2DFE521A"/>
    <w:rsid w:val="2EA24580"/>
    <w:rsid w:val="2F095581"/>
    <w:rsid w:val="2F0C0A43"/>
    <w:rsid w:val="2FC242FE"/>
    <w:rsid w:val="2FCF2577"/>
    <w:rsid w:val="30C63428"/>
    <w:rsid w:val="30CD01D9"/>
    <w:rsid w:val="313A40D1"/>
    <w:rsid w:val="313E5C07"/>
    <w:rsid w:val="326F4556"/>
    <w:rsid w:val="328F1CCE"/>
    <w:rsid w:val="32933D30"/>
    <w:rsid w:val="32EB591A"/>
    <w:rsid w:val="335C444B"/>
    <w:rsid w:val="342E1F62"/>
    <w:rsid w:val="36F03A28"/>
    <w:rsid w:val="389256EA"/>
    <w:rsid w:val="39754AB6"/>
    <w:rsid w:val="3B81506E"/>
    <w:rsid w:val="3E6DF6DC"/>
    <w:rsid w:val="3EBA2645"/>
    <w:rsid w:val="3ECD2378"/>
    <w:rsid w:val="3ED43706"/>
    <w:rsid w:val="3F0264C5"/>
    <w:rsid w:val="3F514D57"/>
    <w:rsid w:val="3FA94B93"/>
    <w:rsid w:val="3FCFDA4A"/>
    <w:rsid w:val="41CC2DBB"/>
    <w:rsid w:val="427E60E8"/>
    <w:rsid w:val="42F02AD9"/>
    <w:rsid w:val="435A4BCB"/>
    <w:rsid w:val="443133A9"/>
    <w:rsid w:val="451C7BB5"/>
    <w:rsid w:val="455D1C98"/>
    <w:rsid w:val="45822E29"/>
    <w:rsid w:val="46B33BF8"/>
    <w:rsid w:val="478F4C3C"/>
    <w:rsid w:val="48360F8E"/>
    <w:rsid w:val="48DA5DBD"/>
    <w:rsid w:val="49121247"/>
    <w:rsid w:val="49B05835"/>
    <w:rsid w:val="4A0550BC"/>
    <w:rsid w:val="4B073E13"/>
    <w:rsid w:val="4E530E23"/>
    <w:rsid w:val="4F4B3D85"/>
    <w:rsid w:val="500054F1"/>
    <w:rsid w:val="509D42F7"/>
    <w:rsid w:val="50E103B1"/>
    <w:rsid w:val="51264FF3"/>
    <w:rsid w:val="52C4626A"/>
    <w:rsid w:val="53196C56"/>
    <w:rsid w:val="54152B11"/>
    <w:rsid w:val="545509EE"/>
    <w:rsid w:val="55D41DE6"/>
    <w:rsid w:val="56582A17"/>
    <w:rsid w:val="581F1A3E"/>
    <w:rsid w:val="58CB74D0"/>
    <w:rsid w:val="58E467E4"/>
    <w:rsid w:val="59123351"/>
    <w:rsid w:val="59C7413C"/>
    <w:rsid w:val="5B73EE39"/>
    <w:rsid w:val="5CFAC9C4"/>
    <w:rsid w:val="5E206584"/>
    <w:rsid w:val="5E3B0C54"/>
    <w:rsid w:val="5E4148B9"/>
    <w:rsid w:val="5E541D16"/>
    <w:rsid w:val="5E671A49"/>
    <w:rsid w:val="5F561B6F"/>
    <w:rsid w:val="5F57E5CA"/>
    <w:rsid w:val="5F900FAC"/>
    <w:rsid w:val="6388493C"/>
    <w:rsid w:val="64AFCBD0"/>
    <w:rsid w:val="65312DB1"/>
    <w:rsid w:val="669C35D3"/>
    <w:rsid w:val="674548F2"/>
    <w:rsid w:val="68844970"/>
    <w:rsid w:val="68BC6EF7"/>
    <w:rsid w:val="68F62348"/>
    <w:rsid w:val="6AFF2A6C"/>
    <w:rsid w:val="6B884372"/>
    <w:rsid w:val="6C1F48EA"/>
    <w:rsid w:val="6EBAEEF7"/>
    <w:rsid w:val="6FAA79E8"/>
    <w:rsid w:val="6FAE0274"/>
    <w:rsid w:val="6FC37AD4"/>
    <w:rsid w:val="71257C6E"/>
    <w:rsid w:val="714E785B"/>
    <w:rsid w:val="721B4A07"/>
    <w:rsid w:val="72331F17"/>
    <w:rsid w:val="72E256EB"/>
    <w:rsid w:val="73033CD2"/>
    <w:rsid w:val="73EF6311"/>
    <w:rsid w:val="740873D3"/>
    <w:rsid w:val="762C54EE"/>
    <w:rsid w:val="768947FB"/>
    <w:rsid w:val="77543E5D"/>
    <w:rsid w:val="77725160"/>
    <w:rsid w:val="778CFDC4"/>
    <w:rsid w:val="77EDE09C"/>
    <w:rsid w:val="786D1EFA"/>
    <w:rsid w:val="78AD1F79"/>
    <w:rsid w:val="796E1A86"/>
    <w:rsid w:val="7C7E46D6"/>
    <w:rsid w:val="7DBC65F5"/>
    <w:rsid w:val="7DFF3A1B"/>
    <w:rsid w:val="7E5971A9"/>
    <w:rsid w:val="7EDE76AE"/>
    <w:rsid w:val="7F2A5316"/>
    <w:rsid w:val="7F4E5D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numPr>
        <w:ilvl w:val="0"/>
        <w:numId w:val="1"/>
      </w:numPr>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numPr>
        <w:ilvl w:val="1"/>
        <w:numId w:val="1"/>
      </w:numPr>
      <w:tabs>
        <w:tab w:val="left" w:pos="432"/>
      </w:tabs>
      <w:adjustRightInd/>
      <w:spacing w:line="360" w:lineRule="auto"/>
      <w:ind w:left="575" w:hanging="575"/>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tabs>
        <w:tab w:val="left" w:pos="900"/>
      </w:tabs>
      <w:spacing w:before="260" w:after="260" w:line="416" w:lineRule="auto"/>
      <w:ind w:left="720" w:hanging="720"/>
      <w:outlineLvl w:val="2"/>
    </w:pPr>
    <w:rPr>
      <w:b/>
      <w:bCs/>
      <w:sz w:val="32"/>
      <w:szCs w:val="32"/>
    </w:rPr>
  </w:style>
  <w:style w:type="paragraph" w:styleId="5">
    <w:name w:val="heading 4"/>
    <w:basedOn w:val="1"/>
    <w:next w:val="1"/>
    <w:link w:val="326"/>
    <w:qFormat/>
    <w:uiPriority w:val="0"/>
    <w:pPr>
      <w:keepNext/>
      <w:keepLines/>
      <w:numPr>
        <w:ilvl w:val="3"/>
        <w:numId w:val="1"/>
      </w:numPr>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numPr>
        <w:ilvl w:val="4"/>
        <w:numId w:val="1"/>
      </w:numPr>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numPr>
        <w:ilvl w:val="5"/>
        <w:numId w:val="1"/>
      </w:numPr>
      <w:tabs>
        <w:tab w:val="left" w:pos="1152"/>
      </w:tabs>
      <w:spacing w:before="240" w:after="64" w:line="320" w:lineRule="auto"/>
      <w:ind w:left="1151" w:hanging="1151"/>
      <w:outlineLvl w:val="5"/>
    </w:pPr>
    <w:rPr>
      <w:rFonts w:ascii="Arial" w:hAnsi="Arial" w:eastAsia="黑体"/>
      <w:b/>
      <w:bCs/>
      <w:sz w:val="24"/>
    </w:rPr>
  </w:style>
  <w:style w:type="paragraph" w:styleId="8">
    <w:name w:val="heading 7"/>
    <w:basedOn w:val="1"/>
    <w:next w:val="1"/>
    <w:link w:val="306"/>
    <w:qFormat/>
    <w:uiPriority w:val="0"/>
    <w:pPr>
      <w:keepNext/>
      <w:keepLines/>
      <w:numPr>
        <w:ilvl w:val="6"/>
        <w:numId w:val="1"/>
      </w:numPr>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numPr>
        <w:ilvl w:val="7"/>
        <w:numId w:val="1"/>
      </w:numPr>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numPr>
        <w:ilvl w:val="8"/>
        <w:numId w:val="1"/>
      </w:numPr>
      <w:tabs>
        <w:tab w:val="left" w:pos="1584"/>
      </w:tabs>
      <w:spacing w:before="240" w:after="64" w:line="320" w:lineRule="auto"/>
      <w:ind w:left="1583" w:hanging="1583"/>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401"/>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next w:val="26"/>
    <w:link w:val="264"/>
    <w:autoRedefine/>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cs="Arial"/>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1"/>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1"/>
    <w:autoRedefine/>
    <w:qFormat/>
    <w:uiPriority w:val="0"/>
    <w:rPr>
      <w:lang w:val="zh-CN"/>
    </w:rPr>
  </w:style>
  <w:style w:type="paragraph" w:styleId="40">
    <w:name w:val="Balloon Text"/>
    <w:basedOn w:val="1"/>
    <w:link w:val="188"/>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4"/>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autoRedefine/>
    <w:qFormat/>
    <w:uiPriority w:val="0"/>
    <w:rPr>
      <w:b/>
      <w:bCs/>
    </w:rPr>
  </w:style>
  <w:style w:type="paragraph" w:styleId="62">
    <w:name w:val="Body Text First Indent 2"/>
    <w:basedOn w:val="25"/>
    <w:link w:val="121"/>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basedOn w:val="70"/>
    <w:autoRedefine/>
    <w:qFormat/>
    <w:uiPriority w:val="99"/>
    <w:rPr>
      <w:sz w:val="21"/>
      <w:szCs w:val="21"/>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2"/>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70"/>
    <w:autoRedefine/>
    <w:qFormat/>
    <w:uiPriority w:val="0"/>
    <w:rPr>
      <w:rFonts w:ascii="Arial" w:hAnsi="Arial" w:eastAsia="黑体" w:cs="Arial"/>
      <w:snapToGrid w:val="0"/>
      <w:kern w:val="0"/>
      <w:szCs w:val="21"/>
    </w:rPr>
  </w:style>
  <w:style w:type="character" w:customStyle="1" w:styleId="125">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8"/>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autoRedefine/>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basedOn w:val="70"/>
    <w:link w:val="19"/>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font111"/>
    <w:basedOn w:val="70"/>
    <w:qFormat/>
    <w:uiPriority w:val="0"/>
    <w:rPr>
      <w:rFonts w:hint="default" w:ascii="仿宋" w:hAnsi="仿宋" w:eastAsia="仿宋" w:cs="仿宋"/>
      <w:b/>
      <w:bCs/>
      <w:color w:val="000000"/>
      <w:sz w:val="24"/>
      <w:szCs w:val="24"/>
      <w:u w:val="none"/>
    </w:rPr>
  </w:style>
  <w:style w:type="paragraph" w:customStyle="1" w:styleId="966">
    <w:name w:val="列表段落4"/>
    <w:basedOn w:val="1"/>
    <w:autoRedefine/>
    <w:qFormat/>
    <w:uiPriority w:val="99"/>
    <w:pPr>
      <w:widowControl w:val="0"/>
      <w:ind w:firstLine="420" w:firstLineChars="200"/>
      <w:jc w:val="both"/>
    </w:pPr>
    <w:rPr>
      <w:rFonts w:hint="eastAsia"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200</Pages>
  <Words>24464</Words>
  <Characters>25811</Characters>
  <Paragraphs>1943</Paragraphs>
  <TotalTime>25</TotalTime>
  <ScaleCrop>false</ScaleCrop>
  <LinksUpToDate>false</LinksUpToDate>
  <CharactersWithSpaces>27470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2025-06-12T01:16:00Z</cp:lastPrinted>
  <dcterms:modified xsi:type="dcterms:W3CDTF">2025-07-02T08:17:42Z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A50AEC7B6EFE4D148E76BD5F17069A5E_13</vt:lpwstr>
  </property>
  <property fmtid="{D5CDD505-2E9C-101B-9397-08002B2CF9AE}" pid="5" name="KSOTemplateDocerSaveRecord">
    <vt:lpwstr>eyJoZGlkIjoiZmVjYjc1MGEzYzlhMjAzM2E5N2JmYzZhOTU0MDdkZDYifQ==</vt:lpwstr>
  </property>
</Properties>
</file>