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spacing w:line="360" w:lineRule="auto"/>
        <w:jc w:val="center"/>
        <w:rPr>
          <w:rFonts w:ascii="宋体" w:hAnsi="宋体" w:cs="宋体"/>
          <w:b/>
          <w:color w:val="auto"/>
          <w:sz w:val="24"/>
          <w:highlight w:val="none"/>
        </w:rPr>
      </w:pP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bookmarkStart w:id="0" w:name="_Hlt67893495"/>
      <w:bookmarkEnd w:id="0"/>
      <w:r>
        <w:rPr>
          <w:rFonts w:hint="eastAsia" w:ascii="隶书" w:hAnsi="Arial" w:eastAsia="隶书" w:cs="Arial"/>
          <w:b/>
          <w:color w:val="auto"/>
          <w:spacing w:val="-12"/>
          <w:sz w:val="48"/>
          <w:szCs w:val="48"/>
          <w:highlight w:val="none"/>
          <w:lang w:eastAsia="zh-CN"/>
        </w:rPr>
        <w:t>绍兴市第一中学</w:t>
      </w: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智能交互一体机采购项目</w:t>
      </w:r>
    </w:p>
    <w:p>
      <w:pPr>
        <w:kinsoku/>
        <w:wordWrap w:val="0"/>
        <w:overflowPunct/>
        <w:topLinePunct w:val="0"/>
        <w:bidi w:val="0"/>
        <w:jc w:val="center"/>
        <w:outlineLvl w:val="0"/>
        <w:rPr>
          <w:rFonts w:hint="eastAsia" w:ascii="仿宋" w:hAnsi="仿宋" w:eastAsia="仿宋" w:cs="仿宋"/>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kinsoku/>
        <w:wordWrap w:val="0"/>
        <w:overflowPunct/>
        <w:topLinePunct w:val="0"/>
        <w:bidi w:val="0"/>
        <w:spacing w:line="360" w:lineRule="auto"/>
        <w:jc w:val="both"/>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 xml:space="preserve"> </w:t>
      </w:r>
    </w:p>
    <w:p>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2025-07-0058</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绍兴市第一中学</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368503609"/>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1"/>
              </w:rPr>
              <w:t>监督单</w:t>
            </w:r>
            <w:r>
              <w:rPr>
                <w:rFonts w:hint="eastAsia" w:ascii="隶书" w:hAnsi="隶书" w:eastAsia="隶书" w:cs="隶书"/>
                <w:color w:val="auto"/>
                <w:spacing w:val="1"/>
                <w:kern w:val="0"/>
                <w:sz w:val="28"/>
                <w:szCs w:val="28"/>
                <w:highlight w:val="none"/>
                <w:fitText w:val="1680" w:id="1"/>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七</w:t>
            </w:r>
            <w:r>
              <w:rPr>
                <w:rFonts w:hint="eastAsia" w:ascii="隶书" w:hAnsi="隶书" w:eastAsia="隶书" w:cs="隶书"/>
                <w:color w:val="auto"/>
                <w:sz w:val="28"/>
                <w:szCs w:val="28"/>
                <w:highlight w:val="none"/>
              </w:rPr>
              <w:t>月</w:t>
            </w:r>
          </w:p>
        </w:tc>
      </w:tr>
    </w:tbl>
    <w:p>
      <w:pPr>
        <w:pStyle w:val="636"/>
        <w:kinsoku/>
        <w:wordWrap w:val="0"/>
        <w:overflowPunct/>
        <w:topLinePunct w:val="0"/>
        <w:bidi w:val="0"/>
        <w:rPr>
          <w:rFonts w:hint="eastAsia" w:ascii="隶书" w:hAnsi="隶书" w:eastAsia="隶书" w:cs="隶书"/>
          <w:color w:val="auto"/>
          <w:highlight w:val="none"/>
        </w:rPr>
        <w:sectPr>
          <w:headerReference r:id="rId3" w:type="default"/>
          <w:footerReference r:id="rId4" w:type="default"/>
          <w:footerReference r:id="rId5" w:type="even"/>
          <w:pgSz w:w="11906" w:h="16838"/>
          <w:pgMar w:top="1814" w:right="1474" w:bottom="1814" w:left="1474" w:header="851" w:footer="992" w:gutter="0"/>
          <w:pgNumType w:fmt="decimal" w:start="1"/>
          <w:cols w:space="720" w:num="1"/>
          <w:titlePg/>
          <w:docGrid w:linePitch="312" w:charSpace="0"/>
        </w:sectPr>
      </w:pPr>
    </w:p>
    <w:p>
      <w:pPr>
        <w:kinsoku/>
        <w:wordWrap w:val="0"/>
        <w:overflowPunct/>
        <w:topLinePunct w:val="0"/>
        <w:bidi w:val="0"/>
        <w:spacing w:line="360" w:lineRule="auto"/>
        <w:jc w:val="center"/>
        <w:rPr>
          <w:rFonts w:hint="eastAsia" w:ascii="仿宋" w:hAnsi="仿宋" w:eastAsia="仿宋" w:cs="仿宋"/>
          <w:color w:val="auto"/>
          <w:sz w:val="2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pgNumType w:fmt="decimal"/>
          <w:cols w:space="720" w:num="1"/>
          <w:titlePg/>
          <w:docGrid w:linePitch="312" w:charSpace="0"/>
        </w:sectPr>
      </w:pPr>
      <w:bookmarkStart w:id="3" w:name="_Hlt74728647"/>
      <w:bookmarkEnd w:id="3"/>
      <w:bookmarkStart w:id="4" w:name="_Hlt74649545"/>
      <w:bookmarkEnd w:id="4"/>
      <w:bookmarkStart w:id="5" w:name="_Hlt74707423"/>
      <w:bookmarkEnd w:id="5"/>
      <w:bookmarkStart w:id="6" w:name="_Hlt74729822"/>
      <w:bookmarkEnd w:id="6"/>
      <w:bookmarkStart w:id="7" w:name="_Toc91899870"/>
      <w:bookmarkStart w:id="8" w:name="第二部分"/>
      <w:bookmarkStart w:id="9"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绍兴市第一中学智能交互一体机采购项目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w:t>
      </w:r>
      <w:r>
        <w:rPr>
          <w:rStyle w:val="76"/>
          <w:rFonts w:hint="eastAsia" w:ascii="仿宋_GB2312" w:hAnsi="仿宋_GB2312" w:eastAsia="仿宋_GB2312" w:cs="仿宋_GB2312"/>
          <w:snapToGrid/>
          <w:color w:val="auto"/>
          <w:kern w:val="2"/>
          <w:sz w:val="24"/>
          <w:szCs w:val="24"/>
          <w:highlight w:val="none"/>
          <w:lang w:val="en-US" w:eastAsia="zh-CN"/>
        </w:rPr>
        <w:t>5</w:t>
      </w:r>
      <w:r>
        <w:rPr>
          <w:rStyle w:val="76"/>
          <w:rFonts w:hint="eastAsia" w:ascii="仿宋_GB2312" w:hAnsi="仿宋_GB2312" w:eastAsia="仿宋_GB2312" w:cs="仿宋_GB2312"/>
          <w:snapToGrid/>
          <w:color w:val="auto"/>
          <w:kern w:val="2"/>
          <w:sz w:val="24"/>
          <w:szCs w:val="24"/>
          <w:highlight w:val="none"/>
        </w:rPr>
        <w:t>年 月 日 点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2025-07-0058</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绍兴市第一中学智能交互一体机采购项目</w:t>
      </w:r>
    </w:p>
    <w:p>
      <w:pPr>
        <w:pageBreakBefore w:val="0"/>
        <w:widowControl w:val="0"/>
        <w:kinsoku/>
        <w:wordWrap w:val="0"/>
        <w:overflowPunct/>
        <w:topLinePunct w:val="0"/>
        <w:autoSpaceDE/>
        <w:autoSpaceDN/>
        <w:bidi w:val="0"/>
        <w:spacing w:line="440" w:lineRule="exact"/>
        <w:ind w:left="0" w:firstLine="482" w:firstLineChars="200"/>
        <w:textAlignment w:val="auto"/>
        <w:rPr>
          <w:rFonts w:hint="default" w:ascii="仿宋_GB2312" w:hAnsi="仿宋_GB2312" w:eastAsia="仿宋_GB2312" w:cs="仿宋_GB2312"/>
          <w:b/>
          <w:color w:val="auto"/>
          <w:sz w:val="24"/>
          <w:highlight w:val="none"/>
          <w:lang w:val="en-US"/>
        </w:rPr>
      </w:pPr>
      <w:r>
        <w:rPr>
          <w:rFonts w:hint="eastAsia" w:ascii="仿宋_GB2312" w:hAnsi="仿宋_GB2312" w:eastAsia="仿宋_GB2312" w:cs="仿宋_GB2312"/>
          <w:b/>
          <w:color w:val="auto"/>
          <w:sz w:val="24"/>
          <w:highlight w:val="none"/>
        </w:rPr>
        <w:t xml:space="preserve">预算金额（元）： </w:t>
      </w:r>
      <w:r>
        <w:rPr>
          <w:rFonts w:hint="eastAsia" w:ascii="仿宋_GB2312" w:hAnsi="仿宋_GB2312" w:eastAsia="仿宋_GB2312" w:cs="仿宋_GB2312"/>
          <w:b w:val="0"/>
          <w:bCs/>
          <w:color w:val="auto"/>
          <w:sz w:val="24"/>
          <w:highlight w:val="none"/>
          <w:lang w:val="en-US" w:eastAsia="zh-CN"/>
        </w:rPr>
        <w:t>520000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default" w:ascii="仿宋_GB2312" w:hAnsi="仿宋_GB2312" w:eastAsia="仿宋_GB2312" w:cs="仿宋_GB2312"/>
          <w:b/>
          <w:color w:val="auto"/>
          <w:sz w:val="24"/>
          <w:highlight w:val="none"/>
          <w:lang w:val="en-US"/>
        </w:rPr>
      </w:pPr>
      <w:r>
        <w:rPr>
          <w:rFonts w:hint="eastAsia" w:ascii="仿宋_GB2312" w:hAnsi="仿宋_GB2312" w:eastAsia="仿宋_GB2312" w:cs="仿宋_GB2312"/>
          <w:b/>
          <w:color w:val="auto"/>
          <w:sz w:val="24"/>
          <w:highlight w:val="none"/>
        </w:rPr>
        <w:t xml:space="preserve">最高限价（元）： </w:t>
      </w:r>
      <w:r>
        <w:rPr>
          <w:rFonts w:hint="eastAsia" w:ascii="仿宋_GB2312" w:hAnsi="仿宋_GB2312" w:eastAsia="仿宋_GB2312" w:cs="仿宋_GB2312"/>
          <w:b w:val="0"/>
          <w:bCs/>
          <w:color w:val="auto"/>
          <w:sz w:val="24"/>
          <w:highlight w:val="none"/>
          <w:lang w:val="en-US" w:eastAsia="zh-CN"/>
        </w:rPr>
        <w:t>520000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 w:val="0"/>
          <w:bCs/>
          <w:color w:val="auto"/>
          <w:sz w:val="24"/>
          <w:highlight w:val="none"/>
          <w:lang w:eastAsia="zh-CN"/>
        </w:rPr>
        <w:t>智能交互一体机采购项目</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预算金额（元）：</w:t>
      </w:r>
      <w:r>
        <w:rPr>
          <w:rFonts w:hint="eastAsia" w:ascii="仿宋_GB2312" w:hAnsi="仿宋_GB2312" w:eastAsia="仿宋_GB2312" w:cs="仿宋_GB2312"/>
          <w:b w:val="0"/>
          <w:bCs/>
          <w:color w:val="auto"/>
          <w:sz w:val="24"/>
          <w:highlight w:val="none"/>
          <w:lang w:val="en-US" w:eastAsia="zh-CN"/>
        </w:rPr>
        <w:t>520000</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r>
        <w:rPr>
          <w:rFonts w:hint="default" w:ascii="Wingdings 2" w:hAnsi="Wingdings 2" w:eastAsia="仿宋_GB2312" w:cs="Wingdings 2"/>
          <w:b/>
          <w:color w:val="auto"/>
          <w:kern w:val="2"/>
          <w:sz w:val="24"/>
          <w:szCs w:val="24"/>
          <w:highlight w:val="none"/>
          <w:lang w:val="en-US" w:eastAsia="zh-CN" w:bidi="ar-SA"/>
        </w:rPr>
        <w:sym w:font="Wingdings 2" w:char="0052"/>
      </w:r>
      <w:r>
        <w:rPr>
          <w:rFonts w:hint="eastAsia" w:ascii="仿宋_GB2312" w:hAnsi="仿宋_GB2312" w:eastAsia="仿宋_GB2312" w:cs="仿宋_GB2312"/>
          <w:b/>
          <w:color w:val="auto"/>
          <w:sz w:val="24"/>
          <w:highlight w:val="none"/>
        </w:rPr>
        <w:t>是，☐否。</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sz w:val="24"/>
          <w:highlight w:val="none"/>
        </w:rPr>
        <w:t>货物全部由符合政策要求的中小企业制造，提供中小企业声明函；</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0"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0"/>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7"/>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szCs w:val="24"/>
          <w:highlight w:val="none"/>
        </w:rPr>
      </w:pPr>
      <w:bookmarkStart w:id="11" w:name="_Toc28359096"/>
      <w:bookmarkStart w:id="12" w:name="_Toc28359019"/>
      <w:bookmarkStart w:id="13" w:name="_Toc35393637"/>
      <w:bookmarkStart w:id="14" w:name="_Toc35393806"/>
      <w:r>
        <w:rPr>
          <w:rFonts w:hint="eastAsia" w:ascii="仿宋_GB2312" w:hAnsi="仿宋_GB2312" w:eastAsia="仿宋_GB2312" w:cs="仿宋_GB2312"/>
          <w:color w:val="auto"/>
          <w:sz w:val="24"/>
          <w:szCs w:val="24"/>
          <w:highlight w:val="none"/>
        </w:rPr>
        <w:t>1.采购人信息</w:t>
      </w:r>
      <w:bookmarkEnd w:id="11"/>
      <w:bookmarkEnd w:id="12"/>
      <w:bookmarkEnd w:id="13"/>
      <w:bookmarkEnd w:id="14"/>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 xml:space="preserve">名    称： </w:t>
      </w:r>
      <w:r>
        <w:rPr>
          <w:rFonts w:hint="eastAsia" w:ascii="仿宋_GB2312" w:hAnsi="仿宋_GB2312" w:eastAsia="仿宋_GB2312" w:cs="仿宋_GB2312"/>
          <w:color w:val="auto"/>
          <w:sz w:val="24"/>
          <w:highlight w:val="none"/>
          <w:lang w:eastAsia="zh-CN"/>
        </w:rPr>
        <w:t>绍兴市第一中学</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 浙江省绍兴市越城区站前大道1898号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项目联系人（询问）：孟德超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w:t>
      </w:r>
      <w:r>
        <w:rPr>
          <w:rFonts w:hint="eastAsia" w:ascii="仿宋_GB2312" w:hAnsi="仿宋_GB2312" w:eastAsia="仿宋_GB2312" w:cs="仿宋_GB2312"/>
          <w:color w:val="auto"/>
          <w:sz w:val="24"/>
          <w:highlight w:val="none"/>
          <w:lang w:val="en-US" w:eastAsia="zh-CN"/>
        </w:rPr>
        <w:t>0575-</w:t>
      </w:r>
      <w:r>
        <w:rPr>
          <w:rFonts w:hint="eastAsia" w:ascii="仿宋_GB2312" w:hAnsi="仿宋_GB2312" w:eastAsia="仿宋_GB2312" w:cs="仿宋_GB2312"/>
          <w:color w:val="auto"/>
          <w:sz w:val="24"/>
          <w:highlight w:val="none"/>
        </w:rPr>
        <w:t>85338008</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 陈炳炉</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质疑联系方式：0575-85338008</w:t>
      </w:r>
    </w:p>
    <w:p>
      <w:pPr>
        <w:pStyle w:val="7"/>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bookmarkStart w:id="15" w:name="_Toc35393638"/>
      <w:bookmarkStart w:id="16" w:name="_Toc28359097"/>
      <w:bookmarkStart w:id="17" w:name="_Toc28359020"/>
      <w:bookmarkStart w:id="18" w:name="_Toc35393807"/>
      <w:r>
        <w:rPr>
          <w:rFonts w:hint="eastAsia" w:ascii="仿宋_GB2312" w:hAnsi="仿宋_GB2312" w:eastAsia="仿宋_GB2312" w:cs="仿宋_GB2312"/>
          <w:color w:val="auto"/>
          <w:sz w:val="24"/>
          <w:szCs w:val="24"/>
          <w:highlight w:val="none"/>
        </w:rPr>
        <w:t>2.采购代理机构信息</w:t>
      </w:r>
      <w:bookmarkEnd w:id="15"/>
      <w:bookmarkEnd w:id="16"/>
      <w:bookmarkEnd w:id="17"/>
      <w:bookmarkEnd w:id="1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bookmarkStart w:id="19" w:name="_Toc28359098"/>
      <w:bookmarkStart w:id="20" w:name="_Toc28359021"/>
      <w:bookmarkStart w:id="21" w:name="_Toc35393808"/>
      <w:bookmarkStart w:id="22" w:name="_Toc35393639"/>
      <w:r>
        <w:rPr>
          <w:rFonts w:hint="eastAsia" w:ascii="仿宋_GB2312" w:hAnsi="仿宋_GB2312" w:eastAsia="仿宋_GB2312" w:cs="仿宋_GB2312"/>
          <w:b w:val="0"/>
          <w:bCs w:val="0"/>
          <w:color w:val="auto"/>
          <w:sz w:val="24"/>
          <w:highlight w:val="none"/>
        </w:rPr>
        <w:t>名称：绍兴市公共资源交易中心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地址：绍兴市越城区洋江西路699号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传真：</w:t>
      </w:r>
      <w:r>
        <w:rPr>
          <w:rFonts w:hint="eastAsia" w:ascii="仿宋_GB2312" w:hAnsi="仿宋_GB2312" w:eastAsia="仿宋_GB2312" w:cs="仿宋_GB2312"/>
          <w:b w:val="0"/>
          <w:bCs w:val="0"/>
          <w:color w:val="auto"/>
          <w:sz w:val="24"/>
          <w:highlight w:val="none"/>
          <w:lang w:val="en-US" w:eastAsia="zh-CN"/>
        </w:rPr>
        <w:t>/</w:t>
      </w:r>
      <w:r>
        <w:rPr>
          <w:rFonts w:hint="eastAsia" w:ascii="仿宋_GB2312" w:hAnsi="仿宋_GB2312" w:eastAsia="仿宋_GB2312" w:cs="仿宋_GB2312"/>
          <w:b w:val="0"/>
          <w:bCs w:val="0"/>
          <w:color w:val="auto"/>
          <w:sz w:val="24"/>
          <w:highlight w:val="none"/>
        </w:rPr>
        <w:t>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项目联系人（询问）：黄世杰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项目联系方式（询问）：0575-88307028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19"/>
    <w:bookmarkEnd w:id="20"/>
    <w:bookmarkEnd w:id="21"/>
    <w:bookmarkEnd w:id="22"/>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名称：绍兴市财政局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地址：绍兴市越城区凤林西路151号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传真：0575-85209697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联系人 ：张婷婷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pPr>
              <w:kinsoku/>
              <w:wordWrap w:val="0"/>
              <w:overflowPunct/>
              <w:topLinePunct w:val="0"/>
              <w:bidi w:val="0"/>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00A8"/>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pPr>
              <w:kinsoku/>
              <w:wordWrap w:val="0"/>
              <w:overflowPunct/>
              <w:topLinePunct w:val="0"/>
              <w:autoSpaceDE w:val="0"/>
              <w:autoSpaceDN w:val="0"/>
              <w:bidi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pStyle w:val="80"/>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hAnsi="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sym w:font="Wingdings 2" w:char="00A3"/>
            </w:r>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sym w:font="Wingdings 2" w:char="0052"/>
            </w: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sym w:font="Wingdings 2" w:char="0052"/>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86寸智能交互一体机1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采购清单内所有货物（ 配件、辅料除外）</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工业  </w:t>
            </w:r>
            <w:r>
              <w:rPr>
                <w:rFonts w:hint="eastAsia" w:ascii="仿宋_GB2312" w:hAnsi="仿宋_GB2312" w:eastAsia="仿宋_GB2312" w:cs="仿宋_GB2312"/>
                <w:color w:val="auto"/>
                <w:kern w:val="0"/>
                <w:sz w:val="24"/>
                <w:highlight w:val="none"/>
              </w:rPr>
              <w:t>行业；</w:t>
            </w:r>
            <w:bookmarkStart w:id="53" w:name="_GoBack"/>
            <w:bookmarkEnd w:id="5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经查询列入失信被执行人名单、重大税收违法失信主体、政府采购严重违法失信行为记录名单的投标人将被拒绝参与政府采购活动。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23" w:name="_Hlt68403820"/>
      <w:bookmarkEnd w:id="23"/>
      <w:bookmarkStart w:id="24" w:name="_Hlt75236011"/>
      <w:bookmarkEnd w:id="24"/>
      <w:bookmarkStart w:id="25" w:name="_Hlt68072990"/>
      <w:bookmarkEnd w:id="25"/>
      <w:bookmarkStart w:id="26" w:name="_Hlt68057669"/>
      <w:bookmarkEnd w:id="26"/>
      <w:bookmarkStart w:id="27" w:name="_Hlt75236101"/>
      <w:bookmarkEnd w:id="27"/>
      <w:bookmarkStart w:id="28" w:name="_Hlt74730295"/>
      <w:bookmarkEnd w:id="28"/>
      <w:bookmarkStart w:id="29" w:name="_Hlt74707468"/>
      <w:bookmarkEnd w:id="29"/>
      <w:bookmarkStart w:id="30" w:name="_Hlt68073093"/>
      <w:bookmarkEnd w:id="30"/>
      <w:bookmarkStart w:id="31" w:name="_Hlt68072998"/>
      <w:bookmarkEnd w:id="31"/>
      <w:bookmarkStart w:id="32" w:name="_Hlt74729768"/>
      <w:bookmarkEnd w:id="32"/>
      <w:bookmarkStart w:id="33" w:name="_Hlt75236290"/>
      <w:bookmarkEnd w:id="33"/>
      <w:bookmarkStart w:id="34" w:name="_Hlt74714665"/>
      <w:bookmarkEnd w:id="34"/>
      <w:bookmarkStart w:id="35" w:name="第三部分"/>
      <w:bookmarkStart w:id="36" w:name="_Toc164416483"/>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kinsoku/>
        <w:wordWrap w:val="0"/>
        <w:overflowPunct/>
        <w:topLinePunct w:val="0"/>
        <w:bidi w:val="0"/>
        <w:rPr>
          <w:rFonts w:hint="eastAsia" w:ascii="仿宋_GB2312" w:hAnsi="仿宋_GB2312" w:eastAsia="仿宋_GB2312" w:cs="仿宋_GB2312"/>
          <w:color w:val="auto"/>
          <w:highlight w:val="none"/>
        </w:rPr>
      </w:pPr>
    </w:p>
    <w:p>
      <w:pPr>
        <w:pStyle w:val="131"/>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3"/>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4"/>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.3.2中小企业声明函</w:t>
      </w:r>
      <w:r>
        <w:rPr>
          <w:rFonts w:hint="eastAsia" w:ascii="仿宋_GB2312" w:hAnsi="仿宋_GB2312" w:eastAsia="仿宋_GB2312" w:cs="仿宋_GB2312"/>
          <w:color w:val="auto"/>
          <w:sz w:val="24"/>
          <w:highlight w:val="none"/>
          <w:lang w:eastAsia="zh-CN"/>
        </w:rPr>
        <w:t>（如有）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2.3.3 残疾人福利性单位声明函（如有）</w:t>
      </w:r>
    </w:p>
    <w:p>
      <w:pPr>
        <w:kinsoku/>
        <w:wordWrap w:val="0"/>
        <w:overflowPunct/>
        <w:topLinePunct w:val="0"/>
        <w:bidi w:val="0"/>
        <w:adjustRightInd w:val="0"/>
        <w:snapToGrid w:val="0"/>
        <w:spacing w:line="440" w:lineRule="exact"/>
        <w:ind w:firstLine="482"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pPr>
        <w:pStyle w:val="131"/>
        <w:kinsoku/>
        <w:wordWrap w:val="0"/>
        <w:overflowPunct/>
        <w:topLinePunct w:val="0"/>
        <w:bidi w:val="0"/>
        <w:snapToGrid w:val="0"/>
        <w:spacing w:before="0" w:line="440" w:lineRule="exact"/>
        <w:ind w:firstLine="482"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37"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9"/>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9"/>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37"/>
    <w:p>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38" w:name="_Toc81372776"/>
      <w:bookmarkStart w:id="39" w:name="_Toc84325929"/>
      <w:bookmarkStart w:id="40" w:name="_Toc81372953"/>
      <w:r>
        <w:rPr>
          <w:rFonts w:hint="eastAsia" w:ascii="仿宋_GB2312" w:hAnsi="仿宋_GB2312" w:eastAsia="仿宋_GB2312" w:cs="仿宋_GB2312"/>
          <w:b/>
          <w:color w:val="auto"/>
          <w:sz w:val="32"/>
          <w:szCs w:val="32"/>
          <w:highlight w:val="none"/>
        </w:rPr>
        <w:t>五、授予合同</w:t>
      </w:r>
    </w:p>
    <w:bookmarkEnd w:id="38"/>
    <w:bookmarkEnd w:id="39"/>
    <w:bookmarkEnd w:id="40"/>
    <w:p>
      <w:pPr>
        <w:pStyle w:val="19"/>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4"/>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p>
    <w:bookmarkEnd w:id="35"/>
    <w:bookmarkEnd w:id="36"/>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 w:hAnsi="仿宋" w:eastAsia="仿宋_GB2312" w:cs="仿宋"/>
          <w:b/>
          <w:color w:val="auto"/>
          <w:sz w:val="36"/>
          <w:szCs w:val="36"/>
          <w:highlight w:val="none"/>
          <w:lang w:eastAsia="zh-CN"/>
        </w:rPr>
      </w:pPr>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智能交互一体机采购项目</w:t>
      </w:r>
    </w:p>
    <w:p>
      <w:pPr>
        <w:pStyle w:val="799"/>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一、货物清单及技术要求</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026"/>
        <w:gridCol w:w="5898"/>
        <w:gridCol w:w="599"/>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41" w:type="pct"/>
            <w:vAlign w:val="center"/>
          </w:tcPr>
          <w:p>
            <w:pPr>
              <w:spacing w:line="288" w:lineRule="auto"/>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序号</w:t>
            </w:r>
          </w:p>
        </w:tc>
        <w:tc>
          <w:tcPr>
            <w:tcW w:w="609" w:type="pct"/>
            <w:vAlign w:val="center"/>
          </w:tcPr>
          <w:p>
            <w:pPr>
              <w:spacing w:line="288" w:lineRule="auto"/>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设备名称</w:t>
            </w:r>
          </w:p>
        </w:tc>
        <w:tc>
          <w:tcPr>
            <w:tcW w:w="3466" w:type="pct"/>
            <w:vAlign w:val="center"/>
          </w:tcPr>
          <w:p>
            <w:pPr>
              <w:spacing w:line="288" w:lineRule="auto"/>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技术参数</w:t>
            </w:r>
          </w:p>
        </w:tc>
        <w:tc>
          <w:tcPr>
            <w:tcW w:w="358" w:type="pct"/>
            <w:vAlign w:val="center"/>
          </w:tcPr>
          <w:p>
            <w:pPr>
              <w:spacing w:line="288" w:lineRule="auto"/>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数量</w:t>
            </w:r>
          </w:p>
        </w:tc>
        <w:tc>
          <w:tcPr>
            <w:tcW w:w="323" w:type="pct"/>
            <w:vAlign w:val="center"/>
          </w:tcPr>
          <w:p>
            <w:pPr>
              <w:spacing w:line="288" w:lineRule="auto"/>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241" w:type="pct"/>
            <w:vAlign w:val="center"/>
          </w:tcPr>
          <w:p>
            <w:pPr>
              <w:spacing w:line="288"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609" w:type="pct"/>
            <w:shd w:val="clear" w:color="auto" w:fill="auto"/>
            <w:vAlign w:val="center"/>
          </w:tcPr>
          <w:p>
            <w:pPr>
              <w:pStyle w:val="964"/>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86寸智能交互一体机1</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核心产品</w:t>
            </w:r>
            <w:r>
              <w:rPr>
                <w:rFonts w:hint="eastAsia" w:ascii="仿宋_GB2312" w:hAnsi="仿宋_GB2312" w:eastAsia="仿宋_GB2312" w:cs="仿宋_GB2312"/>
                <w:b/>
                <w:bCs/>
                <w:color w:val="auto"/>
                <w:sz w:val="24"/>
                <w:szCs w:val="24"/>
                <w:highlight w:val="none"/>
                <w:lang w:eastAsia="zh-CN"/>
              </w:rPr>
              <w:t>）</w:t>
            </w:r>
          </w:p>
        </w:tc>
        <w:tc>
          <w:tcPr>
            <w:tcW w:w="3466" w:type="pct"/>
          </w:tcPr>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一、整体设计</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1、整机采用一体化设计，外部无任何可见内部功能模块连接线。整机采用全金属外壳设计，边角采用弧形设计，表面无尖锐边缘或凸起。</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2、整机屏幕边缘采用金属圆角包边防护，整机背板采用金属材质，有效屏蔽内部电路器件辐射；防潮耐盐雾蚀锈，适应多种教学环境。</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★3、整机屏幕采用≥86英寸液晶显示器。</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4、整机采用UHD超高清LED液晶屏，显示比例16:9，分辨率≥3840*2160。</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5、灰度等级≥256级。</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6、触控一体机表面使用钢化玻璃，表面硬度≥9H，接近钻石硬度，有效保护教师及学生授课安全。</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7、整机采用硬件低蓝光背光技术，还原真实教学色彩的同时有效降低蓝光和保护教师。</w:t>
            </w:r>
          </w:p>
          <w:p>
            <w:pPr>
              <w:pStyle w:val="964"/>
              <w:jc w:val="both"/>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color w:val="auto"/>
                <w:sz w:val="24"/>
                <w:szCs w:val="24"/>
                <w:highlight w:val="none"/>
              </w:rPr>
              <w:t>▲8、整机嵌入式芯片内置2TOPS AI算力，可用于教学上的AI图像、音频处理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rPr>
              <w:t>需提供第三方检测机构所出具的检测报告并加盖投标人公章</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二、硬件设计</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1、整机内置音箱顶置朝前发声，2.2声道扬声器，额定总功率</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60W。</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2、整机支持高级音效设置、左右声道平衡、可根据实际需要设置不同频段调节功能，以满足不同课程授课声音还原需求。</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3、整机内置非独立外扩展的4阵列麦克风，可用于对教室环境音频进行采集，拾音距离≥12m。</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4、整机无需外接无线网卡，在Windows系统下可实现Wi-Fi无线上网连接、AP无线热点发射和BT蓝牙连接功能。</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5、Wi-Fi和AP热点工作距离≥12m。</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6、整机支持蓝牙Bluetooth 5.4</w:t>
            </w:r>
            <w:r>
              <w:rPr>
                <w:rFonts w:hint="eastAsia" w:ascii="仿宋_GB2312" w:hAnsi="仿宋_GB2312" w:eastAsia="仿宋_GB2312" w:cs="仿宋_GB2312"/>
                <w:color w:val="auto"/>
                <w:sz w:val="24"/>
                <w:szCs w:val="24"/>
                <w:highlight w:val="none"/>
                <w:lang w:val="en-US" w:eastAsia="zh-CN"/>
              </w:rPr>
              <w:t>及以上</w:t>
            </w:r>
            <w:r>
              <w:rPr>
                <w:rFonts w:hint="eastAsia" w:ascii="仿宋_GB2312" w:hAnsi="仿宋_GB2312" w:eastAsia="仿宋_GB2312" w:cs="仿宋_GB2312"/>
                <w:color w:val="auto"/>
                <w:sz w:val="24"/>
                <w:szCs w:val="24"/>
                <w:highlight w:val="none"/>
              </w:rPr>
              <w:t>标准，电脑端支持主动发现蓝牙外设从而连接（无需整机进入发现模式），支持连接外部蓝牙音箱播放音频。</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7、整机无需外接无线网卡，在Windows系统下接入无线网络，切换到嵌入式Android系统下可直接实现无线上网功能，不需手动重复设置。</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8、为提升传输速率和降低能耗，整机支持Wi-Fi6</w:t>
            </w:r>
            <w:r>
              <w:rPr>
                <w:rFonts w:hint="eastAsia" w:ascii="仿宋_GB2312" w:hAnsi="仿宋_GB2312" w:eastAsia="仿宋_GB2312" w:cs="仿宋_GB2312"/>
                <w:color w:val="auto"/>
                <w:sz w:val="24"/>
                <w:szCs w:val="24"/>
                <w:highlight w:val="none"/>
                <w:lang w:val="en-US" w:eastAsia="zh-CN"/>
              </w:rPr>
              <w:t>及以上</w:t>
            </w:r>
            <w:r>
              <w:rPr>
                <w:rFonts w:hint="eastAsia" w:ascii="仿宋_GB2312" w:hAnsi="仿宋_GB2312" w:eastAsia="仿宋_GB2312" w:cs="仿宋_GB2312"/>
                <w:color w:val="auto"/>
                <w:sz w:val="24"/>
                <w:szCs w:val="24"/>
                <w:highlight w:val="none"/>
              </w:rPr>
              <w:t>；Wi-Fi及AP热点支持频段2.4GHz/5GHz。</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9、同一电源物理按键完成开机、节能熄屏、关机操作。</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10、整机具备前置按键，可实现老师开关机、调出中控菜单、音量+/-、护眼、录屏的操作。</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11、支持护眼模式，可通过前置面板物理功能按键一键启用护眼模式。</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12、支持录课模式，可通过前置面板物理功能按键一键启用录课模式（屏幕及人声需同步采集）。</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13、侧置输入接口具备≥2路HDMI、≥1路RS232；侧置输出接口具备≥1路音频、≥1路触控USB；前置输入接口具备≥3路USB接口（包含至少1路Type-C、2路USB）。</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14、整机具备前置Type-C接口，通过Type-C接口可实现与外部电脑的触摸信号及音视频输入。</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15、整机具备抗振动、防跌落特性，保证整机运输或使用过程中不易受损。</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16、整机书写面板采用防眩光全钢化防爆玻璃面板，面板的碎片状态、抗冲击性、霰弹袋冲击性能、耐热冲击性能均通过国家强制玻璃标准，表面应力≥100Mpa，适应学校复杂环境，保障教学安全。</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17、整机上边框内置非独立摄像头，采用一体化集成设计，可拍摄≥1300万像素数的照片，可拍摄输出≥4K分辨率的视频，摄像头对角线视场角≥120度。</w:t>
            </w:r>
          </w:p>
          <w:p>
            <w:pPr>
              <w:pStyle w:val="964"/>
              <w:jc w:val="both"/>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color w:val="auto"/>
                <w:sz w:val="24"/>
                <w:szCs w:val="24"/>
                <w:highlight w:val="none"/>
              </w:rPr>
              <w:t>▲18、符合学校个性化需求，设备多个前置按键支持自定义设置，可设置启用批注、截屏、计时、降半屏、放大镜、倒数日、纸质护眼模式、课堂智能反馈等功能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rPr>
              <w:t>需提供第三方检测机构所出具的检测报告并加盖投标人公章</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19</w:t>
            </w:r>
            <w:r>
              <w:rPr>
                <w:rFonts w:hint="eastAsia" w:ascii="仿宋_GB2312" w:hAnsi="仿宋_GB2312" w:eastAsia="仿宋_GB2312" w:cs="仿宋_GB2312"/>
                <w:color w:val="auto"/>
                <w:sz w:val="24"/>
                <w:szCs w:val="24"/>
                <w:highlight w:val="none"/>
              </w:rPr>
              <w:t>、整机内置中控菜单及侧边栏菜单，方便教师进行应用切换、信号源通道切换、教学工具调用、整机调节等操作。</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20</w:t>
            </w:r>
            <w:r>
              <w:rPr>
                <w:rFonts w:hint="eastAsia" w:ascii="仿宋_GB2312" w:hAnsi="仿宋_GB2312" w:eastAsia="仿宋_GB2312" w:cs="仿宋_GB2312"/>
                <w:color w:val="auto"/>
                <w:sz w:val="24"/>
                <w:szCs w:val="24"/>
                <w:highlight w:val="none"/>
              </w:rPr>
              <w:t>、整机支持sRGB模式，在sRGB模式下可做到高色准△E≤1.0。</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21</w:t>
            </w:r>
            <w:r>
              <w:rPr>
                <w:rFonts w:hint="eastAsia" w:ascii="仿宋_GB2312" w:hAnsi="仿宋_GB2312" w:eastAsia="仿宋_GB2312" w:cs="仿宋_GB2312"/>
                <w:color w:val="auto"/>
                <w:sz w:val="24"/>
                <w:szCs w:val="24"/>
                <w:highlight w:val="none"/>
              </w:rPr>
              <w:t>、整机系统支持人工智能画质调节模式，启用后当屏幕出现人物、建筑、夜景等元素时，自动调整画质参数；支持人工智能空间感知音效模式，通过内置麦克风采集环境声音自动生成符合当前环境的音量、音效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rPr>
              <w:t>需提供第三方检测机构所出具的检测报告并加盖投标人公章</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rPr>
              <w:t>。</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三、主要功能</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1、部署单根网线可实现Android、Windows双系统有线网络连通。</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2、整机可通过前置物理按键快捷进行系统还原，无需额外工具辅助。</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3、支持降半屏功能，降半屏后依然可以正常触控操作Windows系统；可一键退出该模式。</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4、支持外接信号输入时自动唤醒功能，整机处于关机通电状态，外接电脑显示信号通过HDMI传输线连接至整机时，整机可智能识别外接电脑设备信号输入并自动开机。</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5、整机内置专业硬件自检维护工具（非第三方工具），支持对触摸框和PC模块进行检测，并针对不同模块给出问题代码提示。</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6、当整机处于黑暗环境中并无人操作，一分钟后整机将可以自动进入熄屏模式。</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7、支持将自定义图片设置为开机画面。</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8、整机具备供电保护模块，能够检测内置电脑是否插好在位，在内置电脑未在位的情况下，内置电脑无法上电工作。</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9、支持云端在线系统固件升级。</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四、触摸系统</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1、采用红外触控方式，支持Windows系统中进行40点或以上触控，支持在Android系统中进行40点或以上触控。</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2、从内部Android通道切换到内部PC通道后，触摸框在1s内达到可触控状态。从内部PC通道切换到外部通道后，触摸框在3s内达到可触控状态。</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3、触摸屏在照度100K LUX（勒克斯）环境下仍能正常工作。</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b/>
                <w:bCs/>
                <w:color w:val="auto"/>
                <w:sz w:val="24"/>
                <w:szCs w:val="24"/>
                <w:highlight w:val="none"/>
              </w:rPr>
              <w:t>五、嵌入式系统</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1、嵌入式系统版本不低于Android 14，内存≥2GB，存储空间≥8GB。</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2、无PC状态下，嵌入式Android操作系统下可使用白板书写、WPS软件和网页浏览。</w:t>
            </w:r>
          </w:p>
          <w:p>
            <w:pPr>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六、电脑模块</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采用按压式卡扣锁紧机构，无需工具即可快速拆卸电脑模块;</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计算机模块可推拉式插入整机，可实现无单独接线的插拔;</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★3.CPU采用国产自主可控CPU，配置性能不低于海光3号系列处理器，工作主频≥2.8GHz;</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支持≥8个物理内核和≥16个线程；</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兼容独显;</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配置≥16GB内存;</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支持固态硬盘≥512GB，兼容M.2接口（NVMe格式）和SATA3.0；</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预装正版国产操作系统；</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提供类似Windows桌面操作系统的图形化人机操作UI界面，窗口包括变标题栏、菜单栏、状态栏等。</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具有独立非外拓展的电脑USB接口；</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至少具有3个USB3.0接口，至少具有1个USB2.0接口；至少具有1个HDMI out 接口；至少具有一个RJ45接口；</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具有标准的PC防盗锁孔，确保电脑模块防盗;</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和整机的连接采用万兆级网口，传输速率≥10Gbps;</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和整机的连接接口针脚数≤40pin，尺寸≤28.1mm * 5.3mm；</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至少支持1个音频接口，至少1个3.5mm mic接口。</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支持至少1个独立针孔物理按键。</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模块支持至少2个指示灯，红色亮起表示模块通电；绿色闪烁表示模块工作。</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七、一体机整机需原厂保修：≥3年</w:t>
            </w:r>
          </w:p>
        </w:tc>
        <w:tc>
          <w:tcPr>
            <w:tcW w:w="358" w:type="pct"/>
            <w:vAlign w:val="center"/>
          </w:tcPr>
          <w:p>
            <w:pPr>
              <w:spacing w:line="288"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323" w:type="pct"/>
            <w:vAlign w:val="center"/>
          </w:tcPr>
          <w:p>
            <w:pPr>
              <w:spacing w:line="288"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41" w:type="pct"/>
            <w:vAlign w:val="center"/>
          </w:tcPr>
          <w:p>
            <w:pPr>
              <w:spacing w:line="288"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609" w:type="pct"/>
            <w:shd w:val="clear" w:color="auto" w:fill="auto"/>
            <w:vAlign w:val="center"/>
          </w:tcPr>
          <w:p>
            <w:pPr>
              <w:pStyle w:val="964"/>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86寸智能交互一体机2</w:t>
            </w:r>
          </w:p>
        </w:tc>
        <w:tc>
          <w:tcPr>
            <w:tcW w:w="3466" w:type="pct"/>
          </w:tcPr>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一、整体设计</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1、整机采用一体化设计，外部无任何可见内部功能模块连接线。整机采用全金属外壳设计，边角采用弧形设计，表面无尖锐边缘或凸起。</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2、整机屏幕边缘采用金属圆角包边防护，整机背板采用金属材质，有效屏蔽内部电路器件辐射；防潮耐盐雾蚀锈，适应多种教学环境。</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★3、整机屏幕采用≥86英寸液晶显示器。</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4、整机采用UHD超高清LED液晶屏，显示比例16:9，分辨率≥3840*2160。</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5、灰度等级≥256级。</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6、触控一体机表面使用钢化玻璃，表面硬度≥9H，接近钻石硬度，有效保护教师及学生授课安全。</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7、整机采用硬件低蓝光背光技术，还原真实教学色彩的同时有效降低蓝光和保护教师。</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▲8、整机嵌入式芯片内置2TOPS AI算力，可用于教学上的AI图像、音频处理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rPr>
              <w:t>需提供第三方检测机构所出具的检测报告并加盖投标人公章</w:t>
            </w:r>
            <w:r>
              <w:rPr>
                <w:rFonts w:hint="eastAsia" w:ascii="仿宋_GB2312" w:hAnsi="仿宋_GB2312" w:eastAsia="仿宋_GB2312" w:cs="仿宋_GB2312"/>
                <w:color w:val="auto"/>
                <w:sz w:val="24"/>
                <w:szCs w:val="24"/>
                <w:highlight w:val="none"/>
                <w:lang w:eastAsia="zh-CN"/>
              </w:rPr>
              <w:t>）。</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二、硬件设计</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1、整机内置音箱顶置朝前发声，2.2声道扬声器，额定总功率</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60W。</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2、整机支持高级音效设置、左右声道平衡、可根据实际需要设置不同频段调节功能，以满足不同课程授课声音还原需求。</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3、整机内置非独立外扩展的4阵列麦克风，可用于对教室环境音频进行采集，拾音距离≥12m。</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4、整机无需外接无线网卡，在Windows系统下可实现Wi-Fi无线上网连接、AP无线热点发射和BT蓝牙连接功能。</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5、Wi-Fi和AP热点工作距离≥12m。</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6、整机支持蓝牙Bluetooth 5.4</w:t>
            </w:r>
            <w:r>
              <w:rPr>
                <w:rFonts w:hint="eastAsia" w:ascii="仿宋_GB2312" w:hAnsi="仿宋_GB2312" w:eastAsia="仿宋_GB2312" w:cs="仿宋_GB2312"/>
                <w:color w:val="auto"/>
                <w:sz w:val="24"/>
                <w:szCs w:val="24"/>
                <w:highlight w:val="none"/>
                <w:lang w:val="en-US" w:eastAsia="zh-CN"/>
              </w:rPr>
              <w:t>及以上</w:t>
            </w:r>
            <w:r>
              <w:rPr>
                <w:rFonts w:hint="eastAsia" w:ascii="仿宋_GB2312" w:hAnsi="仿宋_GB2312" w:eastAsia="仿宋_GB2312" w:cs="仿宋_GB2312"/>
                <w:color w:val="auto"/>
                <w:sz w:val="24"/>
                <w:szCs w:val="24"/>
                <w:highlight w:val="none"/>
              </w:rPr>
              <w:t>标准，电脑端支持主动发现蓝牙外设从而连接（无需整机进入发现模式），支持连接外部蓝牙音箱播放音频。</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7、整机无需外接无线网卡，在Windows系统下接入无线网络，切换到嵌入式Android系统下可直接实现无线上网功能，不需手动重复设置。</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8、为提升传输速率和降低能耗，整机支持Wi-Fi6</w:t>
            </w:r>
            <w:r>
              <w:rPr>
                <w:rFonts w:hint="eastAsia" w:ascii="仿宋_GB2312" w:hAnsi="仿宋_GB2312" w:eastAsia="仿宋_GB2312" w:cs="仿宋_GB2312"/>
                <w:color w:val="auto"/>
                <w:sz w:val="24"/>
                <w:szCs w:val="24"/>
                <w:highlight w:val="none"/>
                <w:lang w:val="en-US" w:eastAsia="zh-CN"/>
              </w:rPr>
              <w:t>及以上</w:t>
            </w:r>
            <w:r>
              <w:rPr>
                <w:rFonts w:hint="eastAsia" w:ascii="仿宋_GB2312" w:hAnsi="仿宋_GB2312" w:eastAsia="仿宋_GB2312" w:cs="仿宋_GB2312"/>
                <w:color w:val="auto"/>
                <w:sz w:val="24"/>
                <w:szCs w:val="24"/>
                <w:highlight w:val="none"/>
              </w:rPr>
              <w:t>；Wi-Fi及AP热点支持频段2.4GHz/5GHz。</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9、同一电源物理按键完成开机、节能熄屏、关机操作。</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10、整机具备前置按键，可实现老师开关机、调出中控菜单、音量+/-、护眼、录屏的操作。</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11、支持护眼模式，可通过前置面板物理功能按键一键启用护眼模式。</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12、支持录课模式，可通过前置面板物理功能按键一键启用录课模式（屏幕及人声需同步采集）。</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13、侧置输入接口具备≥2路HDMI、≥1路RS232；侧置输出接口具备≥1路音频、≥1路触控USB；前置输入接口具备≥3路USB接口（包含至少1路Type-C、2路USB）。</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14、整机具备前置Type-C接口，通过Type-C接口可实现与外部电脑的触摸信号及音视频输入。</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15、整机具备抗振动、防跌落特性，保证整机运输或使用过程中不易受损。</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16、整机书写面板采用防眩光全钢化防爆玻璃面板，面板的碎片状态、抗冲击性、霰弹袋冲击性能、耐热冲击性能均通过国家强制玻璃标准，表面应力≥100Mpa，适应学校复杂环境，保障教学安全。</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17、整机上边框内置非独立摄像头，采用一体化集成设计，可拍摄≥1300万像素数的照片，可拍摄输出≥4K分辨率的视频，摄像头对角线视场角≥120度。</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▲18、符合学校个性化需求，设备多个前置按键支持自定义设置，可设置启用批注、截屏、计时、降半屏、放大镜、倒数日、纸质护眼模式、课堂智能反馈等功能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rPr>
              <w:t>需提供第三方检测机构所出具的检测报告并加盖投标人公章</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rPr>
              <w:t>。</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19</w:t>
            </w:r>
            <w:r>
              <w:rPr>
                <w:rFonts w:hint="eastAsia" w:ascii="仿宋_GB2312" w:hAnsi="仿宋_GB2312" w:eastAsia="仿宋_GB2312" w:cs="仿宋_GB2312"/>
                <w:color w:val="auto"/>
                <w:sz w:val="24"/>
                <w:szCs w:val="24"/>
                <w:highlight w:val="none"/>
              </w:rPr>
              <w:t>、整机内置中控菜单及侧边栏菜单，方便教师进行应用切换、信号源通道切换、教学工具调用、整机调节等操作。</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20</w:t>
            </w:r>
            <w:r>
              <w:rPr>
                <w:rFonts w:hint="eastAsia" w:ascii="仿宋_GB2312" w:hAnsi="仿宋_GB2312" w:eastAsia="仿宋_GB2312" w:cs="仿宋_GB2312"/>
                <w:color w:val="auto"/>
                <w:sz w:val="24"/>
                <w:szCs w:val="24"/>
                <w:highlight w:val="none"/>
              </w:rPr>
              <w:t>、整机支持sRGB模式，在sRGB模式下可做到高色准△E≤1.0。</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21</w:t>
            </w:r>
            <w:r>
              <w:rPr>
                <w:rFonts w:hint="eastAsia" w:ascii="仿宋_GB2312" w:hAnsi="仿宋_GB2312" w:eastAsia="仿宋_GB2312" w:cs="仿宋_GB2312"/>
                <w:color w:val="auto"/>
                <w:sz w:val="24"/>
                <w:szCs w:val="24"/>
                <w:highlight w:val="none"/>
              </w:rPr>
              <w:t>、整机系统支持人工智能画质调节模式，启用后当屏幕出现人物、建筑、夜景等元素时，自动调整画质参数；支持人工智能空间感知音效模式，通过内置麦克风采集环境声音自动生成符合当前环境的音量、音效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rPr>
              <w:t>需提供第三方检测机构所出具的检测报告并加盖投标人公章</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rPr>
              <w:t>。</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三、主要功能</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1、部署单根网线可实现Android、Windows双系统有线网络连通。</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2、整机可通过前置物理按键快捷进行系统还原，无需额外工具辅助。</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3、支持降半屏功能，降半屏后依然可以正常触控操作Windows系统；可一键退出该模式。</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4、支持外接信号输入时自动唤醒功能，整机处于关机通电状态，外接电脑显示信号通过HDMI传输线连接至整机时，整机可智能识别外接电脑设备信号输入并自动开机。</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5、整机内置专业硬件自检维护工具（非第三方工具），支持对触摸框和PC模块进行检测，并针对不同模块给出问题代码提示。</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6、当整机处于黑暗环境中并无人操作，一分钟后整机将可以自动进入熄屏模式。</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7、支持将自定义图片设置为开机画面。</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8、整机具备供电保护模块，能够检测内置电脑是否插好在位，在内置电脑未在位的情况下，内置电脑无法上电工作。</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9、支持云端在线系统固件升级。</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四、触摸系统</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1、采用红外触控方式，支持Windows系统中进行40点或以上触控，支持在Android系统中进行40点或以上触控。</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2、从内部Android通道切换到内部PC通道后，触摸框在1s内达到可触控状态。从内部PC通道切换到外部通道后，触摸框在3s内达到可触控状态。</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3、触摸屏在照度100K LUX（勒克斯）环境下仍能正常工作。</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b/>
                <w:bCs/>
                <w:color w:val="auto"/>
                <w:sz w:val="24"/>
                <w:szCs w:val="24"/>
                <w:highlight w:val="none"/>
              </w:rPr>
              <w:t>五、嵌入式系统</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1、嵌入式系统版本不低于Android 14，内存≥2GB，存储空间≥8GB。</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2、无PC状态下，嵌入式Android操作系统下可使用白板书写、WPS软件和网页浏览。</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六、内置</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1、采用模块化电脑方案，抽拉内置式，PC模块可完全插入整机，保护PC模块不易受教室灰尘影响，PC模块可抽拉式插入整机，可实现无单独接线的插拔。</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2、PC和整机的连接采用万兆级接口，传输速率≥10Gbps。 </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3、采用按压式卡扣，无需工具即可快速拆卸电脑模块。</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▲4、CPU：性能要求</w:t>
            </w:r>
            <w:r>
              <w:rPr>
                <w:rFonts w:hint="eastAsia" w:ascii="仿宋_GB2312" w:hAnsi="仿宋_GB2312" w:eastAsia="仿宋_GB2312" w:cs="仿宋_GB2312"/>
                <w:color w:val="auto"/>
                <w:sz w:val="24"/>
                <w:szCs w:val="24"/>
                <w:highlight w:val="none"/>
                <w:lang w:val="en-US" w:eastAsia="zh-CN"/>
              </w:rPr>
              <w:t>不低于</w:t>
            </w:r>
            <w:r>
              <w:rPr>
                <w:rFonts w:hint="eastAsia" w:ascii="仿宋_GB2312" w:hAnsi="仿宋_GB2312" w:eastAsia="仿宋_GB2312" w:cs="仿宋_GB2312"/>
                <w:color w:val="auto"/>
                <w:sz w:val="24"/>
                <w:szCs w:val="24"/>
                <w:highlight w:val="none"/>
              </w:rPr>
              <w:t>Intel 酷睿系列i5十二代；</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5、内存：≥16GB DDR4内存配置；</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▲6、硬盘：≥512GB M.2 固态硬盘；</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7、具有独立非外扩展的视频输出接口：≥1路HDMI，具有独立非外扩展的电脑USB接口：≥3路USB。</w:t>
            </w:r>
          </w:p>
          <w:p>
            <w:pPr>
              <w:pStyle w:val="964"/>
              <w:jc w:val="both"/>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8、在配置管理平台使用终端设备时，支持统一互通的用户身份认证服务，账号登录进入云桌面镜像后，打开教学白板软件、学生行为评价软件的教学应用工具时无需再次输入账号密码重复登录。</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9、支持当使用桌面镜像功能时发生系统无法启动、系统异常等情况，可通过手势在屏幕上调取触摸中控菜单，进行系统恢复至出厂默认状态，无需连接网络、无需连接管理平台、无需额外工具辅助</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rPr>
              <w:t>需提供第三方检测机构所出具的检测报告并加盖投标人公章</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rPr>
              <w:t>。</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、支持交互大屏在系统恢复后，公共数据分区（如D盘等非系统分区）的数据能够得到保留，不受还原影响，从而不影响教学使用。</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、支持诊断网络，支持检测与管理平台的通讯状态，支持TCP延迟、ICMP延迟、上传下载速度检测。</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、支持终端设备运行时无需运行独立的虚拟化系统，终端设备配置的IP与进入云桌面镜像后的IP能够保持一致，同一个终端无需使用多个IP，简化运维管理与网络规划复杂度</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rPr>
              <w:t>需提供第三方检测机构所出具的检测报告并加盖投标人公章</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p>
          <w:p>
            <w:pPr>
              <w:widowControl/>
              <w:adjustRightInd/>
              <w:spacing w:line="288" w:lineRule="auto"/>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13</w:t>
            </w:r>
            <w:r>
              <w:rPr>
                <w:rFonts w:hint="eastAsia" w:ascii="仿宋_GB2312" w:hAnsi="仿宋_GB2312" w:eastAsia="仿宋_GB2312" w:cs="仿宋_GB2312"/>
                <w:color w:val="auto"/>
                <w:kern w:val="0"/>
                <w:sz w:val="24"/>
                <w:szCs w:val="24"/>
                <w:highlight w:val="none"/>
              </w:rPr>
              <w:t>、预装正版Windows11，提供微软的正版Windows序列号等能够证明正版Windows的相关材料。</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七、一体机整机需原厂保修：≥3年</w:t>
            </w:r>
          </w:p>
        </w:tc>
        <w:tc>
          <w:tcPr>
            <w:tcW w:w="358" w:type="pct"/>
            <w:vAlign w:val="center"/>
          </w:tcPr>
          <w:p>
            <w:pPr>
              <w:spacing w:line="288"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w:t>
            </w:r>
          </w:p>
        </w:tc>
        <w:tc>
          <w:tcPr>
            <w:tcW w:w="323" w:type="pct"/>
            <w:vAlign w:val="center"/>
          </w:tcPr>
          <w:p>
            <w:pPr>
              <w:spacing w:line="288"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41" w:type="pct"/>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609" w:type="pct"/>
            <w:shd w:val="clear" w:color="auto" w:fill="auto"/>
            <w:vAlign w:val="center"/>
          </w:tcPr>
          <w:p>
            <w:pPr>
              <w:widowControl/>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左右推拉搪瓷绿板</w:t>
            </w:r>
          </w:p>
        </w:tc>
        <w:tc>
          <w:tcPr>
            <w:tcW w:w="3466" w:type="pct"/>
            <w:vAlign w:val="center"/>
          </w:tcPr>
          <w:p>
            <w:pPr>
              <w:widowControl/>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左右推拉双层结构， (内置轨道,外框和轨道一体化设计)；基本尺寸约：外径4100*1300cm，设备四开居中安装，需保证与电子白板或交互式一体机物理尺寸有效对接；并可根据一体机实际尺寸进行调整；</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板面材料：厚度≥0.4mm搪瓷白板；</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芯板材质：采用高强度纸蜂窝板材，铝箔边长</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5mm，厚度≥0.04mm铝蜂窝芯；</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底板：</w:t>
            </w:r>
            <w:r>
              <w:rPr>
                <w:rFonts w:hint="eastAsia" w:ascii="仿宋_GB2312" w:hAnsi="仿宋_GB2312" w:eastAsia="仿宋_GB2312" w:cs="仿宋_GB2312"/>
                <w:color w:val="auto"/>
                <w:sz w:val="24"/>
                <w:szCs w:val="24"/>
                <w:highlight w:val="none"/>
                <w:lang w:val="en-US" w:eastAsia="zh-CN"/>
              </w:rPr>
              <w:t>厚度≥</w:t>
            </w:r>
            <w:r>
              <w:rPr>
                <w:rFonts w:hint="eastAsia" w:ascii="仿宋_GB2312" w:hAnsi="仿宋_GB2312" w:eastAsia="仿宋_GB2312" w:cs="仿宋_GB2312"/>
                <w:color w:val="auto"/>
                <w:sz w:val="24"/>
                <w:szCs w:val="24"/>
                <w:highlight w:val="none"/>
              </w:rPr>
              <w:t>0.3的镀锌板</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板厚：≥15mm；单位面积抗压：</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0.8MPa；</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耐擦拭性：一般的水性白板笔都可以用干布擦拭，油性白板笔书写可用对应的清洁剂擦拭，板面不会被腐蚀，留痕；</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抗腐蚀：甲苯、丁酮、酒精、油脂、石油、乙酸乙酯、二甲苯等几种常见腐蚀剂浸泡1小时，无变化；</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耐用寿命：≥10年。</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边框：整体采用豪华高强度工业电泳亚光香槟色铝合金；横立框采用双层加强结构，厚</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1.1㎜.（符合质量检测GB/T 5237.2-2017标准） 耐盐雾腐蚀性能≥9级，</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10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书写板轨道及滑轮：采用一体化平行对称双U形槽轨道,支持活动板T型垂直吊装，滑轮数目</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4组12个；使活动板活动状态下受力均匀,承重轮采用钢制工字形双轴承4轮组合滑轮组,特制聚酯材料滑轮(需标准安装2组)，每块移动黑板下框两侧都安装优质一体化定向滑轮组，(符合质量检验JG/T 129-2017标准)</w:t>
            </w:r>
          </w:p>
        </w:tc>
        <w:tc>
          <w:tcPr>
            <w:tcW w:w="358" w:type="pct"/>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323" w:type="pct"/>
            <w:vAlign w:val="center"/>
          </w:tcPr>
          <w:p>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41" w:type="pct"/>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609" w:type="pct"/>
            <w:shd w:val="clear" w:color="auto" w:fill="auto"/>
            <w:vAlign w:val="center"/>
          </w:tcPr>
          <w:p>
            <w:pPr>
              <w:widowControl/>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无线键鼠</w:t>
            </w:r>
          </w:p>
        </w:tc>
        <w:tc>
          <w:tcPr>
            <w:tcW w:w="3466" w:type="pct"/>
            <w:vAlign w:val="center"/>
          </w:tcPr>
          <w:p>
            <w:pPr>
              <w:widowControl/>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无线套装</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2.4GHZ无线技术，</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11个快捷键，</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104个键位，分辨率：</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1000DPI。</w:t>
            </w:r>
          </w:p>
        </w:tc>
        <w:tc>
          <w:tcPr>
            <w:tcW w:w="358" w:type="pct"/>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68</w:t>
            </w:r>
          </w:p>
        </w:tc>
        <w:tc>
          <w:tcPr>
            <w:tcW w:w="323" w:type="pct"/>
            <w:vAlign w:val="center"/>
          </w:tcPr>
          <w:p>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41" w:type="pct"/>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609" w:type="pct"/>
            <w:shd w:val="clear" w:color="auto" w:fill="auto"/>
            <w:vAlign w:val="center"/>
          </w:tcPr>
          <w:p>
            <w:pPr>
              <w:widowControl/>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校园设备管理系统</w:t>
            </w:r>
          </w:p>
        </w:tc>
        <w:tc>
          <w:tcPr>
            <w:tcW w:w="3466" w:type="pct"/>
            <w:vAlign w:val="center"/>
          </w:tcPr>
          <w:p>
            <w:pPr>
              <w:widowControl/>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1、后台控制端采用B/S架构设计，可在Windows、Linux、Android、IOS等多种不同的操作系统上通过网页浏览器登陆进行操作，可控制在局域网或互联网内的一体机终端设备。</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2、校园集控系统拥有专属代码，一体机设备只需接入互联网，并在受控端输入该代码进行连接，管理员即可在后台对设备进行远程管理。</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3、可在一体机桌面查看设备基本信息，如：尺寸、分辨率、系统、CPU、安卓版本等信息，方便授课老师管理设备。</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4、支持按照一体机安装的年级、班级，设置教室受控端的名称，方便管理员对应管理。</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5、远程监控：在控制端网页可实时监控已连接的一体机，可远程查看开关机状态、使用状态评估、整机温度、以及系统内存、硬盘空间等设备信息。</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6、远程设备控制：在控制端网页可对已连接的一体机进行实时控制，包括开关机、切换通道、更改图像及声音模式、锁屏等功能。</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7、区域设备管理：区域控制端可实时监控区域内已连接的一体机开关机状态，并可实时同步查看其桌面画面。</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8、一体机在内置电脑或外置电脑模式下都可实现集控功能。</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9、以上所有功能操作需在同一软件平台上实现，且需保证校园集控系统与交互智能一体机设备为同一厂家，以保证软件稳定性。</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10、为保证管理的安全易用性，须和一体机同一品牌不接受第三方品牌。</w:t>
            </w:r>
          </w:p>
        </w:tc>
        <w:tc>
          <w:tcPr>
            <w:tcW w:w="358" w:type="pct"/>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58</w:t>
            </w:r>
          </w:p>
        </w:tc>
        <w:tc>
          <w:tcPr>
            <w:tcW w:w="323" w:type="pct"/>
            <w:vAlign w:val="center"/>
          </w:tcPr>
          <w:p>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1" w:type="pct"/>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609" w:type="pct"/>
            <w:shd w:val="clear" w:color="auto" w:fill="auto"/>
            <w:vAlign w:val="center"/>
          </w:tcPr>
          <w:p>
            <w:pPr>
              <w:widowControl/>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线材及安装调试</w:t>
            </w:r>
          </w:p>
        </w:tc>
        <w:tc>
          <w:tcPr>
            <w:tcW w:w="3466" w:type="pct"/>
            <w:vAlign w:val="center"/>
          </w:tcPr>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1、提供与智能手机、平板与一体机HDMI线、音频连接、电源线、控制线等辅材。</w:t>
            </w:r>
          </w:p>
          <w:p>
            <w:pPr>
              <w:pStyle w:val="96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2、拆掉原设备并按学校要求安装摆放到指定场地。新设备安装到指定教室。</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3、含项目相关所有运输、搬运、安装、调试、测试、培训、维护等所有费用，线材需要绿联、秋叶原、公牛等品牌线材配件，以保障传输稳定性。</w:t>
            </w:r>
          </w:p>
        </w:tc>
        <w:tc>
          <w:tcPr>
            <w:tcW w:w="358" w:type="pct"/>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38</w:t>
            </w:r>
          </w:p>
        </w:tc>
        <w:tc>
          <w:tcPr>
            <w:tcW w:w="323" w:type="pct"/>
            <w:vAlign w:val="center"/>
          </w:tcPr>
          <w:p>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41" w:type="pct"/>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609" w:type="pct"/>
            <w:shd w:val="clear" w:color="auto" w:fill="auto"/>
            <w:vAlign w:val="center"/>
          </w:tcPr>
          <w:p>
            <w:pPr>
              <w:widowControl/>
              <w:jc w:val="both"/>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教室 功放</w:t>
            </w:r>
          </w:p>
        </w:tc>
        <w:tc>
          <w:tcPr>
            <w:tcW w:w="3466" w:type="pct"/>
            <w:vAlign w:val="center"/>
          </w:tcPr>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1、无线功能：蓝牙/</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2. 4G/</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5. 8G</w:t>
            </w:r>
          </w:p>
          <w:p>
            <w:pPr>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2、工作电压：AC220V/50Hz</w:t>
            </w:r>
            <w:r>
              <w:rPr>
                <w:rFonts w:hint="eastAsia" w:ascii="仿宋_GB2312" w:hAnsi="仿宋_GB2312" w:eastAsia="仿宋_GB2312" w:cs="仿宋_GB2312"/>
                <w:color w:val="auto"/>
                <w:sz w:val="24"/>
                <w:szCs w:val="24"/>
                <w:highlight w:val="none"/>
                <w:lang w:val="en-US" w:eastAsia="zh-CN"/>
              </w:rPr>
              <w:t>左右</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3、额定功率：400W</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4、频偏：士70KHz</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5、频率范围：</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蓝牙:2.4G ISM</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2.4G:</w:t>
            </w:r>
            <w:r>
              <w:rPr>
                <w:rFonts w:hint="eastAsia" w:ascii="仿宋_GB2312" w:hAnsi="仿宋_GB2312" w:eastAsia="仿宋_GB2312" w:cs="仿宋_GB2312"/>
                <w:color w:val="auto"/>
                <w:sz w:val="24"/>
                <w:szCs w:val="24"/>
                <w:highlight w:val="none"/>
                <w:lang w:val="en-US" w:eastAsia="zh-CN"/>
              </w:rPr>
              <w:t>范围不少于</w:t>
            </w:r>
            <w:r>
              <w:rPr>
                <w:rFonts w:hint="eastAsia" w:ascii="仿宋_GB2312" w:hAnsi="仿宋_GB2312" w:eastAsia="仿宋_GB2312" w:cs="仿宋_GB2312"/>
                <w:color w:val="auto"/>
                <w:sz w:val="24"/>
                <w:szCs w:val="24"/>
                <w:highlight w:val="none"/>
              </w:rPr>
              <w:t>2400MHz-2483MHz</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5.8G:</w:t>
            </w:r>
            <w:r>
              <w:rPr>
                <w:rFonts w:hint="eastAsia" w:ascii="仿宋_GB2312" w:hAnsi="仿宋_GB2312" w:eastAsia="仿宋_GB2312" w:cs="仿宋_GB2312"/>
                <w:color w:val="auto"/>
                <w:sz w:val="24"/>
                <w:szCs w:val="24"/>
                <w:highlight w:val="none"/>
                <w:lang w:val="en-US" w:eastAsia="zh-CN"/>
              </w:rPr>
              <w:t>范围不少于</w:t>
            </w:r>
            <w:r>
              <w:rPr>
                <w:rFonts w:hint="eastAsia" w:ascii="仿宋_GB2312" w:hAnsi="仿宋_GB2312" w:eastAsia="仿宋_GB2312" w:cs="仿宋_GB2312"/>
                <w:color w:val="auto"/>
                <w:sz w:val="24"/>
                <w:szCs w:val="24"/>
                <w:highlight w:val="none"/>
              </w:rPr>
              <w:t>5725MHz- 5825MHz</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6、频率响应：</w:t>
            </w:r>
            <w:r>
              <w:rPr>
                <w:rFonts w:hint="eastAsia" w:ascii="仿宋_GB2312" w:hAnsi="仿宋_GB2312" w:eastAsia="仿宋_GB2312" w:cs="仿宋_GB2312"/>
                <w:color w:val="auto"/>
                <w:sz w:val="24"/>
                <w:szCs w:val="24"/>
                <w:highlight w:val="none"/>
                <w:lang w:val="en-US" w:eastAsia="zh-CN"/>
              </w:rPr>
              <w:t>范围不少于</w:t>
            </w:r>
            <w:r>
              <w:rPr>
                <w:rFonts w:hint="eastAsia" w:ascii="仿宋_GB2312" w:hAnsi="仿宋_GB2312" w:eastAsia="仿宋_GB2312" w:cs="仿宋_GB2312"/>
                <w:color w:val="auto"/>
                <w:sz w:val="24"/>
                <w:szCs w:val="24"/>
                <w:highlight w:val="none"/>
              </w:rPr>
              <w:t>20Hz- 20KHz</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7、失真度：≤0 3%</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8、信噪：≥ 85dB</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9、灵敏度：≥- 80dB</w:t>
            </w:r>
          </w:p>
          <w:p>
            <w:pPr>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10、音频采样率：64KHz/16bit</w:t>
            </w:r>
            <w:r>
              <w:rPr>
                <w:rFonts w:hint="eastAsia" w:ascii="仿宋_GB2312" w:hAnsi="仿宋_GB2312" w:eastAsia="仿宋_GB2312" w:cs="仿宋_GB2312"/>
                <w:color w:val="auto"/>
                <w:sz w:val="24"/>
                <w:szCs w:val="24"/>
                <w:highlight w:val="none"/>
                <w:lang w:val="en-US" w:eastAsia="zh-CN"/>
              </w:rPr>
              <w:t>左右</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11、有效接收距离：&gt;10米</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12、A组/A+B组输出：支持</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13、广播音源输入：≥1路</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14、有线麦克风输入：≥6路(2路幻象麦克风)</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15、有线音频输入：≥6路</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16、录音输出：≥2路</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17、无线MIC输入：≥2路</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18、自动对频功能：支持(</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2.4G/</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5. 8G)</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19、COM串口电脑配置：支持</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20、FM收音频率范围：</w:t>
            </w:r>
            <w:r>
              <w:rPr>
                <w:rFonts w:hint="eastAsia" w:ascii="仿宋_GB2312" w:hAnsi="仿宋_GB2312" w:eastAsia="仿宋_GB2312" w:cs="仿宋_GB2312"/>
                <w:color w:val="auto"/>
                <w:sz w:val="24"/>
                <w:szCs w:val="24"/>
                <w:highlight w:val="none"/>
                <w:lang w:val="en-US" w:eastAsia="zh-CN"/>
              </w:rPr>
              <w:t>范围不少于</w:t>
            </w:r>
            <w:r>
              <w:rPr>
                <w:rFonts w:hint="eastAsia" w:ascii="仿宋_GB2312" w:hAnsi="仿宋_GB2312" w:eastAsia="仿宋_GB2312" w:cs="仿宋_GB2312"/>
                <w:color w:val="auto"/>
                <w:sz w:val="24"/>
                <w:szCs w:val="24"/>
                <w:highlight w:val="none"/>
              </w:rPr>
              <w:t>88MHz-108MHz</w:t>
            </w:r>
          </w:p>
          <w:p>
            <w:pPr>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21、FM电台储存：≥30个</w:t>
            </w:r>
          </w:p>
        </w:tc>
        <w:tc>
          <w:tcPr>
            <w:tcW w:w="358" w:type="pct"/>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323" w:type="pct"/>
            <w:vAlign w:val="center"/>
          </w:tcPr>
          <w:p>
            <w:pPr>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w:t>
            </w:r>
          </w:p>
        </w:tc>
      </w:tr>
    </w:tbl>
    <w:p>
      <w:pPr>
        <w:spacing w:line="288" w:lineRule="auto"/>
        <w:ind w:firstLine="482" w:firstLineChars="200"/>
        <w:outlineLvl w:val="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 商务要求</w:t>
      </w:r>
    </w:p>
    <w:p>
      <w:pPr>
        <w:pStyle w:val="8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1.投标人投标提供的设备必须是厂商原装的、全新的，配置与装箱单相符；数量、质量及性能不低于本标书中提出的要求；应准确无误地表明设备型号、规格、制造厂及生产或出厂日期。</w:t>
      </w:r>
    </w:p>
    <w:p>
      <w:pPr>
        <w:pStyle w:val="8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2.投标人必须在签订采购合同签订后30个工作日内完成全部设备供货、安装和调试。</w:t>
      </w:r>
    </w:p>
    <w:p>
      <w:pPr>
        <w:pStyle w:val="8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3.设备正常使用所需材料及安装调试费、税金等一切费用已包含在</w:t>
      </w:r>
      <w:r>
        <w:rPr>
          <w:rFonts w:hint="eastAsia" w:ascii="仿宋_GB2312" w:hAnsi="仿宋_GB2312" w:eastAsia="仿宋_GB2312" w:cs="仿宋_GB2312"/>
          <w:color w:val="auto"/>
          <w:sz w:val="24"/>
          <w:szCs w:val="24"/>
          <w:highlight w:val="none"/>
          <w:lang w:val="en-US" w:eastAsia="zh-CN"/>
        </w:rPr>
        <w:t>本次投标报价</w:t>
      </w:r>
      <w:r>
        <w:rPr>
          <w:rFonts w:hint="eastAsia" w:ascii="仿宋_GB2312" w:hAnsi="仿宋_GB2312" w:eastAsia="仿宋_GB2312" w:cs="仿宋_GB2312"/>
          <w:color w:val="auto"/>
          <w:sz w:val="24"/>
          <w:szCs w:val="24"/>
          <w:highlight w:val="none"/>
        </w:rPr>
        <w:t>中。</w:t>
      </w:r>
    </w:p>
    <w:p>
      <w:pPr>
        <w:pStyle w:val="8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4.质保期及售后服务</w:t>
      </w:r>
    </w:p>
    <w:p>
      <w:pPr>
        <w:pStyle w:val="8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（1）投标人提供不少于3年的保修服务，标项内有要求的按标项要求执行。供货时投标人须提供生产厂家针对本项目（一体机）的售后服务质保函</w:t>
      </w:r>
      <w:r>
        <w:rPr>
          <w:rFonts w:hint="eastAsia" w:ascii="仿宋_GB2312" w:hAnsi="仿宋_GB2312" w:eastAsia="仿宋_GB2312" w:cs="仿宋_GB2312"/>
          <w:color w:val="auto"/>
          <w:sz w:val="24"/>
          <w:szCs w:val="24"/>
          <w:highlight w:val="none"/>
          <w:lang w:val="en-US" w:eastAsia="zh-CN"/>
        </w:rPr>
        <w:t>并</w:t>
      </w:r>
      <w:r>
        <w:rPr>
          <w:rFonts w:hint="eastAsia" w:ascii="仿宋_GB2312" w:hAnsi="仿宋_GB2312" w:eastAsia="仿宋_GB2312" w:cs="仿宋_GB2312"/>
          <w:color w:val="auto"/>
          <w:sz w:val="24"/>
          <w:szCs w:val="24"/>
          <w:highlight w:val="none"/>
        </w:rPr>
        <w:t>加盖投标人公章。</w:t>
      </w:r>
    </w:p>
    <w:p>
      <w:pPr>
        <w:pStyle w:val="8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投标人需提供专门的售后服务电话，投标人在接到采购人通知后，2小时内做出响应，24小时内派人赴现场处理问题。48小时内无法修复的，投标人需无偿提供备机或备用零件供采购人使用。投标人服务维修人员均经过良好的系统技术培训，并有丰富的现场维修经验。</w:t>
      </w:r>
    </w:p>
    <w:p>
      <w:pPr>
        <w:pStyle w:val="8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5.付款方式：按《浙江省财政厅关于进一步发挥政府采购政策功能全力推动经济稳进提质的通知》（浙财采监〔2022〕3号）文件要求执行，具体付款方式由双方协商后在合同中明确。</w:t>
      </w:r>
    </w:p>
    <w:p>
      <w:pPr>
        <w:adjustRightInd/>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投标人应派技术人员负责设备的安装、调试，调试所需专用工具、设施、物料等由投标人自备、自费运到现场，完工后自费搬走。设备运输、搬运、安装、调试等过程中的安全由投标人负责，产生的一切费用应包含在中标价格中，不得另行收费。</w:t>
      </w:r>
    </w:p>
    <w:p>
      <w:pPr>
        <w:kinsoku/>
        <w:wordWrap w:val="0"/>
        <w:overflowPunct/>
        <w:topLinePunct w:val="0"/>
        <w:bidi w:val="0"/>
        <w:snapToGrid w:val="0"/>
        <w:spacing w:line="440" w:lineRule="exact"/>
        <w:jc w:val="left"/>
        <w:rPr>
          <w:rFonts w:hint="eastAsia" w:ascii="仿宋_GB2312" w:hAnsi="宋体" w:eastAsia="仿宋_GB2312"/>
          <w:color w:val="auto"/>
          <w:sz w:val="24"/>
          <w:highlight w:val="none"/>
        </w:rPr>
      </w:pPr>
    </w:p>
    <w:p>
      <w:pPr>
        <w:kinsoku/>
        <w:wordWrap w:val="0"/>
        <w:overflowPunct/>
        <w:topLinePunct w:val="0"/>
        <w:bidi w:val="0"/>
        <w:spacing w:line="360" w:lineRule="auto"/>
        <w:outlineLvl w:val="0"/>
        <w:rPr>
          <w:rFonts w:hint="eastAsia" w:ascii="仿宋" w:hAnsi="仿宋" w:eastAsia="仿宋" w:cs="仿宋"/>
          <w:b/>
          <w:color w:val="auto"/>
          <w:sz w:val="36"/>
          <w:szCs w:val="36"/>
          <w:highlight w:val="none"/>
        </w:rPr>
      </w:pPr>
    </w:p>
    <w:p>
      <w:pPr>
        <w:pStyle w:val="7"/>
        <w:kinsoku/>
        <w:wordWrap w:val="0"/>
        <w:overflowPunct/>
        <w:topLinePunct w:val="0"/>
        <w:bidi w:val="0"/>
        <w:rPr>
          <w:rFonts w:hint="eastAsia"/>
          <w:color w:val="auto"/>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pPr>
        <w:kinsoku/>
        <w:wordWrap w:val="0"/>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pPr>
        <w:pStyle w:val="7"/>
        <w:kinsoku/>
        <w:wordWrap w:val="0"/>
        <w:overflowPunct/>
        <w:topLinePunct w:val="0"/>
        <w:bidi w:val="0"/>
        <w:rPr>
          <w:rFonts w:hint="default" w:ascii="仿宋_GB2312" w:hAnsi="仿宋" w:eastAsia="仿宋_GB2312" w:cs="Times New Roman"/>
          <w:b/>
          <w:color w:val="auto"/>
          <w:kern w:val="2"/>
          <w:sz w:val="32"/>
          <w:szCs w:val="32"/>
          <w:highlight w:val="none"/>
        </w:rPr>
      </w:pPr>
    </w:p>
    <w:p>
      <w:pPr>
        <w:kinsoku/>
        <w:wordWrap w:val="0"/>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pPr>
        <w:kinsoku/>
        <w:wordWrap w:val="0"/>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2" w:firstLineChars="200"/>
        <w:jc w:val="center"/>
        <w:textAlignment w:val="auto"/>
        <w:rPr>
          <w:rFonts w:hint="eastAsia" w:ascii="仿宋" w:hAnsi="仿宋" w:eastAsia="仿宋" w:cs="仿宋"/>
          <w:color w:val="auto"/>
          <w:kern w:val="0"/>
          <w:sz w:val="24"/>
          <w:szCs w:val="20"/>
          <w:highlight w:val="none"/>
        </w:rPr>
      </w:pPr>
      <w:bookmarkStart w:id="43" w:name="_Toc22209"/>
      <w:r>
        <w:rPr>
          <w:rFonts w:hint="eastAsia" w:ascii="仿宋" w:hAnsi="仿宋" w:eastAsia="仿宋" w:cs="仿宋"/>
          <w:b/>
          <w:bCs/>
          <w:color w:val="auto"/>
          <w:kern w:val="0"/>
          <w:sz w:val="24"/>
          <w:szCs w:val="20"/>
          <w:highlight w:val="none"/>
        </w:rPr>
        <w:t>第一节 政府采购合同协议书</w:t>
      </w:r>
      <w:bookmarkEnd w:id="4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pPr>
        <w:numPr>
          <w:ilvl w:val="0"/>
          <w:numId w:val="1"/>
        </w:numPr>
        <w:kinsoku/>
        <w:wordWrap w:val="0"/>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2"/>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2"/>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pPr>
        <w:kinsoku/>
        <w:wordWrap w:val="0"/>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pPr>
        <w:numPr>
          <w:ilvl w:val="0"/>
          <w:numId w:val="3"/>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4" w:name="_Toc27624"/>
      <w:r>
        <w:rPr>
          <w:rFonts w:hint="eastAsia" w:ascii="仿宋" w:hAnsi="仿宋" w:eastAsia="仿宋" w:cs="仿宋"/>
          <w:b/>
          <w:bCs/>
          <w:color w:val="auto"/>
          <w:kern w:val="0"/>
          <w:sz w:val="24"/>
          <w:szCs w:val="20"/>
          <w:highlight w:val="none"/>
        </w:rPr>
        <w:t>政府采购合同通用条款</w:t>
      </w:r>
      <w:bookmarkEnd w:id="44"/>
    </w:p>
    <w:p>
      <w:pPr>
        <w:numPr>
          <w:ilvl w:val="-1"/>
          <w:numId w:val="0"/>
        </w:numPr>
        <w:kinsoku/>
        <w:wordWrap w:val="0"/>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45"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46" w:name="_Toc2031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46"/>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tbl>
      <w:tblPr>
        <w:tblStyle w:val="62"/>
        <w:tblW w:w="8626"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660"/>
        <w:gridCol w:w="5495"/>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73" w:type="dxa"/>
            <w:vAlign w:val="center"/>
          </w:tcPr>
          <w:p>
            <w:pPr>
              <w:adjustRightInd/>
              <w:spacing w:line="288"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660" w:type="dxa"/>
            <w:vAlign w:val="center"/>
          </w:tcPr>
          <w:p>
            <w:pPr>
              <w:adjustRightInd/>
              <w:spacing w:line="288"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评分项</w:t>
            </w:r>
          </w:p>
        </w:tc>
        <w:tc>
          <w:tcPr>
            <w:tcW w:w="5495" w:type="dxa"/>
            <w:vAlign w:val="center"/>
          </w:tcPr>
          <w:p>
            <w:pPr>
              <w:adjustRightInd/>
              <w:spacing w:line="288"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评审依据及标准</w:t>
            </w:r>
          </w:p>
        </w:tc>
        <w:tc>
          <w:tcPr>
            <w:tcW w:w="698" w:type="dxa"/>
            <w:vAlign w:val="center"/>
          </w:tcPr>
          <w:p>
            <w:pPr>
              <w:adjustRightInd/>
              <w:spacing w:line="288"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773" w:type="dxa"/>
            <w:vAlign w:val="center"/>
          </w:tcPr>
          <w:p>
            <w:pPr>
              <w:adjustRightInd/>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660" w:type="dxa"/>
            <w:vAlign w:val="center"/>
          </w:tcPr>
          <w:p>
            <w:pPr>
              <w:adjustRightInd/>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lang w:val="zh-CN"/>
              </w:rPr>
              <w:t>基本技术参数</w:t>
            </w:r>
          </w:p>
        </w:tc>
        <w:tc>
          <w:tcPr>
            <w:tcW w:w="5495" w:type="dxa"/>
            <w:vAlign w:val="center"/>
          </w:tcPr>
          <w:p>
            <w:pPr>
              <w:adjustRightInd/>
              <w:spacing w:line="288"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lang w:val="zh-CN"/>
              </w:rPr>
              <w:t xml:space="preserve">技术参数响应情况：对应于招标文件第三部分招标项目范围及要求——“一、货物清单及技术要求”，完全满足指标参数得28分。打“★”号的性能指标为实质性指标，若出现负偏离作无效标处理；打“▲”为主要性能指标，每有一项负偏离扣2分；其他指标，每有一项负偏离扣1分，扣完为止。 </w:t>
            </w:r>
          </w:p>
        </w:tc>
        <w:tc>
          <w:tcPr>
            <w:tcW w:w="698" w:type="dxa"/>
            <w:vAlign w:val="center"/>
          </w:tcPr>
          <w:p>
            <w:pPr>
              <w:adjustRightInd/>
              <w:spacing w:line="288" w:lineRule="auto"/>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773" w:type="dxa"/>
            <w:vAlign w:val="center"/>
          </w:tcPr>
          <w:p>
            <w:pPr>
              <w:adjustRightInd/>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660" w:type="dxa"/>
            <w:shd w:val="clear" w:color="auto" w:fill="auto"/>
            <w:vAlign w:val="center"/>
          </w:tcPr>
          <w:p>
            <w:pPr>
              <w:adjustRightInd/>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产品功能演示</w:t>
            </w:r>
          </w:p>
        </w:tc>
        <w:tc>
          <w:tcPr>
            <w:tcW w:w="5495" w:type="dxa"/>
            <w:shd w:val="clear" w:color="auto" w:fill="auto"/>
            <w:vAlign w:val="center"/>
          </w:tcPr>
          <w:p>
            <w:pPr>
              <w:pStyle w:val="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本项目要求进行智能交互一体机功能演示，演示时间不超过15分钟，根据演示情况进行打分（仅以PPT或图片演示不得分），具体演示要求详见前附表，演示内容如下：</w:t>
            </w:r>
          </w:p>
          <w:p>
            <w:pPr>
              <w:pStyle w:val="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公网移动授课：不受相同网络的限制，即可实现课件翻页、学生作业拍照上传、移动终端一键投屏的操作，并支持将投屏画面一键收起或调整大小，便于教师进行与课件内容对比展示；(本项分值设置为2,1,0.5,0分)</w:t>
            </w:r>
          </w:p>
          <w:p>
            <w:pPr>
              <w:pStyle w:val="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AI智能备课：演示在备课环境下，老师可搜索课件资源，并将整份课件、按照教学环节筛选对应的课件页（如导入新课、学习目标、人物介绍、字词学习等）直接插入备课页面中，演示老师根据资源类型的不同，如思维导图、课堂活动等来补充课件缺失的部分；(本项分值设置为2,1,0.5,0分)</w:t>
            </w:r>
          </w:p>
          <w:p>
            <w:pPr>
              <w:pStyle w:val="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云教案功能：演示老师调用预置教案模板，管理员可设置校本模板，保障全校统一性；云教案支持一对多关联课件，可插入课件页及音视频辅助展示，课件页和教案页均支持在同一面板打开，便于教师备课时相互对照；(本项分值设置为2,1,0.5,0分)</w:t>
            </w:r>
          </w:p>
          <w:p>
            <w:pPr>
              <w:pStyle w:val="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学情分析：演示在教学白板软件内现场新建微课，老师录制微课时可书写、擦除、调用学科工具与资源，并设置答题板功能，现场演示学生边看微课边答题；支持立即导出学情分析表，包括课程信息、学生基本信息、观看微课时间、答题数及正确率等；(本项分值设置为2,1,0.5,0分)</w:t>
            </w:r>
          </w:p>
          <w:p>
            <w:pPr>
              <w:pStyle w:val="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学科工具：演示化学方程式只需输入一个元素，将自动显示出和该元素相关的多个常用化学反应方程式供选用；语文支持诗词导入并配有电子朗读及注释；听写工具：支持自定义选择英语单词和语文生词。自定义听写频率和次数，一键生成听写卡，一键开启听写朗读；(本项分值设置为2,1,0.5,0分)</w:t>
            </w:r>
          </w:p>
          <w:p>
            <w:pPr>
              <w:pStyle w:val="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便捷管理：演示管理员通过管控平台对学校教室进行巡课，巡课画面包括教室全景、教室缩略图、设备画面等三路画面，缩略图可悬浮在桌面；管理员可以对巡视教室发布消息、远程喊话、实时备注等，后台还能保留巡课历史；(本项分值设置为2,1,0.5,0分)</w:t>
            </w:r>
          </w:p>
          <w:p>
            <w:pPr>
              <w:pStyle w:val="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集体备课:支持在备课平台创建集体备课活动，支持校内和跨校集备，老师可以针对课件、教案进行批注和研讨;主备人可多次修改稿件后上传，具备稿件版本对比功能;支持数据统计和访问记录查看;支持一键导出为文字版报告。(本项分值设置为2,1,0.5,0分)</w:t>
            </w:r>
          </w:p>
          <w:p>
            <w:pPr>
              <w:pStyle w:val="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注：在演示中未得分的功能项，在打分项“技术参数”中不再重复扣分。</w:t>
            </w:r>
          </w:p>
        </w:tc>
        <w:tc>
          <w:tcPr>
            <w:tcW w:w="698" w:type="dxa"/>
            <w:shd w:val="clear" w:color="auto" w:fill="auto"/>
            <w:vAlign w:val="center"/>
          </w:tcPr>
          <w:p>
            <w:pPr>
              <w:adjustRightInd/>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773" w:type="dxa"/>
            <w:vAlign w:val="center"/>
          </w:tcPr>
          <w:p>
            <w:pPr>
              <w:adjustRightInd/>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660" w:type="dxa"/>
            <w:shd w:val="clear" w:color="auto" w:fill="auto"/>
            <w:vAlign w:val="center"/>
          </w:tcPr>
          <w:p>
            <w:pPr>
              <w:adjustRightInd/>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lang w:val="zh-CN"/>
              </w:rPr>
              <w:t>售后服务</w:t>
            </w:r>
          </w:p>
        </w:tc>
        <w:tc>
          <w:tcPr>
            <w:tcW w:w="5495" w:type="dxa"/>
            <w:shd w:val="clear" w:color="auto" w:fill="auto"/>
            <w:vAlign w:val="center"/>
          </w:tcPr>
          <w:p>
            <w:pPr>
              <w:adjustRightInd/>
              <w:spacing w:line="288"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提供的售后服务方案,并结合本项目实际情况、售后服务能力进行打分，内容包括：专业售后服务队伍、完善的售后体系、提供电话热线、咨询响应时间服务、现场服务到达情况等。(本项分值设置为5,4,3,2,1,0.5,0分)</w:t>
            </w:r>
          </w:p>
        </w:tc>
        <w:tc>
          <w:tcPr>
            <w:tcW w:w="698" w:type="dxa"/>
            <w:shd w:val="clear" w:color="auto" w:fill="auto"/>
            <w:vAlign w:val="center"/>
          </w:tcPr>
          <w:p>
            <w:pPr>
              <w:adjustRightInd/>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3" w:type="dxa"/>
            <w:vAlign w:val="center"/>
          </w:tcPr>
          <w:p>
            <w:pPr>
              <w:adjustRightInd/>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660" w:type="dxa"/>
            <w:shd w:val="clear" w:color="auto" w:fill="auto"/>
            <w:vAlign w:val="center"/>
          </w:tcPr>
          <w:p>
            <w:pPr>
              <w:adjustRightInd/>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培训方案</w:t>
            </w:r>
          </w:p>
        </w:tc>
        <w:tc>
          <w:tcPr>
            <w:tcW w:w="5495" w:type="dxa"/>
            <w:shd w:val="clear" w:color="auto" w:fill="auto"/>
            <w:vAlign w:val="center"/>
          </w:tcPr>
          <w:p>
            <w:pPr>
              <w:adjustRightInd/>
              <w:spacing w:line="288"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根据投标人提供的培训方案，内容包括培训方式、培训对象、培训目标、培训计划、人员配备及安排等进行打分。(本项分值设置为5,4,3,2,1,0.5,0分)</w:t>
            </w:r>
          </w:p>
        </w:tc>
        <w:tc>
          <w:tcPr>
            <w:tcW w:w="698" w:type="dxa"/>
            <w:shd w:val="clear" w:color="auto" w:fill="auto"/>
            <w:vAlign w:val="center"/>
          </w:tcPr>
          <w:p>
            <w:pPr>
              <w:adjustRightInd/>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773" w:type="dxa"/>
            <w:vAlign w:val="center"/>
          </w:tcPr>
          <w:p>
            <w:pPr>
              <w:adjustRightInd/>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660" w:type="dxa"/>
            <w:shd w:val="clear" w:color="auto" w:fill="auto"/>
            <w:vAlign w:val="center"/>
          </w:tcPr>
          <w:p>
            <w:pPr>
              <w:adjustRightInd/>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质保期</w:t>
            </w:r>
          </w:p>
        </w:tc>
        <w:tc>
          <w:tcPr>
            <w:tcW w:w="5495" w:type="dxa"/>
            <w:shd w:val="clear" w:color="auto" w:fill="auto"/>
            <w:vAlign w:val="center"/>
          </w:tcPr>
          <w:p>
            <w:pPr>
              <w:adjustRightInd/>
              <w:snapToGrid w:val="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智能交互一体机最低质保期3年，在满足招标文件要求的质保期的基础上，延长质保期每增加1年得2分，最高得6分，提供相应的承诺函（格式自拟）不提供不得分。</w:t>
            </w:r>
          </w:p>
        </w:tc>
        <w:tc>
          <w:tcPr>
            <w:tcW w:w="698" w:type="dxa"/>
            <w:shd w:val="clear" w:color="auto" w:fill="auto"/>
            <w:vAlign w:val="center"/>
          </w:tcPr>
          <w:p>
            <w:pPr>
              <w:adjustRightInd/>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73" w:type="dxa"/>
            <w:vAlign w:val="center"/>
          </w:tcPr>
          <w:p>
            <w:pPr>
              <w:adjustRightInd/>
              <w:spacing w:line="288"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1660" w:type="dxa"/>
            <w:shd w:val="clear" w:color="auto" w:fill="auto"/>
            <w:vAlign w:val="center"/>
          </w:tcPr>
          <w:p>
            <w:pPr>
              <w:adjustRightInd/>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其他优惠承诺</w:t>
            </w:r>
          </w:p>
        </w:tc>
        <w:tc>
          <w:tcPr>
            <w:tcW w:w="5495" w:type="dxa"/>
            <w:shd w:val="clear" w:color="auto" w:fill="auto"/>
            <w:vAlign w:val="center"/>
          </w:tcPr>
          <w:p>
            <w:pPr>
              <w:adjustRightInd/>
              <w:snapToGrid w:val="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针对本项目，投标人就实际情况提供更为切实的优惠承诺（不包括价格优惠），提供相应的承诺函（格式自拟），根据承诺内容进行打分。(本项分值设置为2,1,0.5,0分)</w:t>
            </w:r>
          </w:p>
        </w:tc>
        <w:tc>
          <w:tcPr>
            <w:tcW w:w="698" w:type="dxa"/>
            <w:shd w:val="clear" w:color="auto" w:fill="auto"/>
            <w:vAlign w:val="center"/>
          </w:tcPr>
          <w:p>
            <w:pPr>
              <w:adjustRightInd/>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40 </w:t>
      </w:r>
      <w:r>
        <w:rPr>
          <w:rFonts w:hint="eastAsia" w:ascii="仿宋" w:hAnsi="仿宋" w:eastAsia="仿宋" w:cs="仿宋"/>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40 </w:t>
      </w: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bookmarkEnd w:id="41"/>
    <w:bookmarkEnd w:id="42"/>
    <w:p>
      <w:pPr>
        <w:widowControl/>
        <w:kinsoku/>
        <w:wordWrap w:val="0"/>
        <w:overflowPunct/>
        <w:topLinePunct w:val="0"/>
        <w:bidi w:val="0"/>
        <w:adjustRightInd/>
        <w:jc w:val="center"/>
        <w:rPr>
          <w:rFonts w:hint="eastAsia" w:ascii="仿宋" w:hAnsi="仿宋" w:eastAsia="仿宋" w:cs="仿宋"/>
          <w:b/>
          <w:color w:val="auto"/>
          <w:sz w:val="36"/>
          <w:szCs w:val="20"/>
          <w:highlight w:val="none"/>
        </w:rPr>
      </w:pPr>
    </w:p>
    <w:p>
      <w:pPr>
        <w:pageBreakBefore/>
        <w:widowControl/>
        <w:kinsoku/>
        <w:wordWrap w:val="0"/>
        <w:overflowPunct/>
        <w:topLinePunct w:val="0"/>
        <w:bidi w:val="0"/>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4"/>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绍兴市第一中学</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绍兴市第一中学智能交互一体机采购项目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2025-07-0058</w:t>
      </w:r>
      <w:r>
        <w:rPr>
          <w:rFonts w:hint="eastAsia" w:ascii="仿宋" w:hAnsi="仿宋" w:eastAsia="仿宋" w:cs="仿宋"/>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0"/>
        <w:kinsoku/>
        <w:wordWrap w:val="0"/>
        <w:overflowPunct/>
        <w:topLinePunct w:val="0"/>
        <w:bidi w:val="0"/>
        <w:rPr>
          <w:rFonts w:hint="eastAsia"/>
          <w:color w:val="auto"/>
          <w:highlight w:val="none"/>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pageBreakBefore/>
        <w:kinsoku/>
        <w:wordWrap w:val="0"/>
        <w:overflowPunct/>
        <w:topLinePunct w:val="0"/>
        <w:bidi w:val="0"/>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pageBreakBefore/>
        <w:kinsoku/>
        <w:wordWrap w:val="0"/>
        <w:overflowPunct/>
        <w:topLinePunct w:val="0"/>
        <w:bidi w:val="0"/>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val="0"/>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color w:val="auto"/>
          <w:szCs w:val="24"/>
          <w:highlight w:val="none"/>
          <w:u w:val="single"/>
          <w:lang w:eastAsia="zh-CN"/>
        </w:rPr>
        <w:t>绍兴市第一中学</w:t>
      </w:r>
      <w:r>
        <w:rPr>
          <w:rFonts w:hint="eastAsia" w:ascii="仿宋_GB2312" w:hAnsi="仿宋" w:eastAsia="仿宋_GB2312" w:cs="仿宋"/>
          <w:color w:val="auto"/>
          <w:szCs w:val="24"/>
          <w:highlight w:val="none"/>
          <w:u w:val="single"/>
        </w:rPr>
        <w:t>、绍兴市公共资源交易中心</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7"/>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7"/>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wordWrap w:val="0"/>
        <w:overflowPunct/>
        <w:topLinePunct w:val="0"/>
        <w:bidi w:val="0"/>
        <w:jc w:val="center"/>
        <w:rPr>
          <w:rFonts w:hint="eastAsia" w:ascii="仿宋" w:hAnsi="仿宋" w:eastAsia="仿宋" w:cs="仿宋"/>
          <w:b/>
          <w:color w:val="auto"/>
          <w:sz w:val="24"/>
          <w:highlight w:val="none"/>
        </w:rPr>
      </w:pP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绍兴市第一中学、绍兴市公共资源交易中心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绍兴市第一中学智能交互一体机采购项目（招标编号:2025-07-0058）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wordWrap w:val="0"/>
        <w:overflowPunct/>
        <w:topLinePunct w:val="0"/>
        <w:bidi w:val="0"/>
        <w:ind w:firstLine="4920" w:firstLineChars="2050"/>
        <w:jc w:val="left"/>
        <w:rPr>
          <w:rFonts w:hint="eastAsia" w:ascii="仿宋" w:hAnsi="仿宋" w:eastAsia="仿宋" w:cs="仿宋"/>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绍兴市第一中学、绍兴市公共资源交易中心 </w:t>
      </w:r>
      <w:r>
        <w:rPr>
          <w:rFonts w:hint="eastAsia" w:ascii="仿宋" w:hAnsi="仿宋" w:eastAsia="仿宋" w:cs="仿宋"/>
          <w:color w:val="auto"/>
          <w:sz w:val="24"/>
          <w:highlight w:val="none"/>
          <w:u w:val="none"/>
          <w:lang w:val="en-US" w:eastAsia="zh-CN"/>
        </w:rPr>
        <w:t>组织的</w:t>
      </w:r>
      <w:r>
        <w:rPr>
          <w:rFonts w:hint="eastAsia" w:ascii="仿宋" w:hAnsi="仿宋" w:eastAsia="仿宋" w:cs="仿宋"/>
          <w:color w:val="auto"/>
          <w:sz w:val="24"/>
          <w:highlight w:val="none"/>
          <w:u w:val="single"/>
          <w:lang w:val="en-US" w:eastAsia="zh-CN"/>
        </w:rPr>
        <w:t xml:space="preserve"> 绍兴市第一中学智能交互一体机采购项目（招标编号:2023-07-0055）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pageBreakBefore w:val="0"/>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pPr>
        <w:kinsoku/>
        <w:wordWrap w:val="0"/>
        <w:overflowPunct/>
        <w:topLinePunct w:val="0"/>
        <w:bidi w:val="0"/>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 w:hAnsi="仿宋" w:eastAsia="仿宋" w:cs="仿宋"/>
          <w:b/>
          <w:color w:val="auto"/>
          <w:sz w:val="30"/>
          <w:szCs w:val="30"/>
          <w:highlight w:val="none"/>
          <w:lang w:val="en-US" w:eastAsia="zh-CN"/>
        </w:rPr>
      </w:pPr>
    </w:p>
    <w:p>
      <w:pPr>
        <w:pStyle w:val="7"/>
        <w:kinsoku/>
        <w:wordWrap w:val="0"/>
        <w:overflowPunct/>
        <w:topLinePunct w:val="0"/>
        <w:bidi w:val="0"/>
        <w:rPr>
          <w:rFonts w:hint="eastAsia"/>
          <w:color w:val="auto"/>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wordWrap w:val="0"/>
        <w:overflowPunct/>
        <w:topLinePunct w:val="0"/>
        <w:bidi w:val="0"/>
        <w:spacing w:line="440" w:lineRule="exact"/>
        <w:rPr>
          <w:rFonts w:hint="eastAsia" w:ascii="仿宋" w:hAnsi="仿宋" w:eastAsia="仿宋" w:cs="仿宋"/>
          <w:color w:val="auto"/>
          <w:sz w:val="24"/>
          <w:highlight w:val="none"/>
        </w:rPr>
      </w:pP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wordWrap w:val="0"/>
        <w:overflowPunct/>
        <w:topLinePunct w:val="0"/>
        <w:bidi w:val="0"/>
        <w:spacing w:line="440" w:lineRule="exact"/>
        <w:ind w:right="480"/>
        <w:rPr>
          <w:rFonts w:hint="eastAsia" w:ascii="仿宋" w:hAnsi="仿宋" w:eastAsia="仿宋" w:cs="仿宋"/>
          <w:color w:val="auto"/>
          <w:sz w:val="24"/>
          <w:highlight w:val="none"/>
        </w:rPr>
      </w:pPr>
    </w:p>
    <w:p>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wordWrap w:val="0"/>
        <w:overflowPunct/>
        <w:topLinePunct w:val="0"/>
        <w:bidi w:val="0"/>
        <w:jc w:val="center"/>
        <w:rPr>
          <w:rFonts w:hint="eastAsia" w:ascii="仿宋" w:hAnsi="仿宋" w:eastAsia="仿宋" w:cs="仿宋"/>
          <w:b/>
          <w:color w:val="auto"/>
          <w:kern w:val="0"/>
          <w:sz w:val="32"/>
          <w:szCs w:val="32"/>
          <w:highlight w:val="none"/>
          <w:lang w:val="en-US" w:eastAsia="zh-CN"/>
        </w:rPr>
      </w:pPr>
    </w:p>
    <w:p>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bl>
    <w:p>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ind w:firstLine="1911" w:firstLineChars="595"/>
        <w:rPr>
          <w:rFonts w:hint="eastAsia" w:ascii="仿宋" w:hAnsi="仿宋" w:eastAsia="仿宋" w:cs="仿宋"/>
          <w:b/>
          <w:bCs/>
          <w:color w:val="auto"/>
          <w:sz w:val="32"/>
          <w:szCs w:val="32"/>
          <w:highlight w:val="none"/>
        </w:rPr>
      </w:pPr>
    </w:p>
    <w:p>
      <w:pPr>
        <w:pageBreakBefore/>
        <w:widowControl/>
        <w:tabs>
          <w:tab w:val="left" w:pos="1538"/>
          <w:tab w:val="center" w:pos="4541"/>
        </w:tabs>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绍兴市第一中学</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kinsoku/>
        <w:wordWrap w:val="0"/>
        <w:overflowPunct/>
        <w:topLinePunct w:val="0"/>
        <w:bidi w:val="0"/>
        <w:ind w:firstLine="0"/>
        <w:jc w:val="both"/>
        <w:rPr>
          <w:rFonts w:hAnsi="仿宋_GB2312" w:cs="仿宋_GB2312"/>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0"/>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pPr>
        <w:pStyle w:val="80"/>
        <w:kinsoku/>
        <w:wordWrap w:val="0"/>
        <w:overflowPunct/>
        <w:topLinePunct w:val="0"/>
        <w:bidi w:val="0"/>
        <w:rPr>
          <w:rFonts w:hint="eastAsia"/>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0"/>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0"/>
        <w:kinsoku/>
        <w:wordWrap w:val="0"/>
        <w:overflowPunct/>
        <w:topLinePunct w:val="0"/>
        <w:bidi w:val="0"/>
        <w:rPr>
          <w:color w:val="auto"/>
          <w:highlight w:val="none"/>
        </w:rPr>
      </w:pPr>
    </w:p>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p>
    <w:p>
      <w:pPr>
        <w:pStyle w:val="7"/>
        <w:kinsoku/>
        <w:wordWrap w:val="0"/>
        <w:overflowPunct/>
        <w:topLinePunct w:val="0"/>
        <w:bidi w:val="0"/>
        <w:rPr>
          <w:rFonts w:ascii="仿宋_GB2312" w:hAnsi="仿宋_GB2312" w:eastAsia="仿宋_GB2312" w:cs="仿宋_GB2312"/>
          <w:b/>
          <w:bCs/>
          <w:color w:val="auto"/>
          <w:sz w:val="32"/>
          <w:szCs w:val="32"/>
          <w:highlight w:val="none"/>
        </w:rPr>
      </w:pPr>
    </w:p>
    <w:p>
      <w:pPr>
        <w:kinsoku/>
        <w:wordWrap w:val="0"/>
        <w:overflowPunct/>
        <w:topLinePunct w:val="0"/>
        <w:bidi w:val="0"/>
        <w:rPr>
          <w:rFonts w:ascii="仿宋_GB2312" w:hAnsi="仿宋_GB2312" w:eastAsia="仿宋_GB2312" w:cs="仿宋_GB2312"/>
          <w:b/>
          <w:bCs/>
          <w:color w:val="auto"/>
          <w:sz w:val="32"/>
          <w:szCs w:val="32"/>
          <w:highlight w:val="none"/>
        </w:rPr>
      </w:pPr>
    </w:p>
    <w:p>
      <w:pPr>
        <w:pStyle w:val="7"/>
        <w:kinsoku/>
        <w:wordWrap w:val="0"/>
        <w:overflowPunct/>
        <w:topLinePunct w:val="0"/>
        <w:bidi w:val="0"/>
        <w:rPr>
          <w:color w:val="auto"/>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24"/>
          <w:highlight w:val="none"/>
        </w:rPr>
      </w:pPr>
    </w:p>
    <w:p>
      <w:pPr>
        <w:pStyle w:val="80"/>
        <w:kinsoku/>
        <w:wordWrap w:val="0"/>
        <w:overflowPunct/>
        <w:topLinePunct w:val="0"/>
        <w:bidi w:val="0"/>
        <w:rPr>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kinsoku/>
        <w:wordWrap w:val="0"/>
        <w:overflowPunct/>
        <w:topLinePunct w:val="0"/>
        <w:bidi w:val="0"/>
        <w:rPr>
          <w:rFonts w:hint="eastAsia"/>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wordWrap w:val="0"/>
        <w:overflowPunct/>
        <w:topLinePunct w:val="0"/>
        <w:bidi w:val="0"/>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绍兴市第一中学</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绍兴市第一中学智能交互一体机采购项目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2025-07-0058</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kinsoku/>
        <w:wordWrap w:val="0"/>
        <w:overflowPunct/>
        <w:topLinePunct w:val="0"/>
        <w:bidi w:val="0"/>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pStyle w:val="80"/>
        <w:kinsoku/>
        <w:wordWrap w:val="0"/>
        <w:overflowPunct/>
        <w:topLinePunct w:val="0"/>
        <w:bidi w:val="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7" w:name="_Hlk101259491"/>
      <w:r>
        <w:rPr>
          <w:rFonts w:hint="eastAsia" w:ascii="仿宋" w:hAnsi="仿宋" w:eastAsia="仿宋" w:cs="仿宋"/>
          <w:color w:val="auto"/>
          <w:sz w:val="32"/>
          <w:szCs w:val="32"/>
          <w:highlight w:val="none"/>
        </w:rPr>
        <w:t>（如有）</w:t>
      </w:r>
      <w:bookmarkEnd w:id="47"/>
    </w:p>
    <w:p>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kinsoku/>
        <w:wordWrap w:val="0"/>
        <w:overflowPunct/>
        <w:topLinePunct w:val="0"/>
        <w:bidi w:val="0"/>
        <w:rPr>
          <w:rFonts w:hint="eastAsia" w:ascii="仿宋" w:hAnsi="仿宋" w:eastAsia="仿宋" w:cs="仿宋"/>
          <w:b/>
          <w:color w:val="auto"/>
          <w:sz w:val="24"/>
          <w:highlight w:val="none"/>
        </w:rPr>
      </w:pPr>
    </w:p>
    <w:p>
      <w:pPr>
        <w:pStyle w:val="81"/>
        <w:kinsoku/>
        <w:wordWrap w:val="0"/>
        <w:overflowPunct/>
        <w:topLinePunct w:val="0"/>
        <w:bidi w:val="0"/>
        <w:rPr>
          <w:rFonts w:hint="eastAsia" w:ascii="仿宋" w:hAnsi="仿宋" w:eastAsia="仿宋" w:cs="仿宋"/>
          <w:b/>
          <w:color w:val="auto"/>
          <w:sz w:val="24"/>
          <w:highlight w:val="none"/>
        </w:rPr>
      </w:pPr>
    </w:p>
    <w:p>
      <w:pPr>
        <w:kinsoku/>
        <w:wordWrap w:val="0"/>
        <w:overflowPunct/>
        <w:topLinePunct w:val="0"/>
        <w:bidi w:val="0"/>
        <w:rPr>
          <w:rFonts w:hint="eastAsia" w:ascii="仿宋" w:hAnsi="仿宋" w:eastAsia="仿宋" w:cs="仿宋"/>
          <w:b/>
          <w:color w:val="auto"/>
          <w:sz w:val="24"/>
          <w:highlight w:val="none"/>
        </w:rPr>
      </w:pPr>
    </w:p>
    <w:p>
      <w:pPr>
        <w:pStyle w:val="80"/>
        <w:kinsoku/>
        <w:wordWrap w:val="0"/>
        <w:overflowPunct/>
        <w:topLinePunct w:val="0"/>
        <w:bidi w:val="0"/>
        <w:rPr>
          <w:rFonts w:hint="eastAsia" w:ascii="仿宋" w:hAnsi="仿宋" w:eastAsia="仿宋" w:cs="仿宋"/>
          <w:b/>
          <w:color w:val="auto"/>
          <w:sz w:val="24"/>
          <w:highlight w:val="none"/>
        </w:rPr>
      </w:pPr>
    </w:p>
    <w:p>
      <w:pPr>
        <w:pStyle w:val="81"/>
        <w:kinsoku/>
        <w:wordWrap w:val="0"/>
        <w:overflowPunct/>
        <w:topLinePunct w:val="0"/>
        <w:bidi w:val="0"/>
        <w:rPr>
          <w:rFonts w:hint="eastAsia"/>
          <w:color w:val="auto"/>
          <w:highlight w:val="none"/>
        </w:rPr>
      </w:pPr>
    </w:p>
    <w:p>
      <w:pPr>
        <w:pStyle w:val="81"/>
        <w:kinsoku/>
        <w:wordWrap w:val="0"/>
        <w:overflowPunct/>
        <w:topLinePunct w:val="0"/>
        <w:bidi w:val="0"/>
        <w:rPr>
          <w:rFonts w:hint="eastAsia"/>
          <w:color w:val="auto"/>
          <w:highlight w:val="none"/>
        </w:rPr>
      </w:pPr>
    </w:p>
    <w:p>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pPr>
        <w:widowControl/>
        <w:kinsoku/>
        <w:wordWrap w:val="0"/>
        <w:overflowPunct/>
        <w:topLinePunct w:val="0"/>
        <w:autoSpaceDE w:val="0"/>
        <w:autoSpaceDN w:val="0"/>
        <w:bidi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0"/>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pStyle w:val="6"/>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48" w:name="_Toc465665161"/>
      <w:r>
        <w:rPr>
          <w:rFonts w:hint="eastAsia" w:ascii="仿宋" w:hAnsi="仿宋" w:eastAsia="仿宋" w:cs="仿宋"/>
          <w:color w:val="auto"/>
          <w:highlight w:val="none"/>
        </w:rPr>
        <w:t>附件</w:t>
      </w:r>
      <w:bookmarkEnd w:id="48"/>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wordWrap w:val="0"/>
        <w:overflowPunct/>
        <w:topLinePunct w:val="0"/>
        <w:bidi w:val="0"/>
        <w:spacing w:line="360" w:lineRule="auto"/>
        <w:rPr>
          <w:rFonts w:hint="eastAsia" w:ascii="仿宋" w:hAnsi="仿宋" w:eastAsia="仿宋" w:cs="仿宋"/>
          <w:color w:val="auto"/>
          <w:sz w:val="24"/>
          <w:highlight w:val="none"/>
          <w:u w:val="single"/>
        </w:rPr>
      </w:pP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绍兴市第一中学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绍兴市公共资源交易中心</w:t>
      </w:r>
      <w:r>
        <w:rPr>
          <w:rFonts w:hint="eastAsia" w:ascii="仿宋" w:hAnsi="仿宋" w:eastAsia="仿宋" w:cs="仿宋"/>
          <w:color w:val="auto"/>
          <w:sz w:val="24"/>
          <w:highlight w:val="none"/>
          <w:u w:val="singl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绍兴市第一中学智能交互一体机采购项目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2025-07-0058</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kinsoku/>
        <w:wordWrap w:val="0"/>
        <w:overflowPunct/>
        <w:topLinePunct w:val="0"/>
        <w:bidi w:val="0"/>
        <w:rPr>
          <w:rFonts w:hint="eastAsia"/>
          <w:color w:val="auto"/>
          <w:highlight w:val="none"/>
        </w:rPr>
      </w:pPr>
    </w:p>
    <w:p>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绍兴市第一中学智能交互一体机采购项目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2025-07-0058</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bookmarkStart w:id="4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49"/>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kinsoku/>
        <w:wordWrap w:val="0"/>
        <w:overflowPunct/>
        <w:topLinePunct w:val="0"/>
        <w:bidi w:val="0"/>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绍兴市第一中学智能交互一体机采购项目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2025-07-0058</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7"/>
        <w:kinsoku/>
        <w:wordWrap w:val="0"/>
        <w:overflowPunct/>
        <w:topLinePunct w:val="0"/>
        <w:bidi w:val="0"/>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0"/>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kinsoku/>
        <w:wordWrap w:val="0"/>
        <w:overflowPunct/>
        <w:topLinePunct w:val="0"/>
        <w:bidi w:val="0"/>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en-US" w:eastAsia="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color w:val="auto"/>
          <w:highlight w:val="none"/>
        </w:rPr>
      </w:pPr>
    </w:p>
    <w:p>
      <w:pPr>
        <w:kinsoku/>
        <w:wordWrap w:val="0"/>
        <w:overflowPunct/>
        <w:topLinePunct w:val="0"/>
        <w:bidi w:val="0"/>
        <w:spacing w:line="360" w:lineRule="auto"/>
        <w:jc w:val="both"/>
        <w:rPr>
          <w:rFonts w:hint="eastAsia" w:ascii="仿宋" w:hAnsi="仿宋" w:eastAsia="仿宋" w:cs="仿宋"/>
          <w:b/>
          <w:color w:val="auto"/>
          <w:spacing w:val="6"/>
          <w:sz w:val="32"/>
          <w:szCs w:val="32"/>
          <w:highlight w:val="none"/>
        </w:rPr>
      </w:pPr>
      <w:bookmarkStart w:id="51" w:name="OLE_LINK14"/>
      <w:bookmarkStart w:id="52" w:name="OLE_LINK13"/>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1"/>
    <w:bookmarkEnd w:id="52"/>
    <w:p>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lang w:eastAsia="zh-CN"/>
        </w:rPr>
        <w:t>绍兴市第一中学</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绍兴市第一中学智能交互一体机采购项目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绍兴市第一中学</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lang w:eastAsia="zh-CN"/>
        </w:rPr>
        <w:t>绍兴市第一中学智能交互一体机采购项目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wordWrap w:val="0"/>
        <w:overflowPunct/>
        <w:topLinePunct w:val="0"/>
        <w:bidi w:val="0"/>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4"/>
        <w:kinsoku/>
        <w:wordWrap w:val="0"/>
        <w:overflowPunct/>
        <w:topLinePunct w:val="0"/>
        <w:bidi w:val="0"/>
        <w:rPr>
          <w:rFonts w:hint="eastAsia"/>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ind w:firstLine="420" w:firstLineChars="200"/>
        <w:rPr>
          <w:rFonts w:hint="eastAsia" w:ascii="仿宋" w:hAnsi="仿宋" w:eastAsia="仿宋" w:cs="仿宋"/>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招标编号:2025-07-0058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1D71B24"/>
    <w:rsid w:val="02E55505"/>
    <w:rsid w:val="033E089E"/>
    <w:rsid w:val="06D74677"/>
    <w:rsid w:val="082A3A50"/>
    <w:rsid w:val="0983157E"/>
    <w:rsid w:val="0AF507FE"/>
    <w:rsid w:val="0FA0239A"/>
    <w:rsid w:val="14127BE9"/>
    <w:rsid w:val="169E17AF"/>
    <w:rsid w:val="1AF0D45A"/>
    <w:rsid w:val="1FBF3881"/>
    <w:rsid w:val="1FCBC4A9"/>
    <w:rsid w:val="1FDF64A5"/>
    <w:rsid w:val="23384B81"/>
    <w:rsid w:val="26866A58"/>
    <w:rsid w:val="29777F9E"/>
    <w:rsid w:val="2CDA6E57"/>
    <w:rsid w:val="2D5F2AB1"/>
    <w:rsid w:val="368A5E92"/>
    <w:rsid w:val="370E5D48"/>
    <w:rsid w:val="37D80F43"/>
    <w:rsid w:val="38647781"/>
    <w:rsid w:val="3DF3849B"/>
    <w:rsid w:val="3E51324C"/>
    <w:rsid w:val="3F326AC0"/>
    <w:rsid w:val="3F6D7804"/>
    <w:rsid w:val="3FEFF7E8"/>
    <w:rsid w:val="3FF7BB55"/>
    <w:rsid w:val="3FFCE84F"/>
    <w:rsid w:val="3FFE25DA"/>
    <w:rsid w:val="3FFF5138"/>
    <w:rsid w:val="423715AE"/>
    <w:rsid w:val="44E70A58"/>
    <w:rsid w:val="45FF8421"/>
    <w:rsid w:val="4DE4148C"/>
    <w:rsid w:val="4F20277D"/>
    <w:rsid w:val="4F3FEEA3"/>
    <w:rsid w:val="4FAE554B"/>
    <w:rsid w:val="4FEEF1CF"/>
    <w:rsid w:val="50C301CB"/>
    <w:rsid w:val="55E34E9E"/>
    <w:rsid w:val="566FF3A5"/>
    <w:rsid w:val="57DAE6E1"/>
    <w:rsid w:val="5A558E99"/>
    <w:rsid w:val="5BDF3378"/>
    <w:rsid w:val="5CFEE2CC"/>
    <w:rsid w:val="5D7F1DB6"/>
    <w:rsid w:val="5F665FB3"/>
    <w:rsid w:val="642152E2"/>
    <w:rsid w:val="643952BD"/>
    <w:rsid w:val="65077AE2"/>
    <w:rsid w:val="6508262C"/>
    <w:rsid w:val="67FC8C85"/>
    <w:rsid w:val="69B5403F"/>
    <w:rsid w:val="6AEF1016"/>
    <w:rsid w:val="6BBFC6AF"/>
    <w:rsid w:val="6BEFF7E4"/>
    <w:rsid w:val="729E74BD"/>
    <w:rsid w:val="76FBAFF1"/>
    <w:rsid w:val="776E0A3D"/>
    <w:rsid w:val="77C33BE9"/>
    <w:rsid w:val="77FE5760"/>
    <w:rsid w:val="77FF1645"/>
    <w:rsid w:val="7B34AC69"/>
    <w:rsid w:val="7BFDEE39"/>
    <w:rsid w:val="7BFF9D14"/>
    <w:rsid w:val="7D77A84C"/>
    <w:rsid w:val="7EB7B118"/>
    <w:rsid w:val="7F006AC6"/>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First Indent 2"/>
    <w:basedOn w:val="3"/>
    <w:next w:val="4"/>
    <w:link w:val="121"/>
    <w:qFormat/>
    <w:uiPriority w:val="0"/>
    <w:pPr>
      <w:adjustRightInd/>
      <w:spacing w:after="120" w:line="240" w:lineRule="auto"/>
      <w:ind w:left="420" w:leftChars="200" w:firstLine="210"/>
    </w:pPr>
    <w:rPr>
      <w:sz w:val="21"/>
    </w:rPr>
  </w:style>
  <w:style w:type="paragraph" w:styleId="3">
    <w:name w:val="Body Text Indent"/>
    <w:basedOn w:val="1"/>
    <w:next w:val="2"/>
    <w:link w:val="264"/>
    <w:qFormat/>
    <w:uiPriority w:val="0"/>
    <w:pPr>
      <w:spacing w:line="480" w:lineRule="exact"/>
      <w:ind w:firstLine="480" w:firstLineChars="200"/>
    </w:pPr>
    <w:rPr>
      <w:rFonts w:ascii="宋体" w:hAnsi="宋体"/>
      <w:sz w:val="24"/>
    </w:rPr>
  </w:style>
  <w:style w:type="paragraph" w:styleId="4">
    <w:name w:val="Body Text"/>
    <w:basedOn w:val="1"/>
    <w:next w:val="5"/>
    <w:link w:val="429"/>
    <w:qFormat/>
    <w:uiPriority w:val="0"/>
    <w:pPr>
      <w:autoSpaceDE w:val="0"/>
      <w:autoSpaceDN w:val="0"/>
      <w:spacing w:line="360" w:lineRule="auto"/>
    </w:pPr>
    <w:rPr>
      <w:rFonts w:ascii="宋体" w:hAnsi="Arial" w:cs="Arial"/>
      <w:snapToGrid w:val="0"/>
      <w:sz w:val="24"/>
      <w:szCs w:val="21"/>
      <w:lang w:val="zh-CN"/>
    </w:rPr>
  </w:style>
  <w:style w:type="paragraph" w:styleId="5">
    <w:name w:val="Body Text First Indent"/>
    <w:basedOn w:val="4"/>
    <w:next w:val="1"/>
    <w:link w:val="320"/>
    <w:qFormat/>
    <w:uiPriority w:val="0"/>
    <w:pPr>
      <w:ind w:firstLine="420"/>
    </w:pPr>
    <w:rPr>
      <w:rFonts w:hAnsi="Calibri" w:cs="Times New Roman"/>
      <w:snapToGrid/>
      <w:szCs w:val="20"/>
    </w:rPr>
  </w:style>
  <w:style w:type="paragraph" w:styleId="9">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229"/>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2"/>
    <w:qFormat/>
    <w:uiPriority w:val="0"/>
    <w:pPr>
      <w:shd w:val="clear" w:color="auto" w:fill="000080"/>
    </w:pPr>
  </w:style>
  <w:style w:type="paragraph" w:styleId="23">
    <w:name w:val="annotation text"/>
    <w:basedOn w:val="1"/>
    <w:link w:val="343"/>
    <w:qFormat/>
    <w:uiPriority w:val="99"/>
    <w:pPr>
      <w:jc w:val="left"/>
    </w:pPr>
  </w:style>
  <w:style w:type="paragraph" w:styleId="24">
    <w:name w:val="Salutation"/>
    <w:basedOn w:val="1"/>
    <w:next w:val="1"/>
    <w:link w:val="297"/>
    <w:qFormat/>
    <w:uiPriority w:val="0"/>
    <w:rPr>
      <w:rFonts w:ascii="仿宋_GB2312" w:eastAsia="仿宋_GB2312"/>
      <w:sz w:val="28"/>
      <w:szCs w:val="20"/>
    </w:rPr>
  </w:style>
  <w:style w:type="paragraph" w:styleId="25">
    <w:name w:val="Body Text 3"/>
    <w:basedOn w:val="1"/>
    <w:link w:val="329"/>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9"/>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96"/>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2"/>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7"/>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5"/>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9"/>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2"/>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10"/>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20"/>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6"/>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11"/>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4"/>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10"/>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3"/>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10"/>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5"/>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3"/>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4"/>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9"/>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4"/>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10"/>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7"/>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7"/>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8"/>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11"/>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8"/>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10"/>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6"/>
    <w:qFormat/>
    <w:uiPriority w:val="0"/>
    <w:pPr>
      <w:tabs>
        <w:tab w:val="left" w:pos="840"/>
      </w:tabs>
      <w:adjustRightInd/>
      <w:ind w:left="840" w:hanging="420"/>
    </w:pPr>
  </w:style>
  <w:style w:type="paragraph" w:customStyle="1" w:styleId="625">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10"/>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8"/>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9"/>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2"/>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11"/>
    <w:next w:val="1"/>
    <w:qFormat/>
    <w:uiPriority w:val="0"/>
    <w:pPr>
      <w:tabs>
        <w:tab w:val="left" w:pos="1080"/>
      </w:tabs>
      <w:ind w:left="1080" w:hanging="1080"/>
    </w:pPr>
  </w:style>
  <w:style w:type="paragraph" w:customStyle="1" w:styleId="896">
    <w:name w:val="数字标题1"/>
    <w:basedOn w:val="6"/>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正文表格"/>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40054</Words>
  <Characters>42580</Characters>
  <Paragraphs>2030</Paragraphs>
  <TotalTime>1</TotalTime>
  <ScaleCrop>false</ScaleCrop>
  <LinksUpToDate>false</LinksUpToDate>
  <CharactersWithSpaces>49831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amin</cp:lastModifiedBy>
  <cp:lastPrinted>2021-12-31T11:06:00Z</cp:lastPrinted>
  <dcterms:modified xsi:type="dcterms:W3CDTF">2025-07-07T11:49:04Z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