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val="0"/>
        <w:overflowPunct/>
        <w:topLinePunct w:val="0"/>
        <w:bidi w:val="0"/>
        <w:spacing w:line="360" w:lineRule="auto"/>
        <w:jc w:val="center"/>
        <w:rPr>
          <w:rFonts w:ascii="宋体" w:hAnsi="宋体" w:cs="宋体"/>
          <w:b/>
          <w:color w:val="auto"/>
          <w:sz w:val="24"/>
          <w:highlight w:val="none"/>
        </w:rPr>
      </w:pPr>
    </w:p>
    <w:p>
      <w:pPr>
        <w:kinsoku/>
        <w:wordWrap w:val="0"/>
        <w:overflowPunct/>
        <w:topLinePunct w:val="0"/>
        <w:bidi w:val="0"/>
        <w:adjustRightInd/>
        <w:spacing w:line="360" w:lineRule="auto"/>
        <w:jc w:val="center"/>
        <w:rPr>
          <w:rFonts w:hint="eastAsia" w:ascii="隶书" w:hAnsi="Arial" w:eastAsia="隶书" w:cs="Arial"/>
          <w:b/>
          <w:color w:val="auto"/>
          <w:spacing w:val="-12"/>
          <w:sz w:val="48"/>
          <w:szCs w:val="48"/>
          <w:highlight w:val="none"/>
          <w:lang w:eastAsia="zh-CN"/>
        </w:rPr>
      </w:pPr>
      <w:bookmarkStart w:id="0" w:name="_Hlt67893495"/>
      <w:bookmarkEnd w:id="0"/>
      <w:r>
        <w:rPr>
          <w:rFonts w:hint="eastAsia" w:ascii="隶书" w:hAnsi="Arial" w:eastAsia="隶书" w:cs="Arial"/>
          <w:b/>
          <w:color w:val="auto"/>
          <w:spacing w:val="-12"/>
          <w:sz w:val="48"/>
          <w:szCs w:val="48"/>
          <w:highlight w:val="none"/>
          <w:lang w:eastAsia="zh-CN"/>
        </w:rPr>
        <w:t>绍兴文理学院</w:t>
      </w:r>
    </w:p>
    <w:p>
      <w:pPr>
        <w:kinsoku/>
        <w:wordWrap w:val="0"/>
        <w:overflowPunct/>
        <w:topLinePunct w:val="0"/>
        <w:bidi w:val="0"/>
        <w:adjustRightInd/>
        <w:spacing w:line="360" w:lineRule="auto"/>
        <w:jc w:val="center"/>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商学院新大楼家具采购项目</w:t>
      </w:r>
    </w:p>
    <w:p>
      <w:pPr>
        <w:kinsoku/>
        <w:wordWrap w:val="0"/>
        <w:overflowPunct/>
        <w:topLinePunct w:val="0"/>
        <w:bidi w:val="0"/>
        <w:jc w:val="center"/>
        <w:outlineLvl w:val="0"/>
        <w:rPr>
          <w:rFonts w:hint="eastAsia" w:ascii="仿宋" w:hAnsi="仿宋" w:eastAsia="仿宋" w:cs="仿宋"/>
          <w:b/>
          <w:color w:val="auto"/>
          <w:sz w:val="72"/>
          <w:szCs w:val="72"/>
          <w:highlight w:val="none"/>
        </w:rPr>
      </w:pP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公</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开</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招</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标</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文</w:t>
      </w:r>
    </w:p>
    <w:p>
      <w:pPr>
        <w:kinsoku/>
        <w:wordWrap w:val="0"/>
        <w:overflowPunct/>
        <w:topLinePunct w:val="0"/>
        <w:bidi w:val="0"/>
        <w:jc w:val="center"/>
        <w:outlineLvl w:val="0"/>
        <w:rPr>
          <w:rFonts w:hint="eastAsia" w:ascii="隶书" w:hAnsi="隶书" w:eastAsia="隶书" w:cs="隶书"/>
          <w:color w:val="auto"/>
          <w:sz w:val="44"/>
          <w:highlight w:val="none"/>
        </w:rPr>
      </w:pPr>
      <w:r>
        <w:rPr>
          <w:rFonts w:hint="eastAsia" w:ascii="隶书" w:hAnsi="隶书" w:eastAsia="隶书" w:cs="隶书"/>
          <w:b/>
          <w:color w:val="auto"/>
          <w:sz w:val="72"/>
          <w:szCs w:val="72"/>
          <w:highlight w:val="none"/>
        </w:rPr>
        <w:t>件</w:t>
      </w:r>
    </w:p>
    <w:p>
      <w:pPr>
        <w:kinsoku/>
        <w:wordWrap w:val="0"/>
        <w:overflowPunct/>
        <w:topLinePunct w:val="0"/>
        <w:bidi w:val="0"/>
        <w:adjustRightInd/>
        <w:spacing w:line="360" w:lineRule="auto"/>
        <w:jc w:val="center"/>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（电子招投标）</w:t>
      </w:r>
    </w:p>
    <w:p>
      <w:pPr>
        <w:kinsoku/>
        <w:wordWrap w:val="0"/>
        <w:overflowPunct/>
        <w:topLinePunct w:val="0"/>
        <w:bidi w:val="0"/>
        <w:spacing w:line="360" w:lineRule="auto"/>
        <w:jc w:val="both"/>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 xml:space="preserve"> </w:t>
      </w:r>
    </w:p>
    <w:p>
      <w:pPr>
        <w:kinsoku/>
        <w:wordWrap w:val="0"/>
        <w:overflowPunct/>
        <w:topLinePunct w:val="0"/>
        <w:bidi w:val="0"/>
        <w:jc w:val="center"/>
        <w:rPr>
          <w:rFonts w:hint="eastAsia" w:ascii="隶书" w:hAnsi="隶书" w:eastAsia="隶书" w:cs="隶书"/>
          <w:b w:val="0"/>
          <w:bCs/>
          <w:color w:val="auto"/>
          <w:sz w:val="28"/>
          <w:szCs w:val="28"/>
          <w:highlight w:val="none"/>
          <w:lang w:eastAsia="zh-CN"/>
        </w:rPr>
      </w:pPr>
      <w:r>
        <w:rPr>
          <w:rFonts w:hint="eastAsia" w:ascii="隶书" w:hAnsi="隶书" w:eastAsia="隶书" w:cs="隶书"/>
          <w:b w:val="0"/>
          <w:bCs/>
          <w:color w:val="auto"/>
          <w:sz w:val="28"/>
          <w:szCs w:val="28"/>
          <w:highlight w:val="none"/>
          <w:lang w:eastAsia="zh-CN"/>
        </w:rPr>
        <w:t>招标编号:</w:t>
      </w:r>
      <w:r>
        <w:rPr>
          <w:rFonts w:hint="eastAsia" w:ascii="隶书" w:hAnsi="隶书" w:eastAsia="隶书" w:cs="隶书"/>
          <w:b/>
          <w:bCs w:val="0"/>
          <w:color w:val="auto"/>
          <w:sz w:val="28"/>
          <w:szCs w:val="28"/>
          <w:highlight w:val="none"/>
          <w:lang w:eastAsia="zh-CN"/>
        </w:rPr>
        <w:t>2025-06-0052</w:t>
      </w:r>
    </w:p>
    <w:tbl>
      <w:tblPr>
        <w:tblStyle w:val="63"/>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rPr>
              <w:t>采购单</w:t>
            </w:r>
            <w:r>
              <w:rPr>
                <w:rFonts w:hint="eastAsia" w:ascii="隶书" w:hAnsi="隶书" w:eastAsia="隶书" w:cs="隶书"/>
                <w:color w:val="auto"/>
                <w:spacing w:val="1"/>
                <w:kern w:val="0"/>
                <w:sz w:val="28"/>
                <w:szCs w:val="28"/>
                <w:highlight w:val="none"/>
              </w:rPr>
              <w:t>位</w:t>
            </w:r>
            <w:r>
              <w:rPr>
                <w:rFonts w:hint="eastAsia" w:ascii="隶书" w:hAnsi="隶书" w:eastAsia="隶书" w:cs="隶书"/>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隶书" w:hAnsi="隶书" w:eastAsia="隶书" w:cs="隶书"/>
                <w:color w:val="auto"/>
                <w:sz w:val="28"/>
                <w:szCs w:val="28"/>
                <w:highlight w:val="none"/>
                <w:lang w:eastAsia="zh-CN"/>
              </w:rPr>
            </w:pPr>
            <w:r>
              <w:rPr>
                <w:rFonts w:hint="eastAsia" w:ascii="隶书" w:hAnsi="隶书" w:eastAsia="隶书" w:cs="隶书"/>
                <w:color w:val="auto"/>
                <w:sz w:val="28"/>
                <w:szCs w:val="28"/>
                <w:highlight w:val="none"/>
                <w:lang w:eastAsia="zh-CN"/>
              </w:rPr>
              <w:t>绍兴文理学院</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0"/>
                <w:w w:val="100"/>
                <w:kern w:val="0"/>
                <w:sz w:val="28"/>
                <w:szCs w:val="28"/>
                <w:highlight w:val="none"/>
                <w:fitText w:val="1680" w:id="-1368503609"/>
              </w:rPr>
              <w:t>采购代理机构</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fitText w:val="1680" w:id="1"/>
              </w:rPr>
              <w:t>监督单</w:t>
            </w:r>
            <w:r>
              <w:rPr>
                <w:rFonts w:hint="eastAsia" w:ascii="隶书" w:hAnsi="隶书" w:eastAsia="隶书" w:cs="隶书"/>
                <w:color w:val="auto"/>
                <w:spacing w:val="1"/>
                <w:kern w:val="0"/>
                <w:sz w:val="28"/>
                <w:szCs w:val="28"/>
                <w:highlight w:val="none"/>
                <w:fitText w:val="1680" w:id="1"/>
              </w:rPr>
              <w:t>位</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隶书" w:hAnsi="隶书" w:eastAsia="隶书" w:cs="隶书"/>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隶书" w:hAnsi="隶书" w:eastAsia="隶书" w:cs="隶书"/>
                <w:color w:val="auto"/>
                <w:sz w:val="28"/>
                <w:szCs w:val="28"/>
                <w:highlight w:val="none"/>
              </w:rPr>
            </w:pPr>
            <w:r>
              <w:rPr>
                <w:rFonts w:hint="eastAsia" w:ascii="隶书" w:hAnsi="隶书" w:eastAsia="隶书" w:cs="隶书"/>
                <w:color w:val="auto"/>
                <w:sz w:val="28"/>
                <w:szCs w:val="28"/>
                <w:highlight w:val="none"/>
              </w:rPr>
              <w:t>二○二</w:t>
            </w:r>
            <w:r>
              <w:rPr>
                <w:rFonts w:hint="eastAsia" w:ascii="隶书" w:hAnsi="隶书" w:eastAsia="隶书" w:cs="隶书"/>
                <w:color w:val="auto"/>
                <w:sz w:val="28"/>
                <w:szCs w:val="28"/>
                <w:highlight w:val="none"/>
                <w:lang w:val="en-US" w:eastAsia="zh-CN"/>
              </w:rPr>
              <w:t>五</w:t>
            </w:r>
            <w:r>
              <w:rPr>
                <w:rFonts w:hint="eastAsia" w:ascii="隶书" w:hAnsi="隶书" w:eastAsia="隶书" w:cs="隶书"/>
                <w:color w:val="auto"/>
                <w:sz w:val="28"/>
                <w:szCs w:val="28"/>
                <w:highlight w:val="none"/>
              </w:rPr>
              <w:t>年</w:t>
            </w:r>
            <w:r>
              <w:rPr>
                <w:rFonts w:hint="eastAsia" w:ascii="隶书" w:hAnsi="隶书" w:eastAsia="隶书" w:cs="隶书"/>
                <w:color w:val="auto"/>
                <w:sz w:val="28"/>
                <w:szCs w:val="28"/>
                <w:highlight w:val="none"/>
                <w:lang w:val="en-US" w:eastAsia="zh-CN"/>
              </w:rPr>
              <w:t>六</w:t>
            </w:r>
            <w:r>
              <w:rPr>
                <w:rFonts w:hint="eastAsia" w:ascii="隶书" w:hAnsi="隶书" w:eastAsia="隶书" w:cs="隶书"/>
                <w:color w:val="auto"/>
                <w:sz w:val="28"/>
                <w:szCs w:val="28"/>
                <w:highlight w:val="none"/>
              </w:rPr>
              <w:t>月</w:t>
            </w:r>
          </w:p>
        </w:tc>
      </w:tr>
    </w:tbl>
    <w:p>
      <w:pPr>
        <w:pStyle w:val="637"/>
        <w:kinsoku/>
        <w:wordWrap w:val="0"/>
        <w:overflowPunct/>
        <w:topLinePunct w:val="0"/>
        <w:bidi w:val="0"/>
        <w:rPr>
          <w:rFonts w:hint="eastAsia" w:ascii="隶书" w:hAnsi="隶书" w:eastAsia="隶书" w:cs="隶书"/>
          <w:color w:val="auto"/>
          <w:highlight w:val="none"/>
        </w:rPr>
        <w:sectPr>
          <w:headerReference r:id="rId3" w:type="default"/>
          <w:footerReference r:id="rId4" w:type="default"/>
          <w:footerReference r:id="rId5" w:type="even"/>
          <w:pgSz w:w="11906" w:h="16838"/>
          <w:pgMar w:top="1814" w:right="1474" w:bottom="1814" w:left="1474" w:header="851" w:footer="992" w:gutter="0"/>
          <w:pgNumType w:fmt="decimal" w:start="1"/>
          <w:cols w:space="720" w:num="1"/>
          <w:titlePg/>
          <w:docGrid w:linePitch="312" w:charSpace="0"/>
        </w:sectPr>
      </w:pPr>
    </w:p>
    <w:p>
      <w:pPr>
        <w:kinsoku/>
        <w:wordWrap w:val="0"/>
        <w:overflowPunct/>
        <w:topLinePunct w:val="0"/>
        <w:bidi w:val="0"/>
        <w:spacing w:line="360" w:lineRule="auto"/>
        <w:jc w:val="center"/>
        <w:rPr>
          <w:rFonts w:hint="eastAsia" w:ascii="仿宋" w:hAnsi="仿宋" w:eastAsia="仿宋" w:cs="仿宋"/>
          <w:color w:val="auto"/>
          <w:sz w:val="2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rPr>
          <w:rFonts w:hint="eastAsia" w:ascii="仿宋" w:hAnsi="仿宋" w:eastAsia="仿宋" w:cs="仿宋"/>
          <w:color w:val="auto"/>
          <w:sz w:val="24"/>
          <w:highlight w:val="none"/>
        </w:rPr>
      </w:pPr>
    </w:p>
    <w:bookmarkEnd w:id="2"/>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9" w:type="first"/>
          <w:headerReference r:id="rId6" w:type="default"/>
          <w:footerReference r:id="rId7" w:type="default"/>
          <w:footerReference r:id="rId8" w:type="even"/>
          <w:pgSz w:w="11906" w:h="16838"/>
          <w:pgMar w:top="1814" w:right="1474" w:bottom="1814" w:left="1474" w:header="851" w:footer="992" w:gutter="0"/>
          <w:pgNumType w:fmt="decimal"/>
          <w:cols w:space="720" w:num="1"/>
          <w:titlePg/>
          <w:docGrid w:linePitch="312" w:charSpace="0"/>
        </w:sectPr>
      </w:pPr>
      <w:bookmarkStart w:id="3" w:name="_Hlt74649545"/>
      <w:bookmarkEnd w:id="3"/>
      <w:bookmarkStart w:id="4" w:name="_Hlt74707423"/>
      <w:bookmarkEnd w:id="4"/>
      <w:bookmarkStart w:id="5" w:name="_Hlt74729822"/>
      <w:bookmarkEnd w:id="5"/>
      <w:bookmarkStart w:id="6" w:name="_Hlt74728647"/>
      <w:bookmarkEnd w:id="6"/>
      <w:bookmarkStart w:id="7" w:name="_Toc91899870"/>
      <w:bookmarkStart w:id="8" w:name="第二部分"/>
      <w:bookmarkStart w:id="9"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绍兴文理学院商学院新大楼家具采购项目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7"/>
          <w:rFonts w:hint="eastAsia" w:ascii="仿宋_GB2312" w:hAnsi="仿宋_GB2312" w:eastAsia="仿宋_GB2312" w:cs="仿宋_GB2312"/>
          <w:snapToGrid/>
          <w:color w:val="auto"/>
          <w:kern w:val="2"/>
          <w:sz w:val="24"/>
          <w:szCs w:val="24"/>
          <w:highlight w:val="none"/>
        </w:rPr>
        <w:t>https://www.zcygov.cn/）获取（下载）招标文件，并于202 年 月 日 点 分</w:t>
      </w:r>
      <w:r>
        <w:rPr>
          <w:rStyle w:val="77"/>
          <w:rFonts w:hint="eastAsia" w:ascii="仿宋_GB2312" w:hAnsi="仿宋_GB2312" w:eastAsia="仿宋_GB2312" w:cs="仿宋_GB2312"/>
          <w:bCs/>
          <w:snapToGrid/>
          <w:color w:val="auto"/>
          <w:kern w:val="2"/>
          <w:sz w:val="24"/>
          <w:szCs w:val="24"/>
          <w:highlight w:val="none"/>
        </w:rPr>
        <w:t>00秒</w:t>
      </w:r>
      <w:r>
        <w:rPr>
          <w:rStyle w:val="77"/>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2025-06-0052</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 w:val="0"/>
          <w:bCs/>
          <w:color w:val="auto"/>
          <w:sz w:val="24"/>
          <w:highlight w:val="none"/>
          <w:lang w:eastAsia="zh-CN"/>
        </w:rPr>
        <w:t>绍兴文理学院商学院新大楼家具采购项目</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预算金额（元）： </w:t>
      </w:r>
      <w:r>
        <w:rPr>
          <w:rFonts w:hint="eastAsia" w:ascii="仿宋_GB2312" w:hAnsi="仿宋_GB2312" w:eastAsia="仿宋_GB2312" w:cs="仿宋_GB2312"/>
          <w:b w:val="0"/>
          <w:bCs/>
          <w:color w:val="auto"/>
          <w:sz w:val="24"/>
          <w:highlight w:val="none"/>
          <w:lang w:val="en-US" w:eastAsia="zh-CN"/>
        </w:rPr>
        <w:t>500000</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最高限价（元）： </w:t>
      </w:r>
      <w:r>
        <w:rPr>
          <w:rFonts w:hint="eastAsia" w:ascii="仿宋_GB2312" w:hAnsi="仿宋_GB2312" w:eastAsia="仿宋_GB2312" w:cs="仿宋_GB2312"/>
          <w:b w:val="0"/>
          <w:bCs/>
          <w:color w:val="auto"/>
          <w:sz w:val="24"/>
          <w:highlight w:val="none"/>
          <w:lang w:val="en-US" w:eastAsia="zh-CN"/>
        </w:rPr>
        <w:t>500000</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 w:val="0"/>
          <w:bCs/>
          <w:color w:val="auto"/>
          <w:sz w:val="24"/>
          <w:highlight w:val="none"/>
          <w:lang w:eastAsia="zh-CN"/>
        </w:rPr>
        <w:t>商学院新大楼家具采购项目</w:t>
      </w:r>
    </w:p>
    <w:p>
      <w:pPr>
        <w:pageBreakBefore w:val="0"/>
        <w:widowControl w:val="0"/>
        <w:kinsoku/>
        <w:wordWrap w:val="0"/>
        <w:overflowPunct/>
        <w:topLinePunct w:val="0"/>
        <w:autoSpaceDE/>
        <w:autoSpaceDN/>
        <w:bidi w:val="0"/>
        <w:spacing w:line="440" w:lineRule="exact"/>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lang w:val="en-US" w:eastAsia="zh-CN"/>
        </w:rPr>
        <w:t>预算金额（元）：</w:t>
      </w:r>
      <w:r>
        <w:rPr>
          <w:rFonts w:hint="eastAsia" w:ascii="仿宋_GB2312" w:hAnsi="仿宋_GB2312" w:eastAsia="仿宋_GB2312" w:cs="仿宋_GB2312"/>
          <w:b w:val="0"/>
          <w:bCs/>
          <w:color w:val="auto"/>
          <w:sz w:val="24"/>
          <w:highlight w:val="none"/>
          <w:lang w:val="en-US" w:eastAsia="zh-CN"/>
        </w:rPr>
        <w:t>500000</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主要内容：简要规格描述或项目基本概况介绍、用途，详见采购文件</w:t>
      </w:r>
      <w:r>
        <w:rPr>
          <w:rFonts w:hint="eastAsia" w:ascii="仿宋_GB2312" w:hAnsi="仿宋_GB2312" w:eastAsia="仿宋_GB2312" w:cs="仿宋_GB2312"/>
          <w:b w:val="0"/>
          <w:bCs/>
          <w:color w:val="auto"/>
          <w:sz w:val="24"/>
          <w:highlight w:val="none"/>
        </w:rPr>
        <w:t>。</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r>
        <w:rPr>
          <w:rFonts w:hint="default" w:ascii="Wingdings 2" w:hAnsi="Wingdings 2" w:eastAsia="仿宋_GB2312" w:cs="Wingdings 2"/>
          <w:b/>
          <w:color w:val="auto"/>
          <w:kern w:val="2"/>
          <w:sz w:val="24"/>
          <w:szCs w:val="24"/>
          <w:highlight w:val="none"/>
          <w:lang w:val="en-US" w:eastAsia="zh-CN" w:bidi="ar-SA"/>
        </w:rPr>
        <w:sym w:font="Wingdings 2" w:char="0052"/>
      </w:r>
      <w:r>
        <w:rPr>
          <w:rFonts w:hint="eastAsia" w:ascii="仿宋_GB2312" w:hAnsi="仿宋_GB2312" w:eastAsia="仿宋_GB2312" w:cs="仿宋_GB2312"/>
          <w:b/>
          <w:color w:val="auto"/>
          <w:sz w:val="24"/>
          <w:highlight w:val="none"/>
        </w:rPr>
        <w:t>是，☐否。</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default" w:ascii="Wingdings 2" w:hAnsi="Wingdings 2" w:eastAsia="仿宋_GB2312" w:cs="Wingdings 2"/>
          <w:b w:val="0"/>
          <w:bCs/>
          <w:color w:val="auto"/>
          <w:kern w:val="2"/>
          <w:sz w:val="24"/>
          <w:szCs w:val="24"/>
          <w:highlight w:val="none"/>
          <w:lang w:val="en-US" w:eastAsia="zh-CN" w:bidi="ar-SA"/>
        </w:rPr>
        <w:sym w:font="Wingdings 2" w:char="0052"/>
      </w:r>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u w:val="single"/>
        </w:rPr>
      </w:pPr>
      <w:r>
        <w:rPr>
          <w:rFonts w:hint="default" w:ascii="Wingdings 2" w:hAnsi="Wingdings 2" w:eastAsia="仿宋_GB2312" w:cs="Wingdings 2"/>
          <w:b w:val="0"/>
          <w:bCs/>
          <w:color w:val="auto"/>
          <w:kern w:val="2"/>
          <w:sz w:val="24"/>
          <w:szCs w:val="24"/>
          <w:highlight w:val="none"/>
          <w:lang w:val="en-US" w:eastAsia="zh-CN" w:bidi="ar-SA"/>
        </w:rPr>
        <w:sym w:font="Wingdings 2" w:char="0052"/>
      </w:r>
      <w:r>
        <w:rPr>
          <w:rFonts w:hint="eastAsia" w:ascii="仿宋_GB2312" w:hAnsi="仿宋_GB2312" w:eastAsia="仿宋_GB2312" w:cs="仿宋_GB2312"/>
          <w:color w:val="auto"/>
          <w:sz w:val="24"/>
          <w:highlight w:val="none"/>
        </w:rPr>
        <w:t>货物全部由符合政策要求的中小企业制造，提供中小企业声明函；</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货物全部由符合政策要求的小微企业制造，提供中小企业声明函；</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bookmarkStart w:id="10" w:name="_Hlk101132524"/>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bookmarkEnd w:id="10"/>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napToGrid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 月 日 点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7"/>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szCs w:val="24"/>
          <w:highlight w:val="none"/>
        </w:rPr>
      </w:pPr>
      <w:bookmarkStart w:id="11" w:name="_Toc28359019"/>
      <w:bookmarkStart w:id="12" w:name="_Toc28359096"/>
      <w:bookmarkStart w:id="13" w:name="_Toc35393637"/>
      <w:bookmarkStart w:id="14" w:name="_Toc35393806"/>
      <w:r>
        <w:rPr>
          <w:rFonts w:hint="eastAsia" w:ascii="仿宋_GB2312" w:hAnsi="仿宋_GB2312" w:eastAsia="仿宋_GB2312" w:cs="仿宋_GB2312"/>
          <w:color w:val="auto"/>
          <w:sz w:val="24"/>
          <w:szCs w:val="24"/>
          <w:highlight w:val="none"/>
        </w:rPr>
        <w:t>1.采购人信息</w:t>
      </w:r>
      <w:bookmarkEnd w:id="11"/>
      <w:bookmarkEnd w:id="12"/>
      <w:bookmarkEnd w:id="13"/>
      <w:bookmarkEnd w:id="14"/>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 xml:space="preserve">名    称： </w:t>
      </w:r>
      <w:r>
        <w:rPr>
          <w:rFonts w:hint="eastAsia" w:ascii="仿宋_GB2312" w:hAnsi="仿宋_GB2312" w:eastAsia="仿宋_GB2312" w:cs="仿宋_GB2312"/>
          <w:color w:val="auto"/>
          <w:sz w:val="24"/>
          <w:highlight w:val="none"/>
          <w:lang w:eastAsia="zh-CN"/>
        </w:rPr>
        <w:t>绍兴文理学院</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地    址： 绍兴市越城区环城西路508</w:t>
      </w:r>
      <w:r>
        <w:rPr>
          <w:rFonts w:hint="eastAsia" w:ascii="仿宋_GB2312" w:hAnsi="仿宋_GB2312" w:eastAsia="仿宋_GB2312" w:cs="仿宋_GB2312"/>
          <w:color w:val="auto"/>
          <w:sz w:val="24"/>
          <w:highlight w:val="none"/>
          <w:lang w:val="en-US" w:eastAsia="zh-CN"/>
        </w:rPr>
        <w:t>号</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传    真：</w:t>
      </w:r>
      <w:r>
        <w:rPr>
          <w:rFonts w:hint="eastAsia" w:ascii="仿宋_GB2312" w:hAnsi="仿宋_GB2312" w:eastAsia="仿宋_GB2312" w:cs="仿宋_GB2312"/>
          <w:color w:val="auto"/>
          <w:sz w:val="24"/>
          <w:highlight w:val="none"/>
          <w:lang w:val="en-US" w:eastAsia="zh-CN"/>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 聂玉冰</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项目联系方式（询问）：0575-88342889</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质疑联系人：杨路华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质疑联系方式：0575-88341862</w:t>
      </w:r>
    </w:p>
    <w:p>
      <w:pPr>
        <w:pStyle w:val="7"/>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bookmarkStart w:id="15" w:name="_Toc35393638"/>
      <w:bookmarkStart w:id="16" w:name="_Toc28359020"/>
      <w:bookmarkStart w:id="17" w:name="_Toc28359097"/>
      <w:bookmarkStart w:id="18" w:name="_Toc35393807"/>
      <w:r>
        <w:rPr>
          <w:rFonts w:hint="eastAsia" w:ascii="仿宋_GB2312" w:hAnsi="仿宋_GB2312" w:eastAsia="仿宋_GB2312" w:cs="仿宋_GB2312"/>
          <w:color w:val="auto"/>
          <w:sz w:val="24"/>
          <w:szCs w:val="24"/>
          <w:highlight w:val="none"/>
        </w:rPr>
        <w:t>2.采购代理机构信息</w:t>
      </w:r>
      <w:bookmarkEnd w:id="15"/>
      <w:bookmarkEnd w:id="16"/>
      <w:bookmarkEnd w:id="17"/>
      <w:bookmarkEnd w:id="18"/>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bookmarkStart w:id="19" w:name="_Toc28359021"/>
      <w:bookmarkStart w:id="20" w:name="_Toc28359098"/>
      <w:bookmarkStart w:id="21" w:name="_Toc35393639"/>
      <w:bookmarkStart w:id="22" w:name="_Toc35393808"/>
      <w:r>
        <w:rPr>
          <w:rFonts w:hint="eastAsia" w:ascii="仿宋_GB2312" w:hAnsi="仿宋_GB2312" w:eastAsia="仿宋_GB2312" w:cs="仿宋_GB2312"/>
          <w:b w:val="0"/>
          <w:bCs w:val="0"/>
          <w:color w:val="auto"/>
          <w:sz w:val="24"/>
          <w:highlight w:val="none"/>
        </w:rPr>
        <w:t>名称：绍兴市公共资源交易中心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地址：绍兴市越城区洋江西路699号</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传真：0575-88307029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项目联系人（询问）：黄世杰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项目联系方式（询问）：0575-88307028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质疑联系人：顾梁杰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质疑联系方式：0575-88307026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color w:val="auto"/>
          <w:sz w:val="24"/>
          <w:highlight w:val="none"/>
        </w:rPr>
        <w:t xml:space="preserve">同级政府采购监督管理部门：            </w:t>
      </w:r>
    </w:p>
    <w:bookmarkEnd w:id="19"/>
    <w:bookmarkEnd w:id="20"/>
    <w:bookmarkEnd w:id="21"/>
    <w:bookmarkEnd w:id="22"/>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名称：绍兴市财政局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地址：绍兴市越城区凤林西路151号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传真：0575-85209697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联系人 ：张婷婷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kinsoku/>
        <w:wordWrap w:val="0"/>
        <w:overflowPunct/>
        <w:topLinePunct w:val="0"/>
        <w:bidi w:val="0"/>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493"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493" w:type="dxa"/>
            <w:gridSpan w:val="2"/>
            <w:vAlign w:val="center"/>
          </w:tcPr>
          <w:p>
            <w:pPr>
              <w:kinsoku/>
              <w:wordWrap w:val="0"/>
              <w:overflowPunct/>
              <w:topLinePunct w:val="0"/>
              <w:bidi w:val="0"/>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仿宋_GB2312" w:hAnsi="仿宋" w:eastAsia="仿宋_GB2312" w:cs="Arial"/>
                <w:color w:val="auto"/>
                <w:kern w:val="0"/>
                <w:sz w:val="24"/>
                <w:highlight w:val="none"/>
              </w:rPr>
              <w:sym w:font="Wingdings" w:char="00A8"/>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kinsoku/>
              <w:wordWrap w:val="0"/>
              <w:overflowPunct/>
              <w:topLinePunct w:val="0"/>
              <w:bidi w:val="0"/>
              <w:spacing w:line="440" w:lineRule="exact"/>
              <w:ind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493" w:type="dxa"/>
            <w:gridSpan w:val="2"/>
            <w:vAlign w:val="center"/>
          </w:tcPr>
          <w:p>
            <w:pPr>
              <w:kinsoku/>
              <w:wordWrap w:val="0"/>
              <w:overflowPunct/>
              <w:topLinePunct w:val="0"/>
              <w:autoSpaceDE w:val="0"/>
              <w:autoSpaceDN w:val="0"/>
              <w:bidi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keepNext w:val="0"/>
              <w:keepLines w:val="0"/>
              <w:pageBreakBefore w:val="0"/>
              <w:widowControl w:val="0"/>
              <w:kinsoku/>
              <w:wordWrap w:val="0"/>
              <w:overflowPunct/>
              <w:topLinePunct w:val="0"/>
              <w:autoSpaceDE/>
              <w:autoSpaceDN/>
              <w:bidi w:val="0"/>
              <w:adjustRightInd w:val="0"/>
              <w:snapToGrid/>
              <w:spacing w:line="240" w:lineRule="auto"/>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hint="eastAsia" w:ascii="仿宋_GB2312" w:hAnsi="仿宋_GB2312" w:eastAsia="仿宋_GB2312" w:cs="仿宋_GB2312"/>
                    <w:color w:val="auto"/>
                    <w:kern w:val="0"/>
                    <w:sz w:val="24"/>
                    <w:highlight w:val="none"/>
                    <w:lang w:eastAsia="zh-CN"/>
                  </w:rPr>
                  <w:sym w:font="Wingdings 2" w:char="0052"/>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kinsoku/>
              <w:wordWrap w:val="0"/>
              <w:overflowPunct/>
              <w:topLinePunct w:val="0"/>
              <w:autoSpaceDE w:val="0"/>
              <w:autoSpaceDN w:val="0"/>
              <w:bidi w:val="0"/>
              <w:spacing w:line="440" w:lineRule="exact"/>
              <w:textAlignment w:val="bottom"/>
              <w:rPr>
                <w:rFonts w:hint="eastAsia"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A3"/>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二人折叠活动桌（本项目的货物清单中序号第18项）、多功能电子讲台（本项目的货物清单中序号第19项）、学生实训桌（本项目的货物清单中序号第20项）各一张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提供完整样品，具体标准详见货物清单及技术要求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（4）是否需要随样品提交检测报告：□否；</w:t>
            </w:r>
            <w:r>
              <w:rPr>
                <w:rFonts w:hint="eastAsia" w:ascii="仿宋_GB2312" w:hAnsi="仿宋_GB2312" w:eastAsia="仿宋_GB2312" w:cs="仿宋_GB2312"/>
                <w:color w:val="auto"/>
                <w:kern w:val="0"/>
                <w:sz w:val="24"/>
                <w:highlight w:val="none"/>
              </w:rPr>
              <w:sym w:font="Wingdings 2" w:char="0052"/>
            </w:r>
            <w:r>
              <w:rPr>
                <w:rFonts w:hint="eastAsia" w:ascii="仿宋_GB2312" w:hAnsi="仿宋_GB2312" w:eastAsia="仿宋_GB2312" w:cs="仿宋_GB2312"/>
                <w:color w:val="auto"/>
                <w:kern w:val="0"/>
                <w:sz w:val="24"/>
                <w:highlight w:val="none"/>
              </w:rPr>
              <w:t>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绍兴文理学院南山校区</w:t>
            </w:r>
            <w:r>
              <w:rPr>
                <w:rFonts w:hint="eastAsia" w:ascii="仿宋_GB2312" w:hAnsi="仿宋_GB2312" w:eastAsia="仿宋_GB2312" w:cs="仿宋_GB2312"/>
                <w:color w:val="auto"/>
                <w:sz w:val="24"/>
                <w:highlight w:val="none"/>
                <w:u w:val="single"/>
                <w:lang w:val="en-US" w:eastAsia="zh-CN"/>
              </w:rPr>
              <w:t>14号楼</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侯丽丽</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kern w:val="28"/>
                <w:sz w:val="24"/>
                <w:highlight w:val="none"/>
                <w:u w:val="single"/>
                <w:lang w:val="en-US" w:eastAsia="zh-CN"/>
              </w:rPr>
              <w:t>13177056781</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pStyle w:val="81"/>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sz w:val="24"/>
                <w:highlight w:val="none"/>
              </w:rPr>
              <w:t>（</w:t>
            </w:r>
            <w:r>
              <w:rPr>
                <w:rFonts w:hint="eastAsia" w:hAnsi="仿宋_GB2312" w:cs="仿宋_GB2312"/>
                <w:b/>
                <w:bCs/>
                <w:color w:val="auto"/>
                <w:sz w:val="24"/>
                <w:highlight w:val="none"/>
                <w:lang w:val="en-US" w:eastAsia="zh-CN"/>
              </w:rPr>
              <w:t>8</w:t>
            </w: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eastAsia="zh-CN"/>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493" w:type="dxa"/>
            <w:gridSpan w:val="2"/>
            <w:vAlign w:val="center"/>
          </w:tcPr>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pPr>
              <w:tabs>
                <w:tab w:val="center" w:pos="4077"/>
              </w:tabs>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sym w:font="Wingdings 2" w:char="0052"/>
            </w:r>
            <w:r>
              <w:rPr>
                <w:rFonts w:hint="eastAsia" w:ascii="仿宋_GB2312" w:hAnsi="仿宋_GB2312" w:eastAsia="仿宋_GB2312" w:cs="仿宋_GB2312"/>
                <w:color w:val="auto"/>
                <w:sz w:val="24"/>
                <w:szCs w:val="24"/>
                <w:highlight w:val="none"/>
              </w:rPr>
              <w:t>A无方案讲解演示。</w:t>
            </w:r>
            <w:r>
              <w:rPr>
                <w:rFonts w:hint="eastAsia" w:ascii="仿宋_GB2312" w:hAnsi="仿宋_GB2312" w:eastAsia="仿宋_GB2312" w:cs="仿宋_GB2312"/>
                <w:color w:val="auto"/>
                <w:sz w:val="24"/>
                <w:szCs w:val="24"/>
                <w:highlight w:val="none"/>
                <w:lang w:eastAsia="zh-CN"/>
              </w:rPr>
              <w:tab/>
            </w:r>
          </w:p>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eastAsia="zh-CN"/>
              </w:rPr>
              <w:t>进口</w:t>
            </w:r>
            <w:r>
              <w:rPr>
                <w:rFonts w:hint="eastAsia" w:ascii="仿宋_GB2312" w:hAnsi="仿宋_GB2312" w:eastAsia="仿宋_GB2312" w:cs="仿宋_GB2312"/>
                <w:b/>
                <w:color w:val="auto"/>
                <w:sz w:val="24"/>
                <w:highlight w:val="none"/>
              </w:rPr>
              <w:t>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本项目不允许采购进口产品。</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货物类，单一产品或</w:t>
            </w:r>
            <w:r>
              <w:rPr>
                <w:rFonts w:hint="eastAsia" w:ascii="仿宋_GB2312" w:hAnsi="仿宋_GB2312" w:eastAsia="仿宋_GB2312" w:cs="仿宋_GB2312"/>
                <w:color w:val="auto"/>
                <w:kern w:val="0"/>
                <w:sz w:val="24"/>
                <w:highlight w:val="none"/>
              </w:rPr>
              <w:t>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学生实训桌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01标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 xml:space="preserve">  工业 </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经查询列入失信被执行人名单、重大税收违法失信主体、政府采购严重违法失信行为记录名单的投标人将被拒绝参与政府采购活动。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4</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_GB2312" w:hAnsi="仿宋_GB2312" w:eastAsia="仿宋_GB2312" w:cs="仿宋_GB2312"/>
                <w:color w:val="auto"/>
                <w:sz w:val="24"/>
                <w:highlight w:val="none"/>
                <w:lang w:eastAsia="zh-CN"/>
              </w:rPr>
              <w:t>95763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7</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snapToGrid w:val="0"/>
                <w:color w:val="auto"/>
                <w:kern w:val="28"/>
                <w:sz w:val="24"/>
                <w:highlight w:val="none"/>
              </w:rPr>
            </w:pPr>
            <w:r>
              <w:rPr>
                <w:rFonts w:hint="eastAsia" w:ascii="仿宋_GB2312" w:hAnsi="仿宋_GB2312" w:eastAsia="仿宋_GB2312" w:cs="仿宋_GB2312"/>
                <w:color w:val="auto"/>
                <w:kern w:val="0"/>
                <w:sz w:val="24"/>
                <w:highlight w:val="none"/>
                <w:lang w:eastAsia="zh-CN"/>
              </w:rPr>
              <w:sym w:font="Wingdings 2" w:char="0052"/>
            </w:r>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szCs w:val="21"/>
                <w:highlight w:val="none"/>
                <w:lang w:eastAsia="zh-CN"/>
              </w:rPr>
            </w:pPr>
            <w:r>
              <w:rPr>
                <w:rFonts w:hint="eastAsia" w:ascii="仿宋_GB2312" w:hAnsi="仿宋_GB2312" w:eastAsia="仿宋_GB2312" w:cs="仿宋_GB2312"/>
                <w:b/>
                <w:color w:val="auto"/>
                <w:sz w:val="24"/>
                <w:highlight w:val="none"/>
              </w:rPr>
              <w:t>采购代理服务费：</w:t>
            </w:r>
            <w:r>
              <w:rPr>
                <w:rFonts w:hint="eastAsia" w:ascii="仿宋_GB2312" w:hAnsi="仿宋_GB2312" w:eastAsia="仿宋_GB2312" w:cs="仿宋_GB2312"/>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9"/>
    </w:tbl>
    <w:p>
      <w:pPr>
        <w:keepNext w:val="0"/>
        <w:keepLines w:val="0"/>
        <w:pageBreakBefore/>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23" w:name="_Hlt74729768"/>
      <w:bookmarkEnd w:id="23"/>
      <w:bookmarkStart w:id="24" w:name="_Hlt68403820"/>
      <w:bookmarkEnd w:id="24"/>
      <w:bookmarkStart w:id="25" w:name="_Hlt68072990"/>
      <w:bookmarkEnd w:id="25"/>
      <w:bookmarkStart w:id="26" w:name="_Hlt68057669"/>
      <w:bookmarkEnd w:id="26"/>
      <w:bookmarkStart w:id="27" w:name="_Hlt68072998"/>
      <w:bookmarkEnd w:id="27"/>
      <w:bookmarkStart w:id="28" w:name="_Hlt75236290"/>
      <w:bookmarkEnd w:id="28"/>
      <w:bookmarkStart w:id="29" w:name="_Hlt74707468"/>
      <w:bookmarkEnd w:id="29"/>
      <w:bookmarkStart w:id="30" w:name="_Hlt68073093"/>
      <w:bookmarkEnd w:id="30"/>
      <w:bookmarkStart w:id="31" w:name="_Hlt74730295"/>
      <w:bookmarkEnd w:id="31"/>
      <w:bookmarkStart w:id="32" w:name="_Hlt75236101"/>
      <w:bookmarkEnd w:id="32"/>
      <w:bookmarkStart w:id="33" w:name="_Hlt75236011"/>
      <w:bookmarkEnd w:id="33"/>
      <w:bookmarkStart w:id="34" w:name="_Hlt74714665"/>
      <w:bookmarkEnd w:id="34"/>
      <w:bookmarkStart w:id="35" w:name="第三部分"/>
      <w:bookmarkStart w:id="36" w:name="_Toc164416483"/>
      <w:r>
        <w:rPr>
          <w:rFonts w:hint="eastAsia" w:ascii="仿宋_GB2312" w:hAnsi="仿宋_GB2312" w:eastAsia="仿宋_GB2312" w:cs="仿宋_GB2312"/>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sz w:val="24"/>
          <w:highlight w:val="none"/>
          <w:lang w:val="en" w:eastAsia="zh-CN"/>
        </w:rPr>
        <w:t>☑</w:t>
      </w:r>
      <w:r>
        <w:rPr>
          <w:rFonts w:hint="eastAsia" w:ascii="仿宋_GB2312" w:hAnsi="仿宋_GB2312" w:eastAsia="仿宋_GB2312" w:cs="仿宋_GB2312"/>
          <w:color w:val="auto"/>
          <w:sz w:val="24"/>
          <w:highlight w:val="none"/>
        </w:rPr>
        <w:t>” 系指适用本项目的要求，“☐” 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kinsoku/>
        <w:wordWrap w:val="0"/>
        <w:overflowPunct/>
        <w:topLinePunct w:val="0"/>
        <w:bidi w:val="0"/>
        <w:rPr>
          <w:rFonts w:hint="eastAsia" w:ascii="仿宋_GB2312" w:hAnsi="仿宋_GB2312" w:eastAsia="仿宋_GB2312" w:cs="仿宋_GB2312"/>
          <w:color w:val="auto"/>
          <w:highlight w:val="none"/>
        </w:rPr>
      </w:pPr>
    </w:p>
    <w:p>
      <w:pPr>
        <w:pStyle w:val="132"/>
        <w:pageBreakBefore w:val="0"/>
        <w:kinsoku/>
        <w:wordWrap w:val="0"/>
        <w:overflowPunct/>
        <w:topLinePunct w:val="0"/>
        <w:bidi w:val="0"/>
        <w:snapToGrid w:val="0"/>
        <w:spacing w:before="0" w:beforeAutospacing="0" w:line="440" w:lineRule="exact"/>
        <w:ind w:left="0" w:leftChars="0" w:firstLine="360"/>
        <w:textAlignment w:val="auto"/>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3"/>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 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 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4"/>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w:t>
      </w:r>
      <w:r>
        <w:rPr>
          <w:rFonts w:hint="eastAsia" w:ascii="仿宋_GB2312" w:hAnsi="仿宋_GB2312" w:eastAsia="仿宋_GB2312" w:cs="仿宋_GB2312"/>
          <w:color w:val="auto"/>
          <w:sz w:val="24"/>
          <w:highlight w:val="none"/>
        </w:rPr>
        <w:t>“商务技术文件资料”、“报价文件资料”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.2.1投标函；</w:t>
      </w:r>
      <w:r>
        <w:rPr>
          <w:rFonts w:hint="eastAsia" w:ascii="仿宋_GB2312" w:hAnsi="仿宋_GB2312" w:eastAsia="仿宋_GB2312" w:cs="仿宋_GB2312"/>
          <w:color w:val="auto"/>
          <w:sz w:val="24"/>
          <w:highlight w:val="none"/>
          <w:lang w:val="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.3.1开标一览表（报价表）；</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.3.2中小企业声明函</w:t>
      </w:r>
      <w:r>
        <w:rPr>
          <w:rFonts w:hint="eastAsia" w:ascii="仿宋_GB2312" w:hAnsi="仿宋_GB2312" w:eastAsia="仿宋_GB2312" w:cs="仿宋_GB2312"/>
          <w:color w:val="auto"/>
          <w:sz w:val="24"/>
          <w:highlight w:val="none"/>
          <w:lang w:eastAsia="zh-CN"/>
        </w:rPr>
        <w:t>（如有）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snapToGrid w:val="0"/>
          <w:color w:val="auto"/>
          <w:kern w:val="2"/>
          <w:sz w:val="24"/>
          <w:szCs w:val="24"/>
          <w:highlight w:val="none"/>
          <w:vertAlign w:val="baseline"/>
          <w:lang w:val="en-US" w:eastAsia="zh-CN" w:bidi="ar-SA"/>
        </w:rPr>
        <w:t>2.3.3 残疾人福利性单位声明函（如有）</w:t>
      </w:r>
    </w:p>
    <w:p>
      <w:pPr>
        <w:kinsoku/>
        <w:wordWrap w:val="0"/>
        <w:overflowPunct/>
        <w:topLinePunct w:val="0"/>
        <w:bidi w:val="0"/>
        <w:adjustRightInd w:val="0"/>
        <w:snapToGrid w:val="0"/>
        <w:spacing w:line="440" w:lineRule="exact"/>
        <w:ind w:firstLine="482" w:firstLineChars="200"/>
        <w:jc w:val="both"/>
        <w:rPr>
          <w:rFonts w:hint="eastAsia" w:ascii="仿宋_GB2312" w:hAnsi="仿宋_GB2312" w:eastAsia="仿宋_GB2312" w:cs="仿宋_GB2312"/>
          <w:b/>
          <w:bCs/>
          <w:color w:val="auto"/>
          <w:sz w:val="32"/>
          <w:highlight w:val="none"/>
        </w:rPr>
      </w:pPr>
      <w:r>
        <w:rPr>
          <w:rFonts w:hint="eastAsia" w:ascii="仿宋_GB2312" w:hAnsi="仿宋_GB2312" w:eastAsia="仿宋_GB2312" w:cs="仿宋_GB2312"/>
          <w:b/>
          <w:bCs/>
          <w:i w:val="0"/>
          <w:iCs w:val="0"/>
          <w:snapToGrid/>
          <w:color w:val="auto"/>
          <w:kern w:val="2"/>
          <w:sz w:val="24"/>
          <w:szCs w:val="20"/>
          <w:highlight w:val="none"/>
          <w:vertAlign w:val="baseline"/>
          <w:lang w:val="en-US" w:eastAsia="zh-CN" w:bidi="ar-SA"/>
        </w:rPr>
        <w:t>3.投标报价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3.2招标文件未列明，而投标人认为必需的费用也需列入报价。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3.4投标人提供虚假材料投标的，投标无效。</w:t>
      </w:r>
    </w:p>
    <w:p>
      <w:pPr>
        <w:pStyle w:val="132"/>
        <w:kinsoku/>
        <w:wordWrap w:val="0"/>
        <w:overflowPunct/>
        <w:topLinePunct w:val="0"/>
        <w:bidi w:val="0"/>
        <w:snapToGrid w:val="0"/>
        <w:spacing w:before="0" w:line="440" w:lineRule="exact"/>
        <w:ind w:firstLine="482" w:firstLineChars="200"/>
        <w:outlineLvl w:val="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2"/>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37"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9"/>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9"/>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8.24投标文件出现不是唯一的、有选择性投标报价的；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sz w:val="24"/>
          <w:highlight w:val="none"/>
        </w:rPr>
      </w:pPr>
      <w:r>
        <w:rPr>
          <w:rFonts w:hint="eastAsia" w:ascii="仿宋_GB2312" w:hAnsi="仿宋_GB2312" w:eastAsia="仿宋_GB2312" w:cs="仿宋_GB2312"/>
          <w:b/>
          <w:bCs w:val="0"/>
          <w:color w:val="auto"/>
          <w:sz w:val="24"/>
          <w:highlight w:val="none"/>
        </w:rPr>
        <w:t>8.2</w:t>
      </w:r>
      <w:r>
        <w:rPr>
          <w:rFonts w:hint="eastAsia" w:ascii="仿宋_GB2312" w:hAnsi="仿宋_GB2312" w:eastAsia="仿宋_GB2312" w:cs="仿宋_GB2312"/>
          <w:b/>
          <w:bCs w:val="0"/>
          <w:color w:val="auto"/>
          <w:kern w:val="2"/>
          <w:sz w:val="24"/>
          <w:highlight w:val="none"/>
          <w:lang w:val="en-US" w:eastAsia="zh-CN"/>
        </w:rPr>
        <w:t>5</w:t>
      </w:r>
      <w:r>
        <w:rPr>
          <w:rFonts w:hint="eastAsia" w:ascii="仿宋_GB2312" w:hAnsi="仿宋_GB2312" w:eastAsia="仿宋_GB2312" w:cs="仿宋_GB2312"/>
          <w:b/>
          <w:bCs w:val="0"/>
          <w:color w:val="auto"/>
          <w:sz w:val="24"/>
          <w:highlight w:val="none"/>
        </w:rPr>
        <w:t>未按招标文件要求提供样品或提供样品不满足采购需求实质性条件的；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kern w:val="2"/>
          <w:sz w:val="24"/>
          <w:highlight w:val="none"/>
          <w:lang w:val="en-US" w:eastAsia="zh-CN"/>
        </w:rPr>
      </w:pPr>
      <w:r>
        <w:rPr>
          <w:rFonts w:hint="eastAsia" w:ascii="仿宋_GB2312" w:hAnsi="仿宋_GB2312" w:eastAsia="仿宋_GB2312" w:cs="仿宋_GB2312"/>
          <w:b/>
          <w:bCs w:val="0"/>
          <w:color w:val="auto"/>
          <w:sz w:val="24"/>
          <w:highlight w:val="none"/>
          <w:lang w:val="en-US" w:eastAsia="zh-CN"/>
        </w:rPr>
        <w:t>8.26参与同一个采购包(标段)的供应商存在下列情形之一的其投标(响应)文件无效:</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8.26.1</w:t>
      </w:r>
      <w:r>
        <w:rPr>
          <w:rFonts w:hint="eastAsia" w:ascii="仿宋_GB2312" w:hAnsi="仿宋_GB2312" w:eastAsia="仿宋_GB2312" w:cs="仿宋_GB2312"/>
          <w:b w:val="0"/>
          <w:bCs/>
          <w:color w:val="auto"/>
          <w:sz w:val="24"/>
          <w:highlight w:val="none"/>
          <w:lang w:val="en-US" w:eastAsia="zh-CN"/>
        </w:rPr>
        <w:t>不同供应商的电子投标(响应)文件上传计算机的网卡MAC地址、CPU序列号和硬盘序列号等硬件信息相同的;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8.26.2</w:t>
      </w:r>
      <w:r>
        <w:rPr>
          <w:rFonts w:hint="eastAsia" w:ascii="仿宋_GB2312" w:hAnsi="仿宋_GB2312" w:eastAsia="仿宋_GB2312" w:cs="仿宋_GB2312"/>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8.26.3</w:t>
      </w:r>
      <w:r>
        <w:rPr>
          <w:rFonts w:hint="eastAsia" w:ascii="仿宋_GB2312" w:hAnsi="仿宋_GB2312" w:eastAsia="仿宋_GB2312" w:cs="仿宋_GB2312"/>
          <w:b w:val="0"/>
          <w:bCs/>
          <w:color w:val="auto"/>
          <w:sz w:val="24"/>
          <w:highlight w:val="none"/>
          <w:lang w:val="en-US" w:eastAsia="zh-CN"/>
        </w:rPr>
        <w:t>不同供应商的投标(响应)文件的内容存在三处(含)以上错误一致，且无法合理解释的;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kern w:val="2"/>
          <w:sz w:val="24"/>
          <w:highlight w:val="none"/>
          <w:lang w:val="en-US" w:eastAsia="zh-CN"/>
        </w:rPr>
        <w:t>8.26.4</w:t>
      </w:r>
      <w:r>
        <w:rPr>
          <w:rFonts w:hint="eastAsia" w:ascii="仿宋_GB2312" w:hAnsi="仿宋_GB2312" w:eastAsia="仿宋_GB2312" w:cs="仿宋_GB2312"/>
          <w:b w:val="0"/>
          <w:bCs/>
          <w:color w:val="auto"/>
          <w:sz w:val="24"/>
          <w:highlight w:val="none"/>
          <w:lang w:val="en-US" w:eastAsia="zh-CN"/>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 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37"/>
    <w:p>
      <w:pPr>
        <w:pStyle w:val="34"/>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38" w:name="_Toc81372776"/>
      <w:bookmarkStart w:id="39" w:name="_Toc84325929"/>
      <w:bookmarkStart w:id="40" w:name="_Toc81372953"/>
      <w:r>
        <w:rPr>
          <w:rFonts w:hint="eastAsia" w:ascii="仿宋_GB2312" w:hAnsi="仿宋_GB2312" w:eastAsia="仿宋_GB2312" w:cs="仿宋_GB2312"/>
          <w:b/>
          <w:color w:val="auto"/>
          <w:sz w:val="32"/>
          <w:szCs w:val="32"/>
          <w:highlight w:val="none"/>
        </w:rPr>
        <w:t>五、授予合同</w:t>
      </w:r>
    </w:p>
    <w:bookmarkEnd w:id="38"/>
    <w:bookmarkEnd w:id="39"/>
    <w:bookmarkEnd w:id="40"/>
    <w:p>
      <w:pPr>
        <w:pStyle w:val="19"/>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both"/>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4"/>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kern w:val="0"/>
          <w:sz w:val="24"/>
          <w:highlight w:val="none"/>
        </w:rPr>
        <w:sectPr>
          <w:footerReference r:id="rId11" w:type="first"/>
          <w:footerReference r:id="rId10" w:type="default"/>
          <w:pgSz w:w="11906" w:h="16838"/>
          <w:pgMar w:top="1814" w:right="1474" w:bottom="1814" w:left="1474" w:header="851" w:footer="992" w:gutter="0"/>
          <w:pgNumType w:fmt="decimal"/>
          <w:cols w:space="720" w:num="1"/>
          <w:docGrid w:linePitch="312" w:charSpace="0"/>
        </w:sectPr>
      </w:pPr>
    </w:p>
    <w:bookmarkEnd w:id="35"/>
    <w:bookmarkEnd w:id="36"/>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spacing w:line="360" w:lineRule="auto"/>
        <w:ind w:left="0" w:leftChars="0" w:firstLine="0" w:firstLineChars="0"/>
        <w:jc w:val="left"/>
        <w:textAlignment w:val="auto"/>
        <w:outlineLvl w:val="0"/>
        <w:rPr>
          <w:rFonts w:hint="eastAsia" w:ascii="仿宋" w:hAnsi="仿宋" w:eastAsia="仿宋_GB2312" w:cs="仿宋"/>
          <w:b/>
          <w:color w:val="auto"/>
          <w:sz w:val="36"/>
          <w:szCs w:val="36"/>
          <w:highlight w:val="none"/>
          <w:lang w:eastAsia="zh-CN"/>
        </w:rPr>
      </w:pPr>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商学院新大楼家具采购项目</w:t>
      </w:r>
    </w:p>
    <w:p>
      <w:pPr>
        <w:keepNext w:val="0"/>
        <w:keepLines w:val="0"/>
        <w:pageBreakBefore w:val="0"/>
        <w:kinsoku/>
        <w:wordWrap/>
        <w:overflowPunct/>
        <w:topLinePunct w:val="0"/>
        <w:autoSpaceDE/>
        <w:autoSpaceDN/>
        <w:bidi w:val="0"/>
        <w:spacing w:line="360" w:lineRule="exact"/>
        <w:outlineLvl w:val="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一、货物清单及技术要求</w:t>
      </w:r>
    </w:p>
    <w:tbl>
      <w:tblPr>
        <w:tblStyle w:val="64"/>
        <w:tblW w:w="1395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335"/>
        <w:gridCol w:w="8257"/>
        <w:gridCol w:w="967"/>
        <w:gridCol w:w="915"/>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954" w:type="dxa"/>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序号</w:t>
            </w:r>
          </w:p>
        </w:tc>
        <w:tc>
          <w:tcPr>
            <w:tcW w:w="1335" w:type="dxa"/>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设备名称</w:t>
            </w:r>
          </w:p>
        </w:tc>
        <w:tc>
          <w:tcPr>
            <w:tcW w:w="8257" w:type="dxa"/>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技术参数</w:t>
            </w:r>
          </w:p>
        </w:tc>
        <w:tc>
          <w:tcPr>
            <w:tcW w:w="967" w:type="dxa"/>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数量</w:t>
            </w:r>
          </w:p>
        </w:tc>
        <w:tc>
          <w:tcPr>
            <w:tcW w:w="915" w:type="dxa"/>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单位</w:t>
            </w:r>
          </w:p>
        </w:tc>
        <w:tc>
          <w:tcPr>
            <w:tcW w:w="1530" w:type="dxa"/>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Cs/>
                <w:color w:val="auto"/>
                <w:kern w:val="0"/>
                <w:sz w:val="24"/>
                <w:szCs w:val="24"/>
                <w:highlight w:val="none"/>
              </w:rPr>
              <w:t>参考图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954" w:type="dxa"/>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工位桌</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1、基材采用≥18mm 厚度，环保等级≥E0级环保刨花板，甲醛释放量≤0.05mg/m³，表面浸渍胶膜纸饰面，防水耐磨。</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2、封边条采用优质 PVC 封边，厚度≥1.0mm，（符合 QB/T4463-2013《家具封边条技术要求》），有效防止碰撞及长时间使用后的脱落问题。</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3、封边胶水采用热熔胶。</w:t>
            </w:r>
          </w:p>
          <w:p>
            <w:pPr>
              <w:pStyle w:val="4"/>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 w:bidi="ar"/>
              </w:rPr>
              <w:t>★</w:t>
            </w:r>
            <w:r>
              <w:rPr>
                <w:rFonts w:hint="eastAsia" w:ascii="仿宋_GB2312" w:hAnsi="仿宋_GB2312" w:eastAsia="仿宋_GB2312" w:cs="仿宋_GB2312"/>
                <w:color w:val="auto"/>
                <w:kern w:val="0"/>
                <w:sz w:val="24"/>
                <w:szCs w:val="24"/>
                <w:highlight w:val="none"/>
                <w:lang w:bidi="ar"/>
              </w:rPr>
              <w:t>4.每两人中间具有3个国标五孔10A插座（固定于桌面上）。</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4、单人位尺寸约为：800*600*1400（mm），桌面高度约为750mm，所投产品需符合实际空间尺寸需求，颜色与整体氛围匹配,最终按采购人认可的方案为准。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100</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位</w:t>
            </w:r>
          </w:p>
        </w:tc>
        <w:tc>
          <w:tcPr>
            <w:tcW w:w="1530"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62336" behindDoc="0" locked="0" layoutInCell="1" allowOverlap="1">
                  <wp:simplePos x="0" y="0"/>
                  <wp:positionH relativeFrom="column">
                    <wp:posOffset>0</wp:posOffset>
                  </wp:positionH>
                  <wp:positionV relativeFrom="paragraph">
                    <wp:posOffset>714375</wp:posOffset>
                  </wp:positionV>
                  <wp:extent cx="833120" cy="619760"/>
                  <wp:effectExtent l="0" t="0" r="5080" b="889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a:stretch>
                            <a:fillRect/>
                          </a:stretch>
                        </pic:blipFill>
                        <pic:spPr>
                          <a:xfrm>
                            <a:off x="0" y="0"/>
                            <a:ext cx="833120" cy="61976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工位椅</w:t>
            </w:r>
          </w:p>
        </w:tc>
        <w:tc>
          <w:tcPr>
            <w:tcW w:w="8257" w:type="dxa"/>
            <w:shd w:val="clear" w:color="auto" w:fill="auto"/>
            <w:vAlign w:val="center"/>
          </w:tcPr>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1、椅背：背框全新PP+30%玻纤材质，耐磨透气网布，提供背部舒适支撑。</w:t>
            </w:r>
          </w:p>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2、椅座：高弹力舒适海绵，弹力透气网布，搭配PP工程塑料防尘底壳可翻转。</w:t>
            </w:r>
          </w:p>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3、扶手：PA+15%玻纤，前后滑动扶手，有效减轻手臂疲劳感。</w:t>
            </w:r>
          </w:p>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4、椅架：约32.5*20.5*T1.5</w:t>
            </w:r>
            <w:r>
              <w:rPr>
                <w:rFonts w:hint="eastAsia" w:ascii="仿宋_GB2312" w:hAnsi="仿宋_GB2312" w:eastAsia="仿宋_GB2312" w:cs="仿宋_GB2312"/>
                <w:color w:val="auto"/>
                <w:kern w:val="0"/>
                <w:sz w:val="24"/>
                <w:szCs w:val="24"/>
                <w:highlight w:val="none"/>
                <w:lang w:eastAsia="zh" w:bidi="ar"/>
              </w:rPr>
              <w:t>（</w:t>
            </w:r>
            <w:r>
              <w:rPr>
                <w:rFonts w:hint="eastAsia" w:ascii="仿宋_GB2312" w:hAnsi="仿宋_GB2312" w:eastAsia="仿宋_GB2312" w:cs="仿宋_GB2312"/>
                <w:color w:val="auto"/>
                <w:kern w:val="0"/>
                <w:sz w:val="24"/>
                <w:szCs w:val="24"/>
                <w:highlight w:val="none"/>
                <w:lang w:bidi="ar"/>
              </w:rPr>
              <w:t>mm</w:t>
            </w:r>
            <w:r>
              <w:rPr>
                <w:rFonts w:hint="eastAsia" w:ascii="仿宋_GB2312" w:hAnsi="仿宋_GB2312" w:eastAsia="仿宋_GB2312" w:cs="仿宋_GB2312"/>
                <w:color w:val="auto"/>
                <w:kern w:val="0"/>
                <w:sz w:val="24"/>
                <w:szCs w:val="24"/>
                <w:highlight w:val="none"/>
                <w:lang w:eastAsia="zh" w:bidi="ar"/>
              </w:rPr>
              <w:t>）</w:t>
            </w:r>
            <w:r>
              <w:rPr>
                <w:rFonts w:hint="eastAsia" w:ascii="仿宋_GB2312" w:hAnsi="仿宋_GB2312" w:eastAsia="仿宋_GB2312" w:cs="仿宋_GB2312"/>
                <w:color w:val="auto"/>
                <w:kern w:val="0"/>
                <w:sz w:val="24"/>
                <w:szCs w:val="24"/>
                <w:highlight w:val="none"/>
                <w:lang w:bidi="ar"/>
              </w:rPr>
              <w:t>Q235碳素钢管脚架，高速打砂除锈，表面喷涂烤漆处理，具有防腐，抗老化等性能。</w:t>
            </w:r>
          </w:p>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5、功能：椅架可折叠收纳，节省摆放空间，尼龙材质防滑脚垫。</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6、尺寸约为640*580*850（mm），所投产品需符合实际空间尺寸需求，颜色与整体氛围匹配,最终按采购人认可的方案为准。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100</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位</w:t>
            </w:r>
          </w:p>
        </w:tc>
        <w:tc>
          <w:tcPr>
            <w:tcW w:w="1530"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63360" behindDoc="0" locked="0" layoutInCell="1" allowOverlap="1">
                  <wp:simplePos x="0" y="0"/>
                  <wp:positionH relativeFrom="column">
                    <wp:posOffset>0</wp:posOffset>
                  </wp:positionH>
                  <wp:positionV relativeFrom="paragraph">
                    <wp:posOffset>314325</wp:posOffset>
                  </wp:positionV>
                  <wp:extent cx="833755" cy="958215"/>
                  <wp:effectExtent l="0" t="0" r="4445" b="1333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833755"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茶水柜</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1、基材为≥15mm，环保等级≥E1级密度板。</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2、表面油漆工艺，美观大方。</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3、拉手采用铝合金材质，明装拉手。</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4、柜体设计一个对开门，内部一个层板。</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5、尺寸约为：800*400*850（mm），所投产品需符合实际空间尺寸需求，颜色与整体氛围匹配,最终按采购人认可的方案为准。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张</w:t>
            </w:r>
          </w:p>
        </w:tc>
        <w:tc>
          <w:tcPr>
            <w:tcW w:w="1530"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64384" behindDoc="0" locked="0" layoutInCell="1" allowOverlap="1">
                  <wp:simplePos x="0" y="0"/>
                  <wp:positionH relativeFrom="column">
                    <wp:posOffset>0</wp:posOffset>
                  </wp:positionH>
                  <wp:positionV relativeFrom="paragraph">
                    <wp:posOffset>228600</wp:posOffset>
                  </wp:positionV>
                  <wp:extent cx="834390" cy="895985"/>
                  <wp:effectExtent l="0" t="0" r="3810" b="1841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834390" cy="89598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办公桌</w:t>
            </w:r>
          </w:p>
        </w:tc>
        <w:tc>
          <w:tcPr>
            <w:tcW w:w="8257" w:type="dxa"/>
            <w:shd w:val="clear" w:color="auto" w:fill="auto"/>
            <w:vAlign w:val="center"/>
          </w:tcPr>
          <w:p>
            <w:pPr>
              <w:pStyle w:val="4"/>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1、桌板基材采用≥25mm厚的E0级多层板，甲醛释放量≤0.05mg/m³。封边采用PVC封边，厚度≥1.5mm，有效防止使用过程中脱落的问题。</w:t>
            </w:r>
          </w:p>
          <w:p>
            <w:pPr>
              <w:pStyle w:val="4"/>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2、桌架：采用≥1.5mm壁厚的铝型材。</w:t>
            </w:r>
          </w:p>
          <w:p>
            <w:pPr>
              <w:pStyle w:val="4"/>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3、桌板带有一个穿线孔，具备走线功能。</w:t>
            </w:r>
          </w:p>
          <w:p>
            <w:pPr>
              <w:pStyle w:val="4"/>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4、桌下带≥2个国标五孔电源插座</w:t>
            </w:r>
          </w:p>
          <w:p>
            <w:pPr>
              <w:pStyle w:val="4"/>
              <w:spacing w:line="360" w:lineRule="exact"/>
              <w:jc w:val="both"/>
              <w:rPr>
                <w:rFonts w:hint="eastAsia" w:ascii="仿宋_GB2312" w:hAnsi="仿宋_GB2312" w:eastAsia="仿宋_GB2312" w:cs="仿宋_GB2312"/>
                <w:color w:val="auto"/>
                <w:sz w:val="24"/>
                <w:szCs w:val="24"/>
                <w:highlight w:val="none"/>
                <w:lang w:eastAsia="zh"/>
              </w:rPr>
            </w:pPr>
            <w:r>
              <w:rPr>
                <w:rFonts w:hint="eastAsia" w:ascii="仿宋_GB2312" w:hAnsi="仿宋_GB2312" w:eastAsia="仿宋_GB2312" w:cs="仿宋_GB2312"/>
                <w:color w:val="auto"/>
                <w:kern w:val="0"/>
                <w:sz w:val="24"/>
                <w:szCs w:val="24"/>
                <w:highlight w:val="none"/>
                <w:lang w:bidi="ar"/>
              </w:rPr>
              <w:t>5、尺寸约为1200*600*1100（mm），桌面高度约为750mm，所投产品需符合实际空间尺寸需求，颜色与整体氛围匹配,最终按采购人认可的方案为准。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60</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位</w:t>
            </w:r>
          </w:p>
        </w:tc>
        <w:tc>
          <w:tcPr>
            <w:tcW w:w="1530"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65408" behindDoc="0" locked="0" layoutInCell="1" allowOverlap="1">
                  <wp:simplePos x="0" y="0"/>
                  <wp:positionH relativeFrom="column">
                    <wp:posOffset>0</wp:posOffset>
                  </wp:positionH>
                  <wp:positionV relativeFrom="paragraph">
                    <wp:posOffset>419100</wp:posOffset>
                  </wp:positionV>
                  <wp:extent cx="833755" cy="753110"/>
                  <wp:effectExtent l="0" t="0" r="4445" b="889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833755" cy="75311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办公椅</w:t>
            </w:r>
          </w:p>
        </w:tc>
        <w:tc>
          <w:tcPr>
            <w:tcW w:w="8257"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1、椅背材质为PP，GF30%的背框</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2、椅座采用优质高密度定型绵</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3、扶手：材质为黑色PP+GF30%固定扶手配扶手面</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4、底盘：≥二档锁定底盘</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5、气杆：上下行程≥100mm，≥三级气杆</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6、椅脚：≥330mmPP五星脚</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7、椅轮：带刹车、≥50mm，PA静音轮，可移动，不伤地板。</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8、尺寸约为600*600*（890-990）（mm），所投产品需符合实际空间尺寸需求，颜色与整体氛围匹配,最终按采购人认可的方案为准。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96</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位</w:t>
            </w:r>
          </w:p>
        </w:tc>
        <w:tc>
          <w:tcPr>
            <w:tcW w:w="1530"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66432" behindDoc="0" locked="0" layoutInCell="1" allowOverlap="1">
                  <wp:simplePos x="0" y="0"/>
                  <wp:positionH relativeFrom="column">
                    <wp:posOffset>55245</wp:posOffset>
                  </wp:positionH>
                  <wp:positionV relativeFrom="paragraph">
                    <wp:posOffset>428625</wp:posOffset>
                  </wp:positionV>
                  <wp:extent cx="723900" cy="958215"/>
                  <wp:effectExtent l="0" t="0" r="0" b="1333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a:stretch>
                            <a:fillRect/>
                          </a:stretch>
                        </pic:blipFill>
                        <pic:spPr>
                          <a:xfrm>
                            <a:off x="0" y="0"/>
                            <a:ext cx="723900"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1335"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展示陈列柜</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1、基材：采用厚度≥18mm厚E0级环保多层板，甲醛释放量&lt;0.05mg/m³(检测方法按GB 18580-2017)。</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2、饰面：采用优质三聚氰胺饰面纸，甲醛释放量≤1.5mg/L，具有耐磨，抗刻划，耐高温，易清洁，耐酸碱等优点，符合LY/T1831-2009《人造板饰面专用装饰纸》标准。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3、封边：采用优质PVC封边条，封边厚度≥1.0mm，依据GB/T32487—2016《塑料家具通用技术条件》、GB《塑料家具中有害物质限量》重金属：铅Pb.镉Cd.铬Cr.Hg.。</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4、热熔胶：采用优质热熔胶，游离甲醛释放量未检出，符合GB18583-2008《室内装饰装修材料粘粘剂中有害物质限量》标准。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5、三合一连接件：符合</w:t>
            </w:r>
            <w:r>
              <w:rPr>
                <w:rFonts w:hint="eastAsia" w:ascii="仿宋_GB2312" w:hAnsi="仿宋_GB2312" w:eastAsia="仿宋_GB2312" w:cs="仿宋_GB2312"/>
                <w:color w:val="auto"/>
                <w:kern w:val="0"/>
                <w:sz w:val="24"/>
                <w:szCs w:val="24"/>
                <w:highlight w:val="none"/>
                <w:lang w:eastAsia="zh" w:bidi="ar"/>
              </w:rPr>
              <w:t>GB/T 3325-2024《金属家具通用技术条件》</w:t>
            </w:r>
            <w:r>
              <w:rPr>
                <w:rFonts w:hint="eastAsia" w:ascii="仿宋_GB2312" w:hAnsi="仿宋_GB2312" w:eastAsia="仿宋_GB2312" w:cs="仿宋_GB2312"/>
                <w:color w:val="auto"/>
                <w:kern w:val="0"/>
                <w:sz w:val="24"/>
                <w:szCs w:val="24"/>
                <w:highlight w:val="none"/>
                <w:lang w:bidi="ar"/>
              </w:rPr>
              <w:t>;GB/T28203-2011《家具用连接技术要求及试验方法》。</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6、成品：各项技术指标符合</w:t>
            </w:r>
            <w:r>
              <w:rPr>
                <w:rFonts w:hint="eastAsia" w:ascii="仿宋_GB2312" w:hAnsi="仿宋_GB2312" w:eastAsia="仿宋_GB2312" w:cs="仿宋_GB2312"/>
                <w:color w:val="auto"/>
                <w:kern w:val="0"/>
                <w:sz w:val="24"/>
                <w:szCs w:val="24"/>
                <w:highlight w:val="none"/>
                <w:lang w:eastAsia="zh" w:bidi="ar"/>
              </w:rPr>
              <w:t>GB/T 3325-2024</w:t>
            </w:r>
            <w:r>
              <w:rPr>
                <w:rFonts w:hint="eastAsia" w:ascii="仿宋_GB2312" w:hAnsi="仿宋_GB2312" w:eastAsia="仿宋_GB2312" w:cs="仿宋_GB2312"/>
                <w:color w:val="auto"/>
                <w:kern w:val="0"/>
                <w:sz w:val="24"/>
                <w:szCs w:val="24"/>
                <w:highlight w:val="none"/>
                <w:lang w:bidi="ar"/>
              </w:rPr>
              <w:t>《木家具通用技术条件》规定的要求，其中甲醛释放量≤0.5mg/L，表面涂层铬含量≤25mg/kg，镉含量≤50mg/kg，铅含量≤90mg/kg。</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7、尺寸约1500*400*2000（mm)，所投产品需符合实际空间尺寸需求，颜色与整体氛围匹配,最终按采购人认可的方案为准。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组</w:t>
            </w:r>
          </w:p>
        </w:tc>
        <w:tc>
          <w:tcPr>
            <w:tcW w:w="1530"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67456" behindDoc="0" locked="0" layoutInCell="1" allowOverlap="1">
                  <wp:simplePos x="0" y="0"/>
                  <wp:positionH relativeFrom="column">
                    <wp:posOffset>0</wp:posOffset>
                  </wp:positionH>
                  <wp:positionV relativeFrom="paragraph">
                    <wp:posOffset>1666875</wp:posOffset>
                  </wp:positionV>
                  <wp:extent cx="834390" cy="544830"/>
                  <wp:effectExtent l="0" t="0" r="3810" b="762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834390" cy="54483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三人沙发</w:t>
            </w:r>
          </w:p>
        </w:tc>
        <w:tc>
          <w:tcPr>
            <w:tcW w:w="8257" w:type="dxa"/>
            <w:shd w:val="clear" w:color="auto" w:fill="auto"/>
            <w:vAlign w:val="center"/>
          </w:tcPr>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kern w:val="0"/>
                <w:sz w:val="24"/>
                <w:szCs w:val="24"/>
                <w:highlight w:val="none"/>
                <w:lang w:bidi="ar"/>
              </w:rPr>
              <w:t>椅面面料采用优质西皮饰面。海绵采用高密定型海绵，高弹性，舒适耐用。具有保温、隔热、吸音、减震、防静电、透气性能好等特性。</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 w:bidi="ar"/>
              </w:rPr>
              <w:t>2、</w:t>
            </w:r>
            <w:r>
              <w:rPr>
                <w:rFonts w:hint="eastAsia" w:ascii="仿宋_GB2312" w:hAnsi="仿宋_GB2312" w:eastAsia="仿宋_GB2312" w:cs="仿宋_GB2312"/>
                <w:color w:val="auto"/>
                <w:kern w:val="0"/>
                <w:sz w:val="24"/>
                <w:szCs w:val="24"/>
                <w:highlight w:val="none"/>
                <w:lang w:bidi="ar"/>
              </w:rPr>
              <w:t>椅架：采用实木框架，经抛光，烘干，除虫处理，整体连接牢固，承重力。锰钢蛇簧加平衡线处理，强度高，永不变形 。</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3、椅脚：采用优质钢材，经激光，冲压，焊接而成。表面脱脂、水洗、酸洗、水洗中和、表调、磷化、干燥等工艺处理，表面粉末涂料静电喷涂处理，防腐蚀、抗磨损，经久耐用。</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4、尺寸约2000*850*450-800（mm）所投产品需符合实际空间尺寸需求，颜色与整体氛围匹配,最终按采购人认可的方案为准。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组</w:t>
            </w:r>
          </w:p>
        </w:tc>
        <w:tc>
          <w:tcPr>
            <w:tcW w:w="1530"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68480" behindDoc="0" locked="0" layoutInCell="1" allowOverlap="1">
                  <wp:simplePos x="0" y="0"/>
                  <wp:positionH relativeFrom="column">
                    <wp:posOffset>0</wp:posOffset>
                  </wp:positionH>
                  <wp:positionV relativeFrom="paragraph">
                    <wp:posOffset>546100</wp:posOffset>
                  </wp:positionV>
                  <wp:extent cx="833755" cy="694055"/>
                  <wp:effectExtent l="0" t="0" r="4445" b="1079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a:stretch>
                            <a:fillRect/>
                          </a:stretch>
                        </pic:blipFill>
                        <pic:spPr>
                          <a:xfrm>
                            <a:off x="0" y="0"/>
                            <a:ext cx="833755" cy="69405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单人沙发</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1、椅面面料采用优质西皮饰面。海绵采用高密定型海绵，高弹性，舒适耐用。具有保温、隔热、吸音、减震、防静电、透气性能好等特性。</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2、椅架：采用实木框架，经抛光，烘干，除虫处理，整体连接牢固，承重力。锰钢蛇簧加平衡线处理，强度高，永不变形 。</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3、椅脚：采用优质钢材，经激光，冲压，焊接而成。表面脱脂、水洗、酸洗、水洗中和、表调、磷化、干燥等工艺处理，表面粉末涂料静电喷涂处理，防腐蚀、抗磨损，经久耐用。</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4、尺寸约800*850*450-800（mm）所投产品需符合实际空间尺寸需求，颜色与整体氛围匹配,最终按采购人认可的方案为准。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组</w:t>
            </w:r>
          </w:p>
        </w:tc>
        <w:tc>
          <w:tcPr>
            <w:tcW w:w="1530"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69504" behindDoc="0" locked="0" layoutInCell="1" allowOverlap="1">
                  <wp:simplePos x="0" y="0"/>
                  <wp:positionH relativeFrom="column">
                    <wp:posOffset>0</wp:posOffset>
                  </wp:positionH>
                  <wp:positionV relativeFrom="paragraph">
                    <wp:posOffset>676275</wp:posOffset>
                  </wp:positionV>
                  <wp:extent cx="833755" cy="695960"/>
                  <wp:effectExtent l="0" t="0" r="4445" b="889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a:stretch>
                            <a:fillRect/>
                          </a:stretch>
                        </pic:blipFill>
                        <pic:spPr>
                          <a:xfrm>
                            <a:off x="0" y="0"/>
                            <a:ext cx="833755" cy="69596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1335"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单人茶几</w:t>
            </w:r>
          </w:p>
        </w:tc>
        <w:tc>
          <w:tcPr>
            <w:tcW w:w="8257"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1、框架采用≥20mm橡胶木或同档次材料，纹理清晰自然，表面无开裂、死结、针孔、结孔、霉变等缺陷；经去皮、烘干、防虫防腐处理，经高温脱脂等干燥处理后木材含水率控制在 8%～（产品所在地区年平均木材平衡含水率+1%）台面采用多层板贴橡胶木木皮，优点不易开裂。</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2、五金采用国产品牌标准五金件。</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3、胶粘剂：水基型胶粘剂，符合 GB33372-2020《胶粘剂挥发性有机化合物限量》和 GB 18583-2008《室内装饰装修材料胶粘剂中有害物质限量》。</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4、涂饰：PU 或 PE 油漆，采用五底三面工艺，涂料应符合 GB 18581-2020《木器涂料中有害物质限量》规定的要求。</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5、尺寸约700*500*500（mm）所投产品需符合实际空间尺寸需求，颜色与整体氛围匹配,最终按采购人认可的方案为准。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张</w:t>
            </w:r>
          </w:p>
        </w:tc>
        <w:tc>
          <w:tcPr>
            <w:tcW w:w="1530"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0528" behindDoc="0" locked="0" layoutInCell="1" allowOverlap="1">
                  <wp:simplePos x="0" y="0"/>
                  <wp:positionH relativeFrom="column">
                    <wp:posOffset>0</wp:posOffset>
                  </wp:positionH>
                  <wp:positionV relativeFrom="paragraph">
                    <wp:posOffset>171450</wp:posOffset>
                  </wp:positionV>
                  <wp:extent cx="834390" cy="566420"/>
                  <wp:effectExtent l="0" t="0" r="3810" b="508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a:stretch>
                            <a:fillRect/>
                          </a:stretch>
                        </pic:blipFill>
                        <pic:spPr>
                          <a:xfrm>
                            <a:off x="0" y="0"/>
                            <a:ext cx="834390" cy="56642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会议桌</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1、基材≥</w:t>
            </w:r>
            <w:r>
              <w:rPr>
                <w:rFonts w:hint="eastAsia" w:ascii="仿宋_GB2312" w:hAnsi="仿宋_GB2312" w:eastAsia="仿宋_GB2312" w:cs="仿宋_GB2312"/>
                <w:color w:val="auto"/>
                <w:kern w:val="0"/>
                <w:sz w:val="24"/>
                <w:szCs w:val="24"/>
                <w:highlight w:val="none"/>
                <w:lang w:eastAsia="zh" w:bidi="ar"/>
              </w:rPr>
              <w:t>18（mm）</w:t>
            </w:r>
            <w:r>
              <w:rPr>
                <w:rFonts w:hint="eastAsia" w:ascii="仿宋_GB2312" w:hAnsi="仿宋_GB2312" w:eastAsia="仿宋_GB2312" w:cs="仿宋_GB2312"/>
                <w:color w:val="auto"/>
                <w:kern w:val="0"/>
                <w:sz w:val="24"/>
                <w:szCs w:val="24"/>
                <w:highlight w:val="none"/>
                <w:lang w:bidi="ar"/>
              </w:rPr>
              <w:t>E1级密度板。</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 w:bidi="ar"/>
              </w:rPr>
              <w:t>2</w:t>
            </w:r>
            <w:r>
              <w:rPr>
                <w:rFonts w:hint="eastAsia" w:ascii="仿宋_GB2312" w:hAnsi="仿宋_GB2312" w:eastAsia="仿宋_GB2312" w:cs="仿宋_GB2312"/>
                <w:color w:val="auto"/>
                <w:kern w:val="0"/>
                <w:sz w:val="24"/>
                <w:szCs w:val="24"/>
                <w:highlight w:val="none"/>
                <w:lang w:bidi="ar"/>
              </w:rPr>
              <w:t>、油漆工艺，美观大方。</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 w:bidi="ar"/>
              </w:rPr>
              <w:t>3</w:t>
            </w:r>
            <w:r>
              <w:rPr>
                <w:rFonts w:hint="eastAsia" w:ascii="仿宋_GB2312" w:hAnsi="仿宋_GB2312" w:eastAsia="仿宋_GB2312" w:cs="仿宋_GB2312"/>
                <w:color w:val="auto"/>
                <w:kern w:val="0"/>
                <w:sz w:val="24"/>
                <w:szCs w:val="24"/>
                <w:highlight w:val="none"/>
                <w:lang w:bidi="ar"/>
              </w:rPr>
              <w:t>、拉手采用明装拉手。</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 w:bidi="ar"/>
              </w:rPr>
              <w:t>4</w:t>
            </w:r>
            <w:r>
              <w:rPr>
                <w:rFonts w:hint="eastAsia" w:ascii="仿宋_GB2312" w:hAnsi="仿宋_GB2312" w:eastAsia="仿宋_GB2312" w:cs="仿宋_GB2312"/>
                <w:color w:val="auto"/>
                <w:kern w:val="0"/>
                <w:sz w:val="24"/>
                <w:szCs w:val="24"/>
                <w:highlight w:val="none"/>
                <w:lang w:bidi="ar"/>
              </w:rPr>
              <w:t>、柜子设计一个对开门，内部一个层板。</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eastAsia="zh" w:bidi="ar"/>
              </w:rPr>
              <w:t>5</w:t>
            </w:r>
            <w:r>
              <w:rPr>
                <w:rFonts w:hint="eastAsia" w:ascii="仿宋_GB2312" w:hAnsi="仿宋_GB2312" w:eastAsia="仿宋_GB2312" w:cs="仿宋_GB2312"/>
                <w:color w:val="auto"/>
                <w:kern w:val="0"/>
                <w:sz w:val="24"/>
                <w:szCs w:val="24"/>
                <w:highlight w:val="none"/>
                <w:lang w:bidi="ar"/>
              </w:rPr>
              <w:t>、尺寸约为1400*600*750（mm），所投产品需符合实际空间尺寸需求，颜色与整体氛围匹配,最终按采购人认可的方案为准。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张</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1552" behindDoc="0" locked="0" layoutInCell="1" allowOverlap="1">
                  <wp:simplePos x="0" y="0"/>
                  <wp:positionH relativeFrom="column">
                    <wp:posOffset>0</wp:posOffset>
                  </wp:positionH>
                  <wp:positionV relativeFrom="paragraph">
                    <wp:posOffset>260350</wp:posOffset>
                  </wp:positionV>
                  <wp:extent cx="833755" cy="826770"/>
                  <wp:effectExtent l="0" t="0" r="4445" b="1143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tretch>
                            <a:fillRect/>
                          </a:stretch>
                        </pic:blipFill>
                        <pic:spPr>
                          <a:xfrm>
                            <a:off x="0" y="0"/>
                            <a:ext cx="833755" cy="8267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会议椅1</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1、面料：优质西皮</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2、海绵：采用高密度原生切割海棉，坐感舒适，座垫厚度≥5mm（QB/T 2080-2018）。</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3、板材采用≥20mm高温一体成型弯板。</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4、椅架采用≥1.8mm扁管电镀弓形架 。</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5、尺寸约为550*700*1000（mm），所投产品需符合实际空间尺寸需求，颜色与整体氛围匹配,最终按采购人认可的方案为准。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53</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把</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2576" behindDoc="0" locked="0" layoutInCell="1" allowOverlap="1">
                  <wp:simplePos x="0" y="0"/>
                  <wp:positionH relativeFrom="column">
                    <wp:posOffset>93345</wp:posOffset>
                  </wp:positionH>
                  <wp:positionV relativeFrom="paragraph">
                    <wp:posOffset>450850</wp:posOffset>
                  </wp:positionV>
                  <wp:extent cx="702310" cy="958215"/>
                  <wp:effectExtent l="0" t="0" r="2540" b="13335"/>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7"/>
                          <a:stretch>
                            <a:fillRect/>
                          </a:stretch>
                        </pic:blipFill>
                        <pic:spPr>
                          <a:xfrm>
                            <a:off x="0" y="0"/>
                            <a:ext cx="702310"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办公桌1（教授）</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 xml:space="preserve">1、桌子台面采用≥25mm厚E0级多层板，挡板采用≥18mm厚的优质E0 级环保刨花板，表面浸渍胶膜纸饰面，防水耐磨。 </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2.边柜采用采用≥18mm厚的优质E0 级环保刨花板，表面浸渍胶膜纸饰面，防水耐磨。</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 xml:space="preserve">3、封边采用PVC封边，厚度≥1.5mm。热熔胶封边工艺，有效防止碰撞及长时间使用后的脱落问题。 </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4、轨道采用三节阻尼轨道，具有关合无声，承重好，抽拉顺滑。</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5、铰链采用缓冲阻尼铰链，门板静音关闭。</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6、拉手明装铝合金拉手表面抗氧化处理。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7、桌架采用≥2.0厚壁三角形的厚钢架，经切割、打磨、焊接而成。表面脱脂、水洗、酸洗、水洗中和、表调、磷化、干燥等工艺处理，表面粉末涂料静电喷涂处理，防腐蚀、抗磨损，经久耐用。</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8</w:t>
            </w:r>
            <w:r>
              <w:rPr>
                <w:rFonts w:hint="eastAsia" w:ascii="仿宋_GB2312" w:hAnsi="仿宋_GB2312" w:eastAsia="仿宋_GB2312" w:cs="仿宋_GB2312"/>
                <w:color w:val="auto"/>
                <w:kern w:val="0"/>
                <w:sz w:val="24"/>
                <w:szCs w:val="24"/>
                <w:highlight w:val="none"/>
                <w:lang w:bidi="ar"/>
              </w:rPr>
              <w:t>、尺寸约1800*800-1200*750（mm)，所投产品需符合实际空间尺寸需求，颜色与整体氛围匹配,最终按采购人认可的方案为准。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组</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3600" behindDoc="0" locked="0" layoutInCell="1" allowOverlap="1">
                  <wp:simplePos x="0" y="0"/>
                  <wp:positionH relativeFrom="column">
                    <wp:posOffset>47625</wp:posOffset>
                  </wp:positionH>
                  <wp:positionV relativeFrom="paragraph">
                    <wp:posOffset>1212850</wp:posOffset>
                  </wp:positionV>
                  <wp:extent cx="833755" cy="728345"/>
                  <wp:effectExtent l="0" t="0" r="4445" b="14605"/>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a:stretch>
                            <a:fillRect/>
                          </a:stretch>
                        </pic:blipFill>
                        <pic:spPr>
                          <a:xfrm>
                            <a:off x="0" y="0"/>
                            <a:ext cx="833755" cy="72834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办公桌2（教师）</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1、办公桌桌板基材采用≥25mm厚E0级多层板，甲醛释放量&lt;0.05mg/m³(检测方法按GB 18580-2017)。封边采用PVC封边，厚度≥1.5mm，有效防止使用过程中脱落的问题。</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2、办公桌桌板带有一个穿线孔，具备走线功能。</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3、办公桌桌架：采用优质50mm*50mm钢管，经脱脂、水洗、酸洗、水洗中和、表调、磷化、干燥等工艺处理，表面粉末涂料静电喷涂处理。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4、办公边柜基材采用≥18mm厚E1级多层板，封边采用PVC封边，厚度≥1.0mm。热熔胶封边工艺。</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5、办公边柜，左侧开放格设计，拿取方便。右侧设计有门板和抽屉，储物兼顾隐私。</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6、办公边柜拉手采用明装铝合金拉手，抽屉轨道为静音三节轨。</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7、办公边柜边柜底座为方管底座。</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8</w:t>
            </w:r>
            <w:r>
              <w:rPr>
                <w:rFonts w:hint="eastAsia" w:ascii="仿宋_GB2312" w:hAnsi="仿宋_GB2312" w:eastAsia="仿宋_GB2312" w:cs="仿宋_GB2312"/>
                <w:color w:val="auto"/>
                <w:kern w:val="0"/>
                <w:sz w:val="24"/>
                <w:szCs w:val="24"/>
                <w:highlight w:val="none"/>
                <w:lang w:bidi="ar"/>
              </w:rPr>
              <w:t>、尺寸约1800*800-1200*750（mm)，所投产品需符合实际空间尺寸需求，颜色与整体氛围匹配,最终按采购人认可的方案为准。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9</w:t>
            </w:r>
            <w:r>
              <w:rPr>
                <w:rFonts w:hint="eastAsia" w:ascii="仿宋_GB2312" w:hAnsi="仿宋_GB2312" w:eastAsia="仿宋_GB2312" w:cs="仿宋_GB2312"/>
                <w:color w:val="auto"/>
                <w:kern w:val="0"/>
                <w:sz w:val="24"/>
                <w:szCs w:val="24"/>
                <w:highlight w:val="none"/>
                <w:lang w:bidi="ar"/>
              </w:rPr>
              <w:t>、尺寸约</w:t>
            </w:r>
            <w:r>
              <w:rPr>
                <w:rFonts w:hint="eastAsia" w:ascii="仿宋_GB2312" w:hAnsi="仿宋_GB2312" w:eastAsia="仿宋_GB2312" w:cs="仿宋_GB2312"/>
                <w:color w:val="auto"/>
                <w:kern w:val="0"/>
                <w:sz w:val="24"/>
                <w:szCs w:val="24"/>
                <w:highlight w:val="none"/>
                <w:lang w:eastAsia="zh" w:bidi="ar"/>
              </w:rPr>
              <w:t>为：桌子</w:t>
            </w:r>
            <w:r>
              <w:rPr>
                <w:rFonts w:hint="eastAsia" w:ascii="仿宋_GB2312" w:hAnsi="仿宋_GB2312" w:eastAsia="仿宋_GB2312" w:cs="仿宋_GB2312"/>
                <w:color w:val="auto"/>
                <w:kern w:val="0"/>
                <w:sz w:val="24"/>
                <w:szCs w:val="24"/>
                <w:highlight w:val="none"/>
                <w:lang w:bidi="ar"/>
              </w:rPr>
              <w:t>1800*600（mm)</w:t>
            </w:r>
            <w:r>
              <w:rPr>
                <w:rFonts w:hint="eastAsia" w:ascii="仿宋_GB2312" w:hAnsi="仿宋_GB2312" w:eastAsia="仿宋_GB2312" w:cs="仿宋_GB2312"/>
                <w:color w:val="auto"/>
                <w:kern w:val="0"/>
                <w:sz w:val="24"/>
                <w:szCs w:val="24"/>
                <w:highlight w:val="none"/>
                <w:lang w:eastAsia="zh" w:bidi="ar"/>
              </w:rPr>
              <w:t>，边柜</w:t>
            </w:r>
            <w:r>
              <w:rPr>
                <w:rFonts w:hint="eastAsia" w:ascii="仿宋_GB2312" w:hAnsi="仿宋_GB2312" w:eastAsia="仿宋_GB2312" w:cs="仿宋_GB2312"/>
                <w:color w:val="auto"/>
                <w:kern w:val="0"/>
                <w:sz w:val="24"/>
                <w:szCs w:val="24"/>
                <w:highlight w:val="none"/>
                <w:lang w:bidi="ar"/>
              </w:rPr>
              <w:t>1</w:t>
            </w:r>
            <w:r>
              <w:rPr>
                <w:rFonts w:hint="eastAsia" w:ascii="仿宋_GB2312" w:hAnsi="仿宋_GB2312" w:eastAsia="仿宋_GB2312" w:cs="仿宋_GB2312"/>
                <w:color w:val="auto"/>
                <w:kern w:val="0"/>
                <w:sz w:val="24"/>
                <w:szCs w:val="24"/>
                <w:highlight w:val="none"/>
                <w:lang w:eastAsia="zh" w:bidi="ar"/>
              </w:rPr>
              <w:t>0</w:t>
            </w:r>
            <w:r>
              <w:rPr>
                <w:rFonts w:hint="eastAsia" w:ascii="仿宋_GB2312" w:hAnsi="仿宋_GB2312" w:eastAsia="仿宋_GB2312" w:cs="仿宋_GB2312"/>
                <w:color w:val="auto"/>
                <w:kern w:val="0"/>
                <w:sz w:val="24"/>
                <w:szCs w:val="24"/>
                <w:highlight w:val="none"/>
                <w:lang w:bidi="ar"/>
              </w:rPr>
              <w:t>00</w:t>
            </w:r>
            <w:r>
              <w:rPr>
                <w:rFonts w:hint="eastAsia" w:ascii="仿宋_GB2312" w:hAnsi="仿宋_GB2312" w:eastAsia="仿宋_GB2312" w:cs="仿宋_GB2312"/>
                <w:color w:val="auto"/>
                <w:kern w:val="0"/>
                <w:sz w:val="24"/>
                <w:szCs w:val="24"/>
                <w:highlight w:val="none"/>
                <w:lang w:eastAsia="zh" w:bidi="ar"/>
              </w:rPr>
              <w:t>*600</w:t>
            </w:r>
            <w:r>
              <w:rPr>
                <w:rFonts w:hint="eastAsia" w:ascii="仿宋_GB2312" w:hAnsi="仿宋_GB2312" w:eastAsia="仿宋_GB2312" w:cs="仿宋_GB2312"/>
                <w:color w:val="auto"/>
                <w:kern w:val="0"/>
                <w:sz w:val="24"/>
                <w:szCs w:val="24"/>
                <w:highlight w:val="none"/>
                <w:lang w:bidi="ar"/>
              </w:rPr>
              <w:t>（mm)</w:t>
            </w:r>
            <w:r>
              <w:rPr>
                <w:rFonts w:hint="eastAsia" w:ascii="仿宋_GB2312" w:hAnsi="仿宋_GB2312" w:eastAsia="仿宋_GB2312" w:cs="仿宋_GB2312"/>
                <w:color w:val="auto"/>
                <w:kern w:val="0"/>
                <w:sz w:val="24"/>
                <w:szCs w:val="24"/>
                <w:highlight w:val="none"/>
                <w:lang w:eastAsia="zh" w:bidi="ar"/>
              </w:rPr>
              <w:t>，桌高</w:t>
            </w:r>
            <w:r>
              <w:rPr>
                <w:rFonts w:hint="eastAsia" w:ascii="仿宋_GB2312" w:hAnsi="仿宋_GB2312" w:eastAsia="仿宋_GB2312" w:cs="仿宋_GB2312"/>
                <w:color w:val="auto"/>
                <w:kern w:val="0"/>
                <w:sz w:val="24"/>
                <w:szCs w:val="24"/>
                <w:highlight w:val="none"/>
                <w:lang w:bidi="ar"/>
              </w:rPr>
              <w:t>750（mm)，所投产品需符合实际空间尺寸需求，颜色与整体氛围匹配,最终按采购人认可的方案为准。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组</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4624" behindDoc="0" locked="0" layoutInCell="1" allowOverlap="1">
                  <wp:simplePos x="0" y="0"/>
                  <wp:positionH relativeFrom="column">
                    <wp:posOffset>-28575</wp:posOffset>
                  </wp:positionH>
                  <wp:positionV relativeFrom="paragraph">
                    <wp:posOffset>782955</wp:posOffset>
                  </wp:positionV>
                  <wp:extent cx="834390" cy="588645"/>
                  <wp:effectExtent l="0" t="0" r="3810" b="1905"/>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9"/>
                          <a:stretch>
                            <a:fillRect/>
                          </a:stretch>
                        </pic:blipFill>
                        <pic:spPr>
                          <a:xfrm>
                            <a:off x="0" y="0"/>
                            <a:ext cx="834390" cy="58864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会议桌</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1、戴维脚托盘：国产优质钢板，激光切割成型。</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2、压铸脚：采用国产优质铝合金压铸成型。</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3、横梁接头：国产优质铝合金，最薄≥3mm，最厚≥15mm。</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4、脚上梁：采用6063-T5铝型材挤压成型，最薄处≥1.5mm。</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5、脚钉：ABS塑料压铸成型，抗冲击。</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6、连接螺丝：45＃钢。</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7、桌面板：采用E0级刨花板，厚度≥25mm。</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eastAsia="zh" w:bidi="ar"/>
              </w:rPr>
              <w:t>8</w:t>
            </w:r>
            <w:r>
              <w:rPr>
                <w:rFonts w:hint="eastAsia" w:ascii="仿宋_GB2312" w:hAnsi="仿宋_GB2312" w:eastAsia="仿宋_GB2312" w:cs="仿宋_GB2312"/>
                <w:color w:val="auto"/>
                <w:kern w:val="0"/>
                <w:sz w:val="24"/>
                <w:szCs w:val="24"/>
                <w:highlight w:val="none"/>
                <w:lang w:bidi="ar"/>
              </w:rPr>
              <w:t>、尺寸约为6300*1200*750（mm），所投产品需符合实际空间尺寸需求，颜色与整体氛围匹配,最终按采购人认可的方案为准。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张</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5648" behindDoc="0" locked="0" layoutInCell="1" allowOverlap="1">
                  <wp:simplePos x="0" y="0"/>
                  <wp:positionH relativeFrom="column">
                    <wp:posOffset>0</wp:posOffset>
                  </wp:positionH>
                  <wp:positionV relativeFrom="paragraph">
                    <wp:posOffset>773430</wp:posOffset>
                  </wp:positionV>
                  <wp:extent cx="833755" cy="320040"/>
                  <wp:effectExtent l="0" t="0" r="4445" b="381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833755" cy="32004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w:t>
            </w:r>
          </w:p>
        </w:tc>
        <w:tc>
          <w:tcPr>
            <w:tcW w:w="1335"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方形边几</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1、框架采用≥30*30m m橡胶木天然实木，榫卯结构，纹理清晰自然，表面无开裂、死结、针孔、结孔、霉变等缺陷；经去皮、烘干、 防虫防腐处理，经高温脱脂等干燥处理后木材含水率控制在≤10%（产品所在地区年平均木材平衡含水率+1%）。</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2、胶粘剂：水基型胶粘剂，符合 GB33372-2020《胶粘剂挥发性有机化合物限量》和 GB 18583-2008《室内装饰装修材料胶粘剂中有害物质限量》。</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3、台面框架榫卯结构，台面横撑，所有内芯板选用≥15mm,台面和芯板做成分体，四边留约为≤ 2mm的伸缩缝，涂装前养生房平衡 24 小时，确保不翘曲，不变形。榫卯连接，断面整齐，切角部件、镂槽边角、孔边、及线条要平整、圆润、光滑，不允许有毛刺、崩缺、跳刀、波浪印现象。木榫与榫孔连接位需要贴切配合，无间隙。木榫长度应是插入木方的厚度产品连接位要求紧密，无间隙。</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4、涂饰：PU或PE 油漆，采用五底三面工艺，涂料应符合 GB 18581-2020《木器涂料中有害物质限量》规定的要求。</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 xml:space="preserve">5、成品：各项技术指标符合 </w:t>
            </w:r>
            <w:r>
              <w:rPr>
                <w:rFonts w:hint="eastAsia" w:ascii="仿宋_GB2312" w:hAnsi="仿宋_GB2312" w:eastAsia="仿宋_GB2312" w:cs="仿宋_GB2312"/>
                <w:color w:val="auto"/>
                <w:kern w:val="0"/>
                <w:sz w:val="24"/>
                <w:szCs w:val="24"/>
                <w:highlight w:val="none"/>
                <w:lang w:eastAsia="zh" w:bidi="ar"/>
              </w:rPr>
              <w:t>GB/T 3325-2024</w:t>
            </w:r>
            <w:r>
              <w:rPr>
                <w:rFonts w:hint="eastAsia" w:ascii="仿宋_GB2312" w:hAnsi="仿宋_GB2312" w:eastAsia="仿宋_GB2312" w:cs="仿宋_GB2312"/>
                <w:color w:val="auto"/>
                <w:kern w:val="0"/>
                <w:sz w:val="24"/>
                <w:szCs w:val="24"/>
                <w:highlight w:val="none"/>
                <w:lang w:bidi="ar"/>
              </w:rPr>
              <w:t>《木家具通用技术条件》规定的要求。</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6、尺寸约600*600*500（mm)，所投产品需符合实际空间尺寸需求，颜色与整体氛围匹配,最终按采购人认可的方案为准。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张</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6672" behindDoc="0" locked="0" layoutInCell="1" allowOverlap="1">
                  <wp:simplePos x="0" y="0"/>
                  <wp:positionH relativeFrom="column">
                    <wp:posOffset>-25400</wp:posOffset>
                  </wp:positionH>
                  <wp:positionV relativeFrom="paragraph">
                    <wp:posOffset>-215265</wp:posOffset>
                  </wp:positionV>
                  <wp:extent cx="833755" cy="796925"/>
                  <wp:effectExtent l="0" t="0" r="4445" b="317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1"/>
                          <a:stretch>
                            <a:fillRect/>
                          </a:stretch>
                        </pic:blipFill>
                        <pic:spPr>
                          <a:xfrm>
                            <a:off x="0" y="0"/>
                            <a:ext cx="833755" cy="7969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书柜</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1、柜体采用≥18mm 厚多层板贴橡胶木木皮，木皮厚度≥50目。</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2、门板采用实木橡胶木指接板，等级双A级（正反面无结疤）经防虫处理。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3、油漆两层底漆一层面漆工艺，美观大方。</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4、拉手采用铝合金材质，明装拉手。</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5、柜体上部为玻璃门，下部为正常开门。</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6、尺寸约为800*400*2000（mm），所投产品需符合实际空间尺寸需求，颜色与整体氛围匹配,最终按采购人认可的方案为准。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112</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组</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7696" behindDoc="0" locked="0" layoutInCell="1" allowOverlap="1">
                  <wp:simplePos x="0" y="0"/>
                  <wp:positionH relativeFrom="column">
                    <wp:posOffset>207645</wp:posOffset>
                  </wp:positionH>
                  <wp:positionV relativeFrom="paragraph">
                    <wp:posOffset>412750</wp:posOffset>
                  </wp:positionV>
                  <wp:extent cx="409575" cy="958215"/>
                  <wp:effectExtent l="0" t="0" r="9525" b="1333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2"/>
                          <a:stretch>
                            <a:fillRect/>
                          </a:stretch>
                        </pic:blipFill>
                        <pic:spPr>
                          <a:xfrm>
                            <a:off x="0" y="0"/>
                            <a:ext cx="409575"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可堆叠椅子</w:t>
            </w:r>
          </w:p>
        </w:tc>
        <w:tc>
          <w:tcPr>
            <w:tcW w:w="8257" w:type="dxa"/>
            <w:shd w:val="clear" w:color="auto" w:fill="auto"/>
            <w:vAlign w:val="center"/>
          </w:tcPr>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1、椅背：PA材质加高强度玻璃纤维背支架，具有良好的强度和韧性，不易变形。</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2、椅座：面材采用耐磨布艺。海绵采用≥40KG/m³定型海绵，高弹性，舒适耐用。座壳采用PA材质加高强度玻璃纤维。</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3、扶手：PP材质加高强度玻璃纤维，固定扶手。</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4、椅架：直径≥22mm，壁厚≥1.8mm优质铁管，经切割、打磨、弯管而成。表面脱脂、水洗、酸洗、水洗中和、表调、磷化、干燥等工艺处理，表面粉末涂料静电喷涂处理，防腐蚀、抗磨损。</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5、脚轮：带刹车、≥50mm，PA静音轮，可移动，不伤地板。</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6、尺寸约为600*600*850 （mm）座高</w:t>
            </w:r>
            <w:r>
              <w:rPr>
                <w:rFonts w:hint="eastAsia" w:ascii="仿宋_GB2312" w:hAnsi="仿宋_GB2312" w:eastAsia="仿宋_GB2312" w:cs="仿宋_GB2312"/>
                <w:color w:val="auto"/>
                <w:kern w:val="0"/>
                <w:sz w:val="24"/>
                <w:szCs w:val="24"/>
                <w:highlight w:val="none"/>
                <w:lang w:eastAsia="zh" w:bidi="ar"/>
              </w:rPr>
              <w:t>约为</w:t>
            </w:r>
            <w:r>
              <w:rPr>
                <w:rFonts w:hint="eastAsia" w:ascii="仿宋_GB2312" w:hAnsi="仿宋_GB2312" w:eastAsia="仿宋_GB2312" w:cs="仿宋_GB2312"/>
                <w:color w:val="auto"/>
                <w:kern w:val="0"/>
                <w:sz w:val="24"/>
                <w:szCs w:val="24"/>
                <w:highlight w:val="none"/>
                <w:lang w:bidi="ar"/>
              </w:rPr>
              <w:t>460（mm），所投产品需符合实际空间尺寸需求，颜色与整体氛围匹配,最终按采购人认可的方案为准。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位</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8720" behindDoc="0" locked="0" layoutInCell="1" allowOverlap="1">
                  <wp:simplePos x="0" y="0"/>
                  <wp:positionH relativeFrom="column">
                    <wp:posOffset>74295</wp:posOffset>
                  </wp:positionH>
                  <wp:positionV relativeFrom="paragraph">
                    <wp:posOffset>746125</wp:posOffset>
                  </wp:positionV>
                  <wp:extent cx="673100" cy="958215"/>
                  <wp:effectExtent l="0" t="0" r="12700" b="1333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3"/>
                          <a:stretch>
                            <a:fillRect/>
                          </a:stretch>
                        </pic:blipFill>
                        <pic:spPr>
                          <a:xfrm>
                            <a:off x="0" y="0"/>
                            <a:ext cx="673100"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5"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二人折叠活动桌</w:t>
            </w:r>
          </w:p>
        </w:tc>
        <w:tc>
          <w:tcPr>
            <w:tcW w:w="8257" w:type="dxa"/>
            <w:shd w:val="clear" w:color="auto" w:fill="auto"/>
            <w:vAlign w:val="center"/>
          </w:tcPr>
          <w:p>
            <w:pPr>
              <w:keepNext w:val="0"/>
              <w:keepLines w:val="0"/>
              <w:pageBreakBefore w:val="0"/>
              <w:widowControl/>
              <w:numPr>
                <w:ilvl w:val="0"/>
                <w:numId w:val="1"/>
              </w:numPr>
              <w:kinsoku/>
              <w:wordWrap/>
              <w:overflowPunct/>
              <w:topLinePunct w:val="0"/>
              <w:autoSpaceDE/>
              <w:autoSpaceDN/>
              <w:bidi w:val="0"/>
              <w:spacing w:line="360" w:lineRule="exact"/>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桌板：基材为≥25mm 厚优质E0 级环保刨花板，甲醛释放量≤0.05mg/m³，表面浸渍胶膜纸饰面，防水耐磨。封边条采用优质 PVC 封边，厚度≥1.5mm，（符合 QB/T4463-2013《家具封边条技术要求》），有效防止碰撞及长时间使用后的脱落问题。封边胶水采用热熔胶，敞开式和隐蔽式的截面均应做到处理。桌板边角圆弧设计防止磕碰。</w:t>
            </w:r>
          </w:p>
          <w:p>
            <w:pPr>
              <w:keepNext w:val="0"/>
              <w:keepLines w:val="0"/>
              <w:pageBreakBefore w:val="0"/>
              <w:widowControl/>
              <w:numPr>
                <w:ilvl w:val="0"/>
                <w:numId w:val="1"/>
              </w:numPr>
              <w:kinsoku/>
              <w:wordWrap/>
              <w:overflowPunct/>
              <w:topLinePunct w:val="0"/>
              <w:autoSpaceDE/>
              <w:autoSpaceDN/>
              <w:bidi w:val="0"/>
              <w:spacing w:line="360" w:lineRule="exact"/>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前挡板：采用优质轧板，经打磨折弯而成。表面脱脂、水洗、酸洗、水洗中和、表调、磷化、干燥等工艺处理，表面粉末涂料静电喷涂处理，防腐蚀、抗磨损，经久耐用。</w:t>
            </w:r>
          </w:p>
          <w:p>
            <w:pPr>
              <w:keepNext w:val="0"/>
              <w:keepLines w:val="0"/>
              <w:pageBreakBefore w:val="0"/>
              <w:widowControl/>
              <w:numPr>
                <w:ilvl w:val="0"/>
                <w:numId w:val="1"/>
              </w:numPr>
              <w:kinsoku/>
              <w:wordWrap/>
              <w:overflowPunct/>
              <w:topLinePunct w:val="0"/>
              <w:autoSpaceDE/>
              <w:autoSpaceDN/>
              <w:bidi w:val="0"/>
              <w:spacing w:line="360" w:lineRule="exact"/>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支架≥3.0mm钢板冲压成型，结实耐用。表面静电喷涂。</w:t>
            </w:r>
          </w:p>
          <w:p>
            <w:pPr>
              <w:keepNext w:val="0"/>
              <w:keepLines w:val="0"/>
              <w:pageBreakBefore w:val="0"/>
              <w:widowControl/>
              <w:numPr>
                <w:ilvl w:val="0"/>
                <w:numId w:val="1"/>
              </w:numPr>
              <w:kinsoku/>
              <w:wordWrap/>
              <w:overflowPunct/>
              <w:topLinePunct w:val="0"/>
              <w:autoSpaceDE/>
              <w:autoSpaceDN/>
              <w:bidi w:val="0"/>
              <w:spacing w:line="360" w:lineRule="exact"/>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横梁：圆管采用≥φ50MM圆形冷轧钢管壁厚≥1.2MM，表面再经防锈静电喷涂处理，实用牢固，承受力大。（横梁长度跟随定制尺寸变化）</w:t>
            </w:r>
          </w:p>
          <w:p>
            <w:pPr>
              <w:keepNext w:val="0"/>
              <w:keepLines w:val="0"/>
              <w:pageBreakBefore w:val="0"/>
              <w:widowControl/>
              <w:numPr>
                <w:ilvl w:val="0"/>
                <w:numId w:val="1"/>
              </w:numPr>
              <w:kinsoku/>
              <w:wordWrap/>
              <w:overflowPunct/>
              <w:topLinePunct w:val="0"/>
              <w:autoSpaceDE/>
              <w:autoSpaceDN/>
              <w:bidi w:val="0"/>
              <w:spacing w:line="360" w:lineRule="exact"/>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折叠结构：手动旋钮机关，自动弹回卡位，扣合紧密。</w:t>
            </w:r>
          </w:p>
          <w:p>
            <w:pPr>
              <w:keepNext w:val="0"/>
              <w:keepLines w:val="0"/>
              <w:pageBreakBefore w:val="0"/>
              <w:widowControl/>
              <w:numPr>
                <w:ilvl w:val="0"/>
                <w:numId w:val="1"/>
              </w:numPr>
              <w:kinsoku/>
              <w:wordWrap/>
              <w:overflowPunct/>
              <w:topLinePunct w:val="0"/>
              <w:autoSpaceDE/>
              <w:autoSpaceDN/>
              <w:bidi w:val="0"/>
              <w:spacing w:line="360" w:lineRule="exact"/>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桌腿：人字形铝合金底脚，矩形管，与铝合金翻转装置连接，表面处理工艺均采用防锈静电喷涂。</w:t>
            </w:r>
          </w:p>
          <w:p>
            <w:pPr>
              <w:keepNext w:val="0"/>
              <w:keepLines w:val="0"/>
              <w:pageBreakBefore w:val="0"/>
              <w:widowControl/>
              <w:numPr>
                <w:ilvl w:val="0"/>
                <w:numId w:val="1"/>
              </w:numPr>
              <w:kinsoku/>
              <w:wordWrap/>
              <w:overflowPunct/>
              <w:topLinePunct w:val="0"/>
              <w:autoSpaceDE/>
              <w:autoSpaceDN/>
              <w:bidi w:val="0"/>
              <w:spacing w:line="360" w:lineRule="exact"/>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前挡板：采用优质轧板，经打磨折弯而成。表面静电粉末喷涂。</w:t>
            </w:r>
          </w:p>
          <w:p>
            <w:pPr>
              <w:keepNext w:val="0"/>
              <w:keepLines w:val="0"/>
              <w:pageBreakBefore w:val="0"/>
              <w:widowControl/>
              <w:numPr>
                <w:ilvl w:val="0"/>
                <w:numId w:val="1"/>
              </w:numPr>
              <w:kinsoku/>
              <w:wordWrap/>
              <w:overflowPunct/>
              <w:topLinePunct w:val="0"/>
              <w:autoSpaceDE/>
              <w:autoSpaceDN/>
              <w:bidi w:val="0"/>
              <w:spacing w:line="360" w:lineRule="exact"/>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脚轮：带刹车、≥50mm，PA静音轮，可移动，不伤地板。</w:t>
            </w:r>
          </w:p>
          <w:p>
            <w:pPr>
              <w:pStyle w:val="965"/>
              <w:keepNext w:val="0"/>
              <w:keepLines w:val="0"/>
              <w:pageBreakBefore w:val="0"/>
              <w:numPr>
                <w:ilvl w:val="0"/>
                <w:numId w:val="1"/>
              </w:numPr>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功能：桌面可以折叠，摆放不占用空间。桌子带轮子。移动方便。</w:t>
            </w:r>
          </w:p>
          <w:p>
            <w:pPr>
              <w:pStyle w:val="965"/>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eastAsia="zh" w:bidi="ar"/>
              </w:rPr>
            </w:pPr>
            <w:r>
              <w:rPr>
                <w:rFonts w:hint="eastAsia" w:ascii="仿宋_GB2312" w:hAnsi="仿宋_GB2312" w:eastAsia="仿宋_GB2312" w:cs="仿宋_GB2312"/>
                <w:color w:val="auto"/>
                <w:kern w:val="0"/>
                <w:sz w:val="24"/>
                <w:szCs w:val="24"/>
                <w:highlight w:val="none"/>
                <w:lang w:bidi="ar"/>
              </w:rPr>
              <w:t>尺寸约为1300*500*750（mm），所投产品需符合实际空间尺寸需求，颜色与整体氛围匹配,最终按采购人认可的方案为准。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张</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79744" behindDoc="0" locked="0" layoutInCell="1" allowOverlap="1">
                  <wp:simplePos x="0" y="0"/>
                  <wp:positionH relativeFrom="column">
                    <wp:posOffset>0</wp:posOffset>
                  </wp:positionH>
                  <wp:positionV relativeFrom="paragraph">
                    <wp:posOffset>1612900</wp:posOffset>
                  </wp:positionV>
                  <wp:extent cx="833755" cy="627380"/>
                  <wp:effectExtent l="0" t="0" r="4445" b="127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4"/>
                          <a:stretch>
                            <a:fillRect/>
                          </a:stretch>
                        </pic:blipFill>
                        <pic:spPr>
                          <a:xfrm>
                            <a:off x="0" y="0"/>
                            <a:ext cx="833755" cy="62738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多功能电子讲台</w:t>
            </w:r>
            <w:r>
              <w:rPr>
                <w:rFonts w:hint="eastAsia" w:ascii="仿宋_GB2312" w:hAnsi="仿宋_GB2312" w:eastAsia="仿宋_GB2312" w:cs="仿宋_GB2312"/>
                <w:color w:val="auto"/>
                <w:sz w:val="24"/>
                <w:szCs w:val="24"/>
                <w:highlight w:val="none"/>
              </w:rPr>
              <w:br w:type="textWrapping"/>
            </w:r>
          </w:p>
        </w:tc>
        <w:tc>
          <w:tcPr>
            <w:tcW w:w="8257" w:type="dxa"/>
            <w:shd w:val="clear" w:color="auto" w:fill="auto"/>
            <w:vAlign w:val="center"/>
          </w:tcPr>
          <w:p>
            <w:pPr>
              <w:pStyle w:val="965"/>
              <w:numPr>
                <w:ilvl w:val="255"/>
                <w:numId w:val="0"/>
              </w:numPr>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1、桌架型材：优质钢材，表面处理选用静电喷涂技术，颜色灰色。</w:t>
            </w:r>
          </w:p>
          <w:p>
            <w:pPr>
              <w:pStyle w:val="965"/>
              <w:numPr>
                <w:ilvl w:val="255"/>
                <w:numId w:val="0"/>
              </w:numPr>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2、桌面板材：老师接触位置为木质桌面，采用E0级免漆板，环保耐磨，厚度 ≥ 25mm，颜色：白色；桌板尺寸≥1600mm×750mm。</w:t>
            </w:r>
          </w:p>
          <w:p>
            <w:pPr>
              <w:pStyle w:val="965"/>
              <w:numPr>
                <w:ilvl w:val="255"/>
                <w:numId w:val="0"/>
              </w:numPr>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桌面围挡：桌板前部具备多层板弯曲而成的高围挡设计，表面喷漆。围挡整体颜色均匀，无明显深浅色差。高度≥100mm，可防止桌面物品滚落；桌面左右两侧前方具有和围挡同色的木凸台，厚度≥20mm，用于放置控制设备和话筒等。</w:t>
            </w:r>
          </w:p>
          <w:p>
            <w:pPr>
              <w:pStyle w:val="965"/>
              <w:numPr>
                <w:ilvl w:val="255"/>
                <w:numId w:val="0"/>
              </w:numPr>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4、桌面杯槽：桌面需具备内嵌式的水杯圆槽，槽内直径≥80mm，可供教师放置水杯。</w:t>
            </w:r>
          </w:p>
          <w:p>
            <w:pPr>
              <w:pStyle w:val="965"/>
              <w:numPr>
                <w:ilvl w:val="255"/>
                <w:numId w:val="0"/>
              </w:numPr>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5、讲桌抽屉：桌板下方需具备采用滑轨式安装设计的收纳抽屉，收纳空间≥350*150*50(mm)，抽屉面板采用E0级厚度≥16mm的灰色免漆板材。</w:t>
            </w:r>
          </w:p>
          <w:p>
            <w:pPr>
              <w:pStyle w:val="965"/>
              <w:numPr>
                <w:ilvl w:val="255"/>
                <w:numId w:val="0"/>
              </w:numPr>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6、讲桌前挡板：可拆卸，方便机柜维护。围挡表面可自由粘贴学校的校徽LOGO。</w:t>
            </w:r>
          </w:p>
          <w:p>
            <w:pPr>
              <w:pStyle w:val="965"/>
              <w:numPr>
                <w:ilvl w:val="255"/>
                <w:numId w:val="0"/>
              </w:numPr>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7、讲桌机柜：内置11U 19英寸标准机架，前后门都可以打开方便维护。前后门都具有散热孔，前门带锁。</w:t>
            </w:r>
          </w:p>
          <w:p>
            <w:pPr>
              <w:pStyle w:val="965"/>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8、▲桌面接线盒：桌面上至少需具备1个以上万能5孔220V电源插座、2 个USB接口，1 个抽线区域，抽线孔位 ≥3。</w:t>
            </w:r>
          </w:p>
          <w:p>
            <w:pPr>
              <w:pStyle w:val="965"/>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9、上述第8条需</w:t>
            </w:r>
            <w:r>
              <w:rPr>
                <w:rFonts w:hint="eastAsia" w:ascii="仿宋_GB2312" w:hAnsi="仿宋_GB2312" w:eastAsia="仿宋_GB2312" w:cs="仿宋_GB2312"/>
                <w:color w:val="auto"/>
                <w:sz w:val="24"/>
                <w:szCs w:val="24"/>
                <w:highlight w:val="none"/>
              </w:rPr>
              <w:t>提供国家认可的质检机构出具带有CMA或CNAS标识的检测报告复印件</w:t>
            </w:r>
            <w:r>
              <w:rPr>
                <w:rFonts w:hint="eastAsia" w:ascii="仿宋_GB2312" w:hAnsi="仿宋_GB2312" w:eastAsia="仿宋_GB2312" w:cs="仿宋_GB2312"/>
                <w:color w:val="auto"/>
                <w:sz w:val="24"/>
                <w:szCs w:val="24"/>
                <w:highlight w:val="none"/>
                <w:lang w:val="en-US" w:eastAsia="zh-CN"/>
              </w:rPr>
              <w:t>加盖投标人公章</w:t>
            </w:r>
            <w:r>
              <w:rPr>
                <w:rFonts w:hint="eastAsia" w:ascii="仿宋_GB2312" w:hAnsi="仿宋_GB2312" w:eastAsia="仿宋_GB2312" w:cs="仿宋_GB2312"/>
                <w:color w:val="auto"/>
                <w:sz w:val="24"/>
                <w:szCs w:val="24"/>
                <w:highlight w:val="none"/>
                <w:lang w:eastAsia="zh-CN"/>
              </w:rPr>
              <w:t>。</w:t>
            </w:r>
          </w:p>
          <w:p>
            <w:pPr>
              <w:pStyle w:val="965"/>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、▲显示器支架：桌面需设计有一体化的显示器支架，可调节高度≥90mm，可倾斜-5°~90°，同时支架底座需具备键鼠收纳空间，用于存放键鼠设备。</w:t>
            </w:r>
            <w:r>
              <w:rPr>
                <w:rFonts w:hint="eastAsia" w:ascii="仿宋_GB2312" w:hAnsi="仿宋_GB2312" w:eastAsia="仿宋_GB2312" w:cs="仿宋_GB2312"/>
                <w:color w:val="auto"/>
                <w:sz w:val="24"/>
                <w:szCs w:val="24"/>
                <w:highlight w:val="none"/>
                <w:lang w:val="en-US" w:eastAsia="zh-CN"/>
              </w:rPr>
              <w:t>11、上述第10条需</w:t>
            </w:r>
            <w:r>
              <w:rPr>
                <w:rFonts w:hint="eastAsia" w:ascii="仿宋_GB2312" w:hAnsi="仿宋_GB2312" w:eastAsia="仿宋_GB2312" w:cs="仿宋_GB2312"/>
                <w:color w:val="auto"/>
                <w:sz w:val="24"/>
                <w:szCs w:val="24"/>
                <w:highlight w:val="none"/>
              </w:rPr>
              <w:t>提供国家认可的质检机构出具带有CMA或CNAS标识的检测报告复印件</w:t>
            </w:r>
            <w:r>
              <w:rPr>
                <w:rFonts w:hint="eastAsia" w:ascii="仿宋_GB2312" w:hAnsi="仿宋_GB2312" w:eastAsia="仿宋_GB2312" w:cs="仿宋_GB2312"/>
                <w:color w:val="auto"/>
                <w:sz w:val="24"/>
                <w:szCs w:val="24"/>
                <w:highlight w:val="none"/>
                <w:lang w:val="en-US" w:eastAsia="zh-CN"/>
              </w:rPr>
              <w:t>加盖投标人公章</w:t>
            </w:r>
            <w:r>
              <w:rPr>
                <w:rFonts w:hint="eastAsia" w:ascii="仿宋_GB2312" w:hAnsi="仿宋_GB2312" w:eastAsia="仿宋_GB2312" w:cs="仿宋_GB2312"/>
                <w:color w:val="auto"/>
                <w:sz w:val="24"/>
                <w:szCs w:val="24"/>
                <w:highlight w:val="none"/>
                <w:lang w:eastAsia="zh-CN"/>
              </w:rPr>
              <w:t>。</w:t>
            </w:r>
          </w:p>
          <w:p>
            <w:pPr>
              <w:pStyle w:val="965"/>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升降按键：讲桌需具备可控制桌面升降的物理升降按键，并支持在升降过程中实时显示当前的桌面高度。讲桌需具备电动升降结构，桌面的离地总高度升降范围至少需有：725mm~1125mm，高度可调节，满足不同身高的教师使用；讲台采用全封闭式设计，升降过程不会有空间外露。机柜活动空间采用折叠风琴罩设计。</w:t>
            </w:r>
          </w:p>
          <w:p>
            <w:pPr>
              <w:pStyle w:val="965"/>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rPr>
              <w:t>、▲升降立柱：采用双电机两节电动升降立柱，超强抗下滑设计。管子尺寸：外管尺寸≥80*50mm，内管尺寸≥75*45mm，桌架最大均布载荷：≥100Kg均布。控制盒带陀螺仪功能：遇阻回退防夹保护，桌面震动和突然倾斜立刻停止升降。</w:t>
            </w:r>
            <w:r>
              <w:rPr>
                <w:rFonts w:hint="eastAsia" w:ascii="仿宋_GB2312" w:hAnsi="仿宋_GB2312" w:eastAsia="仿宋_GB2312" w:cs="仿宋_GB2312"/>
                <w:color w:val="auto"/>
                <w:sz w:val="24"/>
                <w:szCs w:val="24"/>
                <w:highlight w:val="none"/>
                <w:lang w:val="en-US" w:eastAsia="zh-CN"/>
              </w:rPr>
              <w:t>14、上述第13条需</w:t>
            </w:r>
            <w:r>
              <w:rPr>
                <w:rFonts w:hint="eastAsia" w:ascii="仿宋_GB2312" w:hAnsi="仿宋_GB2312" w:eastAsia="仿宋_GB2312" w:cs="仿宋_GB2312"/>
                <w:color w:val="auto"/>
                <w:sz w:val="24"/>
                <w:szCs w:val="24"/>
                <w:highlight w:val="none"/>
              </w:rPr>
              <w:t>提供国家认可的质检机构出具带有CMA或CNAS标识的检测报告复印件</w:t>
            </w:r>
            <w:r>
              <w:rPr>
                <w:rFonts w:hint="eastAsia" w:ascii="仿宋_GB2312" w:hAnsi="仿宋_GB2312" w:eastAsia="仿宋_GB2312" w:cs="仿宋_GB2312"/>
                <w:color w:val="auto"/>
                <w:sz w:val="24"/>
                <w:szCs w:val="24"/>
                <w:highlight w:val="none"/>
                <w:lang w:val="en-US" w:eastAsia="zh-CN"/>
              </w:rPr>
              <w:t>加盖投标人公章</w:t>
            </w:r>
            <w:r>
              <w:rPr>
                <w:rFonts w:hint="eastAsia" w:ascii="仿宋_GB2312" w:hAnsi="仿宋_GB2312" w:eastAsia="仿宋_GB2312" w:cs="仿宋_GB2312"/>
                <w:color w:val="auto"/>
                <w:sz w:val="24"/>
                <w:szCs w:val="24"/>
                <w:highlight w:val="none"/>
                <w:lang w:eastAsia="zh-CN"/>
              </w:rPr>
              <w:t>。</w:t>
            </w:r>
          </w:p>
          <w:p>
            <w:pPr>
              <w:pStyle w:val="965"/>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、第三方中控安装接入：讲桌预留第三方中控安装位置以及安装支架，支持第三方中控接入讲桌。安装支架具有与桌面15度的倾斜角度，便于中控观看操作；</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套</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80768" behindDoc="0" locked="0" layoutInCell="1" allowOverlap="1">
                  <wp:simplePos x="0" y="0"/>
                  <wp:positionH relativeFrom="column">
                    <wp:posOffset>66675</wp:posOffset>
                  </wp:positionH>
                  <wp:positionV relativeFrom="paragraph">
                    <wp:posOffset>1127125</wp:posOffset>
                  </wp:positionV>
                  <wp:extent cx="833755" cy="732790"/>
                  <wp:effectExtent l="0" t="0" r="4445" b="1016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5"/>
                          <a:stretch>
                            <a:fillRect/>
                          </a:stretch>
                        </pic:blipFill>
                        <pic:spPr>
                          <a:xfrm>
                            <a:off x="0" y="0"/>
                            <a:ext cx="833755" cy="73279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lang w:eastAsia="zh"/>
              </w:rPr>
            </w:pPr>
            <w:r>
              <w:rPr>
                <w:rFonts w:hint="eastAsia" w:ascii="仿宋_GB2312" w:hAnsi="仿宋_GB2312" w:eastAsia="仿宋_GB2312" w:cs="仿宋_GB2312"/>
                <w:color w:val="auto"/>
                <w:sz w:val="24"/>
                <w:szCs w:val="24"/>
                <w:highlight w:val="none"/>
              </w:rPr>
              <w:t>学生实训桌</w:t>
            </w:r>
            <w:r>
              <w:rPr>
                <w:rFonts w:hint="eastAsia" w:ascii="仿宋_GB2312" w:hAnsi="仿宋_GB2312" w:eastAsia="仿宋_GB2312" w:cs="仿宋_GB2312"/>
                <w:b/>
                <w:bCs/>
                <w:color w:val="auto"/>
                <w:sz w:val="24"/>
                <w:szCs w:val="24"/>
                <w:highlight w:val="none"/>
                <w:lang w:eastAsia="zh"/>
              </w:rPr>
              <w:t>（核心产品）</w:t>
            </w:r>
          </w:p>
        </w:tc>
        <w:tc>
          <w:tcPr>
            <w:tcW w:w="8257"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1、桌板基材为≥25mm厚，环保等级≥E0 级环保刨花板，甲醛释放量≤0.05mg/m³，表面浸渍胶膜纸饰面，防水耐磨。封边条采用优质 PVC 封边，厚度≥1.5mm，（符合 QB/T4463-2013《家具封边条技术要求》），有效防止碰撞及长时间使用后的脱落问题。封边胶水采用热熔胶，敞开式和隐蔽式的截面均应做到处理。</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2、挡板采用≥E0级厚度≥16mm的E0 级环保刨花板，甲醛释放量≤0.05mg/m³。</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桌架管子采用壁厚≥1.5mm，直径为≥60mm的钢材圆管，横档采用≥2.0mm壁厚的钢材，焊接、打磨而成，表面脱脂、水洗、酸洗、水洗中和、表调、磷化、干燥等工艺处理，表面粉末涂料静电喷涂处理，防腐蚀、抗磨损，经久耐用。</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3、主机托材料厚度≥1.0mm 厚冷轧钢，折边焊接打磨而成，表面高温静电喷涂。</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4、脚垫采用优质软胶脚垫，结实耐用。实现防滑，保护地面的作用。</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5、结构为钢木结构。</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6、尺寸约为1600*550*750（mm），所投产品需符合实际空间尺寸需求，颜色与整体氛围匹配,最终按采购人认可的方案为准。</w:t>
            </w:r>
          </w:p>
          <w:p>
            <w:pPr>
              <w:pStyle w:val="4"/>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lang w:eastAsia="zh"/>
              </w:rPr>
            </w:pPr>
            <w:r>
              <w:rPr>
                <w:rFonts w:hint="eastAsia" w:ascii="仿宋_GB2312" w:hAnsi="仿宋_GB2312" w:eastAsia="仿宋_GB2312" w:cs="仿宋_GB2312"/>
                <w:color w:val="auto"/>
                <w:kern w:val="0"/>
                <w:sz w:val="24"/>
                <w:szCs w:val="24"/>
                <w:highlight w:val="none"/>
                <w:lang w:eastAsia="zh" w:bidi="ar"/>
              </w:rPr>
              <w:t>7、</w:t>
            </w:r>
            <w:r>
              <w:rPr>
                <w:rFonts w:hint="eastAsia" w:ascii="仿宋_GB2312" w:hAnsi="仿宋_GB2312" w:eastAsia="仿宋_GB2312" w:cs="仿宋_GB2312"/>
                <w:color w:val="auto"/>
                <w:sz w:val="24"/>
                <w:szCs w:val="24"/>
                <w:highlight w:val="none"/>
                <w:lang w:eastAsia="zh" w:bidi="ar"/>
              </w:rPr>
              <w:t>★每两人中间具有3个国标五孔10A插座(固定于桌面上)。每组排桌插座能互相联通，电线走线具有全封闭的钣金走线槽，电线不会外露，学生工位计算机不能使用桌面插座。每个学生工位上有计算机机箱托架（金属材质）</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eastAsia="zh" w:bidi="ar"/>
              </w:rPr>
              <w:t>8</w:t>
            </w:r>
            <w:r>
              <w:rPr>
                <w:rFonts w:hint="eastAsia" w:ascii="仿宋_GB2312" w:hAnsi="仿宋_GB2312" w:eastAsia="仿宋_GB2312" w:cs="仿宋_GB2312"/>
                <w:color w:val="auto"/>
                <w:kern w:val="0"/>
                <w:sz w:val="24"/>
                <w:szCs w:val="24"/>
                <w:highlight w:val="none"/>
                <w:lang w:bidi="ar"/>
              </w:rPr>
              <w:t>、</w:t>
            </w:r>
            <w:r>
              <w:rPr>
                <w:rFonts w:hint="eastAsia" w:ascii="仿宋_GB2312" w:hAnsi="仿宋_GB2312" w:eastAsia="仿宋_GB2312" w:cs="仿宋_GB2312"/>
                <w:color w:val="auto"/>
                <w:sz w:val="24"/>
                <w:szCs w:val="24"/>
                <w:highlight w:val="none"/>
                <w:lang w:bidi="ar"/>
              </w:rPr>
              <w:t>▲</w:t>
            </w:r>
            <w:r>
              <w:rPr>
                <w:rFonts w:hint="eastAsia" w:ascii="仿宋_GB2312" w:hAnsi="仿宋_GB2312" w:eastAsia="仿宋_GB2312" w:cs="仿宋_GB2312"/>
                <w:color w:val="auto"/>
                <w:kern w:val="0"/>
                <w:sz w:val="24"/>
                <w:szCs w:val="24"/>
                <w:highlight w:val="none"/>
                <w:lang w:bidi="ar"/>
              </w:rPr>
              <w:t>所投产品或产品主材的甲醛释放量、重金属含量等均符合国家标准。</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9、上述第8条需提供国家认可的质检机构出具带有CMA或CNAS标识的检测报告复印件加盖投标人公章</w:t>
            </w:r>
            <w:r>
              <w:rPr>
                <w:rFonts w:hint="eastAsia" w:ascii="仿宋_GB2312" w:hAnsi="仿宋_GB2312" w:eastAsia="仿宋_GB2312" w:cs="仿宋_GB2312"/>
                <w:color w:val="auto"/>
                <w:kern w:val="0"/>
                <w:sz w:val="24"/>
                <w:szCs w:val="24"/>
                <w:highlight w:val="none"/>
                <w:lang w:bidi="ar"/>
              </w:rPr>
              <w:t>。</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10、</w:t>
            </w:r>
            <w:r>
              <w:rPr>
                <w:rFonts w:hint="eastAsia" w:ascii="仿宋_GB2312" w:hAnsi="仿宋_GB2312" w:eastAsia="仿宋_GB2312" w:cs="仿宋_GB2312"/>
                <w:color w:val="auto"/>
                <w:sz w:val="24"/>
                <w:szCs w:val="24"/>
                <w:highlight w:val="none"/>
                <w:lang w:bidi="ar"/>
              </w:rPr>
              <w:t>▲</w:t>
            </w:r>
            <w:r>
              <w:rPr>
                <w:rFonts w:hint="eastAsia" w:ascii="仿宋_GB2312" w:hAnsi="仿宋_GB2312" w:eastAsia="仿宋_GB2312" w:cs="仿宋_GB2312"/>
                <w:color w:val="auto"/>
                <w:kern w:val="0"/>
                <w:sz w:val="24"/>
                <w:szCs w:val="24"/>
                <w:highlight w:val="none"/>
                <w:lang w:bidi="ar"/>
              </w:rPr>
              <w:t>所投产品或产品主材需符合国家抗菌检测标准要求，对金黄色葡萄球菌和大肠埃希氏菌的检测结果为抑菌率达到90%以上。</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11、上述第10条需</w:t>
            </w:r>
            <w:r>
              <w:rPr>
                <w:rFonts w:hint="eastAsia" w:ascii="仿宋_GB2312" w:hAnsi="仿宋_GB2312" w:eastAsia="仿宋_GB2312" w:cs="仿宋_GB2312"/>
                <w:color w:val="auto"/>
                <w:sz w:val="24"/>
                <w:szCs w:val="24"/>
                <w:highlight w:val="none"/>
              </w:rPr>
              <w:t>提供国家认可的质检机构出具带有CMA或CNAS标识的检测报告复印件加盖投标人公章</w:t>
            </w:r>
            <w:r>
              <w:rPr>
                <w:rFonts w:hint="eastAsia" w:ascii="仿宋_GB2312" w:hAnsi="仿宋_GB2312" w:eastAsia="仿宋_GB2312" w:cs="仿宋_GB2312"/>
                <w:color w:val="auto"/>
                <w:kern w:val="0"/>
                <w:sz w:val="24"/>
                <w:szCs w:val="24"/>
                <w:highlight w:val="none"/>
                <w:lang w:bidi="ar"/>
              </w:rPr>
              <w:t>。</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90</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张</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61312" behindDoc="0" locked="0" layoutInCell="1" allowOverlap="1">
                  <wp:simplePos x="0" y="0"/>
                  <wp:positionH relativeFrom="column">
                    <wp:posOffset>0</wp:posOffset>
                  </wp:positionH>
                  <wp:positionV relativeFrom="paragraph">
                    <wp:posOffset>849630</wp:posOffset>
                  </wp:positionV>
                  <wp:extent cx="834390" cy="687070"/>
                  <wp:effectExtent l="0" t="0" r="3810" b="1778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834390" cy="6870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学生凳</w:t>
            </w:r>
          </w:p>
        </w:tc>
        <w:tc>
          <w:tcPr>
            <w:tcW w:w="8257"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1、椅座基材为≥18mm 厚优质E0级环保刨花板，甲醛释放量≤0.05mg/m³，表面浸渍胶膜纸饰面，防水耐磨。封边条采用优质 PVC 封边，厚度≥1.0mm，（符合 QB/T4463-2013《家具封边条技术要求》），有效防止碰撞及长时间使用后的脱落问题。封边胶水采用热熔胶，敞开式和隐蔽式的截面均应做到处理。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2、椅架：椅架采用壁厚为≥1.5mm的优质钢管。表面脱脂、水洗、酸洗、水洗中和、表调、磷化、干燥等工艺处理，表面粉末涂料静电喷涂处理，防腐蚀、抗磨损，座架经久耐用。</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3、脚垫：优质脚垫，耐磨防滑，不伤地板。</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4、尺寸约为350*250*450（mm），所投产品需符合实际空间尺寸需求，颜色与整体氛围匹配,最终按采购人认可的方案为准。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180</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位</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81792" behindDoc="0" locked="0" layoutInCell="1" allowOverlap="1">
                  <wp:simplePos x="0" y="0"/>
                  <wp:positionH relativeFrom="column">
                    <wp:posOffset>64770</wp:posOffset>
                  </wp:positionH>
                  <wp:positionV relativeFrom="paragraph">
                    <wp:posOffset>355600</wp:posOffset>
                  </wp:positionV>
                  <wp:extent cx="768350" cy="958215"/>
                  <wp:effectExtent l="0" t="0" r="12700" b="1333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768350"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教师椅</w:t>
            </w:r>
          </w:p>
        </w:tc>
        <w:tc>
          <w:tcPr>
            <w:tcW w:w="8257" w:type="dxa"/>
            <w:shd w:val="clear" w:color="auto" w:fill="auto"/>
            <w:vAlign w:val="center"/>
          </w:tcPr>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1、椅背:PP背连体扶手</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2、椅座::一次性发泡定型泡棉</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3、扶手:PP背连体扶手</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4、底盘:与背框颜色一致的蝴蝶底盘</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5、气杆:行程≥85mm沉口≥50mm</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6、五星脚：与背框颜色一样的≥320mmPP五星脚</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7、脚轮:带刹车、≥50mm，PA静音轮，可移动，不伤地板。</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8、正常成人尺寸，所投产品需符合实际空间尺寸需求，颜色与整体氛围匹配,最终按采购人认可的方案为准。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位</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82816" behindDoc="0" locked="0" layoutInCell="1" allowOverlap="1">
                  <wp:simplePos x="0" y="0"/>
                  <wp:positionH relativeFrom="column">
                    <wp:posOffset>74295</wp:posOffset>
                  </wp:positionH>
                  <wp:positionV relativeFrom="paragraph">
                    <wp:posOffset>497205</wp:posOffset>
                  </wp:positionV>
                  <wp:extent cx="658495" cy="958215"/>
                  <wp:effectExtent l="0" t="0" r="8255" b="13335"/>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8"/>
                          <a:stretch>
                            <a:fillRect/>
                          </a:stretch>
                        </pic:blipFill>
                        <pic:spPr>
                          <a:xfrm>
                            <a:off x="0" y="0"/>
                            <a:ext cx="658495"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研讨椅</w:t>
            </w:r>
          </w:p>
        </w:tc>
        <w:tc>
          <w:tcPr>
            <w:tcW w:w="8257" w:type="dxa"/>
            <w:shd w:val="clear" w:color="auto" w:fill="auto"/>
            <w:vAlign w:val="center"/>
          </w:tcPr>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1、椅背：PP背框，固定腰靠，活动椅背</w:t>
            </w:r>
          </w:p>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2、椅座：高弹力高密度切割绵</w:t>
            </w:r>
          </w:p>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3、扶手：连体固定扶手、带写字板</w:t>
            </w:r>
          </w:p>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4、椅脚：黑砂纹四脚铁架</w:t>
            </w:r>
          </w:p>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5、椅轮：带刹车、≥50mm，PA静音轮，可移动，不伤地板。</w:t>
            </w:r>
          </w:p>
          <w:p>
            <w:pPr>
              <w:widowControl/>
              <w:numPr>
                <w:ilvl w:val="-1"/>
                <w:numId w:val="0"/>
              </w:numPr>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6、写字板：与椅子颜色匹配的尼龙材质写字板，写字板可折叠</w:t>
            </w:r>
          </w:p>
          <w:p>
            <w:pPr>
              <w:widowControl/>
              <w:spacing w:line="360" w:lineRule="exact"/>
              <w:rPr>
                <w:rFonts w:hint="eastAsia" w:ascii="仿宋_GB2312" w:hAnsi="仿宋_GB2312" w:eastAsia="仿宋_GB2312" w:cs="仿宋_GB2312"/>
                <w:color w:val="auto"/>
                <w:sz w:val="24"/>
                <w:szCs w:val="24"/>
                <w:highlight w:val="none"/>
                <w:lang w:eastAsia="zh"/>
              </w:rPr>
            </w:pPr>
            <w:r>
              <w:rPr>
                <w:rFonts w:hint="eastAsia" w:ascii="仿宋_GB2312" w:hAnsi="仿宋_GB2312" w:eastAsia="仿宋_GB2312" w:cs="仿宋_GB2312"/>
                <w:color w:val="auto"/>
                <w:kern w:val="0"/>
                <w:sz w:val="24"/>
                <w:szCs w:val="24"/>
                <w:highlight w:val="none"/>
                <w:lang w:bidi="ar"/>
              </w:rPr>
              <w:t>7、尺寸约为550*580*890，所投产品需符合实际空间尺寸需求，颜色与整体氛围匹配,最终按采购人认可的方案为准。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108</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套</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83840" behindDoc="0" locked="0" layoutInCell="1" allowOverlap="1">
                  <wp:simplePos x="0" y="0"/>
                  <wp:positionH relativeFrom="column">
                    <wp:posOffset>-1905</wp:posOffset>
                  </wp:positionH>
                  <wp:positionV relativeFrom="paragraph">
                    <wp:posOffset>412750</wp:posOffset>
                  </wp:positionV>
                  <wp:extent cx="819150" cy="1257935"/>
                  <wp:effectExtent l="0" t="0" r="0" b="18415"/>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9"/>
                          <a:stretch>
                            <a:fillRect/>
                          </a:stretch>
                        </pic:blipFill>
                        <pic:spPr>
                          <a:xfrm>
                            <a:off x="0" y="0"/>
                            <a:ext cx="819150" cy="125793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w:t>
            </w:r>
          </w:p>
        </w:tc>
        <w:tc>
          <w:tcPr>
            <w:tcW w:w="1335"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休闲茶几</w:t>
            </w:r>
          </w:p>
        </w:tc>
        <w:tc>
          <w:tcPr>
            <w:tcW w:w="8257" w:type="dxa"/>
            <w:shd w:val="clear" w:color="auto" w:fill="auto"/>
            <w:vAlign w:val="center"/>
          </w:tcPr>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1、台面采用≥10mm厚度的岩板</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2、茶几脚采用橡胶木实木材质</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3、尺寸约为≥Φ600*500（mm）所投产品需符合实际空间尺寸需求，颜色与整体氛围匹配,最终按采购人认可的方案为准。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张</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84864" behindDoc="0" locked="0" layoutInCell="1" allowOverlap="1">
                  <wp:simplePos x="0" y="0"/>
                  <wp:positionH relativeFrom="column">
                    <wp:posOffset>0</wp:posOffset>
                  </wp:positionH>
                  <wp:positionV relativeFrom="paragraph">
                    <wp:posOffset>107950</wp:posOffset>
                  </wp:positionV>
                  <wp:extent cx="834390" cy="769620"/>
                  <wp:effectExtent l="0" t="0" r="3810" b="1143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0"/>
                          <a:stretch>
                            <a:fillRect/>
                          </a:stretch>
                        </pic:blipFill>
                        <pic:spPr>
                          <a:xfrm>
                            <a:off x="0" y="0"/>
                            <a:ext cx="834390" cy="76962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w:t>
            </w:r>
          </w:p>
        </w:tc>
        <w:tc>
          <w:tcPr>
            <w:tcW w:w="133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会议椅2</w:t>
            </w:r>
          </w:p>
        </w:tc>
        <w:tc>
          <w:tcPr>
            <w:tcW w:w="8257" w:type="dxa"/>
            <w:shd w:val="clear" w:color="auto" w:fill="auto"/>
            <w:vAlign w:val="center"/>
          </w:tcPr>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1、椅背PP+GF30%背框，固定腰靠，活动椅背</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2、椅座采用高弹力T30密度切割海绵</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3、扶手为连体固定扶手</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4、椅脚黑砂纹四脚铁架套橡胶脚垫</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5、椅轮带刹车、≥50mm，PA静音轮，可移动，不伤地板。</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6、尺寸约为550*580*890(mm)，所投产品需符合实际空间尺寸需求，颜色与整体氛围匹配,最终按采购人认可的方案为准。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30</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位</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85888" behindDoc="0" locked="0" layoutInCell="1" allowOverlap="1">
                  <wp:simplePos x="0" y="0"/>
                  <wp:positionH relativeFrom="column">
                    <wp:posOffset>-1905</wp:posOffset>
                  </wp:positionH>
                  <wp:positionV relativeFrom="paragraph">
                    <wp:posOffset>336550</wp:posOffset>
                  </wp:positionV>
                  <wp:extent cx="804545" cy="958215"/>
                  <wp:effectExtent l="0" t="0" r="14605" b="13335"/>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1"/>
                          <a:stretch>
                            <a:fillRect/>
                          </a:stretch>
                        </pic:blipFill>
                        <pic:spPr>
                          <a:xfrm>
                            <a:off x="0" y="0"/>
                            <a:ext cx="804545" cy="958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w:t>
            </w:r>
          </w:p>
        </w:tc>
        <w:tc>
          <w:tcPr>
            <w:tcW w:w="1335"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休闲单人沙发</w:t>
            </w:r>
          </w:p>
        </w:tc>
        <w:tc>
          <w:tcPr>
            <w:tcW w:w="8257" w:type="dxa"/>
            <w:shd w:val="clear" w:color="auto" w:fill="auto"/>
            <w:vAlign w:val="center"/>
          </w:tcPr>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1、面料: 优质布艺面料</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 内框：优质硬木方框架及≥E1级环保多层夹板装订而成，经防虫、防腐等化学处理；</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 海绵：采用优质PU成型发泡高密度高回弹原生新海绵，表面有一层保护膜，可防氧化、防碎，经过HD测试永不变形；</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 承重弹力结构：靠背装钉有国产多条优质橡筋带，座垫为标准间距蛇形簧+平衡国产橡筋带+面网组成；</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 品牌优质五金配件，所有金属件经防腐防锈技术处理，耐氧化、耐腐蚀，经久耐用；</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 环保：甲醛释放量符合国家环保标准。</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7. 脚架：采用直径≥32mm，壁厚≥2.0mm的优质钢管，表面黑色磨砂哑光处理，配有调整脚。</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8.成品：其他各项技术指标符合QB/T 1952.1-2012《软体家具沙发》规定的A级要求，其中抗引燃特性符合GB 17927.2-2011 的要求；甲醛释放量≤0.5mg/L。</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9、尺寸约800*850*450-800（mm）所投产品需符合实际空间尺寸需求，颜色与整体氛围匹配,最终按采购人认可的方案为准。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张</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86912" behindDoc="0" locked="0" layoutInCell="1" allowOverlap="1">
                  <wp:simplePos x="0" y="0"/>
                  <wp:positionH relativeFrom="column">
                    <wp:posOffset>28575</wp:posOffset>
                  </wp:positionH>
                  <wp:positionV relativeFrom="paragraph">
                    <wp:posOffset>963930</wp:posOffset>
                  </wp:positionV>
                  <wp:extent cx="834390" cy="758825"/>
                  <wp:effectExtent l="0" t="0" r="3810" b="317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2"/>
                          <a:stretch>
                            <a:fillRect/>
                          </a:stretch>
                        </pic:blipFill>
                        <pic:spPr>
                          <a:xfrm>
                            <a:off x="0" y="0"/>
                            <a:ext cx="834390" cy="7588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w:t>
            </w:r>
          </w:p>
        </w:tc>
        <w:tc>
          <w:tcPr>
            <w:tcW w:w="1335"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多功能电子讲台</w:t>
            </w:r>
          </w:p>
        </w:tc>
        <w:tc>
          <w:tcPr>
            <w:tcW w:w="8257"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一、整机结构</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桌板材质：采用E0级优质免漆板材，厚度≥25mm，，尺寸≥525*1124(mm)，板形为内侧环绕型设计。桌板边缘需具备≥2mm的PVC直封边，颜色白色。讲桌升降：讲桌需具备电动升降结构，桌面的离地总高度升降范围至少需有：890mm~1190mm</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2、桌架型材：柱体高强度铝合金立柱，表面银色氧化处理。</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3、桌面围挡：桌板前部需具备高出桌面≥50mm的半包围式设计的木制围挡，颜色原木色。</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4、讲桌藏线盒：底脚区域需具备至少250*230*70(mm)的藏线盒设计，可对从地面到讲桌多余长度的线缆进行收纳。</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5、讲桌底脚：采用铁件一体化压铸设计，表面静电喷涂技术，颜色灰色。压铸脚前端带两个隐藏滚轮，略微倾斜桌体即可进行推动。</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6、演讲台桌面需设计有一体化的显示器支架，可调节高度≥90mm，可倾斜-5°~60°，可侧转-30°~30°，同时支架底座需具备键鼠收纳空间，用于存放键鼠设备。</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7、讲桌内部需内置系统模块，具备网络交换、HDMI分配、USB-HUB、电源控制等多个功能模块，且内部具备标准1L微型电脑主机的安装空间。</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8、讲桌接口：讲桌内部至少需具备网络接口≥3路，USB-HUB输入接口≥3路，HDMI输出接口≥2路，AC220V电源输出接口≥3路，极大减少对外部输入接口的依赖，方便布线实施。</w:t>
            </w:r>
          </w:p>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9、升降按键：讲桌需具备可控制桌面升降的物理升降按键，并支持在升降过程中实时显示当前的桌面高度。</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台</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87936" behindDoc="0" locked="0" layoutInCell="1" allowOverlap="1">
                  <wp:simplePos x="0" y="0"/>
                  <wp:positionH relativeFrom="column">
                    <wp:posOffset>28575</wp:posOffset>
                  </wp:positionH>
                  <wp:positionV relativeFrom="paragraph">
                    <wp:posOffset>1049655</wp:posOffset>
                  </wp:positionV>
                  <wp:extent cx="834390" cy="1043305"/>
                  <wp:effectExtent l="0" t="0" r="3810" b="444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3"/>
                          <a:stretch>
                            <a:fillRect/>
                          </a:stretch>
                        </pic:blipFill>
                        <pic:spPr>
                          <a:xfrm>
                            <a:off x="0" y="0"/>
                            <a:ext cx="834390" cy="104330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w:t>
            </w:r>
          </w:p>
        </w:tc>
        <w:tc>
          <w:tcPr>
            <w:tcW w:w="1335"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MR实训桌</w:t>
            </w:r>
          </w:p>
        </w:tc>
        <w:tc>
          <w:tcPr>
            <w:tcW w:w="8257" w:type="dxa"/>
            <w:shd w:val="clear" w:color="auto" w:fill="auto"/>
            <w:vAlign w:val="center"/>
          </w:tcPr>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1、桌子单人位尺寸约为≥700*600*750（mm）（长*宽*高）；所投产品需符合实际空间尺寸需求，颜色与整体氛围匹配,最终按采购人认可的方案为准；</w:t>
            </w:r>
          </w:p>
          <w:p>
            <w:pPr>
              <w:keepNext w:val="0"/>
              <w:keepLines w:val="0"/>
              <w:pageBreakBefore w:val="0"/>
              <w:numPr>
                <w:ilvl w:val="255"/>
                <w:numId w:val="0"/>
              </w:numPr>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2、桌板材质：采用≥E1级厚度≥25mm的白色免漆板材，面板颜色为白色、原木色可选；</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3、桌体支架采用优质钢材，坚定稳固。</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48</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位</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954" w:type="dxa"/>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w:t>
            </w:r>
          </w:p>
        </w:tc>
        <w:tc>
          <w:tcPr>
            <w:tcW w:w="1335" w:type="dxa"/>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台式消毒茶水柜</w:t>
            </w:r>
          </w:p>
        </w:tc>
        <w:tc>
          <w:tcPr>
            <w:tcW w:w="8257" w:type="dxa"/>
            <w:shd w:val="clear" w:color="auto" w:fill="auto"/>
            <w:vAlign w:val="center"/>
          </w:tcPr>
          <w:p>
            <w:pPr>
              <w:keepNext w:val="0"/>
              <w:keepLines w:val="0"/>
              <w:pageBreakBefore w:val="0"/>
              <w:widowControl/>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1、不锈钢机身，钢化玻璃面板，带红外杀菌及烘干功能。</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2、尺寸约1500*480*920（mm)，所投产品需符合实际空间尺寸需求，颜色与整体氛围匹配,最终按采购人认可的方案为准。</w:t>
            </w:r>
          </w:p>
        </w:tc>
        <w:tc>
          <w:tcPr>
            <w:tcW w:w="967"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915"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台</w:t>
            </w:r>
          </w:p>
        </w:tc>
        <w:tc>
          <w:tcPr>
            <w:tcW w:w="1530" w:type="dxa"/>
            <w:shd w:val="clear" w:color="auto" w:fill="auto"/>
            <w:vAlign w:val="center"/>
          </w:tcPr>
          <w:p>
            <w:pPr>
              <w:pStyle w:val="965"/>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drawing>
                <wp:anchor distT="0" distB="0" distL="114300" distR="114300" simplePos="0" relativeHeight="251688960" behindDoc="0" locked="0" layoutInCell="1" allowOverlap="1">
                  <wp:simplePos x="0" y="0"/>
                  <wp:positionH relativeFrom="column">
                    <wp:posOffset>0</wp:posOffset>
                  </wp:positionH>
                  <wp:positionV relativeFrom="paragraph">
                    <wp:posOffset>60325</wp:posOffset>
                  </wp:positionV>
                  <wp:extent cx="833755" cy="718820"/>
                  <wp:effectExtent l="0" t="0" r="4445" b="508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4"/>
                          <a:stretch>
                            <a:fillRect/>
                          </a:stretch>
                        </pic:blipFill>
                        <pic:spPr>
                          <a:xfrm>
                            <a:off x="0" y="0"/>
                            <a:ext cx="833755" cy="718820"/>
                          </a:xfrm>
                          <a:prstGeom prst="rect">
                            <a:avLst/>
                          </a:prstGeom>
                        </pic:spPr>
                      </pic:pic>
                    </a:graphicData>
                  </a:graphic>
                </wp:anchor>
              </w:drawing>
            </w:r>
          </w:p>
        </w:tc>
      </w:tr>
    </w:tbl>
    <w:p>
      <w:pPr>
        <w:keepNext w:val="0"/>
        <w:keepLines w:val="0"/>
        <w:pageBreakBefore w:val="0"/>
        <w:kinsoku/>
        <w:wordWrap/>
        <w:overflowPunct/>
        <w:topLinePunct w:val="0"/>
        <w:autoSpaceDE/>
        <w:autoSpaceDN/>
        <w:bidi w:val="0"/>
        <w:spacing w:line="360" w:lineRule="exact"/>
        <w:rPr>
          <w:rFonts w:hint="eastAsia" w:ascii="仿宋_GB2312" w:hAnsi="仿宋_GB2312" w:eastAsia="仿宋_GB2312" w:cs="仿宋_GB2312"/>
          <w:color w:val="auto"/>
          <w:sz w:val="24"/>
          <w:szCs w:val="24"/>
          <w:highlight w:val="none"/>
        </w:rPr>
      </w:pPr>
    </w:p>
    <w:p>
      <w:pPr>
        <w:keepNext w:val="0"/>
        <w:keepLines w:val="0"/>
        <w:pageBreakBefore w:val="0"/>
        <w:kinsoku/>
        <w:wordWrap/>
        <w:overflowPunct/>
        <w:topLinePunct w:val="0"/>
        <w:autoSpaceDE/>
        <w:autoSpaceDN/>
        <w:bidi w:val="0"/>
        <w:spacing w:line="360" w:lineRule="exact"/>
        <w:outlineLvl w:val="0"/>
        <w:rPr>
          <w:rFonts w:hint="eastAsia" w:ascii="仿宋_GB2312" w:hAnsi="仿宋_GB2312" w:eastAsia="仿宋_GB2312" w:cs="仿宋_GB2312"/>
          <w:b/>
          <w:color w:val="auto"/>
          <w:sz w:val="24"/>
          <w:szCs w:val="24"/>
          <w:highlight w:val="none"/>
        </w:rPr>
        <w:sectPr>
          <w:footerReference r:id="rId14" w:type="first"/>
          <w:footerReference r:id="rId12" w:type="default"/>
          <w:footerReference r:id="rId13" w:type="even"/>
          <w:pgSz w:w="16838" w:h="11906" w:orient="landscape"/>
          <w:pgMar w:top="1800" w:right="1440" w:bottom="1800" w:left="1440" w:header="851" w:footer="992" w:gutter="0"/>
          <w:cols w:space="425" w:num="1"/>
          <w:docGrid w:type="lines" w:linePitch="312" w:charSpace="0"/>
        </w:sectPr>
      </w:pPr>
    </w:p>
    <w:p>
      <w:pPr>
        <w:keepNext w:val="0"/>
        <w:keepLines w:val="0"/>
        <w:pageBreakBefore w:val="0"/>
        <w:kinsoku/>
        <w:wordWrap/>
        <w:overflowPunct/>
        <w:topLinePunct w:val="0"/>
        <w:autoSpaceDE/>
        <w:autoSpaceDN/>
        <w:bidi w:val="0"/>
        <w:spacing w:line="360" w:lineRule="exact"/>
        <w:outlineLvl w:val="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二、招标其他要求：</w:t>
      </w:r>
    </w:p>
    <w:p>
      <w:pPr>
        <w:pStyle w:val="132"/>
        <w:keepNext w:val="0"/>
        <w:keepLines w:val="0"/>
        <w:pageBreakBefore w:val="0"/>
        <w:kinsoku/>
        <w:wordWrap/>
        <w:overflowPunct/>
        <w:topLinePunct w:val="0"/>
        <w:autoSpaceDE/>
        <w:autoSpaceDN/>
        <w:bidi w:val="0"/>
        <w:spacing w:line="360" w:lineRule="exact"/>
        <w:ind w:firstLine="48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zh-CN"/>
        </w:rPr>
        <w:t>投标</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z w:val="24"/>
          <w:szCs w:val="24"/>
          <w:highlight w:val="none"/>
          <w:lang w:val="zh-CN"/>
        </w:rPr>
        <w:t>投标提供的设备必须是厂商原装的、全新的，配置与装箱单相符；数量、质量及性能不低于本标书中提出的要求；应准确无误地表明设备型号、规格、制造厂及生产或出厂日期。</w:t>
      </w:r>
    </w:p>
    <w:p>
      <w:pPr>
        <w:pStyle w:val="132"/>
        <w:keepNext w:val="0"/>
        <w:keepLines w:val="0"/>
        <w:pageBreakBefore w:val="0"/>
        <w:kinsoku/>
        <w:wordWrap/>
        <w:overflowPunct/>
        <w:topLinePunct w:val="0"/>
        <w:autoSpaceDE/>
        <w:autoSpaceDN/>
        <w:bidi w:val="0"/>
        <w:spacing w:line="360" w:lineRule="exact"/>
        <w:ind w:firstLine="48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zh-CN"/>
        </w:rPr>
        <w:t>合同签订及交货期：采购合同签订后30个工作日内完成设备供货、安装和调试。</w:t>
      </w:r>
    </w:p>
    <w:p>
      <w:pPr>
        <w:pStyle w:val="132"/>
        <w:keepNext w:val="0"/>
        <w:keepLines w:val="0"/>
        <w:pageBreakBefore w:val="0"/>
        <w:kinsoku/>
        <w:wordWrap/>
        <w:overflowPunct/>
        <w:topLinePunct w:val="0"/>
        <w:autoSpaceDE/>
        <w:autoSpaceDN/>
        <w:bidi w:val="0"/>
        <w:spacing w:line="360" w:lineRule="exact"/>
        <w:ind w:firstLine="48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val="zh-CN"/>
        </w:rPr>
        <w:t>质保期及售后服务要求：提供不少于3年的保修服务，</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lang w:val="zh-CN"/>
        </w:rPr>
        <w:t>需提供专门的售后服务电话，</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lang w:val="zh-CN"/>
        </w:rPr>
        <w:t>在接到采购人通知后，2小时内做出响应，24小时内派人赴现场处理问题。24小时内无法修复的，</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lang w:val="zh-CN"/>
        </w:rPr>
        <w:t>需提供无偿提供备机或备用零件供采购人使用。</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lang w:val="zh-CN"/>
        </w:rPr>
        <w:t>服务维修人员均经过良好的系统技术培训，并有丰富的现场维修经验。</w:t>
      </w:r>
    </w:p>
    <w:p>
      <w:pPr>
        <w:pStyle w:val="132"/>
        <w:keepNext w:val="0"/>
        <w:keepLines w:val="0"/>
        <w:pageBreakBefore w:val="0"/>
        <w:kinsoku/>
        <w:wordWrap/>
        <w:overflowPunct/>
        <w:topLinePunct w:val="0"/>
        <w:autoSpaceDE/>
        <w:autoSpaceDN/>
        <w:bidi w:val="0"/>
        <w:spacing w:line="360" w:lineRule="exact"/>
        <w:ind w:firstLine="48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4、投标人</w:t>
      </w:r>
      <w:r>
        <w:rPr>
          <w:rFonts w:hint="eastAsia" w:ascii="仿宋_GB2312" w:hAnsi="仿宋_GB2312" w:eastAsia="仿宋_GB2312" w:cs="仿宋_GB2312"/>
          <w:color w:val="auto"/>
          <w:sz w:val="24"/>
          <w:szCs w:val="24"/>
          <w:highlight w:val="none"/>
          <w:lang w:val="zh-CN"/>
        </w:rPr>
        <w:t>应派技术人员负责设备的安装、调试，调试所需专用工具、设施、物料等由</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lang w:val="zh-CN"/>
        </w:rPr>
        <w:t>自备、自费运到现场，完工后自费搬走。设备运输、搬运、安装、调试等过程中的安全由</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lang w:val="zh-CN"/>
        </w:rPr>
        <w:t>负责，产生的一切费用应包含在中标价格中，不得另行收费。</w:t>
      </w:r>
    </w:p>
    <w:p>
      <w:pPr>
        <w:pStyle w:val="132"/>
        <w:keepNext w:val="0"/>
        <w:keepLines w:val="0"/>
        <w:pageBreakBefore w:val="0"/>
        <w:kinsoku/>
        <w:wordWrap/>
        <w:overflowPunct/>
        <w:topLinePunct w:val="0"/>
        <w:autoSpaceDE/>
        <w:autoSpaceDN/>
        <w:bidi w:val="0"/>
        <w:spacing w:line="360" w:lineRule="exact"/>
        <w:ind w:firstLine="48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5、</w:t>
      </w:r>
      <w:r>
        <w:rPr>
          <w:rFonts w:hint="eastAsia" w:ascii="仿宋_GB2312" w:hAnsi="仿宋_GB2312" w:eastAsia="仿宋_GB2312" w:cs="仿宋_GB2312"/>
          <w:color w:val="auto"/>
          <w:sz w:val="24"/>
          <w:szCs w:val="24"/>
          <w:highlight w:val="none"/>
          <w:lang w:val="zh-CN"/>
        </w:rPr>
        <w:t>付款方式：按《浙江省财政厅关于进一步发挥政府采购政策功能全力推动经济稳进提质的通知》（浙财采监〔2022〕3号）等文件要求执行。</w:t>
      </w:r>
    </w:p>
    <w:p>
      <w:pPr>
        <w:pStyle w:val="132"/>
        <w:keepNext w:val="0"/>
        <w:keepLines w:val="0"/>
        <w:pageBreakBefore w:val="0"/>
        <w:kinsoku/>
        <w:wordWrap/>
        <w:overflowPunct/>
        <w:topLinePunct w:val="0"/>
        <w:autoSpaceDE/>
        <w:autoSpaceDN/>
        <w:bidi w:val="0"/>
        <w:spacing w:line="360" w:lineRule="exact"/>
        <w:ind w:firstLine="480"/>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
        </w:rPr>
        <w:t>6、</w:t>
      </w:r>
      <w:r>
        <w:rPr>
          <w:rFonts w:hint="eastAsia" w:ascii="仿宋_GB2312" w:hAnsi="仿宋_GB2312" w:eastAsia="仿宋_GB2312" w:cs="仿宋_GB2312"/>
          <w:color w:val="auto"/>
          <w:sz w:val="24"/>
          <w:szCs w:val="24"/>
          <w:highlight w:val="none"/>
          <w:lang w:val="zh-CN"/>
        </w:rPr>
        <w:t>本项目提供现场踏勘，踏勘截止日期为开标前</w:t>
      </w:r>
      <w:r>
        <w:rPr>
          <w:rFonts w:hint="eastAsia" w:ascii="仿宋_GB2312" w:hAnsi="仿宋_GB2312" w:eastAsia="仿宋_GB2312" w:cs="仿宋_GB2312"/>
          <w:color w:val="auto"/>
          <w:sz w:val="24"/>
          <w:szCs w:val="24"/>
          <w:highlight w:val="none"/>
          <w:lang w:val="zh-CN" w:eastAsia="zh-CN"/>
        </w:rPr>
        <w:t>3</w:t>
      </w:r>
      <w:r>
        <w:rPr>
          <w:rFonts w:hint="eastAsia" w:ascii="仿宋_GB2312" w:hAnsi="仿宋_GB2312" w:eastAsia="仿宋_GB2312" w:cs="仿宋_GB2312"/>
          <w:color w:val="auto"/>
          <w:sz w:val="24"/>
          <w:szCs w:val="24"/>
          <w:highlight w:val="none"/>
          <w:lang w:val="zh-CN"/>
        </w:rPr>
        <w:t>天17点前，联系人：侯丽丽，13177056781</w:t>
      </w:r>
      <w:r>
        <w:rPr>
          <w:rFonts w:hint="eastAsia" w:ascii="仿宋_GB2312" w:hAnsi="仿宋_GB2312" w:eastAsia="仿宋_GB2312" w:cs="仿宋_GB2312"/>
          <w:color w:val="auto"/>
          <w:sz w:val="24"/>
          <w:szCs w:val="24"/>
          <w:highlight w:val="none"/>
          <w:lang w:val="zh-CN" w:eastAsia="zh-CN"/>
        </w:rPr>
        <w:t>。</w:t>
      </w:r>
    </w:p>
    <w:p>
      <w:pPr>
        <w:kinsoku/>
        <w:wordWrap w:val="0"/>
        <w:overflowPunct/>
        <w:topLinePunct w:val="0"/>
        <w:bidi w:val="0"/>
        <w:snapToGrid w:val="0"/>
        <w:spacing w:line="440" w:lineRule="exact"/>
        <w:jc w:val="left"/>
        <w:rPr>
          <w:rFonts w:hint="eastAsia" w:ascii="仿宋_GB2312" w:hAnsi="宋体" w:eastAsia="仿宋_GB2312"/>
          <w:color w:val="auto"/>
          <w:sz w:val="24"/>
          <w:highlight w:val="none"/>
        </w:rPr>
      </w:pPr>
    </w:p>
    <w:p>
      <w:pPr>
        <w:kinsoku/>
        <w:wordWrap w:val="0"/>
        <w:overflowPunct/>
        <w:topLinePunct w:val="0"/>
        <w:bidi w:val="0"/>
        <w:spacing w:line="360" w:lineRule="auto"/>
        <w:outlineLvl w:val="0"/>
        <w:rPr>
          <w:rFonts w:hint="eastAsia" w:ascii="仿宋" w:hAnsi="仿宋" w:eastAsia="仿宋" w:cs="仿宋"/>
          <w:b/>
          <w:color w:val="auto"/>
          <w:sz w:val="36"/>
          <w:szCs w:val="36"/>
          <w:highlight w:val="none"/>
        </w:rPr>
      </w:pPr>
    </w:p>
    <w:p>
      <w:pPr>
        <w:pStyle w:val="7"/>
        <w:kinsoku/>
        <w:wordWrap w:val="0"/>
        <w:overflowPunct/>
        <w:topLinePunct w:val="0"/>
        <w:bidi w:val="0"/>
        <w:rPr>
          <w:rFonts w:hint="eastAsia"/>
          <w:color w:val="auto"/>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jc w:val="center"/>
        <w:textAlignment w:val="auto"/>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pPr>
        <w:kinsoku/>
        <w:wordWrap w:val="0"/>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pPr>
        <w:pStyle w:val="7"/>
        <w:kinsoku/>
        <w:wordWrap w:val="0"/>
        <w:overflowPunct/>
        <w:topLinePunct w:val="0"/>
        <w:bidi w:val="0"/>
        <w:rPr>
          <w:rFonts w:hint="default" w:ascii="仿宋_GB2312" w:hAnsi="仿宋" w:eastAsia="仿宋_GB2312" w:cs="Times New Roman"/>
          <w:b/>
          <w:color w:val="auto"/>
          <w:kern w:val="2"/>
          <w:sz w:val="32"/>
          <w:szCs w:val="32"/>
          <w:highlight w:val="none"/>
        </w:rPr>
      </w:pPr>
    </w:p>
    <w:p>
      <w:pPr>
        <w:kinsoku/>
        <w:wordWrap w:val="0"/>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p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pPr>
        <w:kinsoku/>
        <w:wordWrap w:val="0"/>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ind w:left="-420" w:leftChars="-200" w:right="-420" w:rightChars="-200" w:firstLine="482" w:firstLineChars="200"/>
        <w:jc w:val="center"/>
        <w:textAlignment w:val="auto"/>
        <w:rPr>
          <w:rFonts w:hint="eastAsia" w:ascii="仿宋" w:hAnsi="仿宋" w:eastAsia="仿宋" w:cs="仿宋"/>
          <w:color w:val="auto"/>
          <w:kern w:val="0"/>
          <w:sz w:val="24"/>
          <w:szCs w:val="20"/>
          <w:highlight w:val="none"/>
        </w:rPr>
      </w:pPr>
      <w:bookmarkStart w:id="43" w:name="_Toc22209"/>
      <w:r>
        <w:rPr>
          <w:rFonts w:hint="eastAsia" w:ascii="仿宋" w:hAnsi="仿宋" w:eastAsia="仿宋" w:cs="仿宋"/>
          <w:b/>
          <w:bCs/>
          <w:color w:val="auto"/>
          <w:kern w:val="0"/>
          <w:sz w:val="24"/>
          <w:szCs w:val="20"/>
          <w:highlight w:val="none"/>
        </w:rPr>
        <w:t>第一节 政府采购合同协议书</w:t>
      </w:r>
      <w:bookmarkEnd w:id="43"/>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pPr>
        <w:kinsoku/>
        <w:wordWrap w:val="0"/>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pPr>
        <w:kinsoku/>
        <w:wordWrap w:val="0"/>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pPr>
        <w:numPr>
          <w:ilvl w:val="0"/>
          <w:numId w:val="2"/>
        </w:numPr>
        <w:kinsoku/>
        <w:wordWrap w:val="0"/>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pPr>
        <w:numPr>
          <w:ilvl w:val="-1"/>
          <w:numId w:val="0"/>
        </w:numPr>
        <w:kinsoku/>
        <w:wordWrap w:val="0"/>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3"/>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3"/>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pPr>
        <w:kinsoku/>
        <w:wordWrap w:val="0"/>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pPr>
        <w:kinsoku/>
        <w:wordWrap w:val="0"/>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（应明确预付款的支付比例和支付条件）</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pPr>
        <w:kinsoku/>
        <w:wordWrap w:val="0"/>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0"/>
        </w:num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pPr>
              <w:kinsoku/>
              <w:wordWrap w:val="0"/>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pPr>
        <w:numPr>
          <w:ilvl w:val="0"/>
          <w:numId w:val="4"/>
        </w:numPr>
        <w:kinsoku/>
        <w:wordWrap w:val="0"/>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44" w:name="_Toc27624"/>
      <w:r>
        <w:rPr>
          <w:rFonts w:hint="eastAsia" w:ascii="仿宋" w:hAnsi="仿宋" w:eastAsia="仿宋" w:cs="仿宋"/>
          <w:b/>
          <w:bCs/>
          <w:color w:val="auto"/>
          <w:kern w:val="0"/>
          <w:sz w:val="24"/>
          <w:szCs w:val="20"/>
          <w:highlight w:val="none"/>
        </w:rPr>
        <w:t>政府采购合同通用条款</w:t>
      </w:r>
      <w:bookmarkEnd w:id="44"/>
    </w:p>
    <w:p>
      <w:pPr>
        <w:numPr>
          <w:ilvl w:val="-1"/>
          <w:numId w:val="0"/>
        </w:numPr>
        <w:kinsoku/>
        <w:wordWrap w:val="0"/>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45"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45"/>
      <w:r>
        <w:rPr>
          <w:rFonts w:hint="eastAsia" w:ascii="仿宋" w:hAnsi="仿宋" w:eastAsia="仿宋" w:cs="仿宋"/>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pPr>
        <w:numPr>
          <w:ilvl w:val="0"/>
          <w:numId w:val="0"/>
        </w:numPr>
        <w:kinsoku/>
        <w:wordWrap w:val="0"/>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pPr>
        <w:kinsoku/>
        <w:wordWrap w:val="0"/>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.1 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将争议提交绍兴仲裁委员会仲裁。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46" w:name="_Toc20313"/>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46"/>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pPr>
              <w:kinsoku/>
              <w:wordWrap w:val="0"/>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pPr>
              <w:kinsoku/>
              <w:wordWrap w:val="0"/>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3"/>
        <w:tblW w:w="49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501"/>
        <w:gridCol w:w="5795"/>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tcBorders>
              <w:bottom w:val="single" w:color="auto" w:sz="4" w:space="0"/>
              <w:right w:val="single" w:color="auto" w:sz="4" w:space="0"/>
            </w:tcBorders>
            <w:shd w:val="clear" w:color="auto" w:fill="auto"/>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lang w:bidi="ar"/>
              </w:rPr>
            </w:pPr>
            <w:r>
              <w:rPr>
                <w:rFonts w:hint="eastAsia" w:ascii="仿宋_GB2312" w:hAnsi="仿宋_GB2312" w:eastAsia="仿宋_GB2312" w:cs="仿宋_GB2312"/>
                <w:b/>
                <w:bCs/>
                <w:color w:val="auto"/>
                <w:kern w:val="0"/>
                <w:sz w:val="24"/>
                <w:highlight w:val="none"/>
              </w:rPr>
              <w:t>序号</w:t>
            </w:r>
          </w:p>
        </w:tc>
        <w:tc>
          <w:tcPr>
            <w:tcW w:w="1501" w:type="dxa"/>
            <w:tcBorders>
              <w:bottom w:val="single" w:color="auto" w:sz="4" w:space="0"/>
              <w:right w:val="single" w:color="auto" w:sz="4" w:space="0"/>
            </w:tcBorders>
            <w:shd w:val="clear" w:color="auto" w:fill="auto"/>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bCs/>
                <w:color w:val="auto"/>
                <w:kern w:val="0"/>
                <w:sz w:val="24"/>
                <w:highlight w:val="none"/>
              </w:rPr>
              <w:t>评分项</w:t>
            </w:r>
          </w:p>
        </w:tc>
        <w:tc>
          <w:tcPr>
            <w:tcW w:w="5796" w:type="dxa"/>
            <w:tcBorders>
              <w:left w:val="single" w:color="auto" w:sz="4" w:space="0"/>
              <w:bottom w:val="single" w:color="auto" w:sz="4" w:space="0"/>
            </w:tcBorders>
            <w:shd w:val="clear" w:color="auto" w:fill="auto"/>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bCs/>
                <w:color w:val="auto"/>
                <w:kern w:val="0"/>
                <w:sz w:val="24"/>
                <w:highlight w:val="none"/>
              </w:rPr>
              <w:t>评审依据及标准</w:t>
            </w:r>
          </w:p>
        </w:tc>
        <w:tc>
          <w:tcPr>
            <w:tcW w:w="920" w:type="dxa"/>
            <w:tcBorders>
              <w:left w:val="single" w:color="auto" w:sz="4" w:space="0"/>
              <w:bottom w:val="single" w:color="auto" w:sz="4" w:space="0"/>
            </w:tcBorders>
            <w:shd w:val="clear" w:color="auto" w:fill="auto"/>
            <w:vAlign w:val="center"/>
          </w:tcPr>
          <w:p>
            <w:pPr>
              <w:widowControl/>
              <w:snapToGrid w:val="0"/>
              <w:spacing w:line="440" w:lineRule="exact"/>
              <w:jc w:val="center"/>
              <w:rPr>
                <w:rFonts w:hint="eastAsia" w:ascii="仿宋_GB2312" w:hAnsi="仿宋_GB2312" w:eastAsia="仿宋_GB2312" w:cs="仿宋_GB2312"/>
                <w:b/>
                <w:color w:val="auto"/>
                <w:sz w:val="24"/>
                <w:szCs w:val="24"/>
                <w:highlight w:val="none"/>
                <w:lang w:val="en-US" w:eastAsia="zh-CN" w:bidi="ar"/>
              </w:rPr>
            </w:pPr>
            <w:r>
              <w:rPr>
                <w:rFonts w:hint="eastAsia" w:ascii="仿宋_GB2312" w:hAnsi="仿宋_GB2312" w:eastAsia="仿宋_GB2312" w:cs="仿宋_GB2312"/>
                <w:b/>
                <w:bCs/>
                <w:color w:val="auto"/>
                <w:kern w:val="0"/>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1</w:t>
            </w:r>
          </w:p>
        </w:tc>
        <w:tc>
          <w:tcPr>
            <w:tcW w:w="1501"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bidi="ar"/>
              </w:rPr>
              <w:t>技术</w:t>
            </w:r>
            <w:r>
              <w:rPr>
                <w:rFonts w:hint="eastAsia" w:ascii="仿宋_GB2312" w:hAnsi="仿宋_GB2312" w:eastAsia="仿宋_GB2312" w:cs="仿宋_GB2312"/>
                <w:color w:val="auto"/>
                <w:sz w:val="24"/>
                <w:szCs w:val="24"/>
                <w:highlight w:val="none"/>
                <w:lang w:val="en-US" w:eastAsia="zh-CN" w:bidi="ar"/>
              </w:rPr>
              <w:t>参数</w:t>
            </w:r>
          </w:p>
        </w:tc>
        <w:tc>
          <w:tcPr>
            <w:tcW w:w="5796" w:type="dxa"/>
            <w:tcBorders>
              <w:top w:val="single" w:color="auto" w:sz="4" w:space="0"/>
              <w:left w:val="single" w:color="auto" w:sz="4" w:space="0"/>
              <w:bottom w:val="single" w:color="auto" w:sz="4" w:space="0"/>
            </w:tcBorders>
            <w:shd w:val="clear" w:color="auto" w:fill="auto"/>
            <w:vAlign w:val="center"/>
          </w:tcPr>
          <w:p>
            <w:pPr>
              <w:pStyle w:val="23"/>
              <w:keepNext w:val="0"/>
              <w:keepLines w:val="0"/>
              <w:pageBreakBefore w:val="0"/>
              <w:kinsoku/>
              <w:wordWrap/>
              <w:overflowPunct/>
              <w:topLinePunct w:val="0"/>
              <w:autoSpaceDE/>
              <w:autoSpaceDN/>
              <w:bidi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技术参数响应情况：对应于招标文件第三部分招标项目范围及要求——“一、货物清单及技术要求”，完全满足指标参数得</w:t>
            </w:r>
            <w:r>
              <w:rPr>
                <w:rFonts w:hint="eastAsia" w:ascii="仿宋_GB2312" w:hAnsi="仿宋_GB2312" w:eastAsia="仿宋_GB2312" w:cs="仿宋_GB2312"/>
                <w:color w:val="auto"/>
                <w:sz w:val="24"/>
                <w:szCs w:val="24"/>
                <w:highlight w:val="none"/>
                <w:lang w:val="en-US" w:eastAsia="zh-CN"/>
              </w:rPr>
              <w:t>22</w:t>
            </w:r>
            <w:r>
              <w:rPr>
                <w:rFonts w:hint="eastAsia" w:ascii="仿宋_GB2312" w:hAnsi="仿宋_GB2312" w:eastAsia="仿宋_GB2312" w:cs="仿宋_GB2312"/>
                <w:color w:val="auto"/>
                <w:sz w:val="24"/>
                <w:szCs w:val="24"/>
                <w:highlight w:val="none"/>
              </w:rPr>
              <w:t>分。打“★”号的性能指标为实质性指标，若出现负偏离作无效标处理；打“▲”为主要性能指标，每有一项负偏离扣2分；其他指标，每有一项负偏离扣</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rPr>
              <w:t xml:space="preserve">分，扣完为止。 </w:t>
            </w:r>
          </w:p>
        </w:tc>
        <w:tc>
          <w:tcPr>
            <w:tcW w:w="920" w:type="dxa"/>
            <w:tcBorders>
              <w:top w:val="single" w:color="auto" w:sz="4" w:space="0"/>
              <w:left w:val="single" w:color="auto" w:sz="4" w:space="0"/>
              <w:bottom w:val="single" w:color="auto" w:sz="4" w:space="0"/>
            </w:tcBorders>
            <w:shd w:val="clear" w:color="auto" w:fill="auto"/>
            <w:vAlign w:val="center"/>
          </w:tcPr>
          <w:p>
            <w:pPr>
              <w:pStyle w:val="23"/>
              <w:keepNext w:val="0"/>
              <w:keepLines w:val="0"/>
              <w:pageBreakBefore w:val="0"/>
              <w:kinsoku/>
              <w:wordWrap/>
              <w:overflowPunct/>
              <w:topLinePunct w:val="0"/>
              <w:autoSpaceDE/>
              <w:autoSpaceDN/>
              <w:bidi w:val="0"/>
              <w:spacing w:line="360" w:lineRule="exact"/>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8" w:type="dxa"/>
            <w:tcBorders>
              <w:right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2</w:t>
            </w:r>
          </w:p>
        </w:tc>
        <w:tc>
          <w:tcPr>
            <w:tcW w:w="1501" w:type="dxa"/>
            <w:tcBorders>
              <w:right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平面布局图</w:t>
            </w:r>
          </w:p>
        </w:tc>
        <w:tc>
          <w:tcPr>
            <w:tcW w:w="5796"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投标人可自行前往现场勘查，提供本项目所涉及区域的平面布局图，根据图纸上产品摆放的完整程度、排布的合理性、整体的美观程度进行打分。（本项分值设置为5,4,3,2,1,0.5,0分）</w:t>
            </w:r>
          </w:p>
        </w:tc>
        <w:tc>
          <w:tcPr>
            <w:tcW w:w="920"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08" w:type="dxa"/>
            <w:tcBorders>
              <w:right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3</w:t>
            </w:r>
          </w:p>
        </w:tc>
        <w:tc>
          <w:tcPr>
            <w:tcW w:w="1501" w:type="dxa"/>
            <w:tcBorders>
              <w:right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default"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空间设计效果图</w:t>
            </w:r>
          </w:p>
        </w:tc>
        <w:tc>
          <w:tcPr>
            <w:tcW w:w="5796"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color w:val="auto"/>
                <w:sz w:val="24"/>
                <w:szCs w:val="24"/>
                <w:highlight w:val="none"/>
                <w:lang w:bidi="ar"/>
              </w:rPr>
              <w:t>投标人可自行前往现场勘查</w:t>
            </w:r>
            <w:r>
              <w:rPr>
                <w:rFonts w:hint="eastAsia" w:ascii="仿宋_GB2312" w:hAnsi="仿宋_GB2312" w:eastAsia="仿宋_GB2312" w:cs="仿宋_GB2312"/>
                <w:color w:val="auto"/>
                <w:sz w:val="24"/>
                <w:szCs w:val="24"/>
                <w:highlight w:val="none"/>
                <w:lang w:eastAsia="zh-CN" w:bidi="ar"/>
              </w:rPr>
              <w:t>，</w:t>
            </w:r>
            <w:r>
              <w:rPr>
                <w:rFonts w:hint="eastAsia" w:ascii="仿宋_GB2312" w:hAnsi="仿宋_GB2312" w:eastAsia="仿宋_GB2312" w:cs="仿宋_GB2312"/>
                <w:color w:val="auto"/>
                <w:sz w:val="24"/>
                <w:szCs w:val="24"/>
                <w:highlight w:val="none"/>
                <w:lang w:bidi="ar"/>
              </w:rPr>
              <w:t>提供本项目所涉及区域的空间设计效果图（或展示效果更优的呈现形式，如：鸟瞰图、全景图、演示动画等，以下简称效果图），整体氛围设计应与教室内课桌椅、讲台等家具的色调保持协调一致，根据图纸上产品摆放的完整程度、排布的合理性、整体的美观程度进行打分。（本项分值设置为5,4,3,2,1,0.5,0分）</w:t>
            </w:r>
          </w:p>
        </w:tc>
        <w:tc>
          <w:tcPr>
            <w:tcW w:w="920"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08" w:type="dxa"/>
            <w:tcBorders>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4</w:t>
            </w:r>
          </w:p>
        </w:tc>
        <w:tc>
          <w:tcPr>
            <w:tcW w:w="1501" w:type="dxa"/>
            <w:tcBorders>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eastAsia="zh" w:bidi="ar"/>
              </w:rPr>
            </w:pPr>
            <w:r>
              <w:rPr>
                <w:rFonts w:hint="eastAsia" w:ascii="仿宋_GB2312" w:hAnsi="仿宋_GB2312" w:eastAsia="仿宋_GB2312" w:cs="仿宋_GB2312"/>
                <w:color w:val="auto"/>
                <w:sz w:val="24"/>
                <w:szCs w:val="24"/>
                <w:highlight w:val="none"/>
                <w:lang w:eastAsia="zh" w:bidi="ar"/>
              </w:rPr>
              <w:t>检测报告</w:t>
            </w:r>
          </w:p>
        </w:tc>
        <w:tc>
          <w:tcPr>
            <w:tcW w:w="5796"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ind w:firstLine="480" w:firstLineChars="200"/>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提供有效期内第三方检测机构检测的“钢管”检测报告，检测依据GB/T230.1-2018：洛氏硬度HRB≥30。GB/T3325-2024：金属喷漆（塑）涂层理化性能：硬度、冲击强度冲击高度400mm，无剥落、裂纹、皱纹；耐盐浴；附着力不低于1级。GB/T35607-2024：可迁移元素（砷As≤25mg/kg、硒Se≤500mg/kg、汞Hg≤25mg/kg、钡Ba≤1000mg/kg、铅Pb≤90mg/kg、铬Cr≤25mg/kg、锑Sb≤60mg/kg、镉Cd≤50mg/kg）。</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QB/T 3826-1999、QB/T 3832-1999 ：中性盐雾试验≥400h，耐腐蚀等级10级。QB/T 3827-2021、QB/T 3832-1999：乙酸盐雾试验≥400h，耐腐蚀等级达到10级。GB/T 10125-2021、 GB/T 6461-2002：铜加速乙酸盐雾试验240h，保护评级和外观评级达到10级。GB/T 6394-2017：平均晶粒度达到9级。GB/T 13298-2015：显微组织：试样显微组织为铁素体。</w:t>
            </w:r>
          </w:p>
          <w:p>
            <w:pPr>
              <w:keepNext w:val="0"/>
              <w:keepLines w:val="0"/>
              <w:pageBreakBefore w:val="0"/>
              <w:kinsoku/>
              <w:wordWrap/>
              <w:overflowPunct/>
              <w:topLinePunct w:val="0"/>
              <w:autoSpaceDE/>
              <w:autoSpaceDN/>
              <w:bidi w:val="0"/>
              <w:spacing w:line="360" w:lineRule="exact"/>
              <w:ind w:firstLine="480" w:firstLineChars="200"/>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2、提供有效期内第三方检测机构检测的“冷轧钢板”检测报告，检测依据符合：GB/T 230.1-2018：洛氏硬度HRB≥30。GB/T 228.1-2021:抗拉强度≥400MPa、断后伸长率≥27、规定塑性延伸强度≥235MPa、晶粒度≥8级。GB/T 231.1-2018：布氏硬度≥110。GB/T 4340.1-2024：维氏硬度≥110HV5、耐晶间腐蚀试验 ：无晶间腐蚀裂纹。QB/T3826-1999；QB/T3832-1999：中性盐雾（连续喷雾 200小时），镀(涂)层对基体的保护等级10级，镀(涂)层本身的耐腐蚀等级10级。GB/T 226-2015：低倍组织及缺陷≤3级（中心疏松不大于3级、一般疏松不大于3级）。GB/T19746-2018：盐溶液周浸试验≥200h，质量损失率≤0.1g/㎡，经≥200 小时周浸试验后，样品表面涂层未被腐蚀。</w:t>
            </w:r>
          </w:p>
          <w:p>
            <w:pPr>
              <w:keepNext w:val="0"/>
              <w:keepLines w:val="0"/>
              <w:pageBreakBefore w:val="0"/>
              <w:kinsoku/>
              <w:wordWrap/>
              <w:overflowPunct/>
              <w:topLinePunct w:val="0"/>
              <w:autoSpaceDE/>
              <w:autoSpaceDN/>
              <w:bidi w:val="0"/>
              <w:spacing w:line="360" w:lineRule="exact"/>
              <w:ind w:firstLine="480" w:firstLineChars="200"/>
              <w:jc w:val="both"/>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3、提供有效期内第三方检测机构检测的“塑粉”检测报告，检测依据符合：HG/T 2006-2022 ：耐人工气候老化性≥400h无粉化、起泡、开裂、剥落等异常现象；杯突试验≧4mm、铅笔硬度≧H、耐沸水性，无异常（2h）、外观：色泽均匀、无异物、呈松散粉末状、耐酸性：240h无异常、耐碱性：无异常。耐盐雾性：≥400h划痕处单向腐蚀蔓延宽度≤4.0mm，未划痕区无起泡、生锈、开裂、剥落等异常现象。GB/T 35602-2017：重金属元素含量：铅、镉、六价铬、汞、砷、钡、硒、锑、钴 未检出。GB/T 21782.3-2008：密度测定 1.2~1.8g/mL。GB/T 21782.5-2010：混合度流动性测试 ≤95。HG/T 3950-2007：产气肠杆菌、洋葱伯克霍尔德氏菌、粪肠球菌 抗菌率≥99%。</w:t>
            </w:r>
          </w:p>
          <w:p>
            <w:pPr>
              <w:pStyle w:val="4"/>
              <w:keepNext w:val="0"/>
              <w:keepLines w:val="0"/>
              <w:pageBreakBefore w:val="0"/>
              <w:numPr>
                <w:ilvl w:val="255"/>
                <w:numId w:val="0"/>
              </w:numPr>
              <w:kinsoku/>
              <w:wordWrap/>
              <w:overflowPunct/>
              <w:topLinePunct w:val="0"/>
              <w:autoSpaceDE/>
              <w:autoSpaceDN/>
              <w:bidi w:val="0"/>
              <w:spacing w:line="360" w:lineRule="exact"/>
              <w:ind w:firstLine="480" w:firstLineChars="200"/>
              <w:rPr>
                <w:rFonts w:hint="eastAsia" w:ascii="仿宋_GB2312" w:hAnsi="仿宋_GB2312" w:eastAsia="仿宋_GB2312" w:cs="仿宋_GB2312"/>
                <w:color w:val="auto"/>
                <w:kern w:val="0"/>
                <w:sz w:val="24"/>
                <w:szCs w:val="24"/>
                <w:highlight w:val="none"/>
                <w:lang w:eastAsia="zh" w:bidi="ar"/>
              </w:rPr>
            </w:pPr>
            <w:r>
              <w:rPr>
                <w:rFonts w:hint="eastAsia" w:ascii="仿宋_GB2312" w:hAnsi="仿宋_GB2312" w:eastAsia="仿宋_GB2312" w:cs="仿宋_GB2312"/>
                <w:color w:val="auto"/>
                <w:kern w:val="0"/>
                <w:sz w:val="24"/>
                <w:szCs w:val="24"/>
                <w:highlight w:val="none"/>
                <w:lang w:bidi="ar"/>
              </w:rPr>
              <w:t>4、提供有效期内第三方检测机构检测的“</w:t>
            </w:r>
            <w:r>
              <w:rPr>
                <w:rFonts w:hint="eastAsia" w:ascii="仿宋_GB2312" w:hAnsi="仿宋_GB2312" w:eastAsia="仿宋_GB2312" w:cs="仿宋_GB2312"/>
                <w:color w:val="auto"/>
                <w:kern w:val="0"/>
                <w:sz w:val="24"/>
                <w:szCs w:val="24"/>
                <w:highlight w:val="none"/>
                <w:lang w:eastAsia="zh" w:bidi="ar"/>
              </w:rPr>
              <w:t>环保木器漆</w:t>
            </w:r>
            <w:r>
              <w:rPr>
                <w:rFonts w:hint="eastAsia" w:ascii="仿宋_GB2312" w:hAnsi="仿宋_GB2312" w:eastAsia="仿宋_GB2312" w:cs="仿宋_GB2312"/>
                <w:color w:val="auto"/>
                <w:kern w:val="0"/>
                <w:sz w:val="24"/>
                <w:szCs w:val="24"/>
                <w:highlight w:val="none"/>
                <w:lang w:bidi="ar"/>
              </w:rPr>
              <w:t>”检测报告，检测依据符合</w:t>
            </w:r>
            <w:r>
              <w:rPr>
                <w:rFonts w:hint="eastAsia" w:ascii="仿宋_GB2312" w:hAnsi="仿宋_GB2312" w:eastAsia="仿宋_GB2312" w:cs="仿宋_GB2312"/>
                <w:color w:val="auto"/>
                <w:kern w:val="0"/>
                <w:sz w:val="24"/>
                <w:szCs w:val="24"/>
                <w:highlight w:val="none"/>
                <w:lang w:eastAsia="zh" w:bidi="ar"/>
              </w:rPr>
              <w:t>GB 18581-2020：甲醛释放量≤50mg/kg</w:t>
            </w:r>
          </w:p>
          <w:p>
            <w:pPr>
              <w:pStyle w:val="62"/>
              <w:keepNext w:val="0"/>
              <w:keepLines w:val="0"/>
              <w:pageBreakBefore w:val="0"/>
              <w:numPr>
                <w:ilvl w:val="255"/>
                <w:numId w:val="0"/>
              </w:numPr>
              <w:kinsoku/>
              <w:wordWrap/>
              <w:overflowPunct/>
              <w:topLinePunct w:val="0"/>
              <w:autoSpaceDE/>
              <w:autoSpaceDN/>
              <w:bidi w:val="0"/>
              <w:spacing w:line="360" w:lineRule="exact"/>
              <w:rPr>
                <w:rFonts w:hint="eastAsia" w:ascii="仿宋_GB2312" w:hAnsi="仿宋_GB2312" w:eastAsia="仿宋_GB2312" w:cs="仿宋_GB2312"/>
                <w:color w:val="auto"/>
                <w:kern w:val="0"/>
                <w:sz w:val="24"/>
                <w:szCs w:val="24"/>
                <w:highlight w:val="none"/>
                <w:lang w:eastAsia="zh" w:bidi="ar"/>
              </w:rPr>
            </w:pPr>
            <w:r>
              <w:rPr>
                <w:rFonts w:hint="eastAsia" w:ascii="仿宋_GB2312" w:hAnsi="仿宋_GB2312" w:eastAsia="仿宋_GB2312" w:cs="仿宋_GB2312"/>
                <w:color w:val="auto"/>
                <w:sz w:val="24"/>
                <w:szCs w:val="24"/>
                <w:highlight w:val="none"/>
                <w:lang w:eastAsia="zh"/>
              </w:rPr>
              <w:t>VOC含量≤250g/L。</w:t>
            </w:r>
            <w:r>
              <w:rPr>
                <w:rFonts w:hint="eastAsia" w:ascii="仿宋_GB2312" w:hAnsi="仿宋_GB2312" w:eastAsia="仿宋_GB2312" w:cs="仿宋_GB2312"/>
                <w:color w:val="auto"/>
                <w:kern w:val="0"/>
                <w:sz w:val="24"/>
                <w:szCs w:val="24"/>
                <w:highlight w:val="none"/>
                <w:lang w:eastAsia="zh" w:bidi="ar"/>
              </w:rPr>
              <w:t>GB 18584-2024：苯≤0.06mg/m³，甲苯≤0.15mg/m³，二甲苯≤0.2mg/m³，总挥发性有机化合物≤0.5mg/m³，总铅含量≤10mg/kg，可溶性重金属含量（镉≤75mg/kg、铬≤60mg/kg、汞≤60mg/kg。GB/T6739-2022:产品表面硬度≥2H。</w:t>
            </w:r>
          </w:p>
          <w:p>
            <w:pPr>
              <w:keepNext w:val="0"/>
              <w:keepLines w:val="0"/>
              <w:pageBreakBefore w:val="0"/>
              <w:tabs>
                <w:tab w:val="left" w:pos="0"/>
                <w:tab w:val="left" w:pos="993"/>
                <w:tab w:val="left" w:pos="1134"/>
              </w:tabs>
              <w:kinsoku/>
              <w:wordWrap/>
              <w:overflowPunct/>
              <w:topLinePunct w:val="0"/>
              <w:autoSpaceDE/>
              <w:autoSpaceDN/>
              <w:bidi w:val="0"/>
              <w:spacing w:before="156" w:beforeLines="50" w:after="156" w:afterLines="50" w:line="360" w:lineRule="exact"/>
              <w:jc w:val="both"/>
              <w:rPr>
                <w:rFonts w:hint="eastAsia" w:ascii="仿宋_GB2312" w:hAnsi="仿宋_GB2312" w:eastAsia="仿宋_GB2312" w:cs="仿宋_GB2312"/>
                <w:color w:val="auto"/>
                <w:sz w:val="24"/>
                <w:szCs w:val="24"/>
                <w:highlight w:val="none"/>
                <w:lang w:eastAsia="zh"/>
              </w:rPr>
            </w:pPr>
            <w:r>
              <w:rPr>
                <w:rFonts w:hint="eastAsia" w:ascii="仿宋_GB2312" w:hAnsi="仿宋_GB2312" w:eastAsia="仿宋_GB2312" w:cs="仿宋_GB2312"/>
                <w:color w:val="auto"/>
                <w:kern w:val="0"/>
                <w:sz w:val="24"/>
                <w:szCs w:val="24"/>
                <w:highlight w:val="none"/>
                <w:lang w:bidi="ar"/>
              </w:rPr>
              <w:t>以上</w:t>
            </w:r>
            <w:r>
              <w:rPr>
                <w:rFonts w:hint="eastAsia" w:ascii="仿宋_GB2312" w:hAnsi="仿宋_GB2312" w:eastAsia="仿宋_GB2312" w:cs="仿宋_GB2312"/>
                <w:color w:val="auto"/>
                <w:kern w:val="0"/>
                <w:sz w:val="24"/>
                <w:szCs w:val="24"/>
                <w:highlight w:val="none"/>
                <w:lang w:eastAsia="zh" w:bidi="ar"/>
              </w:rPr>
              <w:t>4</w:t>
            </w:r>
            <w:r>
              <w:rPr>
                <w:rFonts w:hint="eastAsia" w:ascii="仿宋_GB2312" w:hAnsi="仿宋_GB2312" w:eastAsia="仿宋_GB2312" w:cs="仿宋_GB2312"/>
                <w:color w:val="auto"/>
                <w:kern w:val="0"/>
                <w:sz w:val="24"/>
                <w:szCs w:val="24"/>
                <w:highlight w:val="none"/>
                <w:lang w:bidi="ar"/>
              </w:rPr>
              <w:t>项每提供一个完整检测报告得2分，最高得</w:t>
            </w:r>
            <w:r>
              <w:rPr>
                <w:rFonts w:hint="eastAsia" w:ascii="仿宋_GB2312" w:hAnsi="仿宋_GB2312" w:eastAsia="仿宋_GB2312" w:cs="仿宋_GB2312"/>
                <w:color w:val="auto"/>
                <w:kern w:val="0"/>
                <w:sz w:val="24"/>
                <w:szCs w:val="24"/>
                <w:highlight w:val="none"/>
                <w:lang w:eastAsia="zh" w:bidi="ar"/>
              </w:rPr>
              <w:t>8</w:t>
            </w:r>
            <w:r>
              <w:rPr>
                <w:rFonts w:hint="eastAsia" w:ascii="仿宋_GB2312" w:hAnsi="仿宋_GB2312" w:eastAsia="仿宋_GB2312" w:cs="仿宋_GB2312"/>
                <w:color w:val="auto"/>
                <w:kern w:val="0"/>
                <w:sz w:val="24"/>
                <w:szCs w:val="24"/>
                <w:highlight w:val="none"/>
                <w:lang w:bidi="ar"/>
              </w:rPr>
              <w:t>分；名称和检测依据不符合的不得分。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lang w:bidi="ar"/>
              </w:rPr>
            </w:pPr>
            <w:r>
              <w:rPr>
                <w:rFonts w:hint="eastAsia" w:ascii="仿宋_GB2312" w:hAnsi="仿宋_GB2312" w:eastAsia="仿宋_GB2312" w:cs="仿宋_GB2312"/>
                <w:b/>
                <w:bCs/>
                <w:color w:val="auto"/>
                <w:kern w:val="0"/>
                <w:sz w:val="24"/>
                <w:szCs w:val="24"/>
                <w:highlight w:val="none"/>
                <w:lang w:bidi="ar"/>
              </w:rPr>
              <w:t>注：</w:t>
            </w:r>
            <w:r>
              <w:rPr>
                <w:rFonts w:hint="eastAsia" w:ascii="仿宋_GB2312" w:hAnsi="仿宋_GB2312" w:eastAsia="仿宋_GB2312" w:cs="仿宋_GB2312"/>
                <w:b/>
                <w:bCs/>
                <w:color w:val="auto"/>
                <w:kern w:val="0"/>
                <w:sz w:val="24"/>
                <w:szCs w:val="24"/>
                <w:highlight w:val="none"/>
                <w:lang w:val="en-US" w:eastAsia="zh-CN" w:bidi="ar"/>
              </w:rPr>
              <w:t>提供</w:t>
            </w:r>
            <w:r>
              <w:rPr>
                <w:rFonts w:hint="eastAsia" w:ascii="仿宋_GB2312" w:hAnsi="仿宋_GB2312" w:eastAsia="仿宋_GB2312" w:cs="仿宋_GB2312"/>
                <w:b/>
                <w:bCs/>
                <w:color w:val="auto"/>
                <w:kern w:val="0"/>
                <w:sz w:val="24"/>
                <w:szCs w:val="24"/>
                <w:highlight w:val="none"/>
                <w:lang w:bidi="ar"/>
              </w:rPr>
              <w:t>由国家认可的检测机构出具的封面带有CMA或CNAS标识的检测报告扫描件。</w:t>
            </w:r>
          </w:p>
        </w:tc>
        <w:tc>
          <w:tcPr>
            <w:tcW w:w="920"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sz w:val="24"/>
                <w:szCs w:val="24"/>
                <w:highlight w:val="none"/>
                <w:lang w:val="en-US" w:eastAsia="zh-CN" w:bidi="ar"/>
              </w:rPr>
            </w:pPr>
            <w:r>
              <w:rPr>
                <w:rFonts w:hint="eastAsia" w:ascii="仿宋_GB2312" w:hAnsi="仿宋_GB2312" w:eastAsia="仿宋_GB2312" w:cs="仿宋_GB2312"/>
                <w:bCs/>
                <w:color w:val="auto"/>
                <w:sz w:val="24"/>
                <w:szCs w:val="24"/>
                <w:highlight w:val="none"/>
                <w:lang w:val="en-US" w:eastAsia="zh-CN" w:bidi="ar"/>
              </w:rPr>
              <w:t>5</w:t>
            </w:r>
          </w:p>
        </w:tc>
        <w:tc>
          <w:tcPr>
            <w:tcW w:w="1501"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lang w:bidi="ar"/>
              </w:rPr>
              <w:t>实施方案</w:t>
            </w:r>
          </w:p>
        </w:tc>
        <w:tc>
          <w:tcPr>
            <w:tcW w:w="5796"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根据投标人提供的针对本项目的具体详细的实施方案包括但不限于产品的供货、安装方案等进行打分。（本项分值设置为5,4,3,2,1,0.5,0分）</w:t>
            </w:r>
          </w:p>
        </w:tc>
        <w:tc>
          <w:tcPr>
            <w:tcW w:w="920"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sz w:val="24"/>
                <w:szCs w:val="24"/>
                <w:highlight w:val="none"/>
                <w:lang w:val="en-US" w:eastAsia="zh-CN" w:bidi="ar"/>
              </w:rPr>
            </w:pPr>
            <w:r>
              <w:rPr>
                <w:rFonts w:hint="eastAsia" w:ascii="仿宋_GB2312" w:hAnsi="仿宋_GB2312" w:eastAsia="仿宋_GB2312" w:cs="仿宋_GB2312"/>
                <w:bCs/>
                <w:color w:val="auto"/>
                <w:sz w:val="24"/>
                <w:szCs w:val="24"/>
                <w:highlight w:val="none"/>
                <w:lang w:val="en-US" w:eastAsia="zh-CN" w:bidi="ar"/>
              </w:rPr>
              <w:t>6</w:t>
            </w:r>
          </w:p>
        </w:tc>
        <w:tc>
          <w:tcPr>
            <w:tcW w:w="1501"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bidi="ar"/>
              </w:rPr>
              <w:t>进度方案</w:t>
            </w:r>
          </w:p>
        </w:tc>
        <w:tc>
          <w:tcPr>
            <w:tcW w:w="5796"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根据投标人提供的针对本项目的具体详细的实施进度计划方案，包括但不限于总体进度计划表、进度管控措施等进行打分。（本项分值设置为5,4,3,2,1,0.5,0分）</w:t>
            </w:r>
          </w:p>
        </w:tc>
        <w:tc>
          <w:tcPr>
            <w:tcW w:w="920"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0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7</w:t>
            </w:r>
          </w:p>
        </w:tc>
        <w:tc>
          <w:tcPr>
            <w:tcW w:w="1501"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品质管理管控方案</w:t>
            </w:r>
          </w:p>
        </w:tc>
        <w:tc>
          <w:tcPr>
            <w:tcW w:w="5796"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bidi="ar"/>
              </w:rPr>
              <w:t>根据投标人提供的品质管理管控方案</w:t>
            </w:r>
            <w:r>
              <w:rPr>
                <w:rFonts w:hint="eastAsia" w:ascii="仿宋_GB2312" w:hAnsi="仿宋_GB2312" w:eastAsia="仿宋_GB2312" w:cs="仿宋_GB2312"/>
                <w:color w:val="auto"/>
                <w:sz w:val="24"/>
                <w:szCs w:val="24"/>
                <w:highlight w:val="none"/>
                <w:lang w:val="en-US" w:eastAsia="zh-CN" w:bidi="ar"/>
              </w:rPr>
              <w:t>包括但不限于</w:t>
            </w:r>
            <w:r>
              <w:rPr>
                <w:rFonts w:hint="eastAsia" w:ascii="仿宋_GB2312" w:hAnsi="仿宋_GB2312" w:eastAsia="仿宋_GB2312" w:cs="仿宋_GB2312"/>
                <w:color w:val="auto"/>
                <w:sz w:val="24"/>
                <w:szCs w:val="24"/>
                <w:highlight w:val="none"/>
                <w:lang w:bidi="ar"/>
              </w:rPr>
              <w:t xml:space="preserve">有独立品管部门和专门品管人员，确保产品生产过程中的质量控制完善等措施进行打分。（本项分值设置为4,3,2,1,0.5,0分）                                                                                                                                                                                                                                                                                                                                                                                                                                                                                                                                                                                                                                                                                                                                                                                                                                                                                                                                                                                                                                                                                                                                                                                                                                                                                                                                                                                                                                                                                                                                                                                                                                                                                                                                                                                                                                                                                                                                                                                                                                                                                                                                                                                                                                                                                                                                                                                                                                                                                                                                                                                                                                           </w:t>
            </w:r>
          </w:p>
        </w:tc>
        <w:tc>
          <w:tcPr>
            <w:tcW w:w="920"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08"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sz w:val="24"/>
                <w:szCs w:val="24"/>
                <w:highlight w:val="none"/>
                <w:lang w:val="en-US" w:eastAsia="zh-CN" w:bidi="ar"/>
              </w:rPr>
            </w:pPr>
            <w:r>
              <w:rPr>
                <w:rFonts w:hint="eastAsia" w:ascii="仿宋_GB2312" w:hAnsi="仿宋_GB2312" w:eastAsia="仿宋_GB2312" w:cs="仿宋_GB2312"/>
                <w:bCs/>
                <w:color w:val="auto"/>
                <w:sz w:val="24"/>
                <w:szCs w:val="24"/>
                <w:highlight w:val="none"/>
                <w:lang w:val="en-US" w:eastAsia="zh-CN" w:bidi="ar"/>
              </w:rPr>
              <w:t>8</w:t>
            </w:r>
          </w:p>
        </w:tc>
        <w:tc>
          <w:tcPr>
            <w:tcW w:w="1501" w:type="dxa"/>
            <w:tcBorders>
              <w:top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cente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bidi="ar"/>
              </w:rPr>
              <w:t>售后服务方案</w:t>
            </w:r>
          </w:p>
        </w:tc>
        <w:tc>
          <w:tcPr>
            <w:tcW w:w="5796"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bidi="ar"/>
              </w:rPr>
              <w:t>根据投标人提供的</w:t>
            </w:r>
            <w:r>
              <w:rPr>
                <w:rFonts w:hint="eastAsia" w:ascii="仿宋_GB2312" w:hAnsi="仿宋_GB2312" w:eastAsia="仿宋_GB2312" w:cs="仿宋_GB2312"/>
                <w:color w:val="auto"/>
                <w:sz w:val="24"/>
                <w:szCs w:val="24"/>
                <w:highlight w:val="none"/>
                <w:lang w:bidi="ar"/>
              </w:rPr>
              <w:t>详细完整的“三包”措施及售后服务措施和方案包括</w:t>
            </w:r>
            <w:r>
              <w:rPr>
                <w:rFonts w:hint="eastAsia" w:ascii="仿宋_GB2312" w:hAnsi="仿宋_GB2312" w:eastAsia="仿宋_GB2312" w:cs="仿宋_GB2312"/>
                <w:color w:val="auto"/>
                <w:sz w:val="24"/>
                <w:szCs w:val="24"/>
                <w:highlight w:val="none"/>
                <w:lang w:val="en-US" w:eastAsia="zh-CN" w:bidi="ar"/>
              </w:rPr>
              <w:t>但不限于</w:t>
            </w:r>
            <w:r>
              <w:rPr>
                <w:rFonts w:hint="eastAsia" w:ascii="仿宋_GB2312" w:hAnsi="仿宋_GB2312" w:eastAsia="仿宋_GB2312" w:cs="仿宋_GB2312"/>
                <w:color w:val="auto"/>
                <w:sz w:val="24"/>
                <w:szCs w:val="24"/>
                <w:highlight w:val="none"/>
                <w:lang w:bidi="ar"/>
              </w:rPr>
              <w:t>服务措施、产品质量保证、回访、技术培训等</w:t>
            </w:r>
            <w:r>
              <w:rPr>
                <w:rFonts w:hint="eastAsia" w:ascii="仿宋_GB2312" w:hAnsi="仿宋_GB2312" w:eastAsia="仿宋_GB2312" w:cs="仿宋_GB2312"/>
                <w:color w:val="auto"/>
                <w:sz w:val="24"/>
                <w:szCs w:val="24"/>
                <w:highlight w:val="none"/>
                <w:lang w:val="en-US" w:eastAsia="zh-CN" w:bidi="ar"/>
              </w:rPr>
              <w:t>进行打分</w:t>
            </w:r>
            <w:r>
              <w:rPr>
                <w:rFonts w:hint="eastAsia" w:ascii="仿宋_GB2312" w:hAnsi="仿宋_GB2312" w:eastAsia="仿宋_GB2312" w:cs="仿宋_GB2312"/>
                <w:color w:val="auto"/>
                <w:sz w:val="24"/>
                <w:szCs w:val="24"/>
                <w:highlight w:val="none"/>
                <w:lang w:bidi="ar"/>
              </w:rPr>
              <w:t>。（本项分值设置为4,3,2,1,0.5,0分）</w:t>
            </w:r>
          </w:p>
        </w:tc>
        <w:tc>
          <w:tcPr>
            <w:tcW w:w="920"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kinsoku/>
              <w:wordWrap/>
              <w:overflowPunct/>
              <w:topLinePunct w:val="0"/>
              <w:autoSpaceDE/>
              <w:autoSpaceDN/>
              <w:bidi w:val="0"/>
              <w:snapToGrid w:val="0"/>
              <w:spacing w:line="360" w:lineRule="exact"/>
              <w:jc w:val="center"/>
              <w:rPr>
                <w:rFonts w:hint="eastAsia" w:ascii="仿宋_GB2312" w:hAnsi="仿宋_GB2312" w:eastAsia="仿宋_GB2312" w:cs="仿宋_GB2312"/>
                <w:color w:val="auto"/>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tcBorders>
              <w:top w:val="single" w:color="auto" w:sz="4" w:space="0"/>
              <w:right w:val="single" w:color="auto" w:sz="4" w:space="0"/>
            </w:tcBorders>
            <w:shd w:val="clear" w:color="auto" w:fill="auto"/>
            <w:vAlign w:val="center"/>
          </w:tcPr>
          <w:p>
            <w:pPr>
              <w:pStyle w:val="2"/>
              <w:keepNext w:val="0"/>
              <w:keepLines w:val="0"/>
              <w:pageBreakBefore w:val="0"/>
              <w:widowControl/>
              <w:kinsoku/>
              <w:wordWrap/>
              <w:overflowPunct/>
              <w:topLinePunct w:val="0"/>
              <w:autoSpaceDE/>
              <w:autoSpaceDN/>
              <w:bidi w:val="0"/>
              <w:spacing w:line="360" w:lineRule="exact"/>
              <w:ind w:left="0" w:leftChars="0" w:firstLine="0" w:firstLineChars="0"/>
              <w:jc w:val="center"/>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9</w:t>
            </w:r>
          </w:p>
        </w:tc>
        <w:tc>
          <w:tcPr>
            <w:tcW w:w="1501" w:type="dxa"/>
            <w:tcBorders>
              <w:top w:val="single" w:color="auto" w:sz="4" w:space="0"/>
              <w:right w:val="single" w:color="auto" w:sz="4" w:space="0"/>
            </w:tcBorders>
            <w:shd w:val="clear" w:color="auto" w:fill="auto"/>
            <w:vAlign w:val="center"/>
          </w:tcPr>
          <w:p>
            <w:pPr>
              <w:pStyle w:val="2"/>
              <w:keepNext w:val="0"/>
              <w:keepLines w:val="0"/>
              <w:pageBreakBefore w:val="0"/>
              <w:widowControl/>
              <w:kinsoku/>
              <w:wordWrap/>
              <w:overflowPunct/>
              <w:topLinePunct w:val="0"/>
              <w:autoSpaceDE/>
              <w:autoSpaceDN/>
              <w:bidi w:val="0"/>
              <w:spacing w:line="360" w:lineRule="exact"/>
              <w:ind w:left="0" w:leftChars="0" w:firstLine="0" w:firstLineChars="0"/>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样品</w:t>
            </w:r>
          </w:p>
        </w:tc>
        <w:tc>
          <w:tcPr>
            <w:tcW w:w="5796" w:type="dxa"/>
            <w:tcBorders>
              <w:top w:val="single" w:color="auto" w:sz="4" w:space="0"/>
              <w:left w:val="single" w:color="auto" w:sz="4" w:space="0"/>
            </w:tcBorders>
            <w:shd w:val="clear" w:color="auto" w:fill="auto"/>
            <w:vAlign w:val="center"/>
          </w:tcPr>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投标人根据招标文件样品要求提供“二人折叠活动桌</w:t>
            </w:r>
            <w:r>
              <w:rPr>
                <w:rFonts w:hint="eastAsia" w:ascii="仿宋_GB2312" w:hAnsi="仿宋_GB2312" w:eastAsia="仿宋_GB2312" w:cs="仿宋_GB2312"/>
                <w:color w:val="auto"/>
                <w:sz w:val="24"/>
                <w:szCs w:val="24"/>
                <w:highlight w:val="none"/>
                <w:lang w:eastAsia="zh"/>
              </w:rPr>
              <w:t>（本项目的货物清单中序号第18项）</w:t>
            </w:r>
            <w:r>
              <w:rPr>
                <w:rFonts w:hint="eastAsia" w:ascii="仿宋_GB2312" w:hAnsi="仿宋_GB2312" w:eastAsia="仿宋_GB2312" w:cs="仿宋_GB2312"/>
                <w:color w:val="auto"/>
                <w:sz w:val="24"/>
                <w:szCs w:val="24"/>
                <w:highlight w:val="none"/>
              </w:rPr>
              <w:t>、多功能电子讲台</w:t>
            </w:r>
            <w:r>
              <w:rPr>
                <w:rFonts w:hint="eastAsia" w:ascii="仿宋_GB2312" w:hAnsi="仿宋_GB2312" w:eastAsia="仿宋_GB2312" w:cs="仿宋_GB2312"/>
                <w:color w:val="auto"/>
                <w:sz w:val="24"/>
                <w:szCs w:val="24"/>
                <w:highlight w:val="none"/>
                <w:lang w:eastAsia="zh"/>
              </w:rPr>
              <w:t>（本项目的货物清单中序号第19项）、</w:t>
            </w:r>
            <w:r>
              <w:rPr>
                <w:rFonts w:hint="eastAsia" w:ascii="仿宋_GB2312" w:hAnsi="仿宋_GB2312" w:eastAsia="仿宋_GB2312" w:cs="仿宋_GB2312"/>
                <w:color w:val="auto"/>
                <w:sz w:val="24"/>
                <w:szCs w:val="24"/>
                <w:highlight w:val="none"/>
              </w:rPr>
              <w:t>学生实训桌</w:t>
            </w:r>
            <w:r>
              <w:rPr>
                <w:rFonts w:hint="eastAsia" w:ascii="仿宋_GB2312" w:hAnsi="仿宋_GB2312" w:eastAsia="仿宋_GB2312" w:cs="仿宋_GB2312"/>
                <w:color w:val="auto"/>
                <w:sz w:val="24"/>
                <w:szCs w:val="24"/>
                <w:highlight w:val="none"/>
                <w:lang w:eastAsia="zh"/>
              </w:rPr>
              <w:t>（本项目的货物清单中序号第20项）</w:t>
            </w:r>
            <w:r>
              <w:rPr>
                <w:rFonts w:hint="eastAsia" w:ascii="仿宋_GB2312" w:hAnsi="仿宋_GB2312" w:eastAsia="仿宋_GB2312" w:cs="仿宋_GB2312"/>
                <w:color w:val="auto"/>
                <w:sz w:val="24"/>
                <w:szCs w:val="24"/>
                <w:highlight w:val="none"/>
              </w:rPr>
              <w:t>”各一张，依据以下内容进行</w:t>
            </w:r>
            <w:r>
              <w:rPr>
                <w:rFonts w:hint="eastAsia" w:ascii="仿宋_GB2312" w:hAnsi="仿宋_GB2312" w:eastAsia="仿宋_GB2312" w:cs="仿宋_GB2312"/>
                <w:color w:val="auto"/>
                <w:sz w:val="24"/>
                <w:szCs w:val="24"/>
                <w:highlight w:val="none"/>
                <w:lang w:val="en-US" w:eastAsia="zh-CN"/>
              </w:rPr>
              <w:t>打分</w:t>
            </w:r>
            <w:r>
              <w:rPr>
                <w:rFonts w:hint="eastAsia" w:ascii="仿宋_GB2312" w:hAnsi="仿宋_GB2312" w:eastAsia="仿宋_GB2312" w:cs="仿宋_GB2312"/>
                <w:color w:val="auto"/>
                <w:sz w:val="24"/>
                <w:szCs w:val="24"/>
                <w:highlight w:val="none"/>
              </w:rPr>
              <w:t>：</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、根据样品主要材料及五金配件的质量、规格、等级等进行</w:t>
            </w:r>
            <w:r>
              <w:rPr>
                <w:rFonts w:hint="eastAsia" w:ascii="仿宋_GB2312" w:hAnsi="仿宋_GB2312" w:eastAsia="仿宋_GB2312" w:cs="仿宋_GB2312"/>
                <w:color w:val="auto"/>
                <w:sz w:val="24"/>
                <w:szCs w:val="24"/>
                <w:highlight w:val="none"/>
                <w:lang w:val="en-US" w:eastAsia="zh-CN"/>
              </w:rPr>
              <w:t>打</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bidi="ar"/>
              </w:rPr>
              <w:t>（本项分值设置为3,2,1,0.5,0分）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、根据样品的结构合理性、使用功能性及牢固度等进行</w:t>
            </w:r>
            <w:r>
              <w:rPr>
                <w:rFonts w:hint="eastAsia" w:ascii="仿宋_GB2312" w:hAnsi="仿宋_GB2312" w:eastAsia="仿宋_GB2312" w:cs="仿宋_GB2312"/>
                <w:color w:val="auto"/>
                <w:sz w:val="24"/>
                <w:szCs w:val="24"/>
                <w:highlight w:val="none"/>
                <w:lang w:val="en-US" w:eastAsia="zh-CN"/>
              </w:rPr>
              <w:t>打</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bidi="ar"/>
              </w:rPr>
              <w:t>（本项分</w:t>
            </w:r>
            <w:bookmarkStart w:id="53" w:name="_GoBack"/>
            <w:bookmarkEnd w:id="53"/>
            <w:r>
              <w:rPr>
                <w:rFonts w:hint="eastAsia" w:ascii="仿宋_GB2312" w:hAnsi="仿宋_GB2312" w:eastAsia="仿宋_GB2312" w:cs="仿宋_GB2312"/>
                <w:color w:val="auto"/>
                <w:sz w:val="24"/>
                <w:szCs w:val="24"/>
                <w:highlight w:val="none"/>
                <w:lang w:bidi="ar"/>
              </w:rPr>
              <w:t>值设置为3,2,1,0.5,0分）</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、根据样品的制作工艺、组合结构、油漆制作（喷涂）工艺、样品安装精密度、节点细部处理等进行</w:t>
            </w:r>
            <w:r>
              <w:rPr>
                <w:rFonts w:hint="eastAsia" w:ascii="仿宋_GB2312" w:hAnsi="仿宋_GB2312" w:eastAsia="仿宋_GB2312" w:cs="仿宋_GB2312"/>
                <w:color w:val="auto"/>
                <w:sz w:val="24"/>
                <w:szCs w:val="24"/>
                <w:highlight w:val="none"/>
                <w:lang w:val="en-US" w:eastAsia="zh-CN"/>
              </w:rPr>
              <w:t>打</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bidi="ar"/>
              </w:rPr>
              <w:t>（本项分值设置为3,2,1,0.5,0分）</w:t>
            </w:r>
            <w:r>
              <w:rPr>
                <w:rFonts w:hint="eastAsia" w:ascii="仿宋_GB2312" w:hAnsi="仿宋_GB2312" w:eastAsia="仿宋_GB2312" w:cs="仿宋_GB2312"/>
                <w:color w:val="auto"/>
                <w:sz w:val="24"/>
                <w:szCs w:val="24"/>
                <w:highlight w:val="none"/>
                <w:lang w:val="en-US" w:eastAsia="zh-CN"/>
              </w:rPr>
              <w:t>,</w:t>
            </w:r>
          </w:p>
          <w:p>
            <w:pPr>
              <w:keepNext w:val="0"/>
              <w:keepLines w:val="0"/>
              <w:pageBreakBefore w:val="0"/>
              <w:kinsoku/>
              <w:wordWrap/>
              <w:overflowPunct/>
              <w:topLinePunct w:val="0"/>
              <w:autoSpaceDE/>
              <w:autoSpaceDN/>
              <w:bidi w:val="0"/>
              <w:spacing w:line="360" w:lineRule="exact"/>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、根据样品的外观式样、美观度、色调搭配合理性及统一性进行</w:t>
            </w:r>
            <w:r>
              <w:rPr>
                <w:rFonts w:hint="eastAsia" w:ascii="仿宋_GB2312" w:hAnsi="仿宋_GB2312" w:eastAsia="仿宋_GB2312" w:cs="仿宋_GB2312"/>
                <w:color w:val="auto"/>
                <w:sz w:val="24"/>
                <w:szCs w:val="24"/>
                <w:highlight w:val="none"/>
                <w:lang w:val="en-US" w:eastAsia="zh-CN"/>
              </w:rPr>
              <w:t>打</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bidi="ar"/>
              </w:rPr>
              <w:t>（本项分值设置为3,2,1,0.5,0分）</w:t>
            </w:r>
          </w:p>
          <w:p>
            <w:pPr>
              <w:pStyle w:val="4"/>
              <w:keepNext w:val="0"/>
              <w:keepLines w:val="0"/>
              <w:pageBreakBefore w:val="0"/>
              <w:kinsoku/>
              <w:wordWrap/>
              <w:overflowPunct/>
              <w:topLinePunct w:val="0"/>
              <w:autoSpaceDE/>
              <w:autoSpaceDN/>
              <w:bidi w:val="0"/>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kern w:val="0"/>
                <w:sz w:val="24"/>
                <w:szCs w:val="24"/>
                <w:highlight w:val="none"/>
              </w:rPr>
              <w:t>★注:对未提供样品或提供样品不满足采购需求实质性条件的，按无效投标处理。</w:t>
            </w:r>
          </w:p>
        </w:tc>
        <w:tc>
          <w:tcPr>
            <w:tcW w:w="920" w:type="dxa"/>
            <w:tcBorders>
              <w:top w:val="single" w:color="auto" w:sz="4" w:space="0"/>
              <w:left w:val="single" w:color="auto" w:sz="4" w:space="0"/>
            </w:tcBorders>
            <w:shd w:val="clear" w:color="auto" w:fill="auto"/>
            <w:vAlign w:val="center"/>
          </w:tcPr>
          <w:p>
            <w:pPr>
              <w:pStyle w:val="4"/>
              <w:keepNext w:val="0"/>
              <w:keepLines w:val="0"/>
              <w:pageBreakBefore w:val="0"/>
              <w:kinsoku/>
              <w:wordWrap/>
              <w:overflowPunct/>
              <w:topLinePunct w:val="0"/>
              <w:autoSpaceDE/>
              <w:autoSpaceDN/>
              <w:bidi w:val="0"/>
              <w:spacing w:line="360" w:lineRule="exact"/>
              <w:jc w:val="center"/>
              <w:rPr>
                <w:rFonts w:hint="default"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12</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30 </w:t>
      </w: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bookmarkEnd w:id="41"/>
    <w:bookmarkEnd w:id="42"/>
    <w:p>
      <w:pPr>
        <w:pageBreakBefore/>
        <w:widowControl/>
        <w:kinsoku/>
        <w:wordWrap w:val="0"/>
        <w:overflowPunct/>
        <w:topLinePunct w:val="0"/>
        <w:bidi w:val="0"/>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4"/>
        <w:kinsoku/>
        <w:wordWrap w:val="0"/>
        <w:overflowPunct/>
        <w:topLinePunct w:val="0"/>
        <w:bidi w:val="0"/>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绍兴文理学院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绍兴文理学院商学院新大楼家具采购项目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2025-06-0052</w:t>
      </w:r>
      <w:r>
        <w:rPr>
          <w:rFonts w:hint="eastAsia" w:ascii="仿宋" w:hAnsi="仿宋" w:eastAsia="仿宋" w:cs="仿宋"/>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pageBreakBefore/>
        <w:widowControl/>
        <w:kinsoku/>
        <w:wordWrap w:val="0"/>
        <w:overflowPunct/>
        <w:topLinePunct w:val="0"/>
        <w:bidi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1"/>
        <w:kinsoku/>
        <w:wordWrap w:val="0"/>
        <w:overflowPunct/>
        <w:topLinePunct w:val="0"/>
        <w:bidi w:val="0"/>
        <w:rPr>
          <w:rFonts w:hint="eastAsia"/>
          <w:color w:val="auto"/>
          <w:highlight w:val="none"/>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kinsoku/>
        <w:wordWrap w:val="0"/>
        <w:overflowPunct/>
        <w:topLinePunct w:val="0"/>
        <w:bidi w:val="0"/>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kinsoku/>
        <w:wordWrap w:val="0"/>
        <w:overflowPunct/>
        <w:topLinePunct w:val="0"/>
        <w:bidi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pageBreakBefore/>
        <w:kinsoku/>
        <w:wordWrap w:val="0"/>
        <w:overflowPunct/>
        <w:topLinePunct w:val="0"/>
        <w:bidi w:val="0"/>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kinsoku/>
        <w:wordWrap w:val="0"/>
        <w:overflowPunct/>
        <w:topLinePunct w:val="0"/>
        <w:bidi w:val="0"/>
        <w:spacing w:line="336" w:lineRule="auto"/>
        <w:jc w:val="center"/>
        <w:outlineLvl w:val="0"/>
        <w:rPr>
          <w:rFonts w:ascii="仿宋" w:hAnsi="仿宋" w:eastAsia="仿宋" w:cs="仿宋"/>
          <w:b/>
          <w:color w:val="auto"/>
          <w:kern w:val="0"/>
          <w:sz w:val="24"/>
          <w:highlight w:val="none"/>
        </w:rPr>
      </w:pPr>
    </w:p>
    <w:p>
      <w:pPr>
        <w:kinsoku/>
        <w:wordWrap w:val="0"/>
        <w:overflowPunct/>
        <w:topLinePunct w:val="0"/>
        <w:bidi w:val="0"/>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6"/>
        <w:numPr>
          <w:ilvl w:val="0"/>
          <w:numId w:val="5"/>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6"/>
        <w:numPr>
          <w:ilvl w:val="0"/>
          <w:numId w:val="5"/>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pPr>
        <w:pStyle w:val="906"/>
        <w:numPr>
          <w:ilvl w:val="0"/>
          <w:numId w:val="5"/>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pPr>
        <w:pStyle w:val="906"/>
        <w:numPr>
          <w:ilvl w:val="0"/>
          <w:numId w:val="5"/>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 （页码）</w:t>
      </w:r>
    </w:p>
    <w:p>
      <w:pPr>
        <w:pStyle w:val="906"/>
        <w:numPr>
          <w:ilvl w:val="0"/>
          <w:numId w:val="5"/>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6"/>
        <w:numPr>
          <w:ilvl w:val="0"/>
          <w:numId w:val="5"/>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906"/>
        <w:numPr>
          <w:ilvl w:val="0"/>
          <w:numId w:val="5"/>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kinsoku/>
        <w:wordWrap w:val="0"/>
        <w:overflowPunct/>
        <w:topLinePunct w:val="0"/>
        <w:bidi w:val="0"/>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pageBreakBefore/>
        <w:kinsoku/>
        <w:wordWrap w:val="0"/>
        <w:overflowPunct/>
        <w:topLinePunct w:val="0"/>
        <w:bidi w:val="0"/>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7"/>
        <w:keepNext w:val="0"/>
        <w:keepLines w:val="0"/>
        <w:pageBreakBefore w:val="0"/>
        <w:kinsoku/>
        <w:wordWrap w:val="0"/>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_GB2312" w:hAnsi="仿宋" w:eastAsia="仿宋_GB2312" w:cs="仿宋"/>
          <w:color w:val="auto"/>
          <w:szCs w:val="24"/>
          <w:highlight w:val="none"/>
          <w:u w:val="single"/>
          <w:lang w:eastAsia="zh-CN"/>
        </w:rPr>
        <w:t>绍兴文理学院</w:t>
      </w:r>
      <w:r>
        <w:rPr>
          <w:rFonts w:hint="eastAsia" w:ascii="仿宋_GB2312" w:hAnsi="仿宋" w:eastAsia="仿宋_GB2312" w:cs="仿宋"/>
          <w:color w:val="auto"/>
          <w:szCs w:val="24"/>
          <w:highlight w:val="none"/>
          <w:u w:val="single"/>
        </w:rPr>
        <w:t>、绍兴市公共资源交易中心</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7"/>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7"/>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7"/>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pageBreakBefore/>
        <w:widowControl/>
        <w:kinsoku/>
        <w:wordWrap w:val="0"/>
        <w:overflowPunct/>
        <w:topLinePunct w:val="0"/>
        <w:bidi w:val="0"/>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kinsoku/>
        <w:wordWrap w:val="0"/>
        <w:overflowPunct/>
        <w:topLinePunct w:val="0"/>
        <w:bidi w:val="0"/>
        <w:jc w:val="center"/>
        <w:rPr>
          <w:rFonts w:hint="eastAsia" w:ascii="仿宋" w:hAnsi="仿宋" w:eastAsia="仿宋" w:cs="仿宋"/>
          <w:b/>
          <w:color w:val="auto"/>
          <w:sz w:val="24"/>
          <w:highlight w:val="none"/>
        </w:rPr>
      </w:pP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绍兴文理学院、绍兴市公共资源交易中心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绍兴文理学院商学院新大楼家具采购项目（招标编号:2025-06-0052）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kinsoku/>
        <w:wordWrap w:val="0"/>
        <w:overflowPunct/>
        <w:topLinePunct w:val="0"/>
        <w:bidi w:val="0"/>
        <w:ind w:firstLine="4920" w:firstLineChars="2050"/>
        <w:jc w:val="left"/>
        <w:rPr>
          <w:rFonts w:hint="eastAsia" w:ascii="仿宋" w:hAnsi="仿宋" w:eastAsia="仿宋" w:cs="仿宋"/>
          <w:color w:val="auto"/>
          <w:sz w:val="24"/>
          <w:highlight w:val="none"/>
        </w:rPr>
      </w:pPr>
    </w:p>
    <w:p>
      <w:pPr>
        <w:kinsoku/>
        <w:wordWrap w:val="0"/>
        <w:overflowPunct/>
        <w:topLinePunct w:val="0"/>
        <w:bidi w:val="0"/>
        <w:spacing w:line="800" w:lineRule="exact"/>
        <w:rPr>
          <w:rFonts w:hint="eastAsia" w:ascii="仿宋" w:hAnsi="仿宋" w:eastAsia="仿宋" w:cs="仿宋"/>
          <w:b/>
          <w:color w:val="auto"/>
          <w:sz w:val="24"/>
          <w:highlight w:val="none"/>
        </w:rPr>
      </w:pPr>
    </w:p>
    <w:p>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kinsoku/>
        <w:wordWrap w:val="0"/>
        <w:overflowPunct/>
        <w:topLinePunct w:val="0"/>
        <w:bidi w:val="0"/>
        <w:jc w:val="center"/>
        <w:rPr>
          <w:rFonts w:hint="eastAsia" w:ascii="仿宋" w:hAnsi="仿宋" w:eastAsia="仿宋" w:cs="仿宋"/>
          <w:b/>
          <w:color w:val="auto"/>
          <w:sz w:val="24"/>
          <w:highlight w:val="none"/>
        </w:rPr>
      </w:pPr>
    </w:p>
    <w:p>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绍兴文理学院、绍兴市公共资源交易中心 </w:t>
      </w:r>
      <w:r>
        <w:rPr>
          <w:rFonts w:hint="eastAsia" w:ascii="仿宋" w:hAnsi="仿宋" w:eastAsia="仿宋" w:cs="仿宋"/>
          <w:color w:val="auto"/>
          <w:sz w:val="24"/>
          <w:highlight w:val="none"/>
          <w:u w:val="none"/>
          <w:lang w:val="en-US" w:eastAsia="zh-CN"/>
        </w:rPr>
        <w:t>组织的</w:t>
      </w:r>
      <w:r>
        <w:rPr>
          <w:rFonts w:hint="eastAsia" w:ascii="仿宋" w:hAnsi="仿宋" w:eastAsia="仿宋" w:cs="仿宋"/>
          <w:color w:val="auto"/>
          <w:sz w:val="24"/>
          <w:highlight w:val="none"/>
          <w:u w:val="single"/>
          <w:lang w:val="en-US" w:eastAsia="zh-CN"/>
        </w:rPr>
        <w:t xml:space="preserve"> 绍兴文理学院商学院新大楼家具采购项目（招标编号:2023-07-0055）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eepNext w:val="0"/>
        <w:keepLines w:val="0"/>
        <w:pageBreakBefore w:val="0"/>
        <w:widowControl w:val="0"/>
        <w:kinsoku/>
        <w:wordWrap w:val="0"/>
        <w:overflowPunct/>
        <w:topLinePunct w:val="0"/>
        <w:autoSpaceDE/>
        <w:autoSpaceDN/>
        <w:bidi w:val="0"/>
        <w:adjustRightIn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rPr>
          <w:rFonts w:hint="eastAsia" w:ascii="仿宋" w:hAnsi="仿宋" w:eastAsia="仿宋" w:cs="仿宋"/>
          <w:color w:val="auto"/>
          <w:highlight w:val="none"/>
        </w:rPr>
      </w:pP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pPr>
        <w:pageBreakBefore w:val="0"/>
        <w:kinsoku/>
        <w:wordWrap w:val="0"/>
        <w:overflowPunct/>
        <w:topLinePunct w:val="0"/>
        <w:bidi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pPr>
        <w:kinsoku/>
        <w:wordWrap w:val="0"/>
        <w:overflowPunct/>
        <w:topLinePunct w:val="0"/>
        <w:bidi w:val="0"/>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eepNext w:val="0"/>
        <w:keepLines w:val="0"/>
        <w:pageBreakBefore w:val="0"/>
        <w:widowControl w:val="0"/>
        <w:kinsoku/>
        <w:wordWrap w:val="0"/>
        <w:overflowPunct/>
        <w:topLinePunct w:val="0"/>
        <w:autoSpaceDE/>
        <w:autoSpaceDN/>
        <w:bidi w:val="0"/>
        <w:adjustRightInd w:val="0"/>
        <w:snapToGrid/>
        <w:spacing w:line="800" w:lineRule="exact"/>
        <w:jc w:val="both"/>
        <w:textAlignment w:val="auto"/>
        <w:rPr>
          <w:rFonts w:hint="eastAsia" w:ascii="仿宋" w:hAnsi="仿宋" w:eastAsia="仿宋" w:cs="仿宋"/>
          <w:b/>
          <w:color w:val="auto"/>
          <w:sz w:val="30"/>
          <w:szCs w:val="30"/>
          <w:highlight w:val="none"/>
          <w:lang w:val="en-US" w:eastAsia="zh-CN"/>
        </w:rPr>
      </w:pPr>
    </w:p>
    <w:p>
      <w:pPr>
        <w:pStyle w:val="7"/>
        <w:kinsoku/>
        <w:wordWrap w:val="0"/>
        <w:overflowPunct/>
        <w:topLinePunct w:val="0"/>
        <w:bidi w:val="0"/>
        <w:rPr>
          <w:rFonts w:hint="eastAsia"/>
          <w:color w:val="auto"/>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spacing w:line="800" w:lineRule="exact"/>
        <w:jc w:val="center"/>
        <w:textAlignment w:val="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 w:hAnsi="仿宋" w:eastAsia="仿宋" w:cs="仿宋"/>
          <w:b/>
          <w:color w:val="auto"/>
          <w:sz w:val="24"/>
          <w:highlight w:val="none"/>
        </w:rPr>
      </w:pPr>
    </w:p>
    <w:p>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kinsoku/>
        <w:wordWrap w:val="0"/>
        <w:overflowPunct/>
        <w:topLinePunct w:val="0"/>
        <w:bidi w:val="0"/>
        <w:spacing w:line="440" w:lineRule="exact"/>
        <w:rPr>
          <w:rFonts w:hint="eastAsia" w:ascii="仿宋" w:hAnsi="仿宋" w:eastAsia="仿宋" w:cs="仿宋"/>
          <w:color w:val="auto"/>
          <w:sz w:val="24"/>
          <w:highlight w:val="none"/>
        </w:rPr>
      </w:pP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kinsoku/>
        <w:wordWrap w:val="0"/>
        <w:overflowPunct/>
        <w:topLinePunct w:val="0"/>
        <w:bidi w:val="0"/>
        <w:spacing w:line="440" w:lineRule="exact"/>
        <w:ind w:right="480"/>
        <w:rPr>
          <w:rFonts w:hint="eastAsia" w:ascii="仿宋" w:hAnsi="仿宋" w:eastAsia="仿宋" w:cs="仿宋"/>
          <w:color w:val="auto"/>
          <w:sz w:val="24"/>
          <w:highlight w:val="none"/>
        </w:rPr>
      </w:pPr>
    </w:p>
    <w:p>
      <w:pPr>
        <w:kinsoku/>
        <w:wordWrap w:val="0"/>
        <w:overflowPunct/>
        <w:topLinePunct w:val="0"/>
        <w:bidi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kinsoku/>
        <w:wordWrap w:val="0"/>
        <w:overflowPunct/>
        <w:topLinePunct w:val="0"/>
        <w:bidi w:val="0"/>
        <w:jc w:val="center"/>
        <w:rPr>
          <w:rFonts w:hint="eastAsia" w:ascii="仿宋" w:hAnsi="仿宋" w:eastAsia="仿宋" w:cs="仿宋"/>
          <w:b/>
          <w:color w:val="auto"/>
          <w:kern w:val="0"/>
          <w:sz w:val="32"/>
          <w:szCs w:val="32"/>
          <w:highlight w:val="none"/>
          <w:lang w:val="en-US" w:eastAsia="zh-CN"/>
        </w:rPr>
      </w:pPr>
    </w:p>
    <w:p>
      <w:pPr>
        <w:kinsoku/>
        <w:wordWrap w:val="0"/>
        <w:overflowPunct/>
        <w:topLinePunct w:val="0"/>
        <w:bidi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bl>
    <w:p>
      <w:pPr>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bidi w:val="0"/>
        <w:ind w:firstLine="1911" w:firstLineChars="595"/>
        <w:rPr>
          <w:rFonts w:hint="eastAsia" w:ascii="仿宋" w:hAnsi="仿宋" w:eastAsia="仿宋" w:cs="仿宋"/>
          <w:b/>
          <w:bCs/>
          <w:color w:val="auto"/>
          <w:sz w:val="32"/>
          <w:szCs w:val="32"/>
          <w:highlight w:val="none"/>
        </w:rPr>
      </w:pPr>
    </w:p>
    <w:p>
      <w:pPr>
        <w:pageBreakBefore/>
        <w:widowControl/>
        <w:tabs>
          <w:tab w:val="left" w:pos="1538"/>
          <w:tab w:val="center" w:pos="4541"/>
        </w:tabs>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绍兴文理学院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2"/>
          <w:szCs w:val="32"/>
          <w:highlight w:val="none"/>
          <w:lang w:eastAsia="zh-CN"/>
        </w:rPr>
      </w:pPr>
    </w:p>
    <w:p>
      <w:pPr>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9"/>
        <w:kinsoku/>
        <w:wordWrap w:val="0"/>
        <w:overflowPunct/>
        <w:topLinePunct w:val="0"/>
        <w:bidi w:val="0"/>
        <w:ind w:firstLine="0"/>
        <w:jc w:val="both"/>
        <w:rPr>
          <w:rFonts w:hAnsi="仿宋_GB2312" w:cs="仿宋_GB2312"/>
          <w:color w:val="auto"/>
          <w:highlight w:val="none"/>
        </w:rPr>
      </w:pP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56" o:title=""/>
            <o:lock v:ext="edit" aspectratio="t"/>
            <w10:wrap type="none"/>
            <w10:anchorlock/>
          </v:shape>
          <o:OLEObject Type="Embed" ProgID="Package" ShapeID="_x0000_i1025" DrawAspect="Content" ObjectID="_1468075725" r:id="rId55">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58" o:title=""/>
            <o:lock v:ext="edit" aspectratio="t"/>
            <w10:wrap type="none"/>
            <w10:anchorlock/>
          </v:shape>
          <o:OLEObject Type="Embed" ProgID="Package" ShapeID="_x0000_i1026" DrawAspect="Content" ObjectID="_1468075726" r:id="rId57">
            <o:LockedField>false</o:LockedField>
          </o:OLEObject>
        </w:object>
      </w:r>
    </w:p>
    <w:p>
      <w:pPr>
        <w:kinsoku/>
        <w:wordWrap w:val="0"/>
        <w:overflowPunct/>
        <w:topLinePunct w:val="0"/>
        <w:autoSpaceDE w:val="0"/>
        <w:autoSpaceDN w:val="0"/>
        <w:bidi w:val="0"/>
        <w:spacing w:line="360" w:lineRule="auto"/>
        <w:ind w:firstLine="4560" w:firstLineChars="1900"/>
        <w:rPr>
          <w:rFonts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1"/>
        <w:kinsoku/>
        <w:wordWrap w:val="0"/>
        <w:overflowPunct/>
        <w:topLinePunct w:val="0"/>
        <w:bidi w:val="0"/>
        <w:rPr>
          <w:color w:val="auto"/>
          <w:highlight w:val="none"/>
        </w:rPr>
      </w:pP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p>
    <w:p>
      <w:pPr>
        <w:pStyle w:val="81"/>
        <w:kinsoku/>
        <w:wordWrap w:val="0"/>
        <w:overflowPunct/>
        <w:topLinePunct w:val="0"/>
        <w:bidi w:val="0"/>
        <w:rPr>
          <w:rFonts w:hint="eastAsia"/>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val="0"/>
              <w:overflowPunct/>
              <w:topLinePunct w:val="0"/>
              <w:autoSpaceDE w:val="0"/>
              <w:autoSpaceDN w:val="0"/>
              <w:bidi w:val="0"/>
              <w:adjustRightInd w:val="0"/>
              <w:snapToGrid/>
              <w:spacing w:line="240" w:lineRule="auto"/>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2"/>
                <w:szCs w:val="22"/>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81"/>
        <w:kinsoku/>
        <w:wordWrap w:val="0"/>
        <w:overflowPunct/>
        <w:topLinePunct w:val="0"/>
        <w:bidi w:val="0"/>
        <w:rPr>
          <w:color w:val="auto"/>
          <w:highlight w:val="none"/>
        </w:rPr>
      </w:pP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81"/>
        <w:kinsoku/>
        <w:wordWrap w:val="0"/>
        <w:overflowPunct/>
        <w:topLinePunct w:val="0"/>
        <w:bidi w:val="0"/>
        <w:rPr>
          <w:color w:val="auto"/>
          <w:highlight w:val="none"/>
        </w:rPr>
      </w:pPr>
    </w:p>
    <w:p>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18"/>
          <w:szCs w:val="18"/>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p>
    <w:p>
      <w:pPr>
        <w:pStyle w:val="7"/>
        <w:kinsoku/>
        <w:wordWrap w:val="0"/>
        <w:overflowPunct/>
        <w:topLinePunct w:val="0"/>
        <w:bidi w:val="0"/>
        <w:rPr>
          <w:rFonts w:ascii="仿宋_GB2312" w:hAnsi="仿宋_GB2312" w:eastAsia="仿宋_GB2312" w:cs="仿宋_GB2312"/>
          <w:b/>
          <w:bCs/>
          <w:color w:val="auto"/>
          <w:sz w:val="32"/>
          <w:szCs w:val="32"/>
          <w:highlight w:val="none"/>
        </w:rPr>
      </w:pPr>
    </w:p>
    <w:p>
      <w:pPr>
        <w:kinsoku/>
        <w:wordWrap w:val="0"/>
        <w:overflowPunct/>
        <w:topLinePunct w:val="0"/>
        <w:bidi w:val="0"/>
        <w:rPr>
          <w:rFonts w:ascii="仿宋_GB2312" w:hAnsi="仿宋_GB2312" w:eastAsia="仿宋_GB2312" w:cs="仿宋_GB2312"/>
          <w:b/>
          <w:bCs/>
          <w:color w:val="auto"/>
          <w:sz w:val="32"/>
          <w:szCs w:val="32"/>
          <w:highlight w:val="none"/>
        </w:rPr>
      </w:pPr>
    </w:p>
    <w:p>
      <w:pPr>
        <w:pStyle w:val="7"/>
        <w:kinsoku/>
        <w:wordWrap w:val="0"/>
        <w:overflowPunct/>
        <w:topLinePunct w:val="0"/>
        <w:bidi w:val="0"/>
        <w:rPr>
          <w:color w:val="auto"/>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24"/>
          <w:highlight w:val="none"/>
        </w:rPr>
      </w:pPr>
    </w:p>
    <w:p>
      <w:pPr>
        <w:pStyle w:val="81"/>
        <w:kinsoku/>
        <w:wordWrap w:val="0"/>
        <w:overflowPunct/>
        <w:topLinePunct w:val="0"/>
        <w:bidi w:val="0"/>
        <w:rPr>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2"/>
        <w:kinsoku/>
        <w:wordWrap w:val="0"/>
        <w:overflowPunct/>
        <w:topLinePunct w:val="0"/>
        <w:bidi w:val="0"/>
        <w:rPr>
          <w:rFonts w:hint="eastAsia"/>
          <w:color w:val="auto"/>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kinsoku/>
        <w:wordWrap w:val="0"/>
        <w:overflowPunct/>
        <w:topLinePunct w:val="0"/>
        <w:bidi w:val="0"/>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 w:hAnsi="仿宋" w:eastAsia="仿宋" w:cs="仿宋"/>
          <w:b/>
          <w:color w:val="auto"/>
          <w:kern w:val="0"/>
          <w:sz w:val="32"/>
          <w:szCs w:val="32"/>
          <w:highlight w:val="none"/>
        </w:r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footerReference r:id="rId22" w:type="first"/>
          <w:headerReference r:id="rId20" w:type="default"/>
          <w:footerReference r:id="rId21" w:type="default"/>
          <w:pgSz w:w="11906" w:h="16838"/>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绍兴文理学院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绍兴文理学院商学院新大楼家具采购项目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2025-06-0052</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pPr>
        <w:kinsoku/>
        <w:wordWrap w:val="0"/>
        <w:overflowPunct/>
        <w:topLinePunct w:val="0"/>
        <w:bidi w:val="0"/>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pStyle w:val="81"/>
        <w:kinsoku/>
        <w:wordWrap w:val="0"/>
        <w:overflowPunct/>
        <w:topLinePunct w:val="0"/>
        <w:bidi w:val="0"/>
        <w:ind w:firstLine="9600" w:firstLineChars="4000"/>
        <w:rPr>
          <w:rFonts w:hint="eastAsia"/>
          <w:color w:val="auto"/>
          <w:highlight w:val="none"/>
          <w:lang w:val="zh-CN"/>
        </w:rPr>
      </w:pPr>
      <w:r>
        <w:rPr>
          <w:rFonts w:hint="eastAsia" w:ascii="仿宋" w:hAnsi="仿宋" w:eastAsia="仿宋" w:cs="仿宋"/>
          <w:color w:val="auto"/>
          <w:sz w:val="24"/>
          <w:highlight w:val="none"/>
        </w:rPr>
        <w:t>日期：  年   月   日</w:t>
      </w:r>
    </w:p>
    <w:p>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 w:hAnsi="仿宋" w:eastAsia="仿宋" w:cs="仿宋"/>
          <w:b/>
          <w:color w:val="auto"/>
          <w:kern w:val="0"/>
          <w:sz w:val="24"/>
          <w:highlight w:val="none"/>
        </w:r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7" w:name="_Hlk101259491"/>
      <w:r>
        <w:rPr>
          <w:rFonts w:hint="eastAsia" w:ascii="仿宋" w:hAnsi="仿宋" w:eastAsia="仿宋" w:cs="仿宋"/>
          <w:color w:val="auto"/>
          <w:sz w:val="32"/>
          <w:szCs w:val="32"/>
          <w:highlight w:val="none"/>
        </w:rPr>
        <w:t>（如有）</w:t>
      </w:r>
      <w:bookmarkEnd w:id="47"/>
    </w:p>
    <w:p>
      <w:pPr>
        <w:widowControl/>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kinsoku/>
        <w:wordWrap w:val="0"/>
        <w:overflowPunct/>
        <w:topLinePunct w:val="0"/>
        <w:bidi w:val="0"/>
        <w:rPr>
          <w:rFonts w:hint="eastAsia" w:ascii="仿宋" w:hAnsi="仿宋" w:eastAsia="仿宋" w:cs="仿宋"/>
          <w:b/>
          <w:color w:val="auto"/>
          <w:sz w:val="24"/>
          <w:highlight w:val="none"/>
        </w:rPr>
      </w:pPr>
    </w:p>
    <w:p>
      <w:pPr>
        <w:pStyle w:val="82"/>
        <w:kinsoku/>
        <w:wordWrap w:val="0"/>
        <w:overflowPunct/>
        <w:topLinePunct w:val="0"/>
        <w:bidi w:val="0"/>
        <w:rPr>
          <w:rFonts w:hint="eastAsia" w:ascii="仿宋" w:hAnsi="仿宋" w:eastAsia="仿宋" w:cs="仿宋"/>
          <w:b/>
          <w:color w:val="auto"/>
          <w:sz w:val="24"/>
          <w:highlight w:val="none"/>
        </w:rPr>
      </w:pPr>
    </w:p>
    <w:p>
      <w:pPr>
        <w:kinsoku/>
        <w:wordWrap w:val="0"/>
        <w:overflowPunct/>
        <w:topLinePunct w:val="0"/>
        <w:bidi w:val="0"/>
        <w:rPr>
          <w:rFonts w:hint="eastAsia" w:ascii="仿宋" w:hAnsi="仿宋" w:eastAsia="仿宋" w:cs="仿宋"/>
          <w:b/>
          <w:color w:val="auto"/>
          <w:sz w:val="24"/>
          <w:highlight w:val="none"/>
        </w:rPr>
      </w:pPr>
    </w:p>
    <w:p>
      <w:pPr>
        <w:pStyle w:val="81"/>
        <w:kinsoku/>
        <w:wordWrap w:val="0"/>
        <w:overflowPunct/>
        <w:topLinePunct w:val="0"/>
        <w:bidi w:val="0"/>
        <w:rPr>
          <w:rFonts w:hint="eastAsia" w:ascii="仿宋" w:hAnsi="仿宋" w:eastAsia="仿宋" w:cs="仿宋"/>
          <w:b/>
          <w:color w:val="auto"/>
          <w:sz w:val="24"/>
          <w:highlight w:val="none"/>
        </w:rPr>
      </w:pPr>
    </w:p>
    <w:p>
      <w:pPr>
        <w:pStyle w:val="82"/>
        <w:kinsoku/>
        <w:wordWrap w:val="0"/>
        <w:overflowPunct/>
        <w:topLinePunct w:val="0"/>
        <w:bidi w:val="0"/>
        <w:rPr>
          <w:rFonts w:hint="eastAsia"/>
          <w:color w:val="auto"/>
          <w:highlight w:val="none"/>
        </w:rPr>
      </w:pPr>
    </w:p>
    <w:p>
      <w:pPr>
        <w:pStyle w:val="82"/>
        <w:kinsoku/>
        <w:wordWrap w:val="0"/>
        <w:overflowPunct/>
        <w:topLinePunct w:val="0"/>
        <w:bidi w:val="0"/>
        <w:rPr>
          <w:rFonts w:hint="eastAsia"/>
          <w:color w:val="auto"/>
          <w:highlight w:val="none"/>
        </w:rPr>
      </w:pPr>
    </w:p>
    <w:p>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pPr>
        <w:widowControl/>
        <w:kinsoku/>
        <w:wordWrap w:val="0"/>
        <w:overflowPunct/>
        <w:topLinePunct w:val="0"/>
        <w:autoSpaceDE w:val="0"/>
        <w:autoSpaceDN w:val="0"/>
        <w:bidi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pPr>
        <w:pStyle w:val="82"/>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pPr>
        <w:pStyle w:val="693"/>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pStyle w:val="6"/>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48" w:name="_Toc465665161"/>
      <w:r>
        <w:rPr>
          <w:rFonts w:hint="eastAsia" w:ascii="仿宋" w:hAnsi="仿宋" w:eastAsia="仿宋" w:cs="仿宋"/>
          <w:color w:val="auto"/>
          <w:highlight w:val="none"/>
        </w:rPr>
        <w:t>附件</w:t>
      </w:r>
      <w:bookmarkEnd w:id="48"/>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 w:hAnsi="仿宋" w:eastAsia="仿宋" w:cs="仿宋"/>
          <w:color w:val="auto"/>
          <w:sz w:val="30"/>
          <w:szCs w:val="30"/>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 w:hAnsi="仿宋" w:eastAsia="仿宋" w:cs="仿宋"/>
          <w:b/>
          <w:color w:val="auto"/>
          <w:spacing w:val="6"/>
          <w:sz w:val="32"/>
          <w:szCs w:val="32"/>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kinsoku/>
        <w:wordWrap w:val="0"/>
        <w:overflowPunct/>
        <w:topLinePunct w:val="0"/>
        <w:bidi w:val="0"/>
        <w:spacing w:line="360" w:lineRule="auto"/>
        <w:rPr>
          <w:rFonts w:hint="eastAsia" w:ascii="仿宋" w:hAnsi="仿宋" w:eastAsia="仿宋" w:cs="仿宋"/>
          <w:color w:val="auto"/>
          <w:sz w:val="24"/>
          <w:highlight w:val="none"/>
          <w:u w:val="single"/>
        </w:rPr>
      </w:pP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绍兴文理学院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绍兴市公共资源交易中心</w:t>
      </w:r>
      <w:r>
        <w:rPr>
          <w:rFonts w:hint="eastAsia" w:ascii="仿宋" w:hAnsi="仿宋" w:eastAsia="仿宋" w:cs="仿宋"/>
          <w:color w:val="auto"/>
          <w:sz w:val="24"/>
          <w:highlight w:val="none"/>
          <w:u w:val="single"/>
        </w:rPr>
        <w:t>：</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绍兴文理学院商学院新大楼家具采购项目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2025-06-0052</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kinsoku/>
        <w:wordWrap w:val="0"/>
        <w:overflowPunct/>
        <w:topLinePunct w:val="0"/>
        <w:bidi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kinsoku/>
        <w:wordWrap w:val="0"/>
        <w:overflowPunct/>
        <w:topLinePunct w:val="0"/>
        <w:bidi w:val="0"/>
        <w:rPr>
          <w:rFonts w:hint="eastAsia"/>
          <w:color w:val="auto"/>
          <w:highlight w:val="none"/>
        </w:rPr>
      </w:pPr>
    </w:p>
    <w:p>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kinsoku/>
        <w:wordWrap w:val="0"/>
        <w:overflowPunct/>
        <w:topLinePunct w:val="0"/>
        <w:bidi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绍兴文理学院商学院新大楼家具采购项目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2025-06-0052</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bookmarkStart w:id="4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49"/>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insoku/>
        <w:wordWrap w:val="0"/>
        <w:overflowPunct/>
        <w:topLinePunct w:val="0"/>
        <w:bidi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insoku/>
        <w:wordWrap w:val="0"/>
        <w:overflowPunct/>
        <w:topLinePunct w:val="0"/>
        <w:bidi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pPr>
        <w:widowControl/>
        <w:kinsoku/>
        <w:wordWrap w:val="0"/>
        <w:overflowPunct/>
        <w:topLinePunct w:val="0"/>
        <w:bidi w:val="0"/>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绍兴文理学院商学院新大楼家具采购项目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2025-06-0052</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7"/>
        <w:kinsoku/>
        <w:wordWrap w:val="0"/>
        <w:overflowPunct/>
        <w:topLinePunct w:val="0"/>
        <w:bidi w:val="0"/>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kinsoku/>
        <w:wordWrap w:val="0"/>
        <w:overflowPunct/>
        <w:topLinePunct w:val="0"/>
        <w:bidi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0"/>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kinsoku/>
        <w:wordWrap w:val="0"/>
        <w:overflowPunct/>
        <w:topLinePunct w:val="0"/>
        <w:bidi w:val="0"/>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en-US" w:eastAsia="zh-CN"/>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kinsoku/>
        <w:wordWrap w:val="0"/>
        <w:overflowPunct/>
        <w:topLinePunct w:val="0"/>
        <w:bidi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kinsoku/>
        <w:wordWrap w:val="0"/>
        <w:overflowPunct/>
        <w:topLinePunct w:val="0"/>
        <w:bidi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pStyle w:val="81"/>
        <w:kinsoku/>
        <w:wordWrap w:val="0"/>
        <w:overflowPunct/>
        <w:topLinePunct w:val="0"/>
        <w:bidi w:val="0"/>
        <w:rPr>
          <w:rFonts w:hint="eastAsia" w:ascii="仿宋" w:hAnsi="仿宋" w:eastAsia="仿宋" w:cs="仿宋"/>
          <w:b/>
          <w:color w:val="auto"/>
          <w:spacing w:val="6"/>
          <w:sz w:val="32"/>
          <w:szCs w:val="32"/>
          <w:highlight w:val="none"/>
        </w:rPr>
      </w:pPr>
    </w:p>
    <w:p>
      <w:pPr>
        <w:pStyle w:val="82"/>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81"/>
        <w:kinsoku/>
        <w:wordWrap w:val="0"/>
        <w:overflowPunct/>
        <w:topLinePunct w:val="0"/>
        <w:bidi w:val="0"/>
        <w:rPr>
          <w:rFonts w:hint="eastAsia" w:ascii="仿宋" w:hAnsi="仿宋" w:eastAsia="仿宋" w:cs="仿宋"/>
          <w:b/>
          <w:color w:val="auto"/>
          <w:spacing w:val="6"/>
          <w:sz w:val="32"/>
          <w:szCs w:val="32"/>
          <w:highlight w:val="none"/>
        </w:rPr>
      </w:pPr>
    </w:p>
    <w:p>
      <w:pPr>
        <w:pStyle w:val="82"/>
        <w:kinsoku/>
        <w:wordWrap w:val="0"/>
        <w:overflowPunct/>
        <w:topLinePunct w:val="0"/>
        <w:bidi w:val="0"/>
        <w:rPr>
          <w:rFonts w:hint="eastAsia"/>
          <w:color w:val="auto"/>
          <w:highlight w:val="none"/>
        </w:rPr>
      </w:pPr>
    </w:p>
    <w:p>
      <w:pPr>
        <w:kinsoku/>
        <w:wordWrap w:val="0"/>
        <w:overflowPunct/>
        <w:topLinePunct w:val="0"/>
        <w:bidi w:val="0"/>
        <w:spacing w:line="360" w:lineRule="auto"/>
        <w:jc w:val="both"/>
        <w:rPr>
          <w:rFonts w:hint="eastAsia" w:ascii="仿宋" w:hAnsi="仿宋" w:eastAsia="仿宋" w:cs="仿宋"/>
          <w:b/>
          <w:color w:val="auto"/>
          <w:spacing w:val="6"/>
          <w:sz w:val="32"/>
          <w:szCs w:val="32"/>
          <w:highlight w:val="none"/>
        </w:rPr>
      </w:pPr>
      <w:bookmarkStart w:id="51" w:name="OLE_LINK14"/>
      <w:bookmarkStart w:id="52" w:name="OLE_LINK13"/>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1"/>
    <w:bookmarkEnd w:id="52"/>
    <w:p>
      <w:pPr>
        <w:kinsoku/>
        <w:wordWrap w:val="0"/>
        <w:overflowPunct/>
        <w:topLinePunct w:val="0"/>
        <w:bidi w:val="0"/>
        <w:spacing w:line="360" w:lineRule="auto"/>
        <w:rPr>
          <w:rFonts w:hint="eastAsia" w:ascii="仿宋" w:hAnsi="仿宋" w:eastAsia="仿宋" w:cs="仿宋"/>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lang w:eastAsia="zh-CN"/>
        </w:rPr>
        <w:t>绍兴文理学院</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绍兴文理学院商学院新大楼家具采购项目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kinsoku/>
        <w:wordWrap w:val="0"/>
        <w:overflowPunct/>
        <w:topLinePunct w:val="0"/>
        <w:bidi w:val="0"/>
        <w:spacing w:line="360" w:lineRule="auto"/>
        <w:jc w:val="center"/>
        <w:rPr>
          <w:rFonts w:hint="eastAsia" w:ascii="仿宋" w:hAnsi="仿宋" w:eastAsia="仿宋" w:cs="仿宋"/>
          <w:color w:val="auto"/>
          <w:sz w:val="24"/>
          <w:highlight w:val="none"/>
          <w:u w:val="singl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绍兴文理学院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lang w:eastAsia="zh-CN"/>
        </w:rPr>
        <w:t>绍兴文理学院商学院新大楼家具采购项目</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kinsoku/>
        <w:wordWrap w:val="0"/>
        <w:overflowPunct/>
        <w:topLinePunct w:val="0"/>
        <w:bidi w:val="0"/>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wordWrap w:val="0"/>
        <w:overflowPunct/>
        <w:topLinePunct w:val="0"/>
        <w:bidi w:val="0"/>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4"/>
        <w:kinsoku/>
        <w:wordWrap w:val="0"/>
        <w:overflowPunct/>
        <w:topLinePunct w:val="0"/>
        <w:bidi w:val="0"/>
        <w:rPr>
          <w:rFonts w:hint="eastAsia"/>
          <w:color w:val="auto"/>
          <w:highlight w:val="none"/>
          <w:lang w:val="en-US" w:eastAsia="zh-CN"/>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kinsoku/>
        <w:wordWrap w:val="0"/>
        <w:overflowPunct/>
        <w:topLinePunct w:val="0"/>
        <w:bidi w:val="0"/>
        <w:rPr>
          <w:rFonts w:hint="eastAsia" w:ascii="仿宋" w:hAnsi="仿宋" w:eastAsia="仿宋" w:cs="仿宋"/>
          <w:color w:val="auto"/>
          <w:sz w:val="24"/>
          <w:highlight w:val="none"/>
        </w:rPr>
      </w:pPr>
    </w:p>
    <w:p>
      <w:pPr>
        <w:kinsoku/>
        <w:wordWrap w:val="0"/>
        <w:overflowPunct/>
        <w:topLinePunct w:val="0"/>
        <w:bidi w:val="0"/>
        <w:ind w:firstLine="420" w:firstLineChars="200"/>
        <w:rPr>
          <w:rFonts w:hint="eastAsia" w:ascii="仿宋" w:hAnsi="仿宋" w:eastAsia="仿宋" w:cs="仿宋"/>
          <w:color w:val="auto"/>
          <w:highlight w:val="none"/>
        </w:rPr>
      </w:pPr>
    </w:p>
    <w:p>
      <w:pPr>
        <w:kinsoku/>
        <w:wordWrap w:val="0"/>
        <w:overflowPunct/>
        <w:topLinePunct w:val="0"/>
        <w:bidi w:val="0"/>
        <w:spacing w:line="360" w:lineRule="auto"/>
        <w:ind w:right="420"/>
        <w:rPr>
          <w:rFonts w:hint="eastAsia" w:ascii="仿宋" w:hAnsi="仿宋" w:eastAsia="仿宋" w:cs="仿宋"/>
          <w:color w:val="auto"/>
          <w:highlight w:val="none"/>
        </w:rPr>
      </w:pPr>
    </w:p>
    <w:p>
      <w:pPr>
        <w:kinsoku/>
        <w:wordWrap w:val="0"/>
        <w:overflowPunct/>
        <w:topLinePunct w:val="0"/>
        <w:bidi w:val="0"/>
        <w:spacing w:line="360" w:lineRule="auto"/>
        <w:rPr>
          <w:rFonts w:ascii="宋体" w:hAnsi="宋体" w:cs="宋体"/>
          <w:bCs/>
          <w:color w:val="auto"/>
          <w:sz w:val="24"/>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rPr>
          <w:rFonts w:ascii="宋体" w:hAnsi="宋体" w:cs="宋体"/>
          <w:bCs/>
          <w:color w:val="auto"/>
          <w:sz w:val="24"/>
          <w:highlight w:val="none"/>
        </w:rPr>
      </w:pPr>
    </w:p>
    <w:sectPr>
      <w:footerReference r:id="rId25" w:type="first"/>
      <w:footerReference r:id="rId23" w:type="default"/>
      <w:footerReference r:id="rId24"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left="72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left="7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left="7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b w:val="0"/>
        <w:i/>
        <w:sz w:val="18"/>
        <w:u w:val="single"/>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招标编号:2025-06-0052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b w:val="0"/>
        <w:i/>
        <w:sz w:val="18"/>
        <w:u w:val="single"/>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招标编号:2025-06-0052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招标编号:2025-06-0052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招标编号:2025-06-0052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DBFE9FE5"/>
    <w:multiLevelType w:val="multilevel"/>
    <w:tmpl w:val="DBFE9FE5"/>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78FA9A07"/>
    <w:multiLevelType w:val="singleLevel"/>
    <w:tmpl w:val="78FA9A07"/>
    <w:lvl w:ilvl="0" w:tentative="0">
      <w:start w:val="1"/>
      <w:numFmt w:val="decimal"/>
      <w:lvlText w:val="%1."/>
      <w:lvlJc w:val="left"/>
      <w:pPr>
        <w:tabs>
          <w:tab w:val="left" w:pos="312"/>
        </w:tabs>
      </w:p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2E55505"/>
    <w:rsid w:val="033E089E"/>
    <w:rsid w:val="04230124"/>
    <w:rsid w:val="06D74677"/>
    <w:rsid w:val="082A3A50"/>
    <w:rsid w:val="0983157E"/>
    <w:rsid w:val="0AF507FE"/>
    <w:rsid w:val="0AFF5CE0"/>
    <w:rsid w:val="0FA0239A"/>
    <w:rsid w:val="14127BE9"/>
    <w:rsid w:val="169E17AF"/>
    <w:rsid w:val="1AF0D45A"/>
    <w:rsid w:val="1FBF3881"/>
    <w:rsid w:val="1FCBC4A9"/>
    <w:rsid w:val="1FDF64A5"/>
    <w:rsid w:val="23384B81"/>
    <w:rsid w:val="26866A58"/>
    <w:rsid w:val="2CDA6E57"/>
    <w:rsid w:val="329B06D6"/>
    <w:rsid w:val="370E5D48"/>
    <w:rsid w:val="37D80F43"/>
    <w:rsid w:val="38647781"/>
    <w:rsid w:val="3DF3849B"/>
    <w:rsid w:val="3E51324C"/>
    <w:rsid w:val="3F326AC0"/>
    <w:rsid w:val="3F6D7804"/>
    <w:rsid w:val="3FD5205E"/>
    <w:rsid w:val="3FEFF7E8"/>
    <w:rsid w:val="3FF7BB55"/>
    <w:rsid w:val="3FFCE84F"/>
    <w:rsid w:val="3FFE25DA"/>
    <w:rsid w:val="3FFF5138"/>
    <w:rsid w:val="423715AE"/>
    <w:rsid w:val="44E70A58"/>
    <w:rsid w:val="45FF8421"/>
    <w:rsid w:val="4B7E1B2F"/>
    <w:rsid w:val="4DE4148C"/>
    <w:rsid w:val="4F20277D"/>
    <w:rsid w:val="4F3FEEA3"/>
    <w:rsid w:val="4FAE554B"/>
    <w:rsid w:val="4FEEF1CF"/>
    <w:rsid w:val="50C301CB"/>
    <w:rsid w:val="55E34E9E"/>
    <w:rsid w:val="566FF3A5"/>
    <w:rsid w:val="57DAE6E1"/>
    <w:rsid w:val="5A558E99"/>
    <w:rsid w:val="5BDF3378"/>
    <w:rsid w:val="5CFEE2CC"/>
    <w:rsid w:val="5D7F1DB6"/>
    <w:rsid w:val="5F665FB3"/>
    <w:rsid w:val="642152E2"/>
    <w:rsid w:val="643952BD"/>
    <w:rsid w:val="65077AE2"/>
    <w:rsid w:val="67FC8C85"/>
    <w:rsid w:val="69B5403F"/>
    <w:rsid w:val="6AEF1016"/>
    <w:rsid w:val="6BBFC6AF"/>
    <w:rsid w:val="6BEFF7E4"/>
    <w:rsid w:val="6E8622BE"/>
    <w:rsid w:val="729E74BD"/>
    <w:rsid w:val="76FBAFF1"/>
    <w:rsid w:val="776E0A3D"/>
    <w:rsid w:val="77C33BE9"/>
    <w:rsid w:val="77FE5760"/>
    <w:rsid w:val="77FF1645"/>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7">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8">
    <w:name w:val="heading 3"/>
    <w:basedOn w:val="1"/>
    <w:next w:val="9"/>
    <w:qFormat/>
    <w:uiPriority w:val="0"/>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2">
    <w:name w:val="Body Text First Indent 2"/>
    <w:basedOn w:val="3"/>
    <w:next w:val="4"/>
    <w:link w:val="122"/>
    <w:qFormat/>
    <w:uiPriority w:val="0"/>
    <w:pPr>
      <w:adjustRightInd/>
      <w:spacing w:after="120" w:line="240" w:lineRule="auto"/>
      <w:ind w:left="420" w:leftChars="200" w:firstLine="210"/>
    </w:pPr>
    <w:rPr>
      <w:sz w:val="21"/>
    </w:rPr>
  </w:style>
  <w:style w:type="paragraph" w:styleId="3">
    <w:name w:val="Body Text Indent"/>
    <w:basedOn w:val="1"/>
    <w:next w:val="2"/>
    <w:link w:val="265"/>
    <w:qFormat/>
    <w:uiPriority w:val="0"/>
    <w:pPr>
      <w:spacing w:line="480" w:lineRule="exact"/>
      <w:ind w:firstLine="480" w:firstLineChars="200"/>
    </w:pPr>
    <w:rPr>
      <w:rFonts w:ascii="宋体" w:hAnsi="宋体"/>
      <w:sz w:val="24"/>
    </w:rPr>
  </w:style>
  <w:style w:type="paragraph" w:styleId="4">
    <w:name w:val="Body Text"/>
    <w:basedOn w:val="1"/>
    <w:next w:val="5"/>
    <w:link w:val="430"/>
    <w:qFormat/>
    <w:uiPriority w:val="0"/>
    <w:pPr>
      <w:autoSpaceDE w:val="0"/>
      <w:autoSpaceDN w:val="0"/>
      <w:spacing w:line="360" w:lineRule="auto"/>
    </w:pPr>
    <w:rPr>
      <w:rFonts w:ascii="宋体" w:hAnsi="Arial" w:cs="Arial"/>
      <w:snapToGrid w:val="0"/>
      <w:sz w:val="24"/>
      <w:szCs w:val="21"/>
      <w:lang w:val="zh-CN"/>
    </w:rPr>
  </w:style>
  <w:style w:type="paragraph" w:customStyle="1" w:styleId="5">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9">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0">
    <w:name w:val="caption"/>
    <w:basedOn w:val="1"/>
    <w:next w:val="1"/>
    <w:link w:val="230"/>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3"/>
    <w:qFormat/>
    <w:uiPriority w:val="0"/>
    <w:pPr>
      <w:shd w:val="clear" w:color="auto" w:fill="000080"/>
    </w:pPr>
  </w:style>
  <w:style w:type="paragraph" w:styleId="23">
    <w:name w:val="annotation text"/>
    <w:basedOn w:val="1"/>
    <w:link w:val="344"/>
    <w:qFormat/>
    <w:uiPriority w:val="99"/>
    <w:pPr>
      <w:jc w:val="left"/>
    </w:pPr>
  </w:style>
  <w:style w:type="paragraph" w:styleId="24">
    <w:name w:val="Salutation"/>
    <w:basedOn w:val="1"/>
    <w:next w:val="1"/>
    <w:link w:val="298"/>
    <w:qFormat/>
    <w:uiPriority w:val="0"/>
    <w:rPr>
      <w:rFonts w:ascii="仿宋_GB2312" w:eastAsia="仿宋_GB2312"/>
      <w:sz w:val="28"/>
      <w:szCs w:val="20"/>
    </w:rPr>
  </w:style>
  <w:style w:type="paragraph" w:styleId="25">
    <w:name w:val="Body Text 3"/>
    <w:basedOn w:val="1"/>
    <w:link w:val="330"/>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9"/>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3"/>
    <w:next w:val="23"/>
    <w:link w:val="97"/>
    <w:qFormat/>
    <w:uiPriority w:val="0"/>
    <w:rPr>
      <w:b/>
      <w:bCs/>
    </w:rPr>
  </w:style>
  <w:style w:type="paragraph" w:styleId="62">
    <w:name w:val="Body Text First Indent"/>
    <w:basedOn w:val="4"/>
    <w:next w:val="1"/>
    <w:link w:val="321"/>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12"/>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7"/>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5"/>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9"/>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8"/>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22"/>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10"/>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20"/>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3"/>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6"/>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11"/>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4"/>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10"/>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3"/>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2"/>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10"/>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5"/>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3"/>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4"/>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9"/>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4"/>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10"/>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7"/>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7"/>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7"/>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8"/>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11"/>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8"/>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7"/>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9"/>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10"/>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7"/>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9"/>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7"/>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8"/>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7"/>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8"/>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6"/>
    <w:qFormat/>
    <w:uiPriority w:val="0"/>
    <w:pPr>
      <w:tabs>
        <w:tab w:val="left" w:pos="840"/>
      </w:tabs>
      <w:adjustRightInd/>
      <w:ind w:left="840" w:hanging="420"/>
    </w:pPr>
  </w:style>
  <w:style w:type="paragraph" w:customStyle="1" w:styleId="626">
    <w:name w:val="样式 标题 2标题2H2Heading 2 HiddenHeading 2 CCBSheading 22nd lev..."/>
    <w:basedOn w:val="7"/>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7"/>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7"/>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6"/>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6"/>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10"/>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7"/>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8"/>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4"/>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9"/>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8"/>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6"/>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4"/>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10"/>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8"/>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9"/>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2"/>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8"/>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6"/>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11"/>
    <w:next w:val="1"/>
    <w:qFormat/>
    <w:uiPriority w:val="0"/>
    <w:pPr>
      <w:tabs>
        <w:tab w:val="left" w:pos="1080"/>
      </w:tabs>
      <w:ind w:left="1080" w:hanging="1080"/>
    </w:pPr>
  </w:style>
  <w:style w:type="paragraph" w:customStyle="1" w:styleId="897">
    <w:name w:val="数字标题1"/>
    <w:basedOn w:val="6"/>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7"/>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正文表格"/>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30.emf"/><Relationship Id="rId57" Type="http://schemas.openxmlformats.org/officeDocument/2006/relationships/oleObject" Target="embeddings/oleObject2.bin"/><Relationship Id="rId56" Type="http://schemas.openxmlformats.org/officeDocument/2006/relationships/image" Target="media/image29.emf"/><Relationship Id="rId55" Type="http://schemas.openxmlformats.org/officeDocument/2006/relationships/oleObject" Target="embeddings/oleObject1.bin"/><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er" Target="footer2.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footer" Target="footer1.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header" Target="header5.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header" Target="header3.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40054</Words>
  <Characters>42580</Characters>
  <Paragraphs>2030</Paragraphs>
  <TotalTime>20</TotalTime>
  <ScaleCrop>false</ScaleCrop>
  <LinksUpToDate>false</LinksUpToDate>
  <CharactersWithSpaces>49831</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amin</cp:lastModifiedBy>
  <cp:lastPrinted>2021-12-31T11:06:00Z</cp:lastPrinted>
  <dcterms:modified xsi:type="dcterms:W3CDTF">2025-06-20T06:14:39Z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