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楷体_GB2312" w:hAnsi="楷体_GB2312" w:eastAsia="楷体_GB2312" w:cs="楷体_GB2312"/>
          <w:b w:val="0"/>
          <w:bCs w:val="0"/>
          <w:color w:val="auto"/>
          <w:sz w:val="56"/>
          <w:szCs w:val="56"/>
          <w:highlight w:val="none"/>
          <w:lang w:eastAsia="zh-CN"/>
        </w:rPr>
      </w:pPr>
      <w:r>
        <w:rPr>
          <w:rFonts w:hint="eastAsia" w:ascii="楷体_GB2312" w:hAnsi="楷体_GB2312" w:eastAsia="楷体_GB2312" w:cs="楷体_GB2312"/>
          <w:b w:val="0"/>
          <w:bCs w:val="0"/>
          <w:color w:val="auto"/>
          <w:sz w:val="56"/>
          <w:szCs w:val="56"/>
          <w:highlight w:val="none"/>
          <w:lang w:eastAsia="zh-CN"/>
        </w:rPr>
        <w:t>绍兴市公安局</w:t>
      </w:r>
    </w:p>
    <w:p>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楷体_GB2312" w:hAnsi="楷体_GB2312" w:eastAsia="楷体_GB2312" w:cs="楷体_GB2312"/>
          <w:b w:val="0"/>
          <w:bCs w:val="0"/>
          <w:color w:val="auto"/>
          <w:sz w:val="56"/>
          <w:szCs w:val="56"/>
          <w:highlight w:val="none"/>
          <w:lang w:eastAsia="zh-CN"/>
        </w:rPr>
      </w:pPr>
      <w:bookmarkStart w:id="0" w:name="OLE_LINK5"/>
      <w:r>
        <w:rPr>
          <w:rFonts w:hint="eastAsia" w:ascii="楷体_GB2312" w:hAnsi="楷体_GB2312" w:eastAsia="楷体_GB2312" w:cs="楷体_GB2312"/>
          <w:b w:val="0"/>
          <w:bCs w:val="0"/>
          <w:color w:val="auto"/>
          <w:sz w:val="56"/>
          <w:szCs w:val="56"/>
          <w:highlight w:val="none"/>
          <w:lang w:eastAsia="zh-CN"/>
        </w:rPr>
        <w:t>589个高清监控改造租赁项目</w:t>
      </w:r>
    </w:p>
    <w:bookmarkEnd w:id="0"/>
    <w:p>
      <w:pPr>
        <w:kinsoku/>
        <w:wordWrap w:val="0"/>
        <w:overflowPunct/>
        <w:topLinePunct w:val="0"/>
        <w:bidi w:val="0"/>
        <w:jc w:val="center"/>
        <w:outlineLvl w:val="0"/>
        <w:rPr>
          <w:rFonts w:hint="eastAsia" w:ascii="楷体_GB2312" w:hAnsi="楷体_GB2312" w:eastAsia="楷体_GB2312" w:cs="楷体_GB2312"/>
          <w:b/>
          <w:color w:val="auto"/>
          <w:sz w:val="72"/>
          <w:szCs w:val="72"/>
          <w:highlight w:val="none"/>
        </w:rPr>
      </w:pPr>
    </w:p>
    <w:p>
      <w:pPr>
        <w:kinsoku/>
        <w:wordWrap w:val="0"/>
        <w:overflowPunct/>
        <w:topLinePunct w:val="0"/>
        <w:bidi w:val="0"/>
        <w:jc w:val="center"/>
        <w:outlineLvl w:val="0"/>
        <w:rPr>
          <w:rFonts w:hint="eastAsia" w:ascii="楷体_GB2312" w:hAnsi="楷体_GB2312" w:eastAsia="楷体_GB2312" w:cs="楷体_GB2312"/>
          <w:b/>
          <w:color w:val="auto"/>
          <w:sz w:val="72"/>
          <w:szCs w:val="72"/>
          <w:highlight w:val="none"/>
        </w:rPr>
      </w:pPr>
      <w:r>
        <w:rPr>
          <w:rFonts w:hint="eastAsia" w:ascii="楷体_GB2312" w:hAnsi="楷体_GB2312" w:eastAsia="楷体_GB2312" w:cs="楷体_GB2312"/>
          <w:b/>
          <w:color w:val="auto"/>
          <w:sz w:val="72"/>
          <w:szCs w:val="72"/>
          <w:highlight w:val="none"/>
        </w:rPr>
        <w:t>公</w:t>
      </w:r>
    </w:p>
    <w:p>
      <w:pPr>
        <w:kinsoku/>
        <w:wordWrap w:val="0"/>
        <w:overflowPunct/>
        <w:topLinePunct w:val="0"/>
        <w:bidi w:val="0"/>
        <w:jc w:val="center"/>
        <w:outlineLvl w:val="0"/>
        <w:rPr>
          <w:rFonts w:hint="eastAsia" w:ascii="楷体_GB2312" w:hAnsi="楷体_GB2312" w:eastAsia="楷体_GB2312" w:cs="楷体_GB2312"/>
          <w:b/>
          <w:color w:val="auto"/>
          <w:sz w:val="72"/>
          <w:szCs w:val="72"/>
          <w:highlight w:val="none"/>
        </w:rPr>
      </w:pPr>
      <w:r>
        <w:rPr>
          <w:rFonts w:hint="eastAsia" w:ascii="楷体_GB2312" w:hAnsi="楷体_GB2312" w:eastAsia="楷体_GB2312" w:cs="楷体_GB2312"/>
          <w:b/>
          <w:color w:val="auto"/>
          <w:sz w:val="72"/>
          <w:szCs w:val="72"/>
          <w:highlight w:val="none"/>
        </w:rPr>
        <w:t>开</w:t>
      </w:r>
    </w:p>
    <w:p>
      <w:pPr>
        <w:kinsoku/>
        <w:wordWrap w:val="0"/>
        <w:overflowPunct/>
        <w:topLinePunct w:val="0"/>
        <w:bidi w:val="0"/>
        <w:jc w:val="center"/>
        <w:outlineLvl w:val="0"/>
        <w:rPr>
          <w:rFonts w:hint="eastAsia" w:ascii="楷体_GB2312" w:hAnsi="楷体_GB2312" w:eastAsia="楷体_GB2312" w:cs="楷体_GB2312"/>
          <w:b/>
          <w:color w:val="auto"/>
          <w:sz w:val="72"/>
          <w:szCs w:val="72"/>
          <w:highlight w:val="none"/>
        </w:rPr>
      </w:pPr>
      <w:r>
        <w:rPr>
          <w:rFonts w:hint="eastAsia" w:ascii="楷体_GB2312" w:hAnsi="楷体_GB2312" w:eastAsia="楷体_GB2312" w:cs="楷体_GB2312"/>
          <w:b/>
          <w:color w:val="auto"/>
          <w:sz w:val="72"/>
          <w:szCs w:val="72"/>
          <w:highlight w:val="none"/>
        </w:rPr>
        <w:t>招</w:t>
      </w:r>
    </w:p>
    <w:p>
      <w:pPr>
        <w:kinsoku/>
        <w:wordWrap w:val="0"/>
        <w:overflowPunct/>
        <w:topLinePunct w:val="0"/>
        <w:bidi w:val="0"/>
        <w:jc w:val="center"/>
        <w:outlineLvl w:val="0"/>
        <w:rPr>
          <w:rFonts w:hint="eastAsia" w:ascii="楷体_GB2312" w:hAnsi="楷体_GB2312" w:eastAsia="楷体_GB2312" w:cs="楷体_GB2312"/>
          <w:b/>
          <w:color w:val="auto"/>
          <w:sz w:val="72"/>
          <w:szCs w:val="72"/>
          <w:highlight w:val="none"/>
        </w:rPr>
      </w:pPr>
      <w:r>
        <w:rPr>
          <w:rFonts w:hint="eastAsia" w:ascii="楷体_GB2312" w:hAnsi="楷体_GB2312" w:eastAsia="楷体_GB2312" w:cs="楷体_GB2312"/>
          <w:b/>
          <w:color w:val="auto"/>
          <w:sz w:val="72"/>
          <w:szCs w:val="72"/>
          <w:highlight w:val="none"/>
        </w:rPr>
        <w:t>标</w:t>
      </w:r>
    </w:p>
    <w:p>
      <w:pPr>
        <w:kinsoku/>
        <w:wordWrap w:val="0"/>
        <w:overflowPunct/>
        <w:topLinePunct w:val="0"/>
        <w:bidi w:val="0"/>
        <w:jc w:val="center"/>
        <w:outlineLvl w:val="0"/>
        <w:rPr>
          <w:rFonts w:hint="eastAsia" w:ascii="楷体_GB2312" w:hAnsi="楷体_GB2312" w:eastAsia="楷体_GB2312" w:cs="楷体_GB2312"/>
          <w:b/>
          <w:color w:val="auto"/>
          <w:sz w:val="72"/>
          <w:szCs w:val="72"/>
          <w:highlight w:val="none"/>
        </w:rPr>
      </w:pPr>
      <w:r>
        <w:rPr>
          <w:rFonts w:hint="eastAsia" w:ascii="楷体_GB2312" w:hAnsi="楷体_GB2312" w:eastAsia="楷体_GB2312" w:cs="楷体_GB2312"/>
          <w:b/>
          <w:color w:val="auto"/>
          <w:sz w:val="72"/>
          <w:szCs w:val="72"/>
          <w:highlight w:val="none"/>
        </w:rPr>
        <w:t>文</w:t>
      </w:r>
    </w:p>
    <w:p>
      <w:pPr>
        <w:kinsoku/>
        <w:wordWrap w:val="0"/>
        <w:overflowPunct/>
        <w:topLinePunct w:val="0"/>
        <w:bidi w:val="0"/>
        <w:jc w:val="center"/>
        <w:outlineLvl w:val="0"/>
        <w:rPr>
          <w:rFonts w:hint="eastAsia" w:ascii="楷体_GB2312" w:hAnsi="楷体_GB2312" w:eastAsia="楷体_GB2312" w:cs="楷体_GB2312"/>
          <w:color w:val="auto"/>
          <w:sz w:val="44"/>
          <w:highlight w:val="none"/>
        </w:rPr>
      </w:pPr>
      <w:r>
        <w:rPr>
          <w:rFonts w:hint="eastAsia" w:ascii="楷体_GB2312" w:hAnsi="楷体_GB2312" w:eastAsia="楷体_GB2312" w:cs="楷体_GB2312"/>
          <w:b/>
          <w:color w:val="auto"/>
          <w:sz w:val="72"/>
          <w:szCs w:val="72"/>
          <w:highlight w:val="none"/>
        </w:rPr>
        <w:t>件</w:t>
      </w:r>
    </w:p>
    <w:p>
      <w:pPr>
        <w:kinsoku/>
        <w:wordWrap w:val="0"/>
        <w:overflowPunct/>
        <w:topLinePunct w:val="0"/>
        <w:bidi w:val="0"/>
        <w:adjustRightInd/>
        <w:spacing w:line="360" w:lineRule="auto"/>
        <w:jc w:val="center"/>
        <w:rPr>
          <w:rFonts w:hint="eastAsia" w:ascii="楷体_GB2312" w:hAnsi="楷体_GB2312" w:eastAsia="楷体_GB2312" w:cs="楷体_GB2312"/>
          <w:b/>
          <w:color w:val="auto"/>
          <w:sz w:val="44"/>
          <w:szCs w:val="44"/>
          <w:highlight w:val="none"/>
        </w:rPr>
      </w:pPr>
      <w:r>
        <w:rPr>
          <w:rFonts w:hint="eastAsia" w:ascii="楷体_GB2312" w:hAnsi="楷体_GB2312" w:eastAsia="楷体_GB2312" w:cs="楷体_GB2312"/>
          <w:b/>
          <w:color w:val="auto"/>
          <w:sz w:val="44"/>
          <w:szCs w:val="44"/>
          <w:highlight w:val="none"/>
        </w:rPr>
        <w:t>（电子招投标）</w:t>
      </w:r>
    </w:p>
    <w:p>
      <w:pPr>
        <w:pStyle w:val="5"/>
        <w:kinsoku/>
        <w:wordWrap w:val="0"/>
        <w:overflowPunct/>
        <w:topLinePunct w:val="0"/>
        <w:bidi w:val="0"/>
        <w:rPr>
          <w:rFonts w:hint="eastAsia" w:ascii="楷体_GB2312" w:hAnsi="楷体_GB2312" w:eastAsia="楷体_GB2312" w:cs="楷体_GB2312"/>
          <w:b/>
          <w:color w:val="auto"/>
          <w:sz w:val="44"/>
          <w:szCs w:val="44"/>
          <w:highlight w:val="none"/>
        </w:rPr>
      </w:pPr>
    </w:p>
    <w:p>
      <w:pPr>
        <w:kinsoku/>
        <w:wordWrap w:val="0"/>
        <w:overflowPunct/>
        <w:topLinePunct w:val="0"/>
        <w:bidi w:val="0"/>
        <w:rPr>
          <w:rFonts w:hint="eastAsia" w:ascii="楷体_GB2312" w:hAnsi="楷体_GB2312" w:eastAsia="楷体_GB2312" w:cs="楷体_GB2312"/>
          <w:color w:val="auto"/>
          <w:highlight w:val="none"/>
        </w:rPr>
      </w:pPr>
    </w:p>
    <w:p>
      <w:pPr>
        <w:kinsoku/>
        <w:wordWrap w:val="0"/>
        <w:overflowPunct/>
        <w:topLinePunct w:val="0"/>
        <w:bidi w:val="0"/>
        <w:jc w:val="center"/>
        <w:rPr>
          <w:rFonts w:hint="eastAsia" w:ascii="楷体_GB2312" w:hAnsi="楷体_GB2312" w:eastAsia="楷体_GB2312" w:cs="楷体_GB2312"/>
          <w:b w:val="0"/>
          <w:bCs/>
          <w:color w:val="auto"/>
          <w:sz w:val="28"/>
          <w:szCs w:val="28"/>
          <w:highlight w:val="none"/>
          <w:lang w:eastAsia="zh-CN"/>
        </w:rPr>
      </w:pPr>
      <w:r>
        <w:rPr>
          <w:rFonts w:hint="eastAsia" w:ascii="楷体_GB2312" w:hAnsi="楷体_GB2312" w:eastAsia="楷体_GB2312" w:cs="楷体_GB2312"/>
          <w:b/>
          <w:color w:val="auto"/>
          <w:sz w:val="44"/>
          <w:szCs w:val="44"/>
          <w:highlight w:val="none"/>
        </w:rPr>
        <w:t xml:space="preserve"> </w:t>
      </w:r>
      <w:r>
        <w:rPr>
          <w:rFonts w:hint="eastAsia" w:ascii="楷体_GB2312" w:hAnsi="楷体_GB2312" w:eastAsia="楷体_GB2312" w:cs="楷体_GB2312"/>
          <w:b w:val="0"/>
          <w:bCs/>
          <w:color w:val="auto"/>
          <w:sz w:val="28"/>
          <w:szCs w:val="28"/>
          <w:highlight w:val="none"/>
          <w:lang w:eastAsia="zh-CN"/>
        </w:rPr>
        <w:t>招标编号:2025-07-0061</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楷体_GB2312" w:hAnsi="楷体_GB2312" w:eastAsia="楷体_GB2312" w:cs="楷体_GB2312"/>
                <w:color w:val="auto"/>
                <w:sz w:val="28"/>
                <w:szCs w:val="28"/>
                <w:highlight w:val="none"/>
              </w:rPr>
            </w:pPr>
            <w:r>
              <w:rPr>
                <w:rFonts w:hint="eastAsia" w:ascii="楷体_GB2312" w:hAnsi="楷体_GB2312" w:eastAsia="楷体_GB2312" w:cs="楷体_GB2312"/>
                <w:color w:val="auto"/>
                <w:spacing w:val="93"/>
                <w:kern w:val="0"/>
                <w:sz w:val="28"/>
                <w:szCs w:val="28"/>
                <w:highlight w:val="none"/>
              </w:rPr>
              <w:t>采购单</w:t>
            </w:r>
            <w:r>
              <w:rPr>
                <w:rFonts w:hint="eastAsia" w:ascii="楷体_GB2312" w:hAnsi="楷体_GB2312" w:eastAsia="楷体_GB2312" w:cs="楷体_GB2312"/>
                <w:color w:val="auto"/>
                <w:spacing w:val="1"/>
                <w:kern w:val="0"/>
                <w:sz w:val="28"/>
                <w:szCs w:val="28"/>
                <w:highlight w:val="none"/>
              </w:rPr>
              <w:t>位</w:t>
            </w:r>
            <w:r>
              <w:rPr>
                <w:rFonts w:hint="eastAsia" w:ascii="楷体_GB2312" w:hAnsi="楷体_GB2312" w:eastAsia="楷体_GB2312" w:cs="楷体_GB2312"/>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楷体_GB2312" w:hAnsi="楷体_GB2312" w:eastAsia="楷体_GB2312" w:cs="楷体_GB2312"/>
                <w:color w:val="auto"/>
                <w:sz w:val="28"/>
                <w:szCs w:val="28"/>
                <w:highlight w:val="none"/>
                <w:lang w:eastAsia="zh-CN"/>
              </w:rPr>
            </w:pPr>
            <w:r>
              <w:rPr>
                <w:rFonts w:hint="eastAsia" w:ascii="楷体_GB2312" w:hAnsi="楷体_GB2312" w:eastAsia="楷体_GB2312" w:cs="楷体_GB2312"/>
                <w:color w:val="auto"/>
                <w:sz w:val="28"/>
                <w:szCs w:val="28"/>
                <w:highlight w:val="none"/>
                <w:lang w:eastAsia="zh-CN"/>
              </w:rPr>
              <w:t xml:space="preserve">绍兴市公安局    </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楷体_GB2312" w:hAnsi="楷体_GB2312" w:eastAsia="楷体_GB2312" w:cs="楷体_GB2312"/>
                <w:color w:val="auto"/>
                <w:sz w:val="28"/>
                <w:szCs w:val="28"/>
                <w:highlight w:val="none"/>
              </w:rPr>
            </w:pPr>
            <w:r>
              <w:rPr>
                <w:rFonts w:hint="eastAsia" w:ascii="楷体_GB2312" w:hAnsi="楷体_GB2312" w:eastAsia="楷体_GB2312" w:cs="楷体_GB2312"/>
                <w:color w:val="auto"/>
                <w:spacing w:val="0"/>
                <w:w w:val="100"/>
                <w:kern w:val="0"/>
                <w:sz w:val="28"/>
                <w:szCs w:val="28"/>
                <w:highlight w:val="none"/>
                <w:fitText w:val="1680" w:id="1811156363"/>
              </w:rPr>
              <w:t>采购代理机构</w:t>
            </w:r>
            <w:r>
              <w:rPr>
                <w:rFonts w:hint="eastAsia" w:ascii="楷体_GB2312" w:hAnsi="楷体_GB2312" w:eastAsia="楷体_GB2312" w:cs="楷体_GB2312"/>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楷体_GB2312" w:hAnsi="楷体_GB2312" w:eastAsia="楷体_GB2312" w:cs="楷体_GB2312"/>
                <w:color w:val="auto"/>
                <w:sz w:val="28"/>
                <w:szCs w:val="28"/>
                <w:highlight w:val="none"/>
              </w:rPr>
            </w:pPr>
            <w:r>
              <w:rPr>
                <w:rFonts w:hint="eastAsia" w:ascii="楷体_GB2312" w:hAnsi="楷体_GB2312" w:eastAsia="楷体_GB2312" w:cs="楷体_GB2312"/>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楷体_GB2312" w:hAnsi="楷体_GB2312" w:eastAsia="楷体_GB2312" w:cs="楷体_GB2312"/>
                <w:color w:val="auto"/>
                <w:sz w:val="28"/>
                <w:szCs w:val="28"/>
                <w:highlight w:val="none"/>
              </w:rPr>
            </w:pPr>
            <w:r>
              <w:rPr>
                <w:rFonts w:hint="eastAsia" w:ascii="楷体_GB2312" w:hAnsi="楷体_GB2312" w:eastAsia="楷体_GB2312" w:cs="楷体_GB2312"/>
                <w:color w:val="auto"/>
                <w:spacing w:val="93"/>
                <w:kern w:val="0"/>
                <w:sz w:val="28"/>
                <w:szCs w:val="28"/>
                <w:highlight w:val="none"/>
                <w:fitText w:val="1680" w:id="652623389"/>
              </w:rPr>
              <w:t>监督单</w:t>
            </w:r>
            <w:r>
              <w:rPr>
                <w:rFonts w:hint="eastAsia" w:ascii="楷体_GB2312" w:hAnsi="楷体_GB2312" w:eastAsia="楷体_GB2312" w:cs="楷体_GB2312"/>
                <w:color w:val="auto"/>
                <w:spacing w:val="1"/>
                <w:kern w:val="0"/>
                <w:sz w:val="28"/>
                <w:szCs w:val="28"/>
                <w:highlight w:val="none"/>
                <w:fitText w:val="1680" w:id="652623389"/>
              </w:rPr>
              <w:t>位</w:t>
            </w:r>
            <w:r>
              <w:rPr>
                <w:rFonts w:hint="eastAsia" w:ascii="楷体_GB2312" w:hAnsi="楷体_GB2312" w:eastAsia="楷体_GB2312" w:cs="楷体_GB2312"/>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楷体_GB2312" w:hAnsi="楷体_GB2312" w:eastAsia="楷体_GB2312" w:cs="楷体_GB2312"/>
                <w:color w:val="auto"/>
                <w:sz w:val="28"/>
                <w:szCs w:val="28"/>
                <w:highlight w:val="none"/>
              </w:rPr>
            </w:pPr>
            <w:r>
              <w:rPr>
                <w:rFonts w:hint="eastAsia" w:ascii="楷体_GB2312" w:hAnsi="楷体_GB2312" w:eastAsia="楷体_GB2312" w:cs="楷体_GB2312"/>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楷体_GB2312" w:hAnsi="楷体_GB2312" w:eastAsia="楷体_GB2312" w:cs="楷体_GB2312"/>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楷体_GB2312" w:hAnsi="楷体_GB2312" w:eastAsia="楷体_GB2312" w:cs="楷体_GB2312"/>
                <w:color w:val="auto"/>
                <w:sz w:val="28"/>
                <w:szCs w:val="28"/>
                <w:highlight w:val="none"/>
              </w:rPr>
            </w:pPr>
            <w:r>
              <w:rPr>
                <w:rFonts w:hint="eastAsia" w:ascii="楷体_GB2312" w:hAnsi="楷体_GB2312" w:eastAsia="楷体_GB2312" w:cs="楷体_GB2312"/>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楷体_GB2312" w:hAnsi="楷体_GB2312" w:eastAsia="楷体_GB2312" w:cs="楷体_GB2312"/>
                <w:color w:val="auto"/>
                <w:sz w:val="28"/>
                <w:szCs w:val="28"/>
                <w:highlight w:val="none"/>
              </w:rPr>
            </w:pPr>
            <w:r>
              <w:rPr>
                <w:rFonts w:hint="eastAsia" w:ascii="楷体_GB2312" w:hAnsi="楷体_GB2312" w:eastAsia="楷体_GB2312" w:cs="楷体_GB2312"/>
                <w:color w:val="auto"/>
                <w:sz w:val="28"/>
                <w:szCs w:val="28"/>
                <w:highlight w:val="none"/>
              </w:rPr>
              <w:t>二○二</w:t>
            </w:r>
            <w:r>
              <w:rPr>
                <w:rFonts w:hint="eastAsia" w:ascii="楷体_GB2312" w:hAnsi="楷体_GB2312" w:eastAsia="楷体_GB2312" w:cs="楷体_GB2312"/>
                <w:color w:val="auto"/>
                <w:sz w:val="28"/>
                <w:szCs w:val="28"/>
                <w:highlight w:val="none"/>
                <w:lang w:val="en-US" w:eastAsia="zh-CN"/>
              </w:rPr>
              <w:t>五</w:t>
            </w:r>
            <w:r>
              <w:rPr>
                <w:rFonts w:hint="eastAsia" w:ascii="楷体_GB2312" w:hAnsi="楷体_GB2312" w:eastAsia="楷体_GB2312" w:cs="楷体_GB2312"/>
                <w:color w:val="auto"/>
                <w:sz w:val="28"/>
                <w:szCs w:val="28"/>
                <w:highlight w:val="none"/>
              </w:rPr>
              <w:t>年</w:t>
            </w:r>
            <w:r>
              <w:rPr>
                <w:rFonts w:hint="eastAsia" w:ascii="楷体_GB2312" w:hAnsi="楷体_GB2312" w:eastAsia="楷体_GB2312" w:cs="楷体_GB2312"/>
                <w:color w:val="auto"/>
                <w:sz w:val="28"/>
                <w:szCs w:val="28"/>
                <w:highlight w:val="none"/>
                <w:lang w:val="en-US" w:eastAsia="zh-CN"/>
              </w:rPr>
              <w:t>七</w:t>
            </w:r>
            <w:r>
              <w:rPr>
                <w:rFonts w:hint="eastAsia" w:ascii="楷体_GB2312" w:hAnsi="楷体_GB2312" w:eastAsia="楷体_GB2312" w:cs="楷体_GB2312"/>
                <w:color w:val="auto"/>
                <w:sz w:val="28"/>
                <w:szCs w:val="28"/>
                <w:highlight w:val="none"/>
              </w:rPr>
              <w:t>月</w:t>
            </w:r>
          </w:p>
        </w:tc>
      </w:tr>
    </w:tbl>
    <w:p>
      <w:pPr>
        <w:pStyle w:val="636"/>
        <w:kinsoku/>
        <w:wordWrap w:val="0"/>
        <w:overflowPunct/>
        <w:topLinePunct w:val="0"/>
        <w:bidi w:val="0"/>
        <w:rPr>
          <w:rFonts w:hint="eastAsia" w:ascii="楷体_GB2312" w:hAnsi="楷体_GB2312" w:eastAsia="楷体_GB2312" w:cs="楷体_GB2312"/>
          <w:color w:val="auto"/>
          <w:highlight w:val="none"/>
        </w:rPr>
        <w:sectPr>
          <w:headerReference r:id="rId4" w:type="first"/>
          <w:headerReference r:id="rId3" w:type="default"/>
          <w:footerReference r:id="rId5" w:type="even"/>
          <w:pgSz w:w="11906" w:h="16838"/>
          <w:pgMar w:top="1474" w:right="1814" w:bottom="1474" w:left="1814" w:header="851" w:footer="992" w:gutter="0"/>
          <w:pgNumType w:fmt="decimal" w:start="1"/>
          <w:cols w:space="720" w:num="1"/>
          <w:titlePg/>
          <w:docGrid w:linePitch="312" w:charSpace="0"/>
        </w:sectPr>
      </w:pPr>
    </w:p>
    <w:p>
      <w:pPr>
        <w:pStyle w:val="636"/>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_GB2312" w:hAnsi="仿宋_GB2312" w:eastAsia="仿宋_GB2312" w:cs="仿宋_GB2312"/>
          <w:color w:val="auto"/>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1" w:name="_Hlt91233176"/>
      <w:bookmarkEnd w:id="1"/>
      <w:bookmarkStart w:id="2" w:name="_Toc91899869"/>
      <w:r>
        <w:rPr>
          <w:rFonts w:hint="eastAsia" w:ascii="仿宋_GB2312" w:hAnsi="仿宋_GB2312" w:eastAsia="仿宋_GB2312" w:cs="仿宋_GB2312"/>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2"/>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bookmarkStart w:id="3" w:name="第二部分"/>
      <w:bookmarkStart w:id="4" w:name="_Toc91899870"/>
      <w:bookmarkStart w:id="5"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headerReference r:id="rId7" w:type="first"/>
          <w:footerReference r:id="rId9" w:type="first"/>
          <w:headerReference r:id="rId6" w:type="default"/>
          <w:footerReference r:id="rId8" w:type="default"/>
          <w:pgSz w:w="11906" w:h="16838"/>
          <w:pgMar w:top="1474" w:right="1814" w:bottom="1474" w:left="1814" w:header="851" w:footer="992" w:gutter="0"/>
          <w:pgNumType w:fmt="decimal" w:start="1"/>
          <w:cols w:space="720" w:num="1"/>
          <w:titlePg/>
          <w:docGrid w:linePitch="312" w:charSpace="0"/>
        </w:sect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绍兴市公安局589个高清监控改造租赁项目</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7"/>
          <w:rFonts w:hint="eastAsia" w:ascii="仿宋_GB2312" w:hAnsi="仿宋_GB2312" w:eastAsia="仿宋_GB2312" w:cs="仿宋_GB2312"/>
          <w:snapToGrid/>
          <w:color w:val="auto"/>
          <w:kern w:val="2"/>
          <w:sz w:val="24"/>
          <w:szCs w:val="24"/>
          <w:highlight w:val="none"/>
        </w:rPr>
        <w:t>https://www.zcygov.cn/）获取（下载）招标文件，并于202</w:t>
      </w:r>
      <w:r>
        <w:rPr>
          <w:rStyle w:val="77"/>
          <w:rFonts w:hint="eastAsia" w:ascii="仿宋_GB2312" w:hAnsi="仿宋_GB2312" w:eastAsia="仿宋_GB2312" w:cs="仿宋_GB2312"/>
          <w:snapToGrid/>
          <w:color w:val="auto"/>
          <w:kern w:val="2"/>
          <w:sz w:val="24"/>
          <w:szCs w:val="24"/>
          <w:highlight w:val="none"/>
          <w:lang w:val="en-US" w:eastAsia="zh-CN"/>
        </w:rPr>
        <w:t>5</w:t>
      </w:r>
      <w:r>
        <w:rPr>
          <w:rStyle w:val="77"/>
          <w:rFonts w:hint="eastAsia" w:ascii="仿宋_GB2312" w:hAnsi="仿宋_GB2312" w:eastAsia="仿宋_GB2312" w:cs="仿宋_GB2312"/>
          <w:snapToGrid/>
          <w:color w:val="auto"/>
          <w:kern w:val="2"/>
          <w:sz w:val="24"/>
          <w:szCs w:val="24"/>
          <w:highlight w:val="none"/>
        </w:rPr>
        <w:t>年 月 日 点 分</w:t>
      </w:r>
      <w:r>
        <w:rPr>
          <w:rStyle w:val="77"/>
          <w:rFonts w:hint="eastAsia" w:ascii="仿宋_GB2312" w:hAnsi="仿宋_GB2312" w:eastAsia="仿宋_GB2312" w:cs="仿宋_GB2312"/>
          <w:bCs/>
          <w:snapToGrid/>
          <w:color w:val="auto"/>
          <w:kern w:val="2"/>
          <w:sz w:val="24"/>
          <w:szCs w:val="24"/>
          <w:highlight w:val="none"/>
        </w:rPr>
        <w:t>00秒</w:t>
      </w:r>
      <w:r>
        <w:rPr>
          <w:rStyle w:val="77"/>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2025-07-0061</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绍兴市公安局589个高清监控改造租赁项目</w:t>
      </w:r>
    </w:p>
    <w:p>
      <w:pPr>
        <w:pageBreakBefore w:val="0"/>
        <w:widowControl w:val="0"/>
        <w:kinsoku/>
        <w:wordWrap w:val="0"/>
        <w:overflowPunct/>
        <w:topLinePunct w:val="0"/>
        <w:autoSpaceDE/>
        <w:autoSpaceDN/>
        <w:bidi w:val="0"/>
        <w:spacing w:line="360" w:lineRule="auto"/>
        <w:ind w:left="0" w:firstLine="482" w:firstLineChars="200"/>
        <w:textAlignment w:val="auto"/>
        <w:rPr>
          <w:rFonts w:hint="default"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rPr>
        <w:t>预算金额（元）：7580200</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最高限价（元）：7490800</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标项名称：589个高清监控改造租赁项目</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360" w:lineRule="auto"/>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预算金额：7580200</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备注：最高限价7490800元</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color w:val="auto"/>
            <w:highlight w:val="none"/>
          </w:rPr>
          <w:id w:val="337506595"/>
        </w:sdtPr>
        <w:sdtEndPr>
          <w:rPr>
            <w:rFonts w:hint="eastAsia" w:ascii="仿宋_GB2312" w:hAnsi="仿宋_GB2312" w:eastAsia="仿宋_GB2312" w:cs="仿宋_GB2312"/>
            <w:color w:val="auto"/>
            <w:highlight w:val="none"/>
          </w:rPr>
        </w:sdtEndPr>
        <w:sdtContent>
          <w:r>
            <w:rPr>
              <w:rFonts w:hint="eastAsia" w:ascii="仿宋_GB2312" w:hAnsi="仿宋_GB2312" w:eastAsia="仿宋_GB2312" w:cs="仿宋_GB2312"/>
              <w:color w:val="auto"/>
              <w:highlight w:val="none"/>
            </w:rPr>
            <w:sym w:font="Wingdings" w:char="F0FE"/>
          </w:r>
        </w:sdtContent>
      </w:sdt>
      <w:r>
        <w:rPr>
          <w:rFonts w:hint="eastAsia" w:ascii="仿宋_GB2312" w:hAnsi="仿宋_GB2312" w:eastAsia="仿宋_GB2312" w:cs="仿宋_GB2312"/>
          <w:b/>
          <w:color w:val="auto"/>
          <w:sz w:val="24"/>
          <w:highlight w:val="none"/>
        </w:rPr>
        <w:t>是，</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b/>
          <w:color w:val="auto"/>
          <w:sz w:val="24"/>
          <w:highlight w:val="none"/>
        </w:rPr>
        <w:t>否。</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_GB2312" w:hAnsi="仿宋_GB2312" w:eastAsia="仿宋_GB2312" w:cs="仿宋_GB2312"/>
          <w:snapToGrid w:val="0"/>
          <w:color w:val="auto"/>
          <w:kern w:val="28"/>
          <w:sz w:val="24"/>
          <w:szCs w:val="20"/>
          <w:highlight w:val="none"/>
          <w:lang w:eastAsia="zh-CN"/>
        </w:rPr>
        <w:t>重大税收违法失信主体</w:t>
      </w:r>
      <w:r>
        <w:rPr>
          <w:rFonts w:hint="eastAsia" w:ascii="仿宋_GB2312" w:hAnsi="仿宋_GB2312" w:eastAsia="仿宋_GB2312" w:cs="仿宋_GB2312"/>
          <w:snapToGrid w:val="0"/>
          <w:color w:val="auto"/>
          <w:kern w:val="28"/>
          <w:sz w:val="24"/>
          <w:szCs w:val="20"/>
          <w:highlight w:val="none"/>
        </w:rPr>
        <w:t>、政府采购严重违法失信行为记录名单；</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color w:val="auto"/>
          <w:sz w:val="24"/>
          <w:highlight w:val="none"/>
        </w:rPr>
        <w:t>服务全部由符合政策要求的中小企业承接，提供中小企业声明函；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 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 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 年 月 日 点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szCs w:val="24"/>
          <w:highlight w:val="none"/>
        </w:rPr>
      </w:pPr>
      <w:bookmarkStart w:id="6" w:name="_Toc28359019"/>
      <w:bookmarkStart w:id="7" w:name="_Toc35393637"/>
      <w:bookmarkStart w:id="8" w:name="_Toc28359096"/>
      <w:bookmarkStart w:id="9" w:name="_Toc35393806"/>
      <w:r>
        <w:rPr>
          <w:rFonts w:hint="eastAsia" w:ascii="仿宋_GB2312" w:hAnsi="仿宋_GB2312" w:eastAsia="仿宋_GB2312" w:cs="仿宋_GB2312"/>
          <w:color w:val="auto"/>
          <w:sz w:val="24"/>
          <w:szCs w:val="24"/>
          <w:highlight w:val="none"/>
        </w:rPr>
        <w:t>1.采购人信息</w:t>
      </w:r>
      <w:bookmarkEnd w:id="6"/>
      <w:bookmarkEnd w:id="7"/>
      <w:bookmarkEnd w:id="8"/>
      <w:bookmarkEnd w:id="9"/>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名    称：</w:t>
      </w:r>
      <w:r>
        <w:rPr>
          <w:rFonts w:hint="eastAsia" w:ascii="仿宋_GB2312" w:hAnsi="仿宋_GB2312" w:eastAsia="仿宋_GB2312" w:cs="仿宋_GB2312"/>
          <w:color w:val="auto"/>
          <w:sz w:val="24"/>
          <w:highlight w:val="none"/>
          <w:lang w:eastAsia="zh-CN"/>
        </w:rPr>
        <w:t>绍兴市公安局</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bookmarkStart w:id="10" w:name="_Toc35393807"/>
      <w:bookmarkStart w:id="11" w:name="_Toc28359020"/>
      <w:bookmarkStart w:id="12" w:name="_Toc35393638"/>
      <w:bookmarkStart w:id="13" w:name="_Toc28359097"/>
      <w:r>
        <w:rPr>
          <w:rFonts w:hint="eastAsia" w:ascii="仿宋_GB2312" w:hAnsi="仿宋_GB2312" w:eastAsia="仿宋_GB2312" w:cs="仿宋_GB2312"/>
          <w:color w:val="auto"/>
          <w:sz w:val="24"/>
          <w:highlight w:val="none"/>
        </w:rPr>
        <w:t>地址：绍兴市灵芝街道凤林西路1977号</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传真：0575-88582382</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项目联系人（询问）：陈鉴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项目联系方式（询问）：0575-88582382</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质疑联系人：赵建伟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质疑联系方式：0575-88293999</w:t>
      </w:r>
    </w:p>
    <w:p>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2.采购代理机构信息</w:t>
      </w:r>
      <w:bookmarkEnd w:id="10"/>
      <w:bookmarkEnd w:id="11"/>
      <w:bookmarkEnd w:id="12"/>
      <w:bookmarkEnd w:id="13"/>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bookmarkStart w:id="14" w:name="_Toc28359098"/>
      <w:bookmarkStart w:id="15" w:name="_Toc35393808"/>
      <w:bookmarkStart w:id="16" w:name="_Toc28359021"/>
      <w:bookmarkStart w:id="17" w:name="_Toc35393639"/>
      <w:r>
        <w:rPr>
          <w:rFonts w:hint="eastAsia" w:ascii="仿宋_GB2312" w:hAnsi="仿宋_GB2312" w:eastAsia="仿宋_GB2312" w:cs="仿宋_GB2312"/>
          <w:color w:val="auto"/>
          <w:sz w:val="24"/>
          <w:highlight w:val="none"/>
        </w:rPr>
        <w:t>名    称：绍兴市公共资源交易中心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址：绍兴市越城区洋江西路699号</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项目联系人（询问）：黄世杰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项目联系方式（询问）：0575-88307028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质疑联系人：顾梁杰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color w:val="auto"/>
          <w:sz w:val="24"/>
          <w:highlight w:val="none"/>
        </w:rPr>
        <w:t>质疑联系方式：0575-88307026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kern w:val="2"/>
          <w:sz w:val="24"/>
          <w:szCs w:val="24"/>
          <w:highlight w:val="none"/>
          <w:lang w:val="zh-CN" w:eastAsia="zh-CN" w:bidi="ar-SA"/>
        </w:rPr>
        <w:t xml:space="preserve">3. 同级政府采购监督管理部门： </w:t>
      </w:r>
      <w:r>
        <w:rPr>
          <w:rFonts w:hint="eastAsia" w:ascii="仿宋_GB2312" w:hAnsi="仿宋_GB2312" w:eastAsia="仿宋_GB2312" w:cs="仿宋_GB2312"/>
          <w:color w:val="auto"/>
          <w:sz w:val="24"/>
          <w:highlight w:val="none"/>
        </w:rPr>
        <w:t xml:space="preserve">           </w:t>
      </w:r>
    </w:p>
    <w:bookmarkEnd w:id="14"/>
    <w:bookmarkEnd w:id="15"/>
    <w:bookmarkEnd w:id="16"/>
    <w:bookmarkEnd w:id="17"/>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称：绍兴市财政局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址：绍兴市越城区凤林西路151号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真：0575-85209697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 系 人 ：张婷婷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br w:type="page"/>
      </w: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w:t>
      </w:r>
      <w:bookmarkEnd w:id="3"/>
      <w:r>
        <w:rPr>
          <w:rFonts w:hint="eastAsia" w:ascii="仿宋_GB2312" w:hAnsi="仿宋_GB2312" w:eastAsia="仿宋_GB2312" w:cs="仿宋_GB2312"/>
          <w:b/>
          <w:color w:val="auto"/>
          <w:sz w:val="36"/>
          <w:szCs w:val="20"/>
          <w:highlight w:val="none"/>
        </w:rPr>
        <w:t xml:space="preserve"> 投标须知</w:t>
      </w:r>
      <w:bookmarkEnd w:id="4"/>
    </w:p>
    <w:p>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370" w:type="dxa"/>
            <w:gridSpan w:val="2"/>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分包：</w:t>
            </w: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同意将非主体、非关键性的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工作分包。</w:t>
            </w:r>
          </w:p>
          <w:p>
            <w:pPr>
              <w:keepNext w:val="0"/>
              <w:keepLines w:val="0"/>
              <w:pageBreakBefore w:val="0"/>
              <w:widowControl w:val="0"/>
              <w:kinsoku/>
              <w:wordWrap w:val="0"/>
              <w:overflowPunct/>
              <w:topLinePunct w:val="0"/>
              <w:bidi w:val="0"/>
              <w:adjustRightInd w:val="0"/>
              <w:spacing w:line="440" w:lineRule="exact"/>
              <w:ind w:right="0" w:rightChars="0"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开标前答疑会或现场考察：</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09"/>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不组织。</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highlight w:val="none"/>
                </w:rPr>
                <w:id w:val="109"/>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09"/>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rPr>
              <w:t>（</w:t>
            </w:r>
            <w:r>
              <w:rPr>
                <w:rFonts w:hint="eastAsia" w:ascii="仿宋_GB2312" w:hAnsi="仿宋_GB2312" w:eastAsia="仿宋_GB2312" w:cs="仿宋_GB2312"/>
                <w:b w:val="0"/>
                <w:bCs w:val="0"/>
                <w:color w:val="auto"/>
                <w:sz w:val="24"/>
                <w:highlight w:val="none"/>
                <w:lang w:val="en-US"/>
              </w:rPr>
              <w:t>8</w:t>
            </w:r>
            <w:r>
              <w:rPr>
                <w:rFonts w:hint="eastAsia" w:ascii="仿宋_GB2312" w:hAnsi="仿宋_GB2312" w:eastAsia="仿宋_GB2312" w:cs="仿宋_GB2312"/>
                <w:b w:val="0"/>
                <w:bCs w:val="0"/>
                <w:color w:val="auto"/>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370"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spacing w:line="440" w:lineRule="exact"/>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801731539"/>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1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无方案讲解演示。</w:t>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ind w:left="240" w:hanging="240" w:hangingChars="1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 xml:space="preserve"> 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keepNext w:val="0"/>
              <w:keepLines w:val="0"/>
              <w:pageBreakBefore w:val="0"/>
              <w:widowControl w:val="0"/>
              <w:kinsoku/>
              <w:overflowPunct/>
              <w:topLinePunct w:val="0"/>
              <w:autoSpaceDE/>
              <w:autoSpaceDN/>
              <w:bidi w:val="0"/>
              <w:adjustRightInd w:val="0"/>
              <w:spacing w:line="440" w:lineRule="exact"/>
              <w:textAlignment w:val="auto"/>
              <w:rPr>
                <w:rFonts w:hint="eastAsia" w:ascii="仿宋_GB2312" w:hAnsi="仿宋_GB2312" w:eastAsia="仿宋_GB2312" w:cs="仿宋_GB2312"/>
                <w:color w:val="auto"/>
                <w:kern w:val="0"/>
                <w:sz w:val="24"/>
                <w:highlight w:val="none"/>
              </w:rPr>
            </w:pPr>
            <w:sdt>
              <w:sdtPr>
                <w:rPr>
                  <w:rFonts w:hint="eastAsia" w:ascii="仿宋_GB2312" w:hAnsi="仿宋_GB2312" w:eastAsia="仿宋_GB2312" w:cs="仿宋_GB2312"/>
                  <w:color w:val="auto"/>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autoSpaceDE/>
              <w:autoSpaceDN/>
              <w:bidi w:val="0"/>
              <w:adjustRightInd w:val="0"/>
              <w:snapToGrid w:val="0"/>
              <w:spacing w:line="440" w:lineRule="exact"/>
              <w:ind w:left="0" w:leftChars="0" w:right="0" w:rightChars="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☐A货物类，单一产品或核心产品为：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sz w:val="24"/>
                <w:highlight w:val="none"/>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01标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软件和信息技术服务业  </w:t>
            </w:r>
            <w:r>
              <w:rPr>
                <w:rFonts w:hint="eastAsia" w:ascii="仿宋_GB2312" w:hAnsi="仿宋_GB2312" w:eastAsia="仿宋_GB2312" w:cs="仿宋_GB2312"/>
                <w:color w:val="auto"/>
                <w:kern w:val="0"/>
                <w:sz w:val="24"/>
                <w:highlight w:val="none"/>
              </w:rPr>
              <w:t>行业；</w:t>
            </w:r>
            <w:r>
              <w:rPr>
                <w:rFonts w:hint="eastAsia" w:ascii="仿宋_GB2312" w:hAnsi="仿宋_GB2312" w:eastAsia="仿宋_GB2312" w:cs="仿宋_GB2312"/>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4</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5</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7</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370" w:type="dxa"/>
            <w:gridSpan w:val="2"/>
            <w:vAlign w:val="center"/>
          </w:tcPr>
          <w:p>
            <w:pPr>
              <w:adjustRightInd w:val="0"/>
              <w:spacing w:line="440" w:lineRule="exact"/>
              <w:rPr>
                <w:rFonts w:hint="eastAsia" w:ascii="仿宋_GB2312" w:hAnsi="仿宋_GB2312" w:eastAsia="仿宋_GB2312" w:cs="仿宋_GB2312"/>
                <w:snapToGrid w:val="0"/>
                <w:color w:val="auto"/>
                <w:kern w:val="28"/>
                <w:sz w:val="24"/>
                <w:highlight w:val="none"/>
              </w:rPr>
            </w:pPr>
            <w:sdt>
              <w:sdtPr>
                <w:rPr>
                  <w:rFonts w:hint="eastAsia" w:ascii="仿宋_GB2312" w:hAnsi="仿宋_GB2312" w:eastAsia="仿宋_GB2312" w:cs="仿宋_GB2312"/>
                  <w:color w:val="auto"/>
                  <w:kern w:val="0"/>
                  <w:sz w:val="24"/>
                  <w:szCs w:val="21"/>
                  <w:highlight w:val="none"/>
                </w:rPr>
                <w:id w:val="124"/>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szCs w:val="21"/>
                  <w:highlight w:val="none"/>
                </w:rPr>
                <w:id w:val="125"/>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insoku/>
              <w:wordWrap w:val="0"/>
              <w:overflowPunct/>
              <w:topLinePunct w:val="0"/>
              <w:bidi w:val="0"/>
              <w:snapToGrid w:val="0"/>
              <w:spacing w:line="336" w:lineRule="auto"/>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18</w:t>
            </w:r>
          </w:p>
        </w:tc>
        <w:tc>
          <w:tcPr>
            <w:tcW w:w="8370" w:type="dxa"/>
            <w:gridSpan w:val="2"/>
            <w:vAlign w:val="center"/>
          </w:tcPr>
          <w:p>
            <w:pPr>
              <w:kinsoku/>
              <w:wordWrap w:val="0"/>
              <w:overflowPunct/>
              <w:topLinePunct w:val="0"/>
              <w:bidi w:val="0"/>
              <w:spacing w:line="336" w:lineRule="auto"/>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b/>
                <w:color w:val="auto"/>
                <w:sz w:val="24"/>
                <w:highlight w:val="none"/>
              </w:rPr>
              <w:t>采购代理服务费：</w:t>
            </w:r>
            <w:r>
              <w:rPr>
                <w:rFonts w:hint="eastAsia" w:ascii="仿宋_GB2312" w:hAnsi="仿宋_GB2312" w:eastAsia="仿宋_GB2312" w:cs="仿宋_GB2312"/>
                <w:b/>
                <w:color w:val="auto"/>
                <w:sz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5"/>
    </w:tbl>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18" w:name="第三部分"/>
      <w:bookmarkStart w:id="19" w:name="_Toc164416483"/>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20"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20"/>
    <w:p>
      <w:pPr>
        <w:pStyle w:val="34"/>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1" w:name="_Hlt74714665"/>
      <w:bookmarkEnd w:id="21"/>
      <w:bookmarkStart w:id="22" w:name="_Hlt68403820"/>
      <w:bookmarkEnd w:id="22"/>
      <w:bookmarkStart w:id="23" w:name="_Hlt68072990"/>
      <w:bookmarkEnd w:id="23"/>
      <w:bookmarkStart w:id="24" w:name="_Hlt74707468"/>
      <w:bookmarkEnd w:id="24"/>
      <w:bookmarkStart w:id="25" w:name="_Hlt75236290"/>
      <w:bookmarkEnd w:id="25"/>
      <w:bookmarkStart w:id="26" w:name="_Hlt75236101"/>
      <w:bookmarkEnd w:id="26"/>
      <w:bookmarkStart w:id="27" w:name="_Hlt75236011"/>
      <w:bookmarkEnd w:id="27"/>
      <w:bookmarkStart w:id="28" w:name="_Hlt74729768"/>
      <w:bookmarkEnd w:id="28"/>
      <w:bookmarkStart w:id="29" w:name="_Hlt68072998"/>
      <w:bookmarkEnd w:id="29"/>
      <w:bookmarkStart w:id="30" w:name="_Hlt68057669"/>
      <w:bookmarkEnd w:id="30"/>
      <w:bookmarkStart w:id="31" w:name="_Hlt74730295"/>
      <w:bookmarkEnd w:id="31"/>
      <w:bookmarkStart w:id="32" w:name="_Hlt68073093"/>
      <w:bookmarkEnd w:id="32"/>
      <w:bookmarkStart w:id="33" w:name="_Toc81372776"/>
      <w:bookmarkStart w:id="34" w:name="_Toc84325929"/>
      <w:bookmarkStart w:id="35" w:name="_Toc81372953"/>
      <w:r>
        <w:rPr>
          <w:rFonts w:hint="eastAsia" w:ascii="仿宋_GB2312" w:hAnsi="仿宋_GB2312" w:eastAsia="仿宋_GB2312" w:cs="仿宋_GB2312"/>
          <w:b/>
          <w:color w:val="auto"/>
          <w:sz w:val="32"/>
          <w:szCs w:val="32"/>
          <w:highlight w:val="none"/>
        </w:rPr>
        <w:t>五、授予合同</w:t>
      </w:r>
    </w:p>
    <w:bookmarkEnd w:id="33"/>
    <w:bookmarkEnd w:id="34"/>
    <w:bookmarkEnd w:id="35"/>
    <w:p>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0" w:type="default"/>
          <w:pgSz w:w="11906" w:h="16838"/>
          <w:pgMar w:top="1474" w:right="1814" w:bottom="1474" w:left="1814" w:header="851" w:footer="992" w:gutter="0"/>
          <w:pgNumType w:fmt="decimal" w:start="3"/>
          <w:cols w:space="720" w:num="1"/>
          <w:docGrid w:linePitch="312" w:charSpace="0"/>
        </w:sectPr>
      </w:pPr>
    </w:p>
    <w:bookmarkEnd w:id="18"/>
    <w:bookmarkEnd w:id="19"/>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36" w:name="第四部分"/>
      <w:r>
        <w:rPr>
          <w:rFonts w:hint="eastAsia" w:ascii="仿宋_GB2312" w:hAnsi="仿宋_GB2312" w:eastAsia="仿宋_GB2312" w:cs="仿宋_GB2312"/>
          <w:b/>
          <w:color w:val="auto"/>
          <w:sz w:val="36"/>
          <w:szCs w:val="36"/>
          <w:highlight w:val="none"/>
        </w:rPr>
        <w:t>第三部分   招标项目范围及要求</w:t>
      </w:r>
    </w:p>
    <w:bookmarkEnd w:id="36"/>
    <w:p>
      <w:pPr>
        <w:spacing w:line="440" w:lineRule="exact"/>
        <w:ind w:firstLine="482" w:firstLineChars="200"/>
        <w:rPr>
          <w:rFonts w:hint="eastAsia" w:ascii="仿宋_GB2312" w:hAnsi="仿宋_GB2312" w:eastAsia="仿宋_GB2312" w:cs="仿宋_GB2312"/>
          <w:b/>
          <w:bCs/>
          <w:color w:val="auto"/>
          <w:sz w:val="24"/>
          <w:szCs w:val="24"/>
          <w:highlight w:val="none"/>
          <w:lang w:eastAsia="zh-CN"/>
        </w:rPr>
      </w:pPr>
      <w:bookmarkStart w:id="37" w:name="_Toc151354173"/>
      <w:bookmarkStart w:id="38" w:name="第五部分"/>
      <w:bookmarkStart w:id="39" w:name="_Toc86217003"/>
      <w:r>
        <w:rPr>
          <w:rFonts w:hint="eastAsia" w:ascii="仿宋_GB2312" w:hAnsi="仿宋_GB2312" w:eastAsia="仿宋_GB2312" w:cs="仿宋_GB2312"/>
          <w:b/>
          <w:bCs/>
          <w:color w:val="auto"/>
          <w:sz w:val="24"/>
          <w:szCs w:val="24"/>
          <w:highlight w:val="none"/>
          <w:bdr w:val="single" w:color="auto" w:sz="4" w:space="0"/>
        </w:rPr>
        <w:t>01标</w:t>
      </w:r>
      <w:bookmarkStart w:id="40" w:name="_Toc32678"/>
      <w:bookmarkStart w:id="41" w:name="_Toc7206"/>
      <w:r>
        <w:rPr>
          <w:rFonts w:hint="eastAsia" w:ascii="仿宋_GB2312" w:hAnsi="仿宋_GB2312" w:eastAsia="仿宋_GB2312" w:cs="仿宋_GB2312"/>
          <w:b/>
          <w:bCs/>
          <w:color w:val="auto"/>
          <w:sz w:val="24"/>
          <w:szCs w:val="24"/>
          <w:highlight w:val="none"/>
          <w:lang w:eastAsia="zh-CN"/>
        </w:rPr>
        <w:t>589个高清监控改造租赁项目</w:t>
      </w:r>
    </w:p>
    <w:bookmarkEnd w:id="37"/>
    <w:bookmarkEnd w:id="40"/>
    <w:bookmarkEnd w:id="41"/>
    <w:p>
      <w:pPr>
        <w:keepNext w:val="0"/>
        <w:keepLines w:val="0"/>
        <w:pageBreakBefore w:val="0"/>
        <w:kinsoku/>
        <w:wordWrap/>
        <w:overflowPunct/>
        <w:topLinePunct w:val="0"/>
        <w:autoSpaceDE/>
        <w:autoSpaceDN/>
        <w:bidi w:val="0"/>
        <w:adjustRightInd w:val="0"/>
        <w:spacing w:line="360" w:lineRule="auto"/>
        <w:ind w:firstLine="482" w:firstLineChars="200"/>
        <w:rPr>
          <w:rFonts w:hint="eastAsia" w:ascii="楷体_GB2312" w:hAnsi="楷体_GB2312" w:eastAsia="楷体_GB2312" w:cs="楷体_GB2312"/>
          <w:b/>
          <w:bCs/>
          <w:color w:val="auto"/>
          <w:sz w:val="24"/>
          <w:szCs w:val="24"/>
          <w:highlight w:val="none"/>
        </w:rPr>
      </w:pPr>
      <w:r>
        <w:rPr>
          <w:rFonts w:hint="eastAsia" w:ascii="楷体_GB2312" w:hAnsi="楷体_GB2312" w:eastAsia="楷体_GB2312" w:cs="楷体_GB2312"/>
          <w:b/>
          <w:bCs/>
          <w:color w:val="auto"/>
          <w:sz w:val="24"/>
          <w:szCs w:val="24"/>
          <w:highlight w:val="none"/>
        </w:rPr>
        <w:t>一、项目概述</w:t>
      </w:r>
    </w:p>
    <w:p>
      <w:pPr>
        <w:keepNext w:val="0"/>
        <w:keepLines w:val="0"/>
        <w:pageBreakBefore w:val="0"/>
        <w:kinsoku/>
        <w:wordWrap/>
        <w:overflowPunct/>
        <w:topLinePunct w:val="0"/>
        <w:autoSpaceDE/>
        <w:autoSpaceDN/>
        <w:bidi w:val="0"/>
        <w:adjustRightInd w:val="0"/>
        <w:spacing w:line="360" w:lineRule="auto"/>
        <w:ind w:firstLine="482" w:firstLineChars="200"/>
        <w:rPr>
          <w:rFonts w:hint="eastAsia" w:ascii="楷体_GB2312" w:hAnsi="楷体_GB2312" w:eastAsia="楷体_GB2312" w:cs="楷体_GB2312"/>
          <w:b/>
          <w:bCs/>
          <w:color w:val="auto"/>
          <w:sz w:val="24"/>
          <w:szCs w:val="24"/>
          <w:highlight w:val="none"/>
        </w:rPr>
      </w:pPr>
      <w:bookmarkStart w:id="42" w:name="_Toc31368"/>
      <w:bookmarkStart w:id="43" w:name="_Toc21752"/>
      <w:r>
        <w:rPr>
          <w:rFonts w:hint="eastAsia" w:ascii="楷体_GB2312" w:hAnsi="楷体_GB2312" w:eastAsia="楷体_GB2312" w:cs="楷体_GB2312"/>
          <w:b/>
          <w:bCs/>
          <w:color w:val="auto"/>
          <w:sz w:val="24"/>
          <w:szCs w:val="24"/>
          <w:highlight w:val="none"/>
        </w:rPr>
        <w:t>（一）建设</w:t>
      </w:r>
      <w:bookmarkEnd w:id="42"/>
      <w:bookmarkEnd w:id="43"/>
      <w:r>
        <w:rPr>
          <w:rFonts w:hint="eastAsia" w:ascii="楷体_GB2312" w:hAnsi="楷体_GB2312" w:eastAsia="楷体_GB2312" w:cs="楷体_GB2312"/>
          <w:b/>
          <w:bCs/>
          <w:color w:val="auto"/>
          <w:sz w:val="24"/>
          <w:szCs w:val="24"/>
          <w:highlight w:val="none"/>
        </w:rPr>
        <w:t>背景</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针对当前工作中的短板和瓶颈环节，绍兴市决定推进公共安全视频监控建设联网应用项目建设，主要从统筹安全和发展出发，推动将公共安全视频监控建设联网应用工作纳入经济社会发展大局，贯彻落实创新、协调、绿色、开放、共享的发展理念，突出防控风险、服务发展和破解难题、补齐短板，进一步提升公共安全视频监控建设联网应用工作整体水平，促进立体化社会治安防控体系建设和社会治安综合治理深入推进，促进绍兴市公共安全视频监控建设联网应用建设取得更大成效。</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绍兴市公共安全视频监控建设联网应用的建设工作按照“统一建设、统一平台、统一标准、统一联网、统一管理”的原则，围绕“全域覆盖、全网共享、全时可用、全程可控”的核心思想，以加强治安防控、优化交通出行、服务城市管理、创新社会治理为出发点，以新一代信息技术为支撑，实现对前端的感知、分析、处理和整合，实现更全面的感知、更智能的运维、更广泛的交互、更深度的融合和更紧密的协同应用。</w:t>
      </w:r>
    </w:p>
    <w:p>
      <w:pPr>
        <w:keepNext w:val="0"/>
        <w:keepLines w:val="0"/>
        <w:pageBreakBefore w:val="0"/>
        <w:kinsoku/>
        <w:wordWrap/>
        <w:overflowPunct/>
        <w:topLinePunct w:val="0"/>
        <w:autoSpaceDE/>
        <w:autoSpaceDN/>
        <w:bidi w:val="0"/>
        <w:adjustRightInd w:val="0"/>
        <w:spacing w:line="360" w:lineRule="auto"/>
        <w:ind w:firstLine="482" w:firstLineChars="200"/>
        <w:rPr>
          <w:rFonts w:hint="eastAsia" w:ascii="楷体_GB2312" w:hAnsi="楷体_GB2312" w:eastAsia="楷体_GB2312" w:cs="楷体_GB2312"/>
          <w:b/>
          <w:bCs/>
          <w:color w:val="auto"/>
          <w:sz w:val="24"/>
          <w:szCs w:val="24"/>
          <w:highlight w:val="none"/>
        </w:rPr>
      </w:pPr>
      <w:r>
        <w:rPr>
          <w:rFonts w:hint="eastAsia" w:ascii="楷体_GB2312" w:hAnsi="楷体_GB2312" w:eastAsia="楷体_GB2312" w:cs="楷体_GB2312"/>
          <w:b/>
          <w:bCs/>
          <w:color w:val="auto"/>
          <w:sz w:val="24"/>
          <w:szCs w:val="24"/>
          <w:highlight w:val="none"/>
        </w:rPr>
        <w:t>（二）建设目标</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采取统一规划、分级实施、突出重点、逐步建设的工作方法，构建一张全天候、全方位、立体化的市本级治安动态监控网络，实现“防控时空无缝衔接、防控目标全程追踪、防控区域城乡覆盖”的目标要求。</w:t>
      </w:r>
    </w:p>
    <w:p>
      <w:pPr>
        <w:keepNext w:val="0"/>
        <w:keepLines w:val="0"/>
        <w:pageBreakBefore w:val="0"/>
        <w:kinsoku/>
        <w:wordWrap/>
        <w:overflowPunct/>
        <w:topLinePunct w:val="0"/>
        <w:autoSpaceDE/>
        <w:autoSpaceDN/>
        <w:bidi w:val="0"/>
        <w:adjustRightInd w:val="0"/>
        <w:spacing w:line="360" w:lineRule="auto"/>
        <w:ind w:firstLine="482" w:firstLineChars="200"/>
        <w:rPr>
          <w:rFonts w:hint="eastAsia" w:ascii="楷体_GB2312" w:hAnsi="楷体_GB2312" w:eastAsia="楷体_GB2312" w:cs="楷体_GB2312"/>
          <w:b/>
          <w:bCs/>
          <w:color w:val="auto"/>
          <w:sz w:val="24"/>
          <w:szCs w:val="24"/>
          <w:highlight w:val="none"/>
        </w:rPr>
      </w:pPr>
      <w:bookmarkStart w:id="44" w:name="_Toc31486"/>
      <w:bookmarkStart w:id="45" w:name="_Toc7994"/>
      <w:r>
        <w:rPr>
          <w:rFonts w:hint="eastAsia" w:ascii="楷体_GB2312" w:hAnsi="楷体_GB2312" w:eastAsia="楷体_GB2312" w:cs="楷体_GB2312"/>
          <w:b/>
          <w:bCs/>
          <w:color w:val="auto"/>
          <w:sz w:val="24"/>
          <w:szCs w:val="24"/>
          <w:highlight w:val="none"/>
        </w:rPr>
        <w:t>二、建设内容</w:t>
      </w:r>
      <w:bookmarkEnd w:id="44"/>
      <w:bookmarkEnd w:id="45"/>
    </w:p>
    <w:p>
      <w:pPr>
        <w:keepNext w:val="0"/>
        <w:keepLines w:val="0"/>
        <w:pageBreakBefore w:val="0"/>
        <w:kinsoku/>
        <w:wordWrap/>
        <w:overflowPunct/>
        <w:topLinePunct w:val="0"/>
        <w:autoSpaceDE/>
        <w:autoSpaceDN/>
        <w:bidi w:val="0"/>
        <w:adjustRightInd w:val="0"/>
        <w:spacing w:line="360" w:lineRule="auto"/>
        <w:ind w:firstLine="482" w:firstLineChars="200"/>
        <w:rPr>
          <w:rFonts w:hint="eastAsia" w:ascii="楷体_GB2312" w:hAnsi="楷体_GB2312" w:eastAsia="楷体_GB2312" w:cs="楷体_GB2312"/>
          <w:b/>
          <w:bCs/>
          <w:color w:val="auto"/>
          <w:sz w:val="24"/>
          <w:szCs w:val="24"/>
          <w:highlight w:val="none"/>
        </w:rPr>
      </w:pPr>
      <w:r>
        <w:rPr>
          <w:rFonts w:hint="eastAsia" w:ascii="楷体_GB2312" w:hAnsi="楷体_GB2312" w:eastAsia="楷体_GB2312" w:cs="楷体_GB2312"/>
          <w:b/>
          <w:bCs/>
          <w:color w:val="auto"/>
          <w:sz w:val="24"/>
          <w:szCs w:val="24"/>
          <w:highlight w:val="none"/>
        </w:rPr>
        <w:t>（一）绍兴市公安局589个高清监控改造租赁项目</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本部分租赁589个高清监控（含卡口）、云存储IDC托管核心机房及网络租赁。</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本次招标所有图象先通过光纤网络接入中标人分控核心机房，实现集中存储，为保障设备的安全性和统一性，需要将后端的存储设备统一放在中标人分控核心机房。</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监控系统采用高清数字网络的方式，按照“既满足需求，又适度超前”的设计原则，以光纤网络为基础，实现全数字化信号传输。</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服务期：验收合格之日起2年。</w:t>
      </w:r>
    </w:p>
    <w:p>
      <w:pPr>
        <w:keepNext w:val="0"/>
        <w:keepLines w:val="0"/>
        <w:pageBreakBefore w:val="0"/>
        <w:kinsoku/>
        <w:wordWrap/>
        <w:overflowPunct/>
        <w:topLinePunct w:val="0"/>
        <w:autoSpaceDE/>
        <w:autoSpaceDN/>
        <w:bidi w:val="0"/>
        <w:adjustRightInd w:val="0"/>
        <w:spacing w:line="360" w:lineRule="auto"/>
        <w:rPr>
          <w:rFonts w:hint="eastAsia" w:ascii="楷体_GB2312" w:hAnsi="楷体_GB2312" w:eastAsia="楷体_GB2312" w:cs="楷体_GB2312"/>
          <w:b/>
          <w:color w:val="auto"/>
          <w:sz w:val="24"/>
          <w:szCs w:val="24"/>
          <w:highlight w:val="none"/>
        </w:rPr>
      </w:pPr>
      <w:r>
        <w:rPr>
          <w:rFonts w:hint="eastAsia" w:ascii="楷体_GB2312" w:hAnsi="楷体_GB2312" w:eastAsia="楷体_GB2312" w:cs="楷体_GB2312"/>
          <w:b/>
          <w:color w:val="auto"/>
          <w:sz w:val="24"/>
          <w:szCs w:val="24"/>
          <w:highlight w:val="none"/>
        </w:rPr>
        <w:t>1、点位清单</w:t>
      </w:r>
    </w:p>
    <w:tbl>
      <w:tblPr>
        <w:tblStyle w:val="63"/>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3"/>
        <w:gridCol w:w="6946"/>
        <w:gridCol w:w="7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序号</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点位名称</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大城北桥-环城北路GPF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独树路-人民东路南朝北GPF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独树路-人民东路东朝西GPF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银桥路-人民东路北朝南GPF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银桥路-人民东路西朝东GPF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银桥路-人民东路南朝北GPF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银桥路-人民东路东朝西GPF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迎宾路-人民东路北朝南GPF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迎宾路-人民东路西朝东GPF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迎宾路-人民东路南朝北GPF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迎宾路-人民东路东朝西GPF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104国道-迎宾路西朝东GPF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104国道-迎宾路南朝北GPF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104国道-迎宾路东朝西GPF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银桥路-104国道西GPF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银桥路-104国道南GPF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银桥路-104国道东GPF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皋马线-104国道西GPF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皋马线-104国道东GPF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独树路-104国道西GPF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独树路-104国道南GPF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独树路-104国道东GPF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104国道大帝山立交西2GPF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104国道大帝山立交西1GPF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104国道大帝山立交东2GPF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104国道大帝山立交东1GPF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永宁村中兴大道路口东GPF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前洋江大桥南朝北GPF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会稽路-城南大道北朝南GPF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会稽路-城南大道西朝东2GPF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会稽路-城南大道西朝东1GPF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会稽路-城南大道南朝北GPF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会稽路-城南大道东朝西GPF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涂山路-平江路北朝南GPF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涂山路与平江路西2GPF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涂山路-平江路西朝东GPF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涂山路-平江路南朝北GPF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涂山路-平江路东朝西GPF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阳明北路-涂山路北朝南2GPF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阳明北路-涂山路北朝南1GPF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阳明北路-涂山路西朝东GPF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阳明北路-涂山路南朝北2GPF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阳明北路-涂山路南朝北1GPF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阳明北路-涂山路东朝西GPF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阳明北路-云东路北朝南2GPF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阳明北路-云东路北朝南1GPF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阳明北路-云东路西朝东2GPF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阳明北路-云东路西朝东1GPF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阳明北路-云东路南朝北2GPF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阳明北路-云东路南朝北2GPF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阳明北路-云东路东朝西2GPF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阳明北路-云东路东朝西1GPF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平江路-云东路西朝东2GPF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阳明北路-云东路西朝东1GPF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阳明北路-云东路卡口南GPF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平江路-云东路东朝西2GPF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平江路-云东路东朝西1GPF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环城东路-云东路北朝南GPF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环城东路-云东路西朝东GPF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60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环城东路-云东路南朝北GPF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61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环城东路-云东路东朝西2GPF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62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环城东路-云东路东朝西1GPF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63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渡东桥南路-体育场路QQ+GG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64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会稽路-丰山路GG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65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五泄路-卧龙路GG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66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天姥路-兰江路QQ+GG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67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人民东路-平江路GG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68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鲁迅东路-鹿池路2GG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69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鲁迅东路-鹿池路GG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70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鲁迅东路-洄涌路2GG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71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鲁迅东路-洄涌路GG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72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鲁迅东路-五泄路GG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73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摩尔城转盘南口QQ+GG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74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胜利东路-移动公司桥二QQ+GG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75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胜利东路-移动公司桥一GG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76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都泗门路-梅龙湖路GP+QQ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77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都泗门路-范蠡路GG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78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都泗门路-环城东路GG+QQ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79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胜利东路-环城东路隧道GG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80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西施山路-范蠡路QQ+GG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81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柯袍线柯往S308互通入口GP+GG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82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S308往柯袍线互通柯向出口GP+GG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83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S308柯向往柯袍线互通入口GP+GG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84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柯袍线往S308互通诸向出口GP+GG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85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柯袍线往S308互通中段GG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86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S308往柯袍线互通中段GG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87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柯袍线往S308互通袍向辅道出口GP+GG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88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柯袍线往S308互通匝道中间GG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89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柯袍线往S308互通入口GG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90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钱陶线往柯袍线辅道接口处GG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91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钱陶线与S308北面西侧GP+GG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92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钱陶线与S308北面东侧GP+GG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93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鲁镇大桥东GP+GG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94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鲁镇大桥西GP+GG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95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前单桥东GP+GG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96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花园湖大桥西GP+GG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97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单家溇水驿西鹰眼QH</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98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单家溇水驿东鹰眼QH</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99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塘湾桥西侧GP+QQ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100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瓦窑江桥西侧GP+GG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101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瓦窑江桥西侧桥下-3GG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102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瓦窑江桥西侧桥下-2GG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103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瓦窑江桥西侧桥下1GP+GG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104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解放南路-鉴湖大道北GPF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105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解放南路-鉴湖大道南GPF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106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解放南路-玉山路西南口GPF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107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解放南路-鉴湖大道东GPF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108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下白线-绍甘线北朝南GPF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109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下白线-绍甘线西朝东GPF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110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下白线-绍甘线南朝北GPF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111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解放南路-绍诸高速北GPF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112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解放南路-绍诸高速西GPF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113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解放南路-绍诸高速南GPF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114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解放南路-绍诸高速东GPF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115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坡塘石料场旁丁字路北GPF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116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坡塘石料厂旁丁字路南GPF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117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坡塘石料场旁丁字路东GPF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118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兆山水泥厂旁东朝西GPF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119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绍甘线禹陵环岛QQ+GG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120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会稽路-城南大道QQ+GG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121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中兴南路-城南大道GP+QQ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122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解放南路-天镜桥下GG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123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解放南路-镜湖路GP+QQ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124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绍坡公路-二环南路南GPF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125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镜湖路-龙珠花园北门2GG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126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朝晖路-镜湖路GP+QQ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127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镜湖路-翠苑新村南门GG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128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镜湖路-龙珠花园北门GG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129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城南大道-西江路GG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130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朝晖路-城南新村3幢GG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131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朝晖路-城南新村7幢GG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132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朝晖路-镜湖路GP+QQ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133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朝阳路-秦望花园QQ+GG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134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镜湖路-建设新村GG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135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凤江路凤江桥西侧QQ+GG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136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银塔路-凤江路GG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137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银塔路-银塔桥GG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138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解放南路-银塔路GG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139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解放南路-翠苑新村西北QQ+GG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140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解放南路-世纪联华GG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141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解放南路-龙珠花园QQ+GG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142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解放南路-大明路QQ+GG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143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南池路-沁雨苑东区GG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144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南池路-大明路QQ+GG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145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南池路-碧水南苑GP+QQ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146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名人广场内桥上GG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147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解放南路-天镜桥下GP+QQ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148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中兴南路-繁荣村GG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149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繁荣村菜市场GG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150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中兴南路-南岸花城GP+QQ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151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中兴南路-繁荣村QQ+GG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152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大明路县公路段西路口QQ+GG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153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绍甘线禹陵环岛大桥南GP+QQ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154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江家娄菜市场门口QQ+GG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155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城南大道-东光路QQ+GG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156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中兴南路-江家娄公寓GP+GG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157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中兴大桥GG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158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小城北桥北2GPF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159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朝皇路-环城西路GP+QQ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160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环城北路-永和家园QQ+GG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161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摩尔城转盘南朝北GPF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162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府山西路-药监局QQ+GG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163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府山西路-府山乐购南QQ+GG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164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环城西路40号4幢QQ+GG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165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环城北路-府山西路GP+QQ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166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西小路-相家桥GG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167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胜利大桥卡口东2GPF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168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胜利大桥卡口北GPF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169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胜利大桥卡口西GPF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170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胜利大桥卡口南GPF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171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胜利大桥卡口东1GPF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172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越西路-胜利路北朝南2GPF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173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越西路-胜利路北朝南1GPF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174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越西路-胜利路西朝东GPF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175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越西路-胜利路南朝北GPF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176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越西路-胜利路东朝西GPF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177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绍大线胜利西路东2GPF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178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绍大线-胜利路西朝东GPF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179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绍大线-胜利路东朝西GPF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180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越西路-霞西路北朝南GPF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181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越西路-霞西路北朝南非机GPF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182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越西路-霞西路西朝东2GPF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183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越西路-霞西路西朝东1GPF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184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越西路-霞西路南朝北2GPF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185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越西路-霞西路南朝北1GPF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186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越西路-霞西路东朝西非机GPF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187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越西路-霞西路东朝西2GPF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188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越西路-霞西路东朝西1GPF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189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摩尔城转盘北朝南GPF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190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摩尔城转盘西2GPF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191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摩尔城转盘西朝东GPF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192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府山西路-环城西路南GPF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193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摩尔城转盘东朝西2GPF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194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摩尔城转盘东朝西1GPF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195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小城北桥-环城北路北GPF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196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小城北桥-环城北路西GPF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197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小城北桥-环城北路南GPF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198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小城北桥-环城北路东GPF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199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大城北桥-环城北路北GPF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200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大城北桥-环城北路西GPF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201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大城北桥-环城北路东GPF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202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环城西路-霞西路GG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203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越西路-西郊路QQ+GG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204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越西路湾娄公寓24幢QQ+GG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205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霞西路运河人家会龙坊QQ+GG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206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胜利西路-马臻路GP+QQ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207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胜利西路-永和汇GG+QQ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208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马臻路-书香锦苑QQ+GG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209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环城西路-下大路QQ+GG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210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环城北路-府山西路GG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211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府山西路-拉芳舍GP+QQ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212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府山西路-国安局QQ+GG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213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北海路-北海花园GP+QQ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214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环城北路-上大路GP+QQ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215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清水嘉苑北后门QQ+GG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216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清水嘉苑西门口GG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217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车站路玛格丽特西2幢QQ+GG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218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环城河玛格丽特东4幢QQ+GG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219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城北桥-玛格丽特东区9幢QQ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220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解放北路-水木清华QQ+GG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221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城北桥-玛格丽特东区9幢GG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222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解放北路-水木清华北GP+QQ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223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越西路-朝皇路GF+QQ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224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西湖新村-塘田坊西门GG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225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西湖新村-塘田坊西门GP+QQ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226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西郊路-西湖新村GP+QQ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227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西郊路-西湖新村GG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228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城市广场-绍兴大剧院GG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229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环城西路-人民西路GP+QQ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230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越西路-杨绍线北朝南2GPF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231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越西路-杨绍线北朝南1GPF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232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越西路-杨绍线西朝东2GPF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233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越西路-杨绍线西朝东1GPF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234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越西路-杨绍线东朝西2GPF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235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越西路-杨绍线东朝西1GPF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236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偏门大转盘北朝南GPF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237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偏门大转盘西2GPF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238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偏门大转盘西朝东GPF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239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偏门大转盘南朝北GPF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240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解放北路-华润万家人行道QQ+GG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241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水沟营-薛家弄GG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242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水沟营-薛家弄GG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243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越西路大叶池东门路口QQ+GG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244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胜利西路-快阁苑QQ+GG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245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山阴路-王家庄GG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246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山阴路-河山新村QQ+GG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247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山阴路-山山苑南门GP+QQ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248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山阴路42号北路口GG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249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山阴路偏门吊桥桥头GG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250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天光桥小区南出入口GG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251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天光桥小区南出入口GG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252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偏门吊桥-鉴湖后街QQ+GG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253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环城西路-风华苑GP+QQ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254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常禧路-金山公寓QQ+GG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255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常禧路-风泽苑路口QQ+GG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256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常禧路-鉴湖新村9幢GP+QQ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257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胜利西路-旅游委员会QQ+GG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258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城市广场绍兴大剧院GF+QQ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259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光明路-绍兴大剧院QQ+GG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260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人民西路-府山直街GG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261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大云市场外围QQ+GG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262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鲁迅路-水沟营GG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263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鲁迅路-霸王桥越州公寓GG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264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鲁迅路-仓桥直街QQ+GG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265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人民西路地税门口QQ+GG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266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延安路-越城区政府QQ+GG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267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中兴南路-延安路QQ+GG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268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延安路博物馆西侧小路QQ+GG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269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延安路-绍兴博物馆QQ+GG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270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延安路661号1幢路口GP+QQ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271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鲁迅路-沈园停车点QQ+GG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272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人民东路-望春桥河沿GP+QQ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273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稽山路-塔山卫生院QQ+GG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274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鲁迅中路-燕甸园QQ+GG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275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延安路转盘北朝南GPF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276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延安路转盘西朝东GPF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277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延安路转盘南朝北GPF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278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延安路转盘东朝西2GPF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279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延安路转盘东朝西1GPF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280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中兴南路-罗门路QQ+GG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281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稽山路-人民东路GP+QQ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282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稽山路-白果小区QQ+GG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283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九节桥河沿-望春桥河沿GG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284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东街-新建北路QQ+GG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285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解放北路东街广场QQ+GG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286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渔化桥河沿-交通银行GG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287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渔化桥河沿衣之家QQ+GG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288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人民东路-马弄GG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289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人民东路-观音弄GG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290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人民东路-观音弄2GP+2GG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291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大禅法弄3号路口GG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292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稽山路-延安路GP+QQ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293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鲁迅中路-稽山路QQ+GG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294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新建北路-小江桥河沿GG+QQ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295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龙洲路-昌安街QQ+GP</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296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胜利东路-新建北路GP+QQ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297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中兴北路-情诺酒店QQ+GG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298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人民医院东大门QQ+GG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299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中兴北路470号GP+GG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300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解放北路-萧山街GG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301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县前街-北后街2GG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302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劳动路-周恩来故居2GG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303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劳动路-周恩来祖居GG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304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车站路假日大酒店GG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305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胜利东路-范家弄GP+QQ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306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县前街-北后街GG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307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胜利东路-唐皇苑QQ+GG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308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胜利东路-新建北路GG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309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石家池沿-西街路口GG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310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昌安街-昌安社区GG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311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昌安街-昌安东村GP+GG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312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龙洲路-昌安街GG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313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立交桥西-萧甬铁路北侧非机动车道QQ+GG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314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中兴北路470号QQ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315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引虎弄-昌安西街GP+GG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316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中兴北路-天成花园GP+GG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317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立交桥西-萧甬铁路北侧GG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318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立交桥下-河清园GP+GG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319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立交桥东侧-白马新村GP+GG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320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东池路-仓弄GP+GG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321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八字桥直街-鲍家弄GP+GG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322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中兴北路-永昌庙弄GP+GG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323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十里锦苑QQ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324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 xml:space="preserve"> 329国道（东安路西北侧辅道入口GG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325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凤林东路（庙前新区北侧)GG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326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凤林东路（庙前新区北侧桥头)GG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327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解放大道梅山路口（西北侧北向)GG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328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解放大道梅山路口（东南侧南向北)GG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329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横湖路适南路GG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330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横湖路适南路（南口电警杆)GG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331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洋江西路金色蓝庭南门（西南侧)GG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332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洋江西路金色蓝庭南门（东北侧)GG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333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城南大道-山阴路东口1GPF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334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城南大道-山阴路东口2GPF</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335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中兴南路-缪家桥河沿GG+QQ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336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缪家桥河沿-大池弄GG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337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人民路-高家弄QQ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338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观音弄-唐家弄GG+QQ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339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中兴南路-若耶溪路GG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340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东街卫生局对面GG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341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东街-建功路QQ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342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人民东路花园小区GG+QQ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343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投醪河路-罗门公园GG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344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投醪河-望花路GG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345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望花路望花西区9幢QQ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346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环城南路-望花路QQ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347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环城南路-解放南路GG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348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解放南路-望花西区照南GG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349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解放南路-望花西区照北GG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350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解放南路-钱王祠前GG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351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延安路塔山小学路口QQ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352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延安路第二医院QQ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353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延安路-新建路GG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354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延安路新建路由北向南GG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355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白衙弄-小禅法弄GG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356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白衙弄-步行街GG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357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解放南路-鲁迅路GG+QQ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358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西咸欢河沿-咸亨酒店GG+QQ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359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新建南路-东咸欢河沿GG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360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妇保院对面天宇大厦旁QQ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361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老越城区信访接待室GG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362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东街-四马路GG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363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新建南路-观音弄GG+QQ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364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建功路-投醪河GG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365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建功路-老罗门GG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366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府山直街大教场沿GG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367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环城西路-大教场沿GG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368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水沟营-辛弄GG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369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鲁迅路-大乘弄GG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370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解放南路-鲁迅路GG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371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解放南路-前观巷GG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372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人民西路-仓桥直街GG+QQ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373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胜利西路绍兴大剧院GG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374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常禧路鉴湖新村12幢GG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375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环城西路-天光桥GG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376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山阴路-江南苑QQ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377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绍大线-快阁苑GG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378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胜利西路-小校场GG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379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胜利西路-香粉弄GG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380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司狱使前历保办GG+QQ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381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胜利西路-仓桥直街GG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382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胜利东路-上马石头GG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383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长桥直街-三角道地GG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384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中兴北路-长桥直街GG+QQ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385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保佑桥直街-劳动路GG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386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八字桥直街八字桥西侧GG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387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白马路镜中园公寓1幢GG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388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局弄-营基弄GG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389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胜利路-国美电器照西GG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390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胜利东路-国美电器QQ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391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劳动路-人文图书GG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392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东街-保佑桥直街北GG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393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东街-保佑桥直街南QQ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394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中兴北路-断河头GG+QQ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395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中兴北路-西街GG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396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局弄30号GG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397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解放北路-上大路GG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398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东街-妇保院大门GG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399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东街-北后街QQ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400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胜利西路漓铁铁道路口南GG+QQ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401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胜利西路漓铁铁路道口西GG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402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朝皇路灯饰城-东向西QQ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403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朝皇路灯饰城-南向北GG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404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巡特警大队东南侧路口GG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405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车站路玛格丽特西区5-6幢QQ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406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车站路玛格丽特西区5幢GG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407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北海路身份证中心路口南GG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408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北海路身份证中心路口西GG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409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府山西路北海路口西北角GG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410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环城西路热电1号桥东GG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411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环城西路热电1号桥西QQ+GG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412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环城西路-北海桥直街路QQ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413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马臻路塘南菜场路西南角QQ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414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胜利西路胜利西村11幢GG+QQ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415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胜利西路-夹塘路路西南GG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416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新河弄-小校场路口东南GG+QQ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417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越西路越西小区公安宿舍QQ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418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绍大线-西郊路东向西GG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419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马臻路-西郊路GG+QQ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420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越西路鑫州海湾酒店路口GG+QQ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421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东光村垃圾街西首GG+QQ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422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绍甘线劳教所路口QQ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423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解放南路越都新村GG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424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城南大道-朝晖路口GG+QQ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425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城南大道-朝阳路GG+QQ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426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芳泉村中心GG+QQ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427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中兴南路南限高杆南50米GG+QQ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428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兆山水泥厂GG+QQ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429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骆家葑菜市场GG+QQ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430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坡塘应家谭西入口QQ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431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坡塘应家潭北入口QQ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432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龙虎山公墓QQ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433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彩虹名家小区十字路口QQ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434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鉴湖镇政府门口GG+QQ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435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春风菜市场QQ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436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春风公寓南区GG+QQ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437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栖凫村委门口QQ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438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南池村委门口QQ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439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南池十字路口QQ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440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谢墅村委门口GG+QQ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441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谢墅菜市场GG+QQ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442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望秦山殡仪馆QQ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443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上谢墅村委门口GG+QQ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444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秦望村委门口GG+QQ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445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秦望菜市场QQ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446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秦望矿山路口GG+QQ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447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上谢墅安置房新路口QQ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448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下白线同下谢墅村小路QQ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449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秦望-施家桥三岔口GG+QQ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450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坡塘村委门口GG+QQ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451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玉屏村委门口GG+QQ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452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王家葑村委门口QQ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453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坡塘菜市场QQ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454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兆山西面外来人口聚居地GG+QQ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455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兴越烟花爆竹仓库GG+QQ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456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筠溪村口GG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457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龙虎山通芳泉小路GG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458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芳泉通龙虎山茶厂三叉口GG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459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骆家葑大独山西南角小路GG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460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骆家葑村健身场GG+QQ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461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解放南路合成景园西区门QQ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462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解放南路合成景园东区QQ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463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下白线国防动员训练中心QQ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464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坡塘广场QQ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465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绍坡公路丰乐村路口GG+QQ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466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坡塘路水墨澜庭东门QQ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467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绍坡公路王家娄13号叉口QQ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468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海马汽车GG+QQ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469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五云丰田GG+QQ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470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剡溪路天时苑小区GG+QQ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471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五泄路联通公司西门GG+QQ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472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长诏路鹤池苑西门GG+QQ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473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五泄路与涂山路GG+QQ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474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五云路梅龙湖路公园入口GG+QQ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475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范蠡路湖滨商业中心2幢GG+QQ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476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范蠡路湖滨商业中心2幢GG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477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都泗门路波影酒店路口GG+QQ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478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都泗门路波影酒店路口GG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479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卧龙路阳明北路口GG+QQ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480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卧龙路水岸香堤路口GG+QQ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481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卧龙路联通公司东侧路口GG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482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卧龙路平江路口QQ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483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人民东路剡溪花园路口GG+QQ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484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人民东路121号路口GG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485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人民东路汽车城内西南角GG+QQ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486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人民东路汽车城内西南角GG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487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人民东路长诏路口GG+QQ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488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人民东路长诏路口GG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489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人民东路剡溪路口GG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490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人民东路剡溪路口GG+QQ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491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人民东路时代欣居路口GG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492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人民东路染料市场西入口GG+QQ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493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人民东路染料市场西入口GG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494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人民东路平江路口GG+QQ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495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人民东路平江路口GG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496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平江路行政执法分局路口QQ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497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平江路行政执法分局路口GG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498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秦望路大众公寓路口GG+QQ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499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人民东路杨绍线路口GG+QQ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500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人民东路东江西岸公园GG+QQ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501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人民东路洄涌路口GG+QQ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502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人民东路洄涌路口GG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503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人民东路市公安局门口GG+QQ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504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人民东路五泄路口GG+QQ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505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人民东路九洲花园路口GG+QQ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506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人民东路九洲花园路口GG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507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人民东路建材城路口GG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508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鲁迅东路千客隆超市南侧QQ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509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鲁迅东路千客窿西南角GG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510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鲁迅东路千客隆超市东侧GG+QQ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511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鲁迅东路丰越花园小区路QQ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512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鲁迅东路丰越花园小区路GG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513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鲁迅东路长诏路口GG+QQ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514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鲁迅东路长诏路口GG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515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鲁迅东路鹤池苑菜场路口QQ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516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鲁迅东路鹤池苑菜场路口GG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517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鲁迅东路剡溪路口QQ+GG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518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鲁迅东路剡溪路口GG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519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鲁迅东路鹤池苑64幢路口GG+QQ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520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鲁迅东路鹤池苑64幢路口GG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521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鲁迅东路平江路口GG+QQ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522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鲁迅东路平江路口QQ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523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鲁迅东路平江公寓路口GG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524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鲁迅东路洄涌路口GG+QQ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525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鲁迅东路森海豪庭路口GG+QQ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526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延安东路大观园足浴路口GG+QQ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527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延安东路大观园足浴路口GG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528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涂山路门前江小区大门路口GG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529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涂山路门前江小区大门路口GG+QQ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530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涂山路五泄路西南GG+QQ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531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五泄路永胜新村大门入口GG+QQ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532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五泄路东山路路口GG+QQ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533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五泄路东山路路口GG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534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环城东路镜水花园路口GG+QQ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535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渡东桥南路渡东电力小区GG+QQ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536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平江路职教中心路口GG+QQ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537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阳明路委婉山路口GG+QQ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538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阳明路高尔夫球场路口GG+QQ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539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曹江路工业园区路口GG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540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天姥路永丰公寓路口GG+QQ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541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平江路兰江路口GG+QQ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542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曹江路工业园区路口GG+QQ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543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广汽三菱汽车QQ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544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则水排村七眼桥市场路口照南GG+QQ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545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坝口村村西口照南GG+QQ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546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东湖风景区门口照西GG+QQ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547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东湖风景区景区道路GG+QQ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548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樊江村105国道与老村委照南GG+QQ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549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朱家泾村二泾市场照东南GG+QQ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550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中山路银桥路路口西照西GG+QQ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551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中山路坝口村路口东照东GG+QQ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552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腰鼓山泽庆砂石厂照西GG+QQ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553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银都大桥东健身活动中心照西北GG+QQ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554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银都大桥西健身活动中心照北GG+QQ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555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新桥大湖沿村村中照南GG+QQ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556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藕泾藕塘头村村中照南GG+QQ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557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藕泾湖里泾村南高自然村照西QQ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558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吼山风景区门口照西北GG+QQ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559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前孟封湾头江村菜市场照西GG+QQ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560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前孟封孟家封村孟封转盘照西GG+QQ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561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坝头山村村中照东GG+QQ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562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上蒋唐家村丁字路口照东GG+QQ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563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东杨湾杨梅山村村中照东QQ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564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下堡下埠村村口照东GG+QQ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565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下堡西堡村村中照西北GG+QQ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566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腰鼓山村中山路与村口照西QQ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567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山前徐村临江路与村北口照南GG+QQ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568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山前徐村上凡公路与村中3照北GG+QQ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569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西湖岙村村中照南QQ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570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银桥路银山路照东GG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571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中山路漫池路口东照西QQ+QQ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572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皋埠拘留所路口东北照西GG+QQ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573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皇埠山皇村南山照西北GG+QQ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574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皇埠旧埠村村中照西GG+QQ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575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攒宫村村委前照东GG+QQ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576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中兴北路-昌安西街QQ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577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引虎弄-沿江路GG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578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昌安西街-中金国际GG+QQ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579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昌安街-情诺酒店GG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580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昌安街-华汇大厦GG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581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迪荡湖路龙洲小学GG+QQ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582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迪荡湖路-龙洲花园东门GG+QQ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583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祭坛后-铁路涵洞GG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584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中兴北路-引虎弄GG+QQ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585</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中兴北路-维也纳酒店GG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586</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昌安街-乐苑新村GG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587</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东风本田QQ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588</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三菱汽车GG+QQ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589</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佳禾一汽丰田GG+QQ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590</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广汽丰田GG+QQ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591</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瑞达一汽马自达汽车QQ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592</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绍兴永达英菲尼迪GG+QQ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593</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文昌雅苑门口对面GG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594</w:t>
            </w:r>
          </w:p>
        </w:tc>
        <w:tc>
          <w:tcPr>
            <w:tcW w:w="4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东盛汽车QQ</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pacing w:line="360" w:lineRule="auto"/>
              <w:jc w:val="center"/>
              <w:textAlignment w:val="center"/>
              <w:rPr>
                <w:rFonts w:hint="eastAsia" w:ascii="楷体_GB2312" w:hAnsi="楷体_GB2312" w:eastAsia="楷体_GB2312" w:cs="楷体_GB2312"/>
                <w:i w:val="0"/>
                <w:iCs w:val="0"/>
                <w:color w:val="auto"/>
                <w:sz w:val="24"/>
                <w:szCs w:val="24"/>
                <w:highlight w:val="none"/>
                <w:u w:val="none"/>
              </w:rPr>
            </w:pPr>
            <w:r>
              <w:rPr>
                <w:rFonts w:hint="eastAsia" w:ascii="楷体_GB2312" w:hAnsi="楷体_GB2312" w:eastAsia="楷体_GB2312" w:cs="楷体_GB2312"/>
                <w:i w:val="0"/>
                <w:iCs w:val="0"/>
                <w:color w:val="auto"/>
                <w:kern w:val="0"/>
                <w:sz w:val="24"/>
                <w:szCs w:val="24"/>
                <w:highlight w:val="none"/>
                <w:u w:val="none"/>
                <w:lang w:val="en-US" w:eastAsia="zh-CN" w:bidi="ar"/>
              </w:rPr>
              <w:t>1</w:t>
            </w:r>
          </w:p>
        </w:tc>
      </w:tr>
    </w:tbl>
    <w:p>
      <w:pPr>
        <w:keepNext w:val="0"/>
        <w:keepLines w:val="0"/>
        <w:pageBreakBefore w:val="0"/>
        <w:kinsoku/>
        <w:wordWrap/>
        <w:overflowPunct/>
        <w:topLinePunct w:val="0"/>
        <w:autoSpaceDE/>
        <w:autoSpaceDN/>
        <w:bidi w:val="0"/>
        <w:adjustRightInd w:val="0"/>
        <w:spacing w:beforeLines="50" w:afterLines="50" w:line="360" w:lineRule="auto"/>
        <w:rPr>
          <w:rFonts w:hint="eastAsia" w:ascii="楷体_GB2312" w:hAnsi="楷体_GB2312" w:eastAsia="楷体_GB2312" w:cs="楷体_GB2312"/>
          <w:b/>
          <w:color w:val="auto"/>
          <w:sz w:val="24"/>
          <w:szCs w:val="24"/>
          <w:highlight w:val="none"/>
        </w:rPr>
      </w:pPr>
      <w:r>
        <w:rPr>
          <w:rFonts w:hint="eastAsia" w:ascii="楷体_GB2312" w:hAnsi="楷体_GB2312" w:eastAsia="楷体_GB2312" w:cs="楷体_GB2312"/>
          <w:b/>
          <w:color w:val="auto"/>
          <w:sz w:val="24"/>
          <w:szCs w:val="24"/>
          <w:highlight w:val="none"/>
        </w:rPr>
        <w:t>注：最终点位以采购人确定为准</w:t>
      </w:r>
    </w:p>
    <w:p>
      <w:pPr>
        <w:keepNext w:val="0"/>
        <w:keepLines w:val="0"/>
        <w:pageBreakBefore w:val="0"/>
        <w:kinsoku/>
        <w:wordWrap/>
        <w:overflowPunct/>
        <w:topLinePunct w:val="0"/>
        <w:autoSpaceDE/>
        <w:autoSpaceDN/>
        <w:bidi w:val="0"/>
        <w:adjustRightInd w:val="0"/>
        <w:spacing w:beforeLines="50" w:afterLines="50" w:line="360" w:lineRule="auto"/>
        <w:rPr>
          <w:rFonts w:hint="eastAsia" w:ascii="楷体_GB2312" w:hAnsi="楷体_GB2312" w:eastAsia="楷体_GB2312" w:cs="楷体_GB2312"/>
          <w:b/>
          <w:color w:val="auto"/>
          <w:sz w:val="24"/>
          <w:szCs w:val="24"/>
          <w:highlight w:val="none"/>
        </w:rPr>
      </w:pPr>
      <w:r>
        <w:rPr>
          <w:rFonts w:hint="eastAsia" w:ascii="楷体_GB2312" w:hAnsi="楷体_GB2312" w:eastAsia="楷体_GB2312" w:cs="楷体_GB2312"/>
          <w:b/>
          <w:color w:val="auto"/>
          <w:sz w:val="24"/>
          <w:szCs w:val="24"/>
          <w:highlight w:val="none"/>
        </w:rPr>
        <w:t>2、</w:t>
      </w:r>
      <w:bookmarkStart w:id="46" w:name="OLE_LINK8"/>
      <w:r>
        <w:rPr>
          <w:rFonts w:hint="eastAsia" w:ascii="楷体_GB2312" w:hAnsi="楷体_GB2312" w:eastAsia="楷体_GB2312" w:cs="楷体_GB2312"/>
          <w:b/>
          <w:color w:val="auto"/>
          <w:sz w:val="24"/>
          <w:szCs w:val="24"/>
          <w:highlight w:val="none"/>
        </w:rPr>
        <w:t>设备清单及技术要求</w:t>
      </w:r>
    </w:p>
    <w:bookmarkEnd w:id="46"/>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1242"/>
        <w:gridCol w:w="5063"/>
        <w:gridCol w:w="547"/>
        <w:gridCol w:w="547"/>
        <w:gridCol w:w="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5000" w:type="pct"/>
            <w:gridSpan w:val="6"/>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一、前端建设（含改造）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6"/>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1.1、前端建设（改造）部分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序号</w:t>
            </w:r>
          </w:p>
        </w:tc>
        <w:tc>
          <w:tcPr>
            <w:tcW w:w="730"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内容名称</w:t>
            </w:r>
          </w:p>
        </w:tc>
        <w:tc>
          <w:tcPr>
            <w:tcW w:w="2979"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参数</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数量</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单位</w:t>
            </w:r>
          </w:p>
        </w:tc>
        <w:tc>
          <w:tcPr>
            <w:tcW w:w="323"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w:t>
            </w:r>
          </w:p>
        </w:tc>
        <w:tc>
          <w:tcPr>
            <w:tcW w:w="730"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枪机</w:t>
            </w:r>
          </w:p>
        </w:tc>
        <w:tc>
          <w:tcPr>
            <w:tcW w:w="2979"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1、传感器类型：不小于1/1.8英寸CMOS+1/3英寸CMOS；2、像素：400万；</w:t>
            </w:r>
          </w:p>
          <w:p>
            <w:pPr>
              <w:keepNext w:val="0"/>
              <w:keepLines w:val="0"/>
              <w:pageBreakBefore w:val="0"/>
              <w:widowControl/>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3、补光灯：不少于2颗混光灯；</w:t>
            </w:r>
          </w:p>
          <w:p>
            <w:pPr>
              <w:keepNext w:val="0"/>
              <w:keepLines w:val="0"/>
              <w:pageBreakBefore w:val="0"/>
              <w:widowControl/>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4、最大分辨率：不低于2560×1440；</w:t>
            </w:r>
          </w:p>
          <w:p>
            <w:pPr>
              <w:keepNext w:val="0"/>
              <w:keepLines w:val="0"/>
              <w:pageBreakBefore w:val="0"/>
              <w:widowControl/>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5、最低照度：0.001Lux（彩色模式）；0.0001Lux（黑白模式）；0Lux（补光灯开启）；</w:t>
            </w:r>
          </w:p>
          <w:p>
            <w:pPr>
              <w:keepNext w:val="0"/>
              <w:keepLines w:val="0"/>
              <w:pageBreakBefore w:val="0"/>
              <w:widowControl/>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6、补光距离：不低于30m（视频监控距离）</w:t>
            </w:r>
          </w:p>
          <w:p>
            <w:pPr>
              <w:keepNext w:val="0"/>
              <w:keepLines w:val="0"/>
              <w:pageBreakBefore w:val="0"/>
              <w:widowControl/>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7、镜头类型：定焦；</w:t>
            </w:r>
          </w:p>
          <w:p>
            <w:pPr>
              <w:keepNext w:val="0"/>
              <w:keepLines w:val="0"/>
              <w:pageBreakBefore w:val="0"/>
              <w:widowControl/>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8、镜头焦距：6mm；</w:t>
            </w:r>
          </w:p>
          <w:p>
            <w:pPr>
              <w:keepNext w:val="0"/>
              <w:keepLines w:val="0"/>
              <w:pageBreakBefore w:val="0"/>
              <w:widowControl/>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9、宽动态范围:120 dB；</w:t>
            </w:r>
          </w:p>
          <w:p>
            <w:pPr>
              <w:keepNext w:val="0"/>
              <w:keepLines w:val="0"/>
              <w:pageBreakBefore w:val="0"/>
              <w:widowControl/>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10、视频压缩标准:H.265/H.264/；</w:t>
            </w:r>
          </w:p>
          <w:p>
            <w:pPr>
              <w:keepNext w:val="0"/>
              <w:keepLines w:val="0"/>
              <w:pageBreakBefore w:val="0"/>
              <w:widowControl/>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11、透雾功能：支持；</w:t>
            </w:r>
          </w:p>
          <w:p>
            <w:pPr>
              <w:keepNext w:val="0"/>
              <w:keepLines w:val="0"/>
              <w:pageBreakBefore w:val="0"/>
              <w:widowControl/>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12、接入标准：ONVIF（Profile S/Profile G/Profile T）;CGI;GB/T28181（双国标）;GA/T1400;</w:t>
            </w:r>
          </w:p>
          <w:p>
            <w:pPr>
              <w:keepNext w:val="0"/>
              <w:keepLines w:val="0"/>
              <w:pageBreakBefore w:val="0"/>
              <w:widowControl/>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13、最大Micro SD卡：256 GB；</w:t>
            </w:r>
          </w:p>
          <w:p>
            <w:pPr>
              <w:keepNext w:val="0"/>
              <w:keepLines w:val="0"/>
              <w:pageBreakBefore w:val="0"/>
              <w:widowControl/>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14、周界防范：绊线入侵；区域入侵；快速移动（三项均支持人车分类及精准检测）；徘徊检测；人员聚集；停车检测；</w:t>
            </w:r>
          </w:p>
          <w:p>
            <w:pPr>
              <w:keepNext w:val="0"/>
              <w:keepLines w:val="0"/>
              <w:pageBreakBefore w:val="0"/>
              <w:widowControl/>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15、人脸检测：支持人脸检测；支持跟踪；支持优选；支持抓拍；支持上报最优的人脸抓图；支持人脸增强，支持人脸曝光；支持人脸抠图区域可设：人脸，单寸照；支持人脸角度过滤功能；</w:t>
            </w:r>
          </w:p>
          <w:p>
            <w:pPr>
              <w:keepNext w:val="0"/>
              <w:keepLines w:val="0"/>
              <w:pageBreakBefore w:val="0"/>
              <w:widowControl/>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16、供电方式：DC12V/POE；</w:t>
            </w:r>
          </w:p>
          <w:p>
            <w:pPr>
              <w:keepNext w:val="0"/>
              <w:keepLines w:val="0"/>
              <w:pageBreakBefore w:val="0"/>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17、防护等级：IP67。</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167</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只</w:t>
            </w:r>
          </w:p>
        </w:tc>
        <w:tc>
          <w:tcPr>
            <w:tcW w:w="323"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w:t>
            </w:r>
          </w:p>
        </w:tc>
        <w:tc>
          <w:tcPr>
            <w:tcW w:w="730"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球机</w:t>
            </w:r>
          </w:p>
        </w:tc>
        <w:tc>
          <w:tcPr>
            <w:tcW w:w="2979"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1、传感器类型：全景：1/1.8英寸COMS 细节：1/1.8英寸COMS，双sensor架构；</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2、像素：全景不低于400万，细节不低于400万；</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3、最大分辨率：全景不低于2560×1440 细节不低于2560×1440；</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4、最低照度：彩色：不高于0.001Lux@F1.6黑白：不高于0.0001Lux@F1.60Lux（红外灯开启）；</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5、最大补光距离：不低于30m（白光）不低于250m（红外）；</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6、镜头焦距：全景：4.0mm 细节：焦距最小值≦6mm且最大值≧192mm；</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7、光学变倍：≧32倍；</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8、视频结构化：支持机动车、非机动车、人脸、人体检测；支持跟踪；支持优选；支持抓拍；支持上报最优的抓图机动车属性（车牌，车牌颜色 ，车辆类型，车身颜色，车标，车系/年款，遮阳板，安全带，抽烟，打电话，车内饰品，年检标志）非机动车属性（类型，车身颜色，骑车人数，上衣类型，上衣颜色，帽子）人体属性（上衣类型，下衣类型，上衣颜色，下衣颜色，背包，帽子，性别，雨伞）人脸属性（性别，年龄，表情，戴眼镜，戴口罩，胡子）；</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周界防范：支持绊线入侵；支持区域入侵；支持穿越围栏；支持徘徊检测；支持物品遗留；支持物品搬移；支持快速移动；支持停车检测；支持人员聚集；支持人车分类报警；支持多种规则触发后联动细节相机定位、跟踪；</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10、电源接口：支持DC36V±25%宽电压输入；</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网络接口：RJ45网口，自适应10M/100M网络数据；</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11、水平方向360°连续旋转，垂直方向-20°～90°，无监视盲区；</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12、支持300个预置位，8条巡航路径；</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13、支持1路音频输入，1路音频输出；</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14、支持2路报警输入，1路报警输出；</w:t>
            </w:r>
          </w:p>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15、支持IP67防护等级，6000V防雷、防浪涌和防突波保护。</w:t>
            </w:r>
          </w:p>
        </w:tc>
        <w:tc>
          <w:tcPr>
            <w:tcW w:w="322"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176</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只</w:t>
            </w:r>
          </w:p>
        </w:tc>
        <w:tc>
          <w:tcPr>
            <w:tcW w:w="323"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w:t>
            </w:r>
          </w:p>
        </w:tc>
        <w:tc>
          <w:tcPr>
            <w:tcW w:w="730"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枪球一体机</w:t>
            </w:r>
          </w:p>
        </w:tc>
        <w:tc>
          <w:tcPr>
            <w:tcW w:w="2979"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1、传感器类型：全景1/1.8英寸CMOS细节1/1.8英寸CMOS；</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2、像素：全景不低于400万，细节不低于400万；</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3、最大分辨率：全景不低于2560×1440 细节不低于2560×1440；</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4、最低照度：全景：彩色：不高于0.001Lux@F1.6黑白：不高于0.0001Lux@F1.6细节：彩色：0.001Lux@F1.6黑白：0.0001Lux@F1.60Lux（红外灯开启）；</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5、最大补光距离：全景：不低于30m（白光）细节：不低于100m（红外）；</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6、镜头焦距：全景：8-32mm 细节：焦距最小值≦6mm且最大值≧135mm；</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7、光学变倍：≧25倍；</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8、视频结构化：支持机动车、非机动车、人脸、人体检测；支持跟踪；支持优选；支持抓拍；支持上报最优的抓图机动车属性，非机动车属性，人体属性，人脸属性；</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周界防范：支持绊线入侵；支持区域入侵；支持穿越围栏；支持徘徊检测；支持物品遗留；支持物品搬移；支持快速移动；支持停车检测；支持人员聚集；支持人车分类报警；支持多种规则触发后联动细节相机定位、跟踪；</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10、人脸识别：支持人脸检测；支持人脸轨迹框；支持优选；支持抓拍；支持上报最优的人脸抓图；支持人脸增强，人脸曝光；支持人脸属性提取；</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11、支持人脸抠图区域可设：人脸，单寸照；支持实时抓拍，优选抓拍，质量优先三种抓拍策略；</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12、透雾功能：电子透雾；</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13、音频输入：1路；</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14、音频输出：1路；</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15、报警接口：2进1出；</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16、供电方式：DC36V（-25%~+25%）；</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17、接口类型：RJ45接口；</w:t>
            </w:r>
          </w:p>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18、支持IP66防护等级，6000V防雷、防浪涌和防突波保护。</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117</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只</w:t>
            </w:r>
          </w:p>
        </w:tc>
        <w:tc>
          <w:tcPr>
            <w:tcW w:w="323"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w:t>
            </w:r>
          </w:p>
        </w:tc>
        <w:tc>
          <w:tcPr>
            <w:tcW w:w="730"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900万生态一体化抓拍摄像机</w:t>
            </w:r>
            <w:r>
              <w:rPr>
                <w:rFonts w:hint="eastAsia" w:ascii="楷体_GB2312" w:hAnsi="楷体_GB2312" w:eastAsia="楷体_GB2312" w:cs="楷体_GB2312"/>
                <w:b/>
                <w:bCs/>
                <w:color w:val="auto"/>
                <w:kern w:val="0"/>
                <w:sz w:val="24"/>
                <w:szCs w:val="24"/>
                <w:highlight w:val="none"/>
              </w:rPr>
              <w:t>（</w:t>
            </w:r>
            <w:r>
              <w:rPr>
                <w:rFonts w:hint="eastAsia" w:ascii="楷体_GB2312" w:hAnsi="楷体_GB2312" w:eastAsia="楷体_GB2312" w:cs="楷体_GB2312"/>
                <w:b/>
                <w:bCs/>
                <w:color w:val="auto"/>
                <w:kern w:val="0"/>
                <w:sz w:val="24"/>
                <w:szCs w:val="24"/>
                <w:highlight w:val="none"/>
                <w:lang w:val="en-US" w:eastAsia="zh-CN"/>
              </w:rPr>
              <w:t>卡口相机</w:t>
            </w:r>
            <w:r>
              <w:rPr>
                <w:rFonts w:hint="eastAsia" w:ascii="楷体_GB2312" w:hAnsi="楷体_GB2312" w:eastAsia="楷体_GB2312" w:cs="楷体_GB2312"/>
                <w:b/>
                <w:bCs/>
                <w:color w:val="auto"/>
                <w:kern w:val="0"/>
                <w:sz w:val="24"/>
                <w:szCs w:val="24"/>
                <w:highlight w:val="none"/>
              </w:rPr>
              <w:t>）</w:t>
            </w:r>
          </w:p>
        </w:tc>
        <w:tc>
          <w:tcPr>
            <w:tcW w:w="2979"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1、像素：</w:t>
            </w:r>
            <w:r>
              <w:rPr>
                <w:rFonts w:hint="eastAsia" w:ascii="楷体_GB2312" w:hAnsi="楷体_GB2312" w:eastAsia="楷体_GB2312" w:cs="楷体_GB2312"/>
                <w:color w:val="auto"/>
                <w:kern w:val="0"/>
                <w:sz w:val="24"/>
                <w:szCs w:val="24"/>
                <w:highlight w:val="none"/>
              </w:rPr>
              <w:t>不低于</w:t>
            </w:r>
            <w:r>
              <w:rPr>
                <w:rFonts w:hint="eastAsia" w:ascii="楷体_GB2312" w:hAnsi="楷体_GB2312" w:eastAsia="楷体_GB2312" w:cs="楷体_GB2312"/>
                <w:color w:val="auto"/>
                <w:kern w:val="0"/>
                <w:sz w:val="24"/>
                <w:szCs w:val="24"/>
                <w:highlight w:val="none"/>
              </w:rPr>
              <w:t>900W；</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w:t>
            </w:r>
            <w:r>
              <w:rPr>
                <w:rFonts w:hint="eastAsia" w:ascii="楷体_GB2312" w:hAnsi="楷体_GB2312" w:eastAsia="楷体_GB2312" w:cs="楷体_GB2312"/>
                <w:color w:val="auto"/>
                <w:kern w:val="0"/>
                <w:sz w:val="24"/>
                <w:szCs w:val="24"/>
                <w:highlight w:val="none"/>
              </w:rPr>
              <w:t>最大</w:t>
            </w:r>
            <w:r>
              <w:rPr>
                <w:rFonts w:hint="eastAsia" w:ascii="楷体_GB2312" w:hAnsi="楷体_GB2312" w:eastAsia="楷体_GB2312" w:cs="楷体_GB2312"/>
                <w:color w:val="auto"/>
                <w:kern w:val="0"/>
                <w:sz w:val="24"/>
                <w:szCs w:val="24"/>
                <w:highlight w:val="none"/>
              </w:rPr>
              <w:t>分辨率：</w:t>
            </w:r>
            <w:r>
              <w:rPr>
                <w:rFonts w:hint="eastAsia" w:ascii="楷体_GB2312" w:hAnsi="楷体_GB2312" w:eastAsia="楷体_GB2312" w:cs="楷体_GB2312"/>
                <w:color w:val="auto"/>
                <w:kern w:val="0"/>
                <w:sz w:val="24"/>
                <w:szCs w:val="24"/>
                <w:highlight w:val="none"/>
              </w:rPr>
              <w:t>不低于</w:t>
            </w:r>
            <w:r>
              <w:rPr>
                <w:rFonts w:hint="eastAsia" w:ascii="楷体_GB2312" w:hAnsi="楷体_GB2312" w:eastAsia="楷体_GB2312" w:cs="楷体_GB2312"/>
                <w:color w:val="auto"/>
                <w:kern w:val="0"/>
                <w:sz w:val="24"/>
                <w:szCs w:val="24"/>
                <w:highlight w:val="none"/>
              </w:rPr>
              <w:t>4096*2160；</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3、帧率：25fps；</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4、图像传感器：采用1"英寸全局曝光CMOS（GMOS）传感器；</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5、镜头：50mm镜头；</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6、照度：彩色:不高于0.01Lux；</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7、视频压缩标准：H.265/H.264/MJPEG</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8、网络接口：2个RJ-45以太网口，支持10/100/1000M网络数据传输；</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9、供电方式：AC100V~AC240V（50HZ/60HZ）；</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10、工作温度：-40℃~+65℃；</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11、防护等级：IP66；</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12、支持机动车辆抓拍，支持车牌、车型、车身颜色、车辆主品牌及车辆子品牌、挂坠、安全带、遮阳板等信息识别；</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识别车牌种类不少于5种：民用车牌，警用车牌，2012式新军用车牌，2012式武警车牌，新能源车牌；</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13、支持不少于9种常见颜色（白、灰、黄、红、紫、绿、蓝、棕、黑）识别；</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14、可以识别不少于8种车型：大客车、小客车、大货车、小货车、面包车/轻型客车、皮卡、轿车及SUV/MPV；</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15、支持非机动车（二轮车、三轮车）抓拍，支持输出骑车人员人脸小图及人体多项属性；</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16、支持行人抓拍，支持输出行人对应的人脸小图，同时检测多类人体属性；</w:t>
            </w:r>
          </w:p>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17、支持车辆检测处理器、雷达、补光灯的接入。</w:t>
            </w:r>
          </w:p>
        </w:tc>
        <w:tc>
          <w:tcPr>
            <w:tcW w:w="322"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rPr>
              <w:t>11</w:t>
            </w:r>
            <w:r>
              <w:rPr>
                <w:rFonts w:hint="eastAsia" w:ascii="楷体_GB2312" w:hAnsi="楷体_GB2312" w:eastAsia="楷体_GB2312" w:cs="楷体_GB2312"/>
                <w:color w:val="auto"/>
                <w:kern w:val="0"/>
                <w:sz w:val="24"/>
                <w:szCs w:val="24"/>
                <w:highlight w:val="none"/>
                <w:lang w:val="en-US" w:eastAsia="zh-CN"/>
              </w:rPr>
              <w:t>6</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套</w:t>
            </w:r>
          </w:p>
        </w:tc>
        <w:tc>
          <w:tcPr>
            <w:tcW w:w="323"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5</w:t>
            </w:r>
          </w:p>
        </w:tc>
        <w:tc>
          <w:tcPr>
            <w:tcW w:w="730"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500万生态一体化抓拍摄像机</w:t>
            </w:r>
          </w:p>
        </w:tc>
        <w:tc>
          <w:tcPr>
            <w:tcW w:w="2979"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1、传感器类型：不小于2/3英寸GS-CMOS；</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电子快门：1/50s~1/100000s（可调节）；</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2、图像分辨率：不小于2448*2048 （不包含OSD黑边）；</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3、视频分辨率：不小于（2448*2048 ）/1080P（1920×1080）/UXGA（1600×1200）/720P（1280×720）/D1（704× 576）/CIF（352×288）；</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视频帧率：最大支持50fps;默认主码流不小于（2448*2048@25fps），辅码流（704×576@25fps）；</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4、视频码率：H.264：32kbps~32767kbpsH.265：32kbps~32767kbpsMJPEG：512kbps~32767kbps；5、视频压缩标准：MJPEG;H.264;H.265；</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6、图片编码格式：JPEG；</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7、图片合成：支持1、2、3、4张图片合成；</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8、国密功能：支持国密GB 35114-A级功能；</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9、镜头接口：C；</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10、外置灯接口：7个，光耦信号输出；</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11、网络接口：2个RJ-45以太网口，支持10/100/1000M网络数据传输；</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12、存储接口：1个，最大支持不少于256G TF卡本地存储；</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13、RS-485接口：2个</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14、RS-232接口：不少于1个；</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15、电源返送：DC12V±10%电压输出，≤1.5A电流输出；</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16、供电方式：AC220V±10%；</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17、工作温度：-40℃~+65℃；</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18、工作湿度：10%~90%；</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19、防护等级：IP66；</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20、镜头：50mm。</w:t>
            </w:r>
          </w:p>
        </w:tc>
        <w:tc>
          <w:tcPr>
            <w:tcW w:w="322"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rPr>
              <w:t>1</w:t>
            </w:r>
            <w:r>
              <w:rPr>
                <w:rFonts w:hint="eastAsia" w:ascii="楷体_GB2312" w:hAnsi="楷体_GB2312" w:eastAsia="楷体_GB2312" w:cs="楷体_GB2312"/>
                <w:color w:val="auto"/>
                <w:kern w:val="0"/>
                <w:sz w:val="24"/>
                <w:szCs w:val="24"/>
                <w:highlight w:val="none"/>
                <w:lang w:val="en-US" w:eastAsia="zh-CN"/>
              </w:rPr>
              <w:t>6</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套</w:t>
            </w:r>
          </w:p>
        </w:tc>
        <w:tc>
          <w:tcPr>
            <w:tcW w:w="323"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5</w:t>
            </w:r>
          </w:p>
        </w:tc>
        <w:tc>
          <w:tcPr>
            <w:tcW w:w="730"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800万合智能红外定焦四目拼接网络摄像机</w:t>
            </w:r>
          </w:p>
        </w:tc>
        <w:tc>
          <w:tcPr>
            <w:tcW w:w="2979"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1、传感器类型：1/1.8英寸CMOS；</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2、像素：</w:t>
            </w:r>
            <w:r>
              <w:rPr>
                <w:rFonts w:hint="eastAsia" w:ascii="楷体_GB2312" w:hAnsi="楷体_GB2312" w:eastAsia="楷体_GB2312" w:cs="楷体_GB2312"/>
                <w:color w:val="auto"/>
                <w:kern w:val="0"/>
                <w:sz w:val="24"/>
                <w:szCs w:val="24"/>
                <w:highlight w:val="none"/>
              </w:rPr>
              <w:t>不低于</w:t>
            </w:r>
            <w:r>
              <w:rPr>
                <w:rFonts w:hint="eastAsia" w:ascii="楷体_GB2312" w:hAnsi="楷体_GB2312" w:eastAsia="楷体_GB2312" w:cs="楷体_GB2312"/>
                <w:color w:val="auto"/>
                <w:kern w:val="0"/>
                <w:sz w:val="24"/>
                <w:szCs w:val="24"/>
                <w:highlight w:val="none"/>
              </w:rPr>
              <w:t>800万（全景）+200万（球机）；</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3、最大分辨率：</w:t>
            </w:r>
            <w:r>
              <w:rPr>
                <w:rFonts w:hint="eastAsia" w:ascii="楷体_GB2312" w:hAnsi="楷体_GB2312" w:eastAsia="楷体_GB2312" w:cs="楷体_GB2312"/>
                <w:color w:val="auto"/>
                <w:kern w:val="0"/>
                <w:sz w:val="24"/>
                <w:szCs w:val="24"/>
                <w:highlight w:val="none"/>
              </w:rPr>
              <w:t>不低于</w:t>
            </w:r>
            <w:r>
              <w:rPr>
                <w:rFonts w:hint="eastAsia" w:ascii="楷体_GB2312" w:hAnsi="楷体_GB2312" w:eastAsia="楷体_GB2312" w:cs="楷体_GB2312"/>
                <w:color w:val="auto"/>
                <w:kern w:val="0"/>
                <w:sz w:val="24"/>
                <w:szCs w:val="24"/>
                <w:highlight w:val="none"/>
              </w:rPr>
              <w:t>4096×1800；</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4、最低照度：全景：小于等于0.001Lux（彩色模式）；小于等于0.0001Lux（黑白模式）；球机:小于等于0.001Lux（彩色模式）；小于等于0.0001Lux（黑白模式）；0Lux（补光灯开启）；</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5、最大补光距离：球机：≥220m米（红外补光）；</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6、镜头类型：全景：定焦镜头 细节：电动变焦；</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7、镜头焦距：全景：2.8mm 球机：6-208mm，不小于37倍光学变倍；</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8、通用行为分析：区域入侵；绊线入侵；</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9、视频压缩标准：H.265；H.264；H.264H；H.264B；MJPEG；</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10、智能编码：H.264：支持H.265：支持；</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11、宽动态：全景：数字宽动态；球机：真实宽动态；</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12、报警事件：绊线入侵；区域入侵；</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13、接入标准：ONVIF（Profile S/Profile G/Profile T）； CGI；GB/T28181；</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14、最大Micro SD卡：256 GB；</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15、音频输入：不少于1路（接线端子）；</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16、音频输出：不少于1路（接线端子）；</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17、报警输入：不少于7路；</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18、报警输出：不少于2路；</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19、供电方式：DC36V；</w:t>
            </w:r>
          </w:p>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20、防护等级：不低于IP66。</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台</w:t>
            </w:r>
          </w:p>
        </w:tc>
        <w:tc>
          <w:tcPr>
            <w:tcW w:w="323"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w:t>
            </w:r>
          </w:p>
        </w:tc>
        <w:tc>
          <w:tcPr>
            <w:tcW w:w="730"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环保补光灯</w:t>
            </w:r>
          </w:p>
        </w:tc>
        <w:tc>
          <w:tcPr>
            <w:tcW w:w="2979"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1、灯型：多功能一体型：支持暖光LED频闪、暖光LED爆闪、白光氙气爆闪、红外氙气爆闪四种模式；</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2、色温： LED≤4500K；</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3、光斑覆盖范围：4米宽；</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4、补光距离：包含18m~30m范围；</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5、回电时间：≤67ms；</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6、闪光持续时间：180us~500us；</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7、闪光灯寿命：≥1000万次；</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8、灯珠数量：≥24颗（高亮LED）；</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9、日夜切换：支持灵敏度可设置；</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10、红外白光切换：支持；</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11、氙气、LED频闪支持亮度调节；</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12、供电方式：AC220V±10％</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13、防护等级：IP66；</w:t>
            </w:r>
          </w:p>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14、工作环境温度：-25°C～+50°C。</w:t>
            </w:r>
          </w:p>
        </w:tc>
        <w:tc>
          <w:tcPr>
            <w:tcW w:w="322"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rPr>
              <w:t>24</w:t>
            </w:r>
            <w:r>
              <w:rPr>
                <w:rFonts w:hint="eastAsia" w:ascii="楷体_GB2312" w:hAnsi="楷体_GB2312" w:eastAsia="楷体_GB2312" w:cs="楷体_GB2312"/>
                <w:color w:val="auto"/>
                <w:kern w:val="0"/>
                <w:sz w:val="24"/>
                <w:szCs w:val="24"/>
                <w:highlight w:val="none"/>
                <w:lang w:val="en-US" w:eastAsia="zh-CN"/>
              </w:rPr>
              <w:t>6</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盏</w:t>
            </w:r>
          </w:p>
        </w:tc>
        <w:tc>
          <w:tcPr>
            <w:tcW w:w="323"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7</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0.5米抱杆维护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0.5米抱杆维护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支</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1米抱杆维护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1米抱杆维护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27</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支</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1.5米抱杆维护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1.5米抱杆维护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支</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10</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1.5米挑0.5米支架维护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1.5米挑0.5米支架维护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支</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11</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1米墙装维护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1米墙装维护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支</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12</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2米抱杆维护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2米抱杆维护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支</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13</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2米墙装维护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2米墙装维护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支</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14</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3米抱杆维护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3米抱杆维护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支</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15</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1米挑0.5米支架维护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1米挑0.5米支架维护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支</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16</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H=3.5M L=0.5M立杆维护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H=3.5M L=0.5M立杆维护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支</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17</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H=3M L=0.5M立杆维护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H=3M L=0.5M立杆维护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支</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18</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H=4.5M L=1M立杆维护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xml:space="preserve"> H=4.5M L=1M立杆维护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套</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19</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H=5M L=2M立杆维护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H=5M L=2M立杆维护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套</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20</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2米挑臂维护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2米挑臂维护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41</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支</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21</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3米挑臂维护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3米挑臂维护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支</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22</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4米挑臂维护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4米挑臂维护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支</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23</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10米挑臂维护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10米挑臂维护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支</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25</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定制支架维护</w:t>
            </w:r>
          </w:p>
        </w:tc>
        <w:tc>
          <w:tcPr>
            <w:tcW w:w="2979"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定制支架维护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18</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支</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26</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6米监控杆（含基础）维护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6米监控杆（含基础）维护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99</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套</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27</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6.8米卡口杆（含基础）维护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6.8米卡口杆（含基础）维护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13</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套</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28</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手孔维护</w:t>
            </w:r>
          </w:p>
        </w:tc>
        <w:tc>
          <w:tcPr>
            <w:tcW w:w="2979"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手孔维护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120</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个</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29</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监控机箱维护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450*350*200监控设备箱，主要电气配件：空开、导轨、插线板等，安装方式抱杆/墙装。</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490</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只</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30</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接地极维护</w:t>
            </w:r>
          </w:p>
        </w:tc>
        <w:tc>
          <w:tcPr>
            <w:tcW w:w="2979"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5*50镀锌角铁，长度2.5米，BVR10接地线，焊接后防腐处理。</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119</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根</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31</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防雷模块维护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最大持续工作电压Uc：275V，额定工作电压Un：单相220V/50Hz，最大放电电流Imax（8/20μs）：20KA，标称放电电流In（8/20μs）：10KA，电压保护水平Up：1.25KV，响应时间Ta：25ns，外型尺寸：标准模块 2P。</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538</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只</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32</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抱箍支架维护</w:t>
            </w:r>
          </w:p>
        </w:tc>
        <w:tc>
          <w:tcPr>
            <w:tcW w:w="2979"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抱箍支架维护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409</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只</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33</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辅助材料维护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含RVV2*1电源线、网线、接插件、尾纤、扎带、胶布、PVC管等维护。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rPr>
              <w:t>5</w:t>
            </w:r>
            <w:r>
              <w:rPr>
                <w:rFonts w:hint="eastAsia" w:ascii="楷体_GB2312" w:hAnsi="楷体_GB2312" w:eastAsia="楷体_GB2312" w:cs="楷体_GB2312"/>
                <w:color w:val="auto"/>
                <w:kern w:val="0"/>
                <w:sz w:val="24"/>
                <w:szCs w:val="24"/>
                <w:highlight w:val="none"/>
                <w:lang w:val="en-US" w:eastAsia="zh-CN"/>
              </w:rPr>
              <w:t>94</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套</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34</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电源接入（新建及移位部分）维护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电源接入（新建及移位部分）维护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286</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处</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35</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电源接入（利旧改造点位部分）维护</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电源接入（利旧改造点位部分）维护</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297</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处</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36</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监控调优</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监控效果调优等</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460</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只</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37</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卡口调优</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卡口效果调优</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132</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只</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38</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高位鹰眼调优</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高位鹰眼效果调优等</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只</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39</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补光灯调试</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角度调优。</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rPr>
              <w:t>24</w:t>
            </w:r>
            <w:r>
              <w:rPr>
                <w:rFonts w:hint="eastAsia" w:ascii="楷体_GB2312" w:hAnsi="楷体_GB2312" w:eastAsia="楷体_GB2312" w:cs="楷体_GB2312"/>
                <w:color w:val="auto"/>
                <w:kern w:val="0"/>
                <w:sz w:val="24"/>
                <w:szCs w:val="24"/>
                <w:highlight w:val="none"/>
                <w:lang w:val="en-US" w:eastAsia="zh-CN"/>
              </w:rPr>
              <w:t>6</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只</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40</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利旧监控杆紧固件保养</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紧固件保养</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188</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只</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41</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利旧卡口杆紧固件保养</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紧固件保养</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92</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只</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42</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利旧监控杆哑光黑色油漆保养</w:t>
            </w:r>
          </w:p>
        </w:tc>
        <w:tc>
          <w:tcPr>
            <w:tcW w:w="2979"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利旧监控杆哑光黑色油漆保养</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214</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只</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43</w:t>
            </w:r>
          </w:p>
        </w:tc>
        <w:tc>
          <w:tcPr>
            <w:tcW w:w="730"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利旧卡口杆哑光黑色油漆保养</w:t>
            </w:r>
          </w:p>
        </w:tc>
        <w:tc>
          <w:tcPr>
            <w:tcW w:w="2979"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利旧卡口杆哑光黑色油漆保养</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92</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只</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6"/>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二、后端设备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w:t>
            </w:r>
          </w:p>
        </w:tc>
        <w:tc>
          <w:tcPr>
            <w:tcW w:w="730"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汇聚交换机</w:t>
            </w:r>
          </w:p>
        </w:tc>
        <w:tc>
          <w:tcPr>
            <w:tcW w:w="2979"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1、以太网交换机主机,支持48个10/100/1000BASE-T端口,支持4个10G/1G BASE-X SFP+端口,支持1个Slot,无电源</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2、150W 电源模块，风扇模块（含光模块）；</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3、交换容量736Gbps/7.36Tbps</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4、转发性能≥252Mpps；</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5、模块化双电源，模块化双风扇，前/后通风，风道可调；同时在位两个风扇，拔掉任意一个，设备工作正常，提供第三方机构出具的检测报告。</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6、48个10/100/1000Base-T自适应以太网端口，4个万兆SFP+口，1个slot ；</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7、要求支持ERPS功能，并且收敛时间小于50ms</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要求设备支持SAVI功能，设备在SAVI DHCPv6-only模式下DHCPv6 client只能使用DHCPv6方式获取到的IPv6地址访问网络 ；</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8、要求设备能够被公有云平台管理；</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9、要求设备能通过蓝牙方式登录公有云平台；</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10、▲支持802.1ae Macsec安全加密，实现MAC层安全加密，包括用户数据加密、数据帧完整性检查及数据源真实性校验，无需软件授权；</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11、内置软AC功能，交换平台实现有线无线一体化集成，配合MC-AC分层模式，消除无线带宽瓶颈；</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12、▲带扩展插槽设备支持多种类型插卡和安全插卡；</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13、支持OPENFLOW 1.3标准支持普通模式和Openflow 模式切换；</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14、支持SNMP V1/V2/V3、RMON、SSHV2 ；</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15、支持OAM(802.1AG， 802.3AH)以太网运行、维护和管理标准；</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16、符合IEEE 802.3az（EEE）节能标准；</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17、auto-power-down；</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支持端口休眠，关闭没有应用的端口，节省能源；</w:t>
            </w:r>
          </w:p>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18、支持智能风扇调速。</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台</w:t>
            </w:r>
          </w:p>
        </w:tc>
        <w:tc>
          <w:tcPr>
            <w:tcW w:w="323"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w:t>
            </w:r>
          </w:p>
        </w:tc>
        <w:tc>
          <w:tcPr>
            <w:tcW w:w="730"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接入交换机</w:t>
            </w:r>
          </w:p>
        </w:tc>
        <w:tc>
          <w:tcPr>
            <w:tcW w:w="2979"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1、以太网交换机主机,支持24个10/100/1000BASE-T电口,支持4个1G/10G BASE-X SFP+端口,支持AC（含光模块）；</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2、交换容量≥336Gbps，转发性能≥108Mpps</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支持Openflow 1.3标准；</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3、支持静态路由、RIP、RIPng、OSPF；</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4、持最大9台设备虚拟化成一台逻辑设备；支持完善的堆叠分裂检测机制，堆叠分裂后能自动完成MAC和IP地址的重配置，无需手动干预，提供第三方机构颁发的检测报告；</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5、支持本地端口镜像和远程端口镜像RSPAN；支持流镜像，同时支持N：M的端口镜像（M大于1），提供第三方机构颁发的检测报告；</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6、支持内置防雷技术，提供≥10KV业务端口防雷能力；</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7、支持纵向虚拟化；</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8、为了简化运维要求支持智能管理中心特性，能够做到设备角色选定、FTP服务器配置、全局配置及网管口配置；</w:t>
            </w:r>
          </w:p>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9、支持端口休眠，关闭没有应用的端口，节省能源；支持智能风扇调速。</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台</w:t>
            </w:r>
          </w:p>
        </w:tc>
        <w:tc>
          <w:tcPr>
            <w:tcW w:w="323"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w:t>
            </w:r>
          </w:p>
        </w:tc>
        <w:tc>
          <w:tcPr>
            <w:tcW w:w="730"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云存储服务器</w:t>
            </w:r>
          </w:p>
        </w:tc>
        <w:tc>
          <w:tcPr>
            <w:tcW w:w="2979"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1、外形规格：2U机架；</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2、主处理器：双路64位多核处理器；</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3、高速缓存：不小于64GB DDR4；</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4、电源冗余：1+1冗余电源；</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5、供电方式：550W，白金级能效；</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6、网络接口：不少于2个千兆数据电口；</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7、硬盘个数：2块不小于240GB 数据中心级固态硬盘；</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文件生命周期管理模块：支持对文件生命周期管理，会自动感知云存储的状态，包括用户空间使用情况以及用户/bucket的生命周期/文件信息，根据生命周期策略对需要删除的文件进行删除支持安防行业特点的生命周期的紧急覆盖；</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9、智能恢复模块：文件数据恢复速率可控制，可以指定文件进行恢复，可选自动恢复和手动恢复支持文件恢复优先级控制，设置高中低不同的数据恢复速度；</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10、图片处理模块：支持对已存储的图片在下载过程中自动进行图片缩略，抠图等特性；</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11、视频设备接入模块：支持国标、Onvif，大华协议、海康协议等接入各类型的前端设备.；</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12、卡口设备接入模块：支持人脸、车辆卡口设备接入以及结构化数据接入；</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13、视频图片存储模块：支持视频和图片的基础存储业务，包括录像计划，图片计划配置管理，包括视频流按通道和类型进行分类，并进行相应的索引创建等；</w:t>
            </w:r>
          </w:p>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14、流媒体转发模块：支持流媒体动态负载均衡，弹性扩容，具备快速故障接管能力支持RTSP,HLS,FLV等流媒体协议。</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台</w:t>
            </w:r>
          </w:p>
        </w:tc>
        <w:tc>
          <w:tcPr>
            <w:tcW w:w="323"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w:t>
            </w:r>
          </w:p>
        </w:tc>
        <w:tc>
          <w:tcPr>
            <w:tcW w:w="730"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云存储节点</w:t>
            </w:r>
          </w:p>
        </w:tc>
        <w:tc>
          <w:tcPr>
            <w:tcW w:w="2979"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1、外形规格：4U机架；</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2、主处理器：高性能多核处理器；</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3、高速缓存：16GB DDR4 主频2666MHz；</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4、电源冗余：1+1冗余电源；</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5、供电方式：800W；100V~240V，50/60Hz，支持热插拔；</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6、网络接口：不少于6个千兆数据电口；</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7、硬盘个数：标配内置 1块240G 企业级固态硬盘，最大支持36个2.5"或3.5"的SATA硬盘或者SAS硬盘；</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8、视频设备接入模块：支持国标、Onvif，大华协议、海康协议等接入各类型的前端设备；</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卡口设备接入模块：支持人脸、车辆卡口设备接入以及结构化数据接入；</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9、视频图片存储模块：支持视频和图片的基础存储业务，包括录像计划，图片计划配置管理，包括视频流按通道和类型进行分类，并进行相应的索引创建等；</w:t>
            </w:r>
          </w:p>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10、流媒体转发模块：支持流媒体动态负载均衡，弹性扩容，具备快速故障接管能力支持RTSP,HLS,FLV等流媒体协议。</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台</w:t>
            </w:r>
          </w:p>
        </w:tc>
        <w:tc>
          <w:tcPr>
            <w:tcW w:w="323"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5</w:t>
            </w:r>
          </w:p>
        </w:tc>
        <w:tc>
          <w:tcPr>
            <w:tcW w:w="730"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硬盘</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8TB-256MB-7200RPM-3.5英寸-SATA接口</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288</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块</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w:t>
            </w:r>
          </w:p>
        </w:tc>
        <w:tc>
          <w:tcPr>
            <w:tcW w:w="730"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云存储软件</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云存储软件包含如下模块：</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云存储软件模块：支持主流的对象存储架构、容错算法、智能化的资源调度技术，提供基于分布式文件系统的数据存储能力，具备大容量、高可靠、高性能、使用简单、自动化管理等特点，保障数据的电信级安全可靠，支持集群横向扩展；</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文件生命周期管理模块：支持对文件生命周期管理，会自动感知云存储的状态，包括用户空间使用情况以及用户/bucket的生命周期/文件信息，根据生命周期策略对需要删除的文件进行删除支持安防行业特点的生命周期的紧急覆盖；</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3、智能恢复模块：文件数据恢复速率可控制，可以指定文件进行恢复，可选自动恢复和手动恢复支持文件恢复优先级控制，设置高中低不同的数据恢复速度；</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4、图片处理模块：支持对已存储的图片在下载过程中自动进行图片缩略，抠图等特性；</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5、视频设备接入模块：支持国标、Onvif，大华协议、海康协议等接入各类型的前端设备.；</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6、卡口设备接入模块：支持人脸、车辆卡口设备接入以及结构化数据接入；</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7、视频图片存储模块：支持视频和图片的基础存储业务，包括录像计划，图片计划配置管理，包括视频流按通道和类型进行分类，并进行相应的索引创建等；</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8、流媒体转发模块：支持流媒体动态负载均衡，弹性扩容，具备快速故障接管能力支持RTSP,HLS,FLV等流媒体协议；</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9、支持基于云原生架构和容器化技术，支持网络、CPU、存储空间、SSD等多种资源虚拟化、进行统一管理和调度；支持基于CPU、GPU、容器业务类型、超融合节点类型等多种复杂调度策略。 基于容器化进行智能化负载均衡管理。支持数据库、数据存储、智能分析、平台应用等多种业务模型进行统一调度和管理。支持单台服务器构建超融合云存储系统，支持单台扩展为多台超融合集群系统。支持第三方应用通过容器化方式快速在超融合系统中进行部署和统一调度。</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10、云存储提供统一资源池管理，基于同一套接入、存储、转发、回放下载等流媒体能力，支持通过云存储多租户方式支撑多个业务平台共用一套云存储资源。实现云存储一次建设，存储资源共用。同时支持公安、交通、交警、企业等多个业务平台同时使用一套云存储，互相独立不影响，共享云存储系统资源进行数据写入和读取，支持各个业务平台对应租户独立划分存储空间，各个业务平台的存储空间支持故障隔离；</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11、云存储系统支持配置文件分池存储策略，支持按照文件类型、文件后缀、文件大小等划分策略将文件存储到特定存储池中。一套云存储下各个存储池之间支持物理隔离，各个存储池内部支持分层存储，支持特定文件写入加速存储池、提升写入和读取性能；</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12、云存储基于现有N+M:b数据冗余策略，针对容错较高的EC写入，支持自动化智能恢复策略控制，在保证高可靠性的前提下，支持不恢复、暂缓恢复等策略；支持优先按照日期恢复、关键数据恢复等优先配置策略；</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13、云存储运维系统支持展示云存储核心服务状态，支持元数据服务、生命周期服务、数据节点核心服务状态实时展示；支持完整的集群健康度信息展示；支持硬件、服务、网络全方面健康度监控和告警；支持操作日志记录和查询，针对格式化和升级，记录200次升级信息，历史升级、格式化操作可追溯；</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14、云存储系统同时支持任意容量数据节点混合部署。支持针对大容量数据节点配置特定数据恢复控制策略，当大容量数据节点下线或者删除，支持不进行自动数据恢复，提升云存储系统整体可靠性和运行稳定性，支持控制大容量数据节点恢复开关，支持手动触发进行大容量DN恢复，并且可以控制数据恢复速度。支持直接关闭云存储系统针对大容量数据节点数据恢复功能。支持配置云存储针对大容量数据节点永久恢复策略，同时也支持配置按次配置恢复策略；</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15、云存储支持用户按照空间配额、文件数量、目录数量、对象数量等多维度配置“软阀值”和“硬阀值”；达到“软阀值”时，针对该用户支持写入限速，写入速度支持按照比例自动进行折算控制；到达“硬阀值”之后，配置用户只允许读取不允许写入；支持配置用户锁定和配置用户锁定周期功能，用户锁定周期内部不允许任何读写、操作云存储。</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套</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7</w:t>
            </w:r>
          </w:p>
        </w:tc>
        <w:tc>
          <w:tcPr>
            <w:tcW w:w="730"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安全隔离与传输系统</w:t>
            </w:r>
          </w:p>
        </w:tc>
        <w:tc>
          <w:tcPr>
            <w:tcW w:w="2979"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1、标准机架式机箱，由导入前置机、导入服务器、单向光闸三个设备组成；</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2、性能参数：</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2.1数据库数据同步性能：≥1,500条/秒；</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2.2小文件数据同步性能：≥1,500个/秒；</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2.3最大传输延时：≤50ms；</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2.4系统吞吐量：≥4000Mbps；</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2.5文件（大小10M）传输速率：≥4000Mbps；</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2.6最大支持服务：≥60；</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2.7稳定性运行时间(MTBF)：&gt;50000小时；</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2.8设备堆叠 支持最大16台设备堆叠；</w:t>
            </w:r>
          </w:p>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2.9单台设备接入不同视频监控系统厂商 4个；</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3.主要功能：</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3.1支持数据库的单向导入：要求支持ORACLE、SQLSERVER、SYBASE、DB2、Mysql、神州通用(oscar)、达梦、南大通用等多种数据库类型数据库的单向导入；</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3.2能够指定待传输数据的优先级；</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3.3支持丢包恢复、断网恢复等功能，有效保障传输数据的完整性、正确性；</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3.4支持传输流量分析和流量控制功能；</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3.5支持自主设置纠错编码；</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xml:space="preserve">3.6支持 IPV6 协议地址配置管理；                                                                                                            3.7具有交叉热备的能力，能够在双机热备功能下提供一端的故障切换，产品符合公安部相关要求，提供第三方检测报告；          </w:t>
            </w:r>
          </w:p>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3.8内外网主机系统分别采用冗余双系统启动模式，且双系统互为备份。</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w:t>
            </w:r>
          </w:p>
        </w:tc>
        <w:tc>
          <w:tcPr>
            <w:tcW w:w="32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套</w:t>
            </w:r>
          </w:p>
        </w:tc>
        <w:tc>
          <w:tcPr>
            <w:tcW w:w="323"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w:t>
            </w:r>
          </w:p>
        </w:tc>
        <w:tc>
          <w:tcPr>
            <w:tcW w:w="730"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数据传输节点</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1、产品形态：采用服务器主机架构， 2U标准机架式机箱；</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2、网络接口：内外网主机分别不少于2个100/1000M Base-TX网口，不少于2个10000M SFP+多模光纤网口。电源：服务器专用冗余电源；</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3、稳定性运行时间(MTBF)&gt;50,000小时；</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4、交换能力：4Gbps；</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5、并发会话：8,000个；</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6、数据库到数据库交换最大并发数据表≥1,024；</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7、数据影射最大字段数≥256；</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8、数据库到数据库交换记录数（&gt;100Kb/记录）≥5,000条/秒；</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9、数据文件处理文件数（&gt;10KB/记录）≥4500个/秒；</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10、数据文件处理吞吐量≥4000Mbps；</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11、应用层数据交换速度（FTP）≥4000Mbps；12、最大数据文件≥30G；13、最大支持服务≥60；14、任务调度粒度：秒级；15、目录监控触发时间&lt;1秒；16、最大传输延时&lt;20ms；</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功能要求：</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1、支持下一代互联网协议IPV6网络环境；</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2、接受管理中心的统一配置管理，通过管理中心对交换节点进行统一调度，智能负载；</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3、支持两端KAFKA的业务环境对接；</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4、可对原有部分边界类的设备进行利旧；</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5、向管理中心统一上报设备状态信息、业务运行情况、业务审计信息等；</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6、支持共享、客户端、FTP、NFS等多种模式的文件交换服务；</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7、▲系统要求：内、外网主机系统分别采用冗余双系统启动模式，当A系统运行失败后，能从B系统启动，且A、B系统可互为备份；</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8、提供第7点参数的产品功能界面截图；</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9、支持平面文件装载到关系型数据库中；支持数据库数据转换成平面文件；</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10、支持文件实时、定时同步、文件夹镜像同步；</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11、支持灵活的文件交换冲突选项：覆盖、放弃、重命名等处理策略；</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12、支持主动获取文件数据，不接受外部应用推送的文件；</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13、支持文件名、关键字、文件格式白名单过滤，深度识别PE可执行文件；</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14、支持主流关系型数据库数据交换：Oracle、DB2、SQL Server、GreenPlum、Sybase、MYSQL的各种版本，及支持达梦、Gbase、神舟通用(Oscar)等国产数据库；</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15、支持触发器、奉献、快照日志、同表双向、全表同步、升序增量等多种数据库数据获取方式；</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16、支持各种数据库之间的异构交换，如：数据库软硬件平台异构、数据库种类异构、数据库版本异构、数据库字符集异构、数据结构异构等；</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17、▲支持报表管理，支持文件、数据库同步数据流量和恶意代码软件发现次数的报表展示</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lang w:val="en-US" w:eastAsia="zh-CN"/>
              </w:rPr>
              <w:t>需</w:t>
            </w:r>
            <w:r>
              <w:rPr>
                <w:rFonts w:hint="eastAsia" w:ascii="楷体_GB2312" w:hAnsi="楷体_GB2312" w:eastAsia="楷体_GB2312" w:cs="楷体_GB2312"/>
                <w:color w:val="auto"/>
                <w:kern w:val="0"/>
                <w:sz w:val="24"/>
                <w:szCs w:val="24"/>
                <w:highlight w:val="none"/>
              </w:rPr>
              <w:t>提供第三方检测报告。</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台</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9</w:t>
            </w:r>
          </w:p>
        </w:tc>
        <w:tc>
          <w:tcPr>
            <w:tcW w:w="730"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下一代防火墙</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1、性能参数：网络层吞吐量：40G，应用层吞吐量：25G，并发连接数：1500万，HTTP新建连接数：40万，IPSec  VPN吞吐量：1.5G；</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2、硬件参数：规格：1U，内存大小：16G，硬盘容量：256G SSD，电源：冗余电源，接口：16千兆电口+4千兆光口+6万兆光口SFP+；</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含：千兆多模-850-550m-双纤(*4个)；万兆多模-850-300m-双纤(*6个)；</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3、产品质保(*4年)；软件升级(*4年)。</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台</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6"/>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三、网络服务及维护等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6"/>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3.1前端建设（改造）部分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w:t>
            </w:r>
          </w:p>
        </w:tc>
        <w:tc>
          <w:tcPr>
            <w:tcW w:w="730"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链路租用</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光纤通信业务网络线路（含OLT机框及板卡、分光器、光猫等相关配套网络设备）</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594</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条</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w:t>
            </w:r>
          </w:p>
        </w:tc>
        <w:tc>
          <w:tcPr>
            <w:tcW w:w="730"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lang w:val="en-US" w:eastAsia="zh-CN"/>
              </w:rPr>
              <w:t>维护费</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1、对项目租用点位进行日常维护、抢修、巡检工作，对故障进行紧急处理；</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2、发现故障后1小时内响应，2小时内到达现场，设备损坏的提供备品备件替换上线；</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3、网络故障（含光纤及接入设备），24小时内修复；</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4、接电处无电或接入的管道损坏，需重新新施工的，施工期7个工作日完成；</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5、视频线或电源线受损，施工期7个工作日完成；</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6、受道路施工、拆迁（含地铁建设）影响，不具备施工条件的，建议移位的监控点，7个工作日内必须与公安联系沟通并完成移位；</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7、负责本项目中杆件日常维护，出现杆件损坏等情况负责免费更换。承担若出现交通事故，亡人事故等一切事故责任；</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8、根据采购人需要对前端监控点位进行移位的（每年不超过5%）；</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除自然灾害或大规模市政园林工程施工等不可抗力外，视频在线率应达到98%（含）以上，视频质量完好率应达到98%（含）以上；</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9、每周对全量点位视频巡检一次发现清晰度，偏色，噪点，夜间补光，焦距，预置位等异常24小时内进行处理；</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10、每月对杆件、设备、弱电箱、PVC管、接地极、尾纤、网线等是否松动，破损等情况巡检一次，发现问题24小时内进行处理；</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11、每季度对前端摄像机树枝遮挡、镜头积灰等进行一次清理；</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12、做好相关故障、维修、维护记录进行归档，每天统计故障点位修复情况，每月制作维护月报；提交业主；</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13、对出现纠纷、交通肇事、迁改等需移位点位及时协调处理，配合公安更新一机一档等相关资料；</w:t>
            </w:r>
          </w:p>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14、配合公安、交警、城管对项目涉及的路面、井盖、箱子、杆件等因人为损坏、撞击等异常情况进行现场处理，踏勘，在政府部门规定时间内处理。</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2</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年</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restart"/>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3</w:t>
            </w:r>
          </w:p>
        </w:tc>
        <w:tc>
          <w:tcPr>
            <w:tcW w:w="730" w:type="pct"/>
            <w:vMerge w:val="restart"/>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机柜租赁</w:t>
            </w:r>
          </w:p>
        </w:tc>
        <w:tc>
          <w:tcPr>
            <w:tcW w:w="2979"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42U标准存储机柜</w:t>
            </w:r>
          </w:p>
        </w:tc>
        <w:tc>
          <w:tcPr>
            <w:tcW w:w="322" w:type="pct"/>
            <w:vMerge w:val="restart"/>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w:t>
            </w:r>
          </w:p>
        </w:tc>
        <w:tc>
          <w:tcPr>
            <w:tcW w:w="322" w:type="pct"/>
            <w:vMerge w:val="restart"/>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只</w:t>
            </w:r>
          </w:p>
        </w:tc>
        <w:tc>
          <w:tcPr>
            <w:tcW w:w="323" w:type="pct"/>
            <w:vMerge w:val="restart"/>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bidi="ar-SA"/>
              </w:rPr>
            </w:pPr>
          </w:p>
        </w:tc>
        <w:tc>
          <w:tcPr>
            <w:tcW w:w="2979"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lang w:val="en-US" w:eastAsia="zh-CN" w:bidi="ar-SA"/>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bidi="ar-SA"/>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bidi="ar-SA"/>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730"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2979"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2"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c>
          <w:tcPr>
            <w:tcW w:w="323" w:type="pct"/>
            <w:vMerge w:val="continue"/>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4</w:t>
            </w:r>
          </w:p>
        </w:tc>
        <w:tc>
          <w:tcPr>
            <w:tcW w:w="730"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lang w:val="en-US" w:eastAsia="zh-CN"/>
              </w:rPr>
              <w:t>第三方检测</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委托第三方检测机构组织对项目进行验收检测，并提交具有法律效力的第三方检测报告，可作为采购人项目验收的依据之一。</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项</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5</w:t>
            </w:r>
          </w:p>
        </w:tc>
        <w:tc>
          <w:tcPr>
            <w:tcW w:w="730"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探针</w:t>
            </w:r>
          </w:p>
        </w:tc>
        <w:tc>
          <w:tcPr>
            <w:tcW w:w="2979" w:type="pct"/>
            <w:shd w:val="clear" w:color="auto" w:fill="auto"/>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包含配套视频专网违规外联监测服务探针，1U机架式，2个USB口，4个千兆电口，支持终端直连互联网检测、串线转发设备接入检测、互联网终端接入检测、互联网代理接入检测等；支持违规外联检测平台级联，支持市局报警平台。</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w:t>
            </w:r>
          </w:p>
        </w:tc>
        <w:tc>
          <w:tcPr>
            <w:tcW w:w="322"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center"/>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项</w:t>
            </w:r>
          </w:p>
        </w:tc>
        <w:tc>
          <w:tcPr>
            <w:tcW w:w="323" w:type="pct"/>
            <w:shd w:val="clear" w:color="auto" w:fill="auto"/>
            <w:noWrap/>
            <w:vAlign w:val="center"/>
          </w:tcPr>
          <w:p>
            <w:pPr>
              <w:keepNext w:val="0"/>
              <w:keepLines w:val="0"/>
              <w:pageBreakBefore w:val="0"/>
              <w:widowControl/>
              <w:kinsoku/>
              <w:wordWrap/>
              <w:overflowPunct/>
              <w:topLinePunct w:val="0"/>
              <w:autoSpaceDE/>
              <w:autoSpaceDN/>
              <w:bidi w:val="0"/>
              <w:adjustRightInd w:val="0"/>
              <w:spacing w:line="360" w:lineRule="auto"/>
              <w:jc w:val="left"/>
              <w:rPr>
                <w:rFonts w:hint="eastAsia" w:ascii="楷体_GB2312" w:hAnsi="楷体_GB2312" w:eastAsia="楷体_GB2312" w:cs="楷体_GB2312"/>
                <w:color w:val="auto"/>
                <w:kern w:val="0"/>
                <w:sz w:val="24"/>
                <w:szCs w:val="24"/>
                <w:highlight w:val="none"/>
              </w:rPr>
            </w:pPr>
          </w:p>
        </w:tc>
      </w:tr>
    </w:tbl>
    <w:p>
      <w:pPr>
        <w:keepNext w:val="0"/>
        <w:keepLines w:val="0"/>
        <w:pageBreakBefore w:val="0"/>
        <w:kinsoku/>
        <w:wordWrap/>
        <w:overflowPunct/>
        <w:topLinePunct w:val="0"/>
        <w:autoSpaceDE/>
        <w:autoSpaceDN/>
        <w:bidi w:val="0"/>
        <w:adjustRightInd w:val="0"/>
        <w:spacing w:beforeLines="50" w:line="360" w:lineRule="auto"/>
        <w:ind w:right="420"/>
        <w:rPr>
          <w:rFonts w:hint="eastAsia" w:ascii="楷体_GB2312" w:hAnsi="楷体_GB2312" w:eastAsia="楷体_GB2312" w:cs="楷体_GB2312"/>
          <w:b/>
          <w:bCs/>
          <w:color w:val="auto"/>
          <w:sz w:val="24"/>
          <w:szCs w:val="24"/>
          <w:highlight w:val="none"/>
        </w:rPr>
      </w:pPr>
      <w:r>
        <w:rPr>
          <w:rFonts w:hint="eastAsia" w:ascii="楷体_GB2312" w:hAnsi="楷体_GB2312" w:eastAsia="楷体_GB2312" w:cs="楷体_GB2312"/>
          <w:b/>
          <w:bCs/>
          <w:color w:val="auto"/>
          <w:sz w:val="24"/>
          <w:szCs w:val="24"/>
          <w:highlight w:val="none"/>
        </w:rPr>
        <w:t>三、其他要求说明</w:t>
      </w:r>
    </w:p>
    <w:p>
      <w:pPr>
        <w:keepNext w:val="0"/>
        <w:keepLines w:val="0"/>
        <w:pageBreakBefore w:val="0"/>
        <w:kinsoku/>
        <w:wordWrap/>
        <w:overflowPunct/>
        <w:topLinePunct w:val="0"/>
        <w:autoSpaceDE/>
        <w:autoSpaceDN/>
        <w:bidi w:val="0"/>
        <w:adjustRightInd w:val="0"/>
        <w:spacing w:line="360" w:lineRule="auto"/>
        <w:ind w:firstLine="482" w:firstLineChars="200"/>
        <w:rPr>
          <w:rFonts w:hint="eastAsia" w:ascii="楷体_GB2312" w:hAnsi="楷体_GB2312" w:eastAsia="楷体_GB2312" w:cs="楷体_GB2312"/>
          <w:b/>
          <w:bCs/>
          <w:color w:val="auto"/>
          <w:sz w:val="24"/>
          <w:szCs w:val="24"/>
          <w:highlight w:val="none"/>
        </w:rPr>
      </w:pPr>
      <w:bookmarkStart w:id="47" w:name="_Toc8760737"/>
      <w:r>
        <w:rPr>
          <w:rFonts w:hint="eastAsia" w:ascii="楷体_GB2312" w:hAnsi="楷体_GB2312" w:eastAsia="楷体_GB2312" w:cs="楷体_GB2312"/>
          <w:b/>
          <w:bCs/>
          <w:color w:val="auto"/>
          <w:sz w:val="24"/>
          <w:szCs w:val="24"/>
          <w:highlight w:val="none"/>
        </w:rPr>
        <w:t>（一）工期要求</w:t>
      </w:r>
      <w:bookmarkEnd w:id="47"/>
      <w:r>
        <w:rPr>
          <w:rFonts w:hint="eastAsia" w:ascii="楷体_GB2312" w:hAnsi="楷体_GB2312" w:eastAsia="楷体_GB2312" w:cs="楷体_GB2312"/>
          <w:b/>
          <w:bCs/>
          <w:color w:val="auto"/>
          <w:sz w:val="24"/>
          <w:szCs w:val="24"/>
          <w:highlight w:val="none"/>
        </w:rPr>
        <w:t>、付款方式及验收要求</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1.建设工期：合同签订后2个月内。</w:t>
      </w:r>
    </w:p>
    <w:p>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sz w:val="24"/>
          <w:szCs w:val="24"/>
          <w:highlight w:val="none"/>
        </w:rPr>
        <w:t>2.付款方式：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3.验收要求、标准</w:t>
      </w:r>
    </w:p>
    <w:p>
      <w:pPr>
        <w:keepNext w:val="0"/>
        <w:keepLines w:val="0"/>
        <w:pageBreakBefore w:val="0"/>
        <w:widowControl/>
        <w:kinsoku/>
        <w:wordWrap/>
        <w:overflowPunct/>
        <w:topLinePunct w:val="0"/>
        <w:autoSpaceDE/>
        <w:autoSpaceDN/>
        <w:bidi w:val="0"/>
        <w:adjustRightInd w:val="0"/>
        <w:snapToGrid w:val="0"/>
        <w:spacing w:line="360" w:lineRule="auto"/>
        <w:ind w:firstLine="480"/>
        <w:rPr>
          <w:rFonts w:hint="eastAsia" w:ascii="楷体_GB2312" w:hAnsi="楷体_GB2312" w:eastAsia="楷体_GB2312" w:cs="楷体_GB2312"/>
          <w:color w:val="auto"/>
          <w:kern w:val="0"/>
          <w:sz w:val="24"/>
          <w:szCs w:val="24"/>
          <w:highlight w:val="none"/>
        </w:rPr>
      </w:pPr>
      <w:bookmarkStart w:id="48" w:name="OLE_LINK7"/>
      <w:r>
        <w:rPr>
          <w:rFonts w:hint="eastAsia" w:ascii="楷体_GB2312" w:hAnsi="楷体_GB2312" w:eastAsia="楷体_GB2312" w:cs="楷体_GB2312"/>
          <w:color w:val="auto"/>
          <w:kern w:val="0"/>
          <w:sz w:val="24"/>
          <w:szCs w:val="24"/>
          <w:highlight w:val="none"/>
        </w:rPr>
        <w:t>3.1验收以采购文件和技术文件、投标文件、合同及安装技术要求为依据</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lang w:val="en-US" w:eastAsia="zh-CN"/>
        </w:rPr>
        <w:t>时间为项目完工后的一个月内</w:t>
      </w:r>
      <w:r>
        <w:rPr>
          <w:rFonts w:hint="eastAsia" w:ascii="楷体_GB2312" w:hAnsi="楷体_GB2312" w:eastAsia="楷体_GB2312" w:cs="楷体_GB2312"/>
          <w:color w:val="auto"/>
          <w:kern w:val="0"/>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ind w:firstLine="480"/>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3.2 供货安装完成后，中标人应该向采购人提交申请验收报告，并且提供主要货物的出厂合格证书（或报告）、检测报告等完整的技术档案资料，若中标人未能按照上述要求履行的，导致无法及时验收的，则须由中标人承担一切责任。</w:t>
      </w:r>
    </w:p>
    <w:p>
      <w:pPr>
        <w:keepNext w:val="0"/>
        <w:keepLines w:val="0"/>
        <w:pageBreakBefore w:val="0"/>
        <w:widowControl/>
        <w:kinsoku/>
        <w:wordWrap/>
        <w:overflowPunct/>
        <w:topLinePunct w:val="0"/>
        <w:autoSpaceDE/>
        <w:autoSpaceDN/>
        <w:bidi w:val="0"/>
        <w:adjustRightInd w:val="0"/>
        <w:snapToGrid w:val="0"/>
        <w:spacing w:line="360" w:lineRule="auto"/>
        <w:ind w:firstLine="480"/>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3.3 验收必须符合国家、地方有关规范、标准及设计要求。验收时</w:t>
      </w:r>
      <w:r>
        <w:rPr>
          <w:rFonts w:hint="eastAsia" w:ascii="楷体_GB2312" w:hAnsi="楷体_GB2312" w:eastAsia="楷体_GB2312" w:cs="楷体_GB2312"/>
          <w:color w:val="auto"/>
          <w:kern w:val="0"/>
          <w:sz w:val="24"/>
          <w:szCs w:val="24"/>
          <w:highlight w:val="none"/>
          <w:lang w:eastAsia="zh-CN"/>
        </w:rPr>
        <w:t>中标人</w:t>
      </w:r>
      <w:r>
        <w:rPr>
          <w:rFonts w:hint="eastAsia" w:ascii="楷体_GB2312" w:hAnsi="楷体_GB2312" w:eastAsia="楷体_GB2312" w:cs="楷体_GB2312"/>
          <w:color w:val="auto"/>
          <w:kern w:val="0"/>
          <w:sz w:val="24"/>
          <w:szCs w:val="24"/>
          <w:highlight w:val="none"/>
        </w:rPr>
        <w:t>须提供第三方检测报告，第三方检测报告的结论须合格及以上。</w:t>
      </w:r>
    </w:p>
    <w:p>
      <w:pPr>
        <w:keepNext w:val="0"/>
        <w:keepLines w:val="0"/>
        <w:pageBreakBefore w:val="0"/>
        <w:widowControl/>
        <w:kinsoku/>
        <w:wordWrap/>
        <w:overflowPunct/>
        <w:topLinePunct w:val="0"/>
        <w:autoSpaceDE/>
        <w:autoSpaceDN/>
        <w:bidi w:val="0"/>
        <w:adjustRightInd w:val="0"/>
        <w:snapToGrid w:val="0"/>
        <w:spacing w:line="360" w:lineRule="auto"/>
        <w:ind w:firstLine="480"/>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3.4 符合验收条件的，由采购人</w:t>
      </w:r>
      <w:r>
        <w:rPr>
          <w:rFonts w:hint="eastAsia" w:ascii="楷体_GB2312" w:hAnsi="楷体_GB2312" w:eastAsia="楷体_GB2312" w:cs="楷体_GB2312"/>
          <w:color w:val="auto"/>
          <w:kern w:val="0"/>
          <w:sz w:val="24"/>
          <w:szCs w:val="24"/>
          <w:highlight w:val="none"/>
          <w:lang w:val="en-US" w:eastAsia="zh-CN"/>
        </w:rPr>
        <w:t>邀请专家，</w:t>
      </w:r>
      <w:r>
        <w:rPr>
          <w:rFonts w:hint="eastAsia" w:ascii="楷体_GB2312" w:hAnsi="楷体_GB2312" w:eastAsia="楷体_GB2312" w:cs="楷体_GB2312"/>
          <w:color w:val="auto"/>
          <w:kern w:val="0"/>
          <w:sz w:val="24"/>
          <w:szCs w:val="24"/>
          <w:highlight w:val="none"/>
        </w:rPr>
        <w:t>组织有关部门按照国家、地方有关规范、标准及设计要求进行</w:t>
      </w:r>
      <w:r>
        <w:rPr>
          <w:rFonts w:hint="eastAsia" w:ascii="楷体_GB2312" w:hAnsi="楷体_GB2312" w:eastAsia="楷体_GB2312" w:cs="楷体_GB2312"/>
          <w:color w:val="auto"/>
          <w:kern w:val="0"/>
          <w:sz w:val="24"/>
          <w:szCs w:val="24"/>
          <w:highlight w:val="none"/>
          <w:lang w:val="en-US" w:eastAsia="zh-CN"/>
        </w:rPr>
        <w:t>现场</w:t>
      </w:r>
      <w:r>
        <w:rPr>
          <w:rFonts w:hint="eastAsia" w:ascii="楷体_GB2312" w:hAnsi="楷体_GB2312" w:eastAsia="楷体_GB2312" w:cs="楷体_GB2312"/>
          <w:color w:val="auto"/>
          <w:kern w:val="0"/>
          <w:sz w:val="24"/>
          <w:szCs w:val="24"/>
          <w:highlight w:val="none"/>
        </w:rPr>
        <w:t>验收。验收后中标人应按照验收中提出的意见整改。</w:t>
      </w:r>
    </w:p>
    <w:p>
      <w:pPr>
        <w:keepNext w:val="0"/>
        <w:keepLines w:val="0"/>
        <w:pageBreakBefore w:val="0"/>
        <w:widowControl/>
        <w:kinsoku/>
        <w:wordWrap/>
        <w:overflowPunct/>
        <w:topLinePunct w:val="0"/>
        <w:autoSpaceDE/>
        <w:autoSpaceDN/>
        <w:bidi w:val="0"/>
        <w:adjustRightInd w:val="0"/>
        <w:snapToGrid w:val="0"/>
        <w:spacing w:line="360" w:lineRule="auto"/>
        <w:ind w:firstLine="480"/>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3.5 整改完毕且复验合格后将本项目货物交给采购人使用，完成日期以通过复验日期为准。</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kern w:val="0"/>
          <w:sz w:val="24"/>
          <w:szCs w:val="24"/>
          <w:highlight w:val="none"/>
        </w:rPr>
        <w:t>3.6采购人在中标人送货、安装、调试后对货物服务进行检查验收，如果发现数量不足或有质量、技术等问题，中标人应负责根据合同及采购人的要求采取补足或更换等处理措施，并承担由此发生的一切损失和费用。验收合格后，采购人在验收单上签字并加盖单位公章。</w:t>
      </w:r>
    </w:p>
    <w:bookmarkEnd w:id="48"/>
    <w:p>
      <w:pPr>
        <w:keepNext w:val="0"/>
        <w:keepLines w:val="0"/>
        <w:pageBreakBefore w:val="0"/>
        <w:kinsoku/>
        <w:wordWrap/>
        <w:overflowPunct/>
        <w:topLinePunct w:val="0"/>
        <w:autoSpaceDE/>
        <w:autoSpaceDN/>
        <w:bidi w:val="0"/>
        <w:adjustRightInd w:val="0"/>
        <w:spacing w:line="360" w:lineRule="auto"/>
        <w:ind w:firstLine="482" w:firstLineChars="200"/>
        <w:rPr>
          <w:rFonts w:hint="eastAsia" w:ascii="楷体_GB2312" w:hAnsi="楷体_GB2312" w:eastAsia="楷体_GB2312" w:cs="楷体_GB2312"/>
          <w:b/>
          <w:bCs/>
          <w:color w:val="auto"/>
          <w:sz w:val="24"/>
          <w:szCs w:val="24"/>
          <w:highlight w:val="none"/>
        </w:rPr>
      </w:pPr>
      <w:r>
        <w:rPr>
          <w:rFonts w:hint="eastAsia" w:ascii="楷体_GB2312" w:hAnsi="楷体_GB2312" w:eastAsia="楷体_GB2312" w:cs="楷体_GB2312"/>
          <w:b/>
          <w:bCs/>
          <w:color w:val="auto"/>
          <w:sz w:val="24"/>
          <w:szCs w:val="24"/>
          <w:highlight w:val="none"/>
        </w:rPr>
        <w:t>（二）其他说明</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1.本项目服务期限为2年。</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2.中标人须提供符合验收标准的资料，以配合相关部门及监理、审计单位的工作，包括但不仅限于:</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2.1投标文件（包含其他所有投标承诺）；</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2.2项目合同及附件、协议书；</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2.3验收文档及过程资料；</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2.4服务期成果及总结资料：</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（1）项目履行情况（包含项目名称、服务单位、人员到位情况、履行服务、奖惩情况、被服务单位意见等）；</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（2）项目承建单位服务过程中须留存维保记录，并提交项目建设部门，由项目建设部门签章及项目负责人签字确认。</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（3）工作方案（包含设计方案及图纸、施工方案及图纸、施工图交底会议纪要、安装测试记录报告、设备/材料合格证明、系统试运行报告、竣工报告、完工报告及竣工图纸等）；</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设计、施工、竣工图纸均需包含前端监控点图纸，由立杆安装取景照、地图（电子和纸质地图形式提供所有点位分布图、局部点位分布图）组成、GPS经纬度；环境路由图、监控方向及摄像机布置、设备、材料清单；后端系统设计总体拓扑图、中心设备连接图、中心设备安装机柜设计图、布线路由图等。</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（3）项目实施过程中会议纪要；</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（4）项目完成后工作总结资料。</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2.5承建单位编制的结算清单；</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2.6监理相关资料；</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2.7相关会议决议纪要（若有）；</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2.8项目变更资料（若有）；</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2.9有关未采纳采购前、合同签订前审计意见的说明；</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2.10中标人需无条件根据相关建设及审计要求，提供相应的文档及技术支撑。</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2.11其他有关影响项目造价、工期等资料。</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3.维护条例主要内容</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bookmarkStart w:id="49" w:name="OLE_LINK6"/>
      <w:r>
        <w:rPr>
          <w:rFonts w:hint="eastAsia" w:ascii="楷体_GB2312" w:hAnsi="楷体_GB2312" w:eastAsia="楷体_GB2312" w:cs="楷体_GB2312"/>
          <w:color w:val="auto"/>
          <w:sz w:val="24"/>
          <w:szCs w:val="24"/>
          <w:highlight w:val="none"/>
        </w:rPr>
        <w:t>3.1网络故障（含光纤及接入设备），24小时内必须修复,超时按日租扣款；</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3.2接电处无电或接入的管道损坏，需重新新施工的，施工期最长7个工作日，超时按日租扣款；</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 xml:space="preserve">3.3视频线或电源线受损，施工期最长3个工作日，超时按日租扣款； </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3.4前端监控设备清洁、树枝遮挡、预置位不准、设备故障需更换等24小时内必须修复，超时按日租扣款；</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3.5受道路施工、拆迁（含地铁建设）影响，不具备施工条件的，建议移位的监控点，7个工作日内必须与公安联系沟通，一周内无法修复的点位必须情况说明。</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3.6 本项目中涉及的杆件由中标单位负责日常维护，出现杆件损坏等情况由中标单位负责免费更换，若出现交通事故，亡人事故等一切事故责任，由中标单位承担。</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4.本项目清单中所列示的产品、软件（包括授权数量）或设备数量为对该项目原则性的要求，并非详尽的要求，为保证系统建成后能一次性通过终验及保证正常运行，如在建设过程中出现设备数量不够或软件功能不完善的情况，须投标人在投标文件中列明且所需费用均包含在投标报价中，中标后提供的补足设备或软件需经采购人审核同意。</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5.若采购人根据实际情况需将前端监控点位进行移位的（每年不超过5%），中标人需无条件执行。</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lang w:val="en-US" w:eastAsia="zh-CN"/>
        </w:rPr>
      </w:pPr>
      <w:r>
        <w:rPr>
          <w:rFonts w:hint="eastAsia" w:ascii="楷体_GB2312" w:hAnsi="楷体_GB2312" w:eastAsia="楷体_GB2312" w:cs="楷体_GB2312"/>
          <w:color w:val="auto"/>
          <w:sz w:val="24"/>
          <w:szCs w:val="24"/>
          <w:highlight w:val="none"/>
        </w:rPr>
        <w:t>6.除自然灾害</w:t>
      </w:r>
      <w:r>
        <w:rPr>
          <w:rFonts w:hint="eastAsia" w:ascii="楷体_GB2312" w:hAnsi="楷体_GB2312" w:eastAsia="楷体_GB2312" w:cs="楷体_GB2312"/>
          <w:color w:val="auto"/>
          <w:sz w:val="24"/>
          <w:szCs w:val="24"/>
          <w:highlight w:val="none"/>
          <w:lang w:eastAsia="zh-CN"/>
        </w:rPr>
        <w:t>、</w:t>
      </w:r>
      <w:r>
        <w:rPr>
          <w:rFonts w:hint="eastAsia" w:ascii="楷体_GB2312" w:hAnsi="楷体_GB2312" w:eastAsia="楷体_GB2312" w:cs="楷体_GB2312"/>
          <w:color w:val="auto"/>
          <w:sz w:val="24"/>
          <w:szCs w:val="24"/>
          <w:highlight w:val="none"/>
          <w:lang w:val="en-US" w:eastAsia="zh-CN"/>
        </w:rPr>
        <w:t>政府行为和社会异常事件等《中华人民共和国民法典》规定的不可抗力因素</w:t>
      </w:r>
      <w:r>
        <w:rPr>
          <w:rFonts w:hint="eastAsia" w:ascii="楷体_GB2312" w:hAnsi="楷体_GB2312" w:eastAsia="楷体_GB2312" w:cs="楷体_GB2312"/>
          <w:color w:val="auto"/>
          <w:sz w:val="24"/>
          <w:szCs w:val="24"/>
          <w:highlight w:val="none"/>
        </w:rPr>
        <w:t>外，视频在线率应达到98%（含）以上，视频质量完好率应达到98%（含）以上。</w:t>
      </w:r>
      <w:r>
        <w:rPr>
          <w:rFonts w:hint="eastAsia" w:ascii="楷体_GB2312" w:hAnsi="楷体_GB2312" w:eastAsia="楷体_GB2312" w:cs="楷体_GB2312"/>
          <w:color w:val="auto"/>
          <w:sz w:val="24"/>
          <w:szCs w:val="24"/>
          <w:highlight w:val="none"/>
          <w:lang w:val="en-US" w:eastAsia="zh-CN"/>
        </w:rPr>
        <w:t>其中视频在线率以公安视频图像信息应用平台每日数据为准，视频质量完好率根据绍兴市公安局科技信息化支队每月统计数据为准。</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7.所有卡口设备必须满足招标文件技术规范要求</w:t>
      </w:r>
      <w:r>
        <w:rPr>
          <w:rFonts w:hint="eastAsia" w:ascii="楷体_GB2312" w:hAnsi="楷体_GB2312" w:eastAsia="楷体_GB2312" w:cs="楷体_GB2312"/>
          <w:color w:val="auto"/>
          <w:sz w:val="24"/>
          <w:szCs w:val="24"/>
          <w:highlight w:val="none"/>
          <w:lang w:eastAsia="zh-CN"/>
        </w:rPr>
        <w:t>（</w:t>
      </w:r>
      <w:r>
        <w:rPr>
          <w:rFonts w:hint="eastAsia" w:ascii="楷体_GB2312" w:hAnsi="楷体_GB2312" w:eastAsia="楷体_GB2312" w:cs="楷体_GB2312"/>
          <w:color w:val="auto"/>
          <w:sz w:val="24"/>
          <w:szCs w:val="24"/>
          <w:highlight w:val="none"/>
          <w:lang w:val="en-US" w:eastAsia="zh-CN"/>
        </w:rPr>
        <w:t>详见上述</w:t>
      </w:r>
      <w:r>
        <w:rPr>
          <w:rFonts w:hint="eastAsia" w:ascii="楷体_GB2312" w:hAnsi="楷体_GB2312" w:eastAsia="楷体_GB2312" w:cs="楷体_GB2312"/>
          <w:color w:val="auto"/>
          <w:sz w:val="24"/>
          <w:szCs w:val="24"/>
          <w:highlight w:val="none"/>
          <w:lang w:eastAsia="zh-CN"/>
        </w:rPr>
        <w:t>设备清单及技术要求）</w:t>
      </w:r>
      <w:r>
        <w:rPr>
          <w:rFonts w:hint="eastAsia" w:ascii="楷体_GB2312" w:hAnsi="楷体_GB2312" w:eastAsia="楷体_GB2312" w:cs="楷体_GB2312"/>
          <w:color w:val="auto"/>
          <w:sz w:val="24"/>
          <w:szCs w:val="24"/>
          <w:highlight w:val="none"/>
        </w:rPr>
        <w:t>，不满足要求的中标人必须无条件整改，整改三次还不符合要求的，按照采购人要求更换设备，同时产生的所有费用由中标人承担。</w:t>
      </w:r>
    </w:p>
    <w:p>
      <w:pPr>
        <w:keepNext w:val="0"/>
        <w:keepLines w:val="0"/>
        <w:pageBreakBefore w:val="0"/>
        <w:kinsoku/>
        <w:wordWrap/>
        <w:overflowPunct/>
        <w:topLinePunct w:val="0"/>
        <w:autoSpaceDE/>
        <w:autoSpaceDN/>
        <w:bidi w:val="0"/>
        <w:adjustRightInd w:val="0"/>
        <w:spacing w:line="360" w:lineRule="auto"/>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8.要求中标人在验收时提供完整的验收资料，以配合相关部门及审计单位的工作（包括项目竣工图纸、工程量清单、工程材料/构配件/设备报审表、设备签收单、重大工程质量事故报告单情况报告、文件/工程余料移交清单等）。</w:t>
      </w:r>
    </w:p>
    <w:bookmarkEnd w:id="49"/>
    <w:p>
      <w:pPr>
        <w:spacing w:line="440" w:lineRule="exact"/>
        <w:ind w:right="420"/>
        <w:rPr>
          <w:rFonts w:ascii="仿宋_GB2312" w:hAnsi="新宋体" w:eastAsia="仿宋_GB2312" w:cs="Arial"/>
          <w:b/>
          <w:bCs/>
          <w:sz w:val="24"/>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w:t>
      </w:r>
      <w:r>
        <w:rPr>
          <w:rFonts w:hint="eastAsia" w:ascii="仿宋_GB2312" w:hAnsi="仿宋_GB2312" w:eastAsia="仿宋_GB2312" w:cs="仿宋_GB2312"/>
          <w:b/>
          <w:color w:val="auto"/>
          <w:sz w:val="36"/>
          <w:szCs w:val="36"/>
          <w:highlight w:val="none"/>
          <w:lang w:eastAsia="zh-CN"/>
        </w:rPr>
        <w:t>四</w:t>
      </w:r>
      <w:r>
        <w:rPr>
          <w:rFonts w:hint="eastAsia" w:ascii="仿宋_GB2312" w:hAnsi="仿宋_GB2312" w:eastAsia="仿宋_GB2312" w:cs="仿宋_GB2312"/>
          <w:b/>
          <w:color w:val="auto"/>
          <w:sz w:val="36"/>
          <w:szCs w:val="36"/>
          <w:highlight w:val="none"/>
        </w:rPr>
        <w:t>部分 拟签订的合同文本</w:t>
      </w:r>
    </w:p>
    <w:p>
      <w:pPr>
        <w:kinsoku/>
        <w:wordWrap w:val="0"/>
        <w:overflowPunct/>
        <w:topLinePunct w:val="0"/>
        <w:bidi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合同编号：</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80" w:lineRule="auto"/>
        <w:jc w:val="center"/>
        <w:rPr>
          <w:rFonts w:hint="eastAsia" w:ascii="仿宋_GB2312" w:hAnsi="仿宋_GB2312" w:eastAsia="仿宋_GB2312" w:cs="仿宋_GB2312"/>
          <w:b/>
          <w:color w:val="auto"/>
          <w:sz w:val="28"/>
          <w:szCs w:val="28"/>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政府采购合同参考范本</w:t>
      </w:r>
    </w:p>
    <w:p>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（服务类）</w:t>
      </w:r>
    </w:p>
    <w:p>
      <w:pPr>
        <w:pStyle w:val="701"/>
        <w:kinsoku/>
        <w:wordWrap w:val="0"/>
        <w:overflowPunct/>
        <w:topLinePunct w:val="0"/>
        <w:bidi w:val="0"/>
        <w:ind w:firstLine="2843" w:firstLineChars="118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第一部分 合同书</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pStyle w:val="5"/>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p>
    <w:p>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乙方：</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签订地：</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签订日期：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sectPr>
          <w:headerReference r:id="rId11" w:type="default"/>
          <w:footerReference r:id="rId12" w:type="default"/>
          <w:pgSz w:w="11907" w:h="16840"/>
          <w:pgMar w:top="1474" w:right="1814" w:bottom="1474" w:left="1814" w:header="851" w:footer="851" w:gutter="0"/>
          <w:pgNumType w:fmt="decimal"/>
          <w:cols w:space="720" w:num="1"/>
        </w:sectPr>
      </w:pPr>
    </w:p>
    <w:p>
      <w:pPr>
        <w:kinsoku/>
        <w:wordWrap w:val="0"/>
        <w:overflowPunct/>
        <w:topLinePunct w:val="0"/>
        <w:bidi w:val="0"/>
        <w:rPr>
          <w:rFonts w:hint="eastAsia" w:ascii="仿宋_GB2312" w:hAnsi="仿宋_GB2312" w:eastAsia="仿宋_GB2312" w:cs="仿宋_GB2312"/>
          <w:b/>
          <w:color w:val="auto"/>
          <w:sz w:val="24"/>
          <w:highlight w:val="none"/>
        </w:rPr>
      </w:pP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年</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月</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日</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绍兴市公安局</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以</w:t>
      </w:r>
      <w:r>
        <w:rPr>
          <w:rFonts w:hint="eastAsia" w:ascii="仿宋_GB2312" w:hAnsi="仿宋_GB2312" w:eastAsia="仿宋_GB2312" w:cs="仿宋_GB2312"/>
          <w:color w:val="auto"/>
          <w:sz w:val="24"/>
          <w:highlight w:val="none"/>
          <w:u w:val="single"/>
        </w:rPr>
        <w:t xml:space="preserve">   （政府采购方式）  </w:t>
      </w:r>
      <w:r>
        <w:rPr>
          <w:rFonts w:hint="eastAsia" w:ascii="仿宋_GB2312" w:hAnsi="仿宋_GB2312" w:eastAsia="仿宋_GB2312" w:cs="仿宋_GB2312"/>
          <w:color w:val="auto"/>
          <w:sz w:val="24"/>
          <w:highlight w:val="none"/>
        </w:rPr>
        <w:t>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绍兴市公安局589个高清监控改造租赁项目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项目进行了采购。经</w:t>
      </w:r>
      <w:r>
        <w:rPr>
          <w:rFonts w:hint="eastAsia" w:ascii="仿宋_GB2312" w:hAnsi="仿宋_GB2312" w:eastAsia="仿宋_GB2312" w:cs="仿宋_GB2312"/>
          <w:color w:val="auto"/>
          <w:sz w:val="24"/>
          <w:highlight w:val="none"/>
          <w:u w:val="single"/>
        </w:rPr>
        <w:t xml:space="preserve">   （相关评定主体名称）   </w:t>
      </w:r>
      <w:r>
        <w:rPr>
          <w:rFonts w:hint="eastAsia" w:ascii="仿宋_GB2312" w:hAnsi="仿宋_GB2312" w:eastAsia="仿宋_GB2312" w:cs="仿宋_GB2312"/>
          <w:color w:val="auto"/>
          <w:sz w:val="24"/>
          <w:highlight w:val="none"/>
        </w:rPr>
        <w:t>评定，</w:t>
      </w:r>
      <w:r>
        <w:rPr>
          <w:rFonts w:hint="eastAsia" w:ascii="仿宋_GB2312" w:hAnsi="仿宋_GB2312" w:eastAsia="仿宋_GB2312" w:cs="仿宋_GB2312"/>
          <w:color w:val="auto"/>
          <w:sz w:val="24"/>
          <w:highlight w:val="none"/>
          <w:u w:val="single"/>
        </w:rPr>
        <w:t xml:space="preserve">   （中标或者成交供应商名称） </w:t>
      </w:r>
      <w:r>
        <w:rPr>
          <w:rFonts w:hint="eastAsia" w:ascii="仿宋_GB2312" w:hAnsi="仿宋_GB2312" w:eastAsia="仿宋_GB2312" w:cs="仿宋_GB2312"/>
          <w:color w:val="auto"/>
          <w:sz w:val="24"/>
          <w:highlight w:val="none"/>
        </w:rPr>
        <w:t>为该项目中标或者成交供应商。现于中标或者成交通知书发出之日起</w:t>
      </w:r>
      <w:r>
        <w:rPr>
          <w:rFonts w:hint="eastAsia" w:ascii="仿宋_GB2312" w:hAnsi="仿宋_GB2312" w:eastAsia="仿宋_GB2312" w:cs="仿宋_GB2312"/>
          <w:color w:val="auto"/>
          <w:sz w:val="24"/>
          <w:highlight w:val="none"/>
          <w:lang w:val="en-US" w:eastAsia="zh-CN"/>
        </w:rPr>
        <w:t>30</w:t>
      </w:r>
      <w:r>
        <w:rPr>
          <w:rFonts w:hint="eastAsia" w:ascii="仿宋_GB2312" w:hAnsi="仿宋_GB2312" w:eastAsia="仿宋_GB2312" w:cs="仿宋_GB2312"/>
          <w:color w:val="auto"/>
          <w:sz w:val="24"/>
          <w:highlight w:val="none"/>
        </w:rPr>
        <w:t>日内，按照采购文件确定的事项签订本合同。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绍兴市公安局</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(以下简称：甲方)和</w:t>
      </w:r>
      <w:r>
        <w:rPr>
          <w:rFonts w:hint="eastAsia" w:ascii="仿宋_GB2312" w:hAnsi="仿宋_GB2312" w:eastAsia="仿宋_GB2312" w:cs="仿宋_GB2312"/>
          <w:color w:val="auto"/>
          <w:sz w:val="24"/>
          <w:highlight w:val="none"/>
          <w:u w:val="single"/>
        </w:rPr>
        <w:t xml:space="preserve">   （中或者成交标供应商名称）   </w:t>
      </w:r>
      <w:r>
        <w:rPr>
          <w:rFonts w:hint="eastAsia" w:ascii="仿宋_GB2312" w:hAnsi="仿宋_GB2312" w:eastAsia="仿宋_GB2312" w:cs="仿宋_GB2312"/>
          <w:color w:val="auto"/>
          <w:sz w:val="24"/>
          <w:highlight w:val="none"/>
          <w:lang w:val="zh-CN"/>
        </w:rPr>
        <w:t>(以下简称：乙方)协商一致，约定以下合同</w:t>
      </w:r>
      <w:r>
        <w:rPr>
          <w:rFonts w:hint="eastAsia" w:ascii="仿宋_GB2312" w:hAnsi="仿宋_GB2312" w:eastAsia="仿宋_GB2312" w:cs="仿宋_GB2312"/>
          <w:color w:val="auto"/>
          <w:sz w:val="24"/>
          <w:highlight w:val="none"/>
        </w:rPr>
        <w:t>条款，以兹共同遵守、全面履行。</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rPr>
      </w:pPr>
      <w:bookmarkStart w:id="50" w:name="_Toc19273"/>
      <w:bookmarkStart w:id="51" w:name="_Toc15367"/>
      <w:bookmarkStart w:id="52" w:name="_Toc22967"/>
      <w:bookmarkStart w:id="53" w:name="_Toc20421"/>
      <w:bookmarkStart w:id="54" w:name="_Toc28855"/>
      <w:r>
        <w:rPr>
          <w:rFonts w:hint="eastAsia" w:ascii="仿宋_GB2312" w:hAnsi="仿宋_GB2312" w:eastAsia="仿宋_GB2312" w:cs="仿宋_GB2312"/>
          <w:b/>
          <w:color w:val="auto"/>
          <w:sz w:val="24"/>
          <w:highlight w:val="none"/>
        </w:rPr>
        <w:t>1.1 合同组成部分</w:t>
      </w:r>
      <w:bookmarkEnd w:id="50"/>
      <w:bookmarkEnd w:id="51"/>
      <w:bookmarkEnd w:id="52"/>
      <w:bookmarkEnd w:id="53"/>
      <w:bookmarkEnd w:id="54"/>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1.1.1 本合同及其补充合同、变更协议；</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1.1.2 中标或者成交通知书；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1.1.3 投标或者响应文件（含澄清或者说明文件）；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1.1.4 采购文件（含澄清或者修改文件）；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1.1.5 其他相关采购文件。</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55" w:name="_Toc18585"/>
      <w:bookmarkStart w:id="56" w:name="_Toc22185"/>
      <w:bookmarkStart w:id="57" w:name="_Toc6773"/>
      <w:bookmarkStart w:id="58" w:name="_Toc6311"/>
      <w:bookmarkStart w:id="59" w:name="_Toc2918"/>
      <w:r>
        <w:rPr>
          <w:rFonts w:hint="eastAsia" w:ascii="仿宋_GB2312" w:hAnsi="仿宋_GB2312" w:eastAsia="仿宋_GB2312" w:cs="仿宋_GB2312"/>
          <w:b/>
          <w:color w:val="auto"/>
          <w:sz w:val="24"/>
          <w:highlight w:val="none"/>
        </w:rPr>
        <w:t>1.2 标的</w:t>
      </w:r>
      <w:bookmarkEnd w:id="55"/>
      <w:bookmarkEnd w:id="56"/>
      <w:bookmarkEnd w:id="57"/>
      <w:bookmarkEnd w:id="58"/>
      <w:bookmarkEnd w:id="59"/>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1.2.1 服务内容：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1.2.2 服务标准：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1.2.3 技术保障：</w:t>
      </w:r>
      <w:r>
        <w:rPr>
          <w:rFonts w:hint="eastAsia" w:ascii="仿宋_GB2312" w:hAnsi="仿宋_GB2312" w:eastAsia="仿宋_GB2312" w:cs="仿宋_GB2312"/>
          <w:color w:val="auto"/>
          <w:sz w:val="24"/>
          <w:highlight w:val="none"/>
          <w:u w:val="single"/>
        </w:rPr>
        <w:t>　　　　　　　　　                      　      ；</w:t>
      </w:r>
    </w:p>
    <w:p>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1.2.4 服务人员组成：</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1.2.5合同</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（是/否）涉及货物。若涉及货物的，则：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bookmarkStart w:id="60" w:name="_Toc4929"/>
      <w:bookmarkStart w:id="61" w:name="_Toc13918"/>
      <w:bookmarkStart w:id="62" w:name="_Toc5635"/>
      <w:bookmarkStart w:id="63" w:name="_Toc1386"/>
      <w:bookmarkStart w:id="64" w:name="_Toc21124"/>
      <w:r>
        <w:rPr>
          <w:rFonts w:hint="eastAsia" w:ascii="仿宋_GB2312" w:hAnsi="仿宋_GB2312" w:eastAsia="仿宋_GB2312" w:cs="仿宋_GB2312"/>
          <w:color w:val="auto"/>
          <w:sz w:val="24"/>
          <w:highlight w:val="none"/>
        </w:rPr>
        <w:t>1.2.5.1 货物名称、品牌、规格型号、花色：</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1.2.5.2 货物数量：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1.2.5.3 货物质量：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1.3 价款</w:t>
      </w:r>
      <w:bookmarkEnd w:id="60"/>
      <w:bookmarkEnd w:id="61"/>
      <w:bookmarkEnd w:id="62"/>
      <w:bookmarkEnd w:id="63"/>
      <w:bookmarkEnd w:id="64"/>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本项目采用以下第</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条款规定的计价方式计价。</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1.3.1总价合同，本合同总价（含税）为：￥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分项名称</w:t>
            </w: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总价</w:t>
            </w: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bl>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65" w:name="_Toc3654"/>
      <w:bookmarkStart w:id="66" w:name="_Toc26916"/>
      <w:bookmarkStart w:id="67" w:name="_Toc14993"/>
      <w:bookmarkStart w:id="68" w:name="_Toc30506"/>
      <w:bookmarkStart w:id="69" w:name="_Toc30158"/>
      <w:r>
        <w:rPr>
          <w:rFonts w:hint="eastAsia" w:ascii="仿宋_GB2312" w:hAnsi="仿宋_GB2312" w:eastAsia="仿宋_GB2312" w:cs="仿宋_GB2312"/>
          <w:bCs/>
          <w:color w:val="auto"/>
          <w:sz w:val="24"/>
          <w:highlight w:val="none"/>
        </w:rPr>
        <w:t>1.3.2单价合同，本合同单价（含税）标准为：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。服务工作量的计量方式为：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。单价合同，在合同履行期间内，根据实际完成的工作量据实结算，但结算总价上限不得超过预算金额或者双方确定的金额￥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lang w:val="en-US"/>
        </w:rPr>
        <w:t>1.3.3其他计价方式：</w:t>
      </w:r>
      <w:r>
        <w:rPr>
          <w:rFonts w:hint="eastAsia" w:ascii="仿宋_GB2312" w:hAnsi="仿宋_GB2312" w:eastAsia="仿宋_GB2312" w:cs="仿宋_GB2312"/>
          <w:b w:val="0"/>
          <w:bCs w:val="0"/>
          <w:color w:val="auto"/>
          <w:sz w:val="24"/>
          <w:highlight w:val="none"/>
          <w:u w:val="single"/>
          <w:lang w:val="en-US"/>
        </w:rPr>
        <w:t xml:space="preserve">                   </w:t>
      </w:r>
      <w:r>
        <w:rPr>
          <w:rFonts w:hint="eastAsia" w:ascii="仿宋_GB2312" w:hAnsi="仿宋_GB2312" w:eastAsia="仿宋_GB2312" w:cs="仿宋_GB2312"/>
          <w:b w:val="0"/>
          <w:bCs w:val="0"/>
          <w:color w:val="auto"/>
          <w:sz w:val="24"/>
          <w:highlight w:val="none"/>
        </w:rPr>
        <w:t>。</w:t>
      </w:r>
    </w:p>
    <w:bookmarkEnd w:id="65"/>
    <w:bookmarkEnd w:id="66"/>
    <w:bookmarkEnd w:id="67"/>
    <w:bookmarkEnd w:id="68"/>
    <w:bookmarkEnd w:id="69"/>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color w:val="auto"/>
          <w:highlight w:val="none"/>
        </w:rPr>
      </w:pPr>
      <w:bookmarkStart w:id="70" w:name="_Toc1814"/>
      <w:bookmarkStart w:id="71" w:name="_Toc10340"/>
      <w:bookmarkStart w:id="72" w:name="_Toc22618"/>
      <w:bookmarkStart w:id="73" w:name="_Toc3625"/>
      <w:bookmarkStart w:id="74" w:name="_Toc31421"/>
      <w:bookmarkStart w:id="75" w:name="_Toc8772"/>
      <w:bookmarkStart w:id="76" w:name="_Toc11108"/>
      <w:bookmarkStart w:id="77" w:name="_Toc4760"/>
      <w:r>
        <w:rPr>
          <w:rFonts w:hint="eastAsia" w:ascii="仿宋_GB2312" w:hAnsi="仿宋_GB2312" w:eastAsia="仿宋_GB2312" w:cs="仿宋_GB2312"/>
          <w:b/>
          <w:color w:val="auto"/>
          <w:highlight w:val="none"/>
        </w:rPr>
        <w:t>1.4履约保证金</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乙方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（是/否）需要支付履约保证金。若需要支付履约保证金的，则：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1.4.1履约保证金的比例为合同金额的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1.4.2履约保证金支付方式详见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Style w:val="5"/>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1.4.4甲方在项目验收结束后及时退还履约保证金。甲方在项目通过验收之日起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%计算，最高限额为本合同履约保证金的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 xml:space="preserve"> %。</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w:t>
      </w:r>
      <w:bookmarkEnd w:id="70"/>
      <w:bookmarkEnd w:id="71"/>
      <w:bookmarkEnd w:id="72"/>
      <w:r>
        <w:rPr>
          <w:rFonts w:hint="eastAsia" w:ascii="仿宋_GB2312" w:hAnsi="仿宋_GB2312" w:eastAsia="仿宋_GB2312" w:cs="仿宋_GB2312"/>
          <w:b/>
          <w:color w:val="auto"/>
          <w:sz w:val="24"/>
          <w:highlight w:val="none"/>
        </w:rPr>
        <w:t>预付款</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甲方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（是/否）需要支付预付款。若需要支付预付款的，则：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1.5.1预付款比例、支付方式、时间详见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1.5.2预付款的扣回方式详见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1.5.3预付款的担保措施详见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1.6资金支付</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1.6.1甲方应严格履行合同，及时组织验收，验收合格后及时将合同款支付完毕。对于满足合同约定支付条件的，甲方自收到发票后</w:t>
      </w:r>
      <w:r>
        <w:rPr>
          <w:rFonts w:hint="eastAsia" w:ascii="仿宋_GB2312" w:hAnsi="仿宋_GB2312" w:eastAsia="仿宋_GB2312" w:cs="仿宋_GB2312"/>
          <w:color w:val="auto"/>
          <w:highlight w:val="none"/>
          <w:lang w:val="en-US" w:eastAsia="zh-CN"/>
        </w:rPr>
        <w:t>7</w:t>
      </w:r>
      <w:r>
        <w:rPr>
          <w:rFonts w:hint="eastAsia" w:ascii="仿宋_GB2312" w:hAnsi="仿宋_GB2312" w:eastAsia="仿宋_GB2312" w:cs="仿宋_GB2312"/>
          <w:color w:val="auto"/>
          <w:highlight w:val="none"/>
        </w:rPr>
        <w:t>个工作日内将资金支付到合同约定的乙方账户，有条件的甲方可以即时支付。甲方不得以机构变动、人员更替、政策调整、单位放假等为由延迟付款。</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1.6.2资金支付的方式、时间和条件详见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1.7 履行期限、地点和方式</w:t>
      </w:r>
      <w:bookmarkEnd w:id="73"/>
      <w:bookmarkEnd w:id="74"/>
      <w:bookmarkEnd w:id="75"/>
      <w:bookmarkEnd w:id="76"/>
      <w:bookmarkEnd w:id="77"/>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1.7.1 服务交付（实施）的时间（期限）：</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 服务交付（实施）的地点（地域范围）：</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 服务交付（实施）的方式：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bCs/>
          <w:color w:val="auto"/>
          <w:sz w:val="24"/>
          <w:highlight w:val="none"/>
        </w:rPr>
      </w:pPr>
      <w:bookmarkStart w:id="78" w:name="_Toc3079"/>
      <w:bookmarkStart w:id="79" w:name="_Toc2375"/>
      <w:bookmarkStart w:id="80" w:name="_Toc24662"/>
      <w:bookmarkStart w:id="81" w:name="_Toc5698"/>
      <w:bookmarkStart w:id="82" w:name="_Toc8586"/>
      <w:r>
        <w:rPr>
          <w:rFonts w:hint="eastAsia" w:ascii="仿宋_GB2312" w:hAnsi="仿宋_GB2312" w:eastAsia="仿宋_GB2312" w:cs="仿宋_GB2312"/>
          <w:bCs/>
          <w:color w:val="auto"/>
          <w:sz w:val="24"/>
          <w:highlight w:val="none"/>
        </w:rPr>
        <w:t>1.7.4若服务涉及货物的，则货物的：</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1.7.4.1 交付期限：详见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 交付地点：</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 交付方式：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1.8违约责任</w:t>
      </w:r>
      <w:bookmarkEnd w:id="78"/>
      <w:bookmarkEnd w:id="79"/>
      <w:bookmarkEnd w:id="80"/>
      <w:bookmarkEnd w:id="81"/>
      <w:bookmarkEnd w:id="82"/>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%；迟延履行的违约金计算数额达到前述最高限额之日起，甲方有权在要求乙方支付违约金的同时，书面通知乙方解除本合同；</w:t>
      </w:r>
    </w:p>
    <w:p>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b w:val="0"/>
          <w:bCs w:val="0"/>
          <w:color w:val="auto"/>
          <w:sz w:val="24"/>
          <w:szCs w:val="24"/>
          <w:highlight w:val="none"/>
          <w:lang w:val="en-US"/>
        </w:rPr>
      </w:pPr>
      <w:r>
        <w:rPr>
          <w:rFonts w:hint="eastAsia" w:ascii="仿宋_GB2312" w:hAnsi="仿宋_GB2312" w:eastAsia="仿宋_GB2312" w:cs="仿宋_GB2312"/>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%计算，最高限额为本合同总价的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%；迟延付款的违约金计算数额达到前述最高限额之日起，乙方有权在要求甲方支付违约金的同时，书面通知甲方解除本合同；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83" w:name="_Toc9497"/>
      <w:bookmarkStart w:id="84" w:name="_Toc32454"/>
      <w:bookmarkStart w:id="85" w:name="_Toc30329"/>
      <w:bookmarkStart w:id="86" w:name="_Toc26807"/>
      <w:bookmarkStart w:id="87" w:name="_Toc18683"/>
      <w:r>
        <w:rPr>
          <w:rFonts w:hint="eastAsia" w:ascii="仿宋_GB2312" w:hAnsi="仿宋_GB2312" w:eastAsia="仿宋_GB2312" w:cs="仿宋_GB2312"/>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1.8.7违约责任</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另有约定的，从其约定。</w:t>
      </w:r>
    </w:p>
    <w:bookmarkEnd w:id="83"/>
    <w:bookmarkEnd w:id="84"/>
    <w:bookmarkEnd w:id="85"/>
    <w:bookmarkEnd w:id="86"/>
    <w:bookmarkEnd w:id="87"/>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88" w:name="_Toc28375"/>
      <w:bookmarkStart w:id="89" w:name="_Toc16021"/>
      <w:bookmarkStart w:id="90" w:name="_Toc15583"/>
      <w:r>
        <w:rPr>
          <w:rFonts w:hint="eastAsia" w:ascii="仿宋_GB2312" w:hAnsi="仿宋_GB2312" w:eastAsia="仿宋_GB2312" w:cs="仿宋_GB2312"/>
          <w:b/>
          <w:color w:val="auto"/>
          <w:sz w:val="24"/>
          <w:highlight w:val="none"/>
        </w:rPr>
        <w:t>1.9合同争议的解决</w:t>
      </w:r>
      <w:bookmarkEnd w:id="88"/>
      <w:bookmarkEnd w:id="89"/>
      <w:bookmarkEnd w:id="90"/>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本合同履行过程中发生的任何争议，双方当事人均可通过和解或者调解解决；不愿和解、调解或者和解、调解不成的，将争议提交绍兴仲裁委员会仲裁。</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91" w:name="_Toc15322"/>
      <w:bookmarkStart w:id="92" w:name="_Toc11173"/>
      <w:bookmarkStart w:id="93" w:name="_Toc7245"/>
      <w:r>
        <w:rPr>
          <w:rFonts w:hint="eastAsia" w:ascii="仿宋_GB2312" w:hAnsi="仿宋_GB2312" w:eastAsia="仿宋_GB2312" w:cs="仿宋_GB2312"/>
          <w:b/>
          <w:color w:val="auto"/>
          <w:sz w:val="24"/>
          <w:highlight w:val="none"/>
        </w:rPr>
        <w:t>2.0 合同生效</w:t>
      </w:r>
      <w:bookmarkEnd w:id="91"/>
      <w:bookmarkEnd w:id="92"/>
      <w:bookmarkEnd w:id="93"/>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本合同自双方当事人盖章签字时生效。</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b/>
          <w:color w:val="auto"/>
          <w:sz w:val="24"/>
          <w:highlight w:val="none"/>
          <w:lang w:val="zh-CN"/>
        </w:rPr>
        <w:t>甲方</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b/>
          <w:color w:val="auto"/>
          <w:sz w:val="24"/>
          <w:highlight w:val="none"/>
          <w:lang w:val="zh-CN"/>
        </w:rPr>
        <w:t xml:space="preserve">      乙方</w:t>
      </w:r>
      <w:r>
        <w:rPr>
          <w:rFonts w:hint="eastAsia" w:ascii="仿宋_GB2312" w:hAnsi="仿宋_GB2312" w:eastAsia="仿宋_GB2312" w:cs="仿宋_GB2312"/>
          <w:color w:val="auto"/>
          <w:sz w:val="24"/>
          <w:highlight w:val="none"/>
          <w:lang w:val="zh-CN"/>
        </w:rPr>
        <w:t>：</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统一社会信用代码：                       统一社会信用代码或身份证号码：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住所：                                   住所：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法定代表人或                             法定代表人或</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授权代表（签字）：                       授权代表（签字）: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联系人：                                 联系人：</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约定送达地址：                           约定送达地址：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邮政编码：                               邮政编码：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电话:                                    电话: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传真:                                    传真:</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电子邮箱：                               电子邮箱：</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开户银行：                               开户银行：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开户名称：                               开户名称：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开户账号：</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color w:val="auto"/>
          <w:sz w:val="24"/>
          <w:highlight w:val="none"/>
        </w:rPr>
        <w:t>开户账号：</w:t>
      </w:r>
    </w:p>
    <w:p>
      <w:pPr>
        <w:widowControl/>
        <w:kinsoku/>
        <w:wordWrap w:val="0"/>
        <w:overflowPunct/>
        <w:topLinePunct w:val="0"/>
        <w:bidi w:val="0"/>
        <w:adjustRightInd/>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highlight w:val="none"/>
        </w:rPr>
        <w:br w:type="page"/>
      </w:r>
    </w:p>
    <w:p>
      <w:pPr>
        <w:pStyle w:val="701"/>
        <w:kinsoku/>
        <w:wordWrap w:val="0"/>
        <w:overflowPunct/>
        <w:topLinePunct w:val="0"/>
        <w:bidi w:val="0"/>
        <w:spacing w:line="560" w:lineRule="exact"/>
        <w:ind w:firstLine="482"/>
        <w:jc w:val="center"/>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第二部分 合同一般条款</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4" w:name="_Toc25079"/>
      <w:bookmarkStart w:id="95" w:name="_Toc5228"/>
      <w:bookmarkStart w:id="96" w:name="_Toc14021"/>
      <w:bookmarkStart w:id="97" w:name="_Toc19680"/>
      <w:bookmarkStart w:id="98" w:name="_Toc31297"/>
      <w:r>
        <w:rPr>
          <w:rFonts w:hint="eastAsia" w:ascii="仿宋_GB2312" w:hAnsi="仿宋_GB2312" w:eastAsia="仿宋_GB2312" w:cs="仿宋_GB2312"/>
          <w:b/>
          <w:color w:val="auto"/>
          <w:sz w:val="24"/>
          <w:highlight w:val="none"/>
        </w:rPr>
        <w:t>2.1 定义</w:t>
      </w:r>
      <w:bookmarkEnd w:id="94"/>
      <w:bookmarkEnd w:id="95"/>
      <w:bookmarkEnd w:id="96"/>
      <w:bookmarkEnd w:id="97"/>
      <w:bookmarkEnd w:id="98"/>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本合同中的下列词语应按以下内容进行解释：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 “合同”系指采购人和中标或成交供应商签订的载明双方当事人所达成的协议，并包括所有的附件、附录和构成合同的其他文件。</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 “合同价”系指根据合同约定，中标或成交供应商在完全履行合同义务后，采购人应支付给中标或成交供应商的价格。</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 “甲方”系指与中标或成交供应商签署合同的采购人；采购人委托采购代理机构代表其与乙方签订合同的，采购人的授权委托书作为合同附件。</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 “现场”系指合同约定提供服务的地点。</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9" w:name="_Toc23289"/>
      <w:bookmarkStart w:id="100" w:name="_Toc19539"/>
      <w:bookmarkStart w:id="101" w:name="_Toc31402"/>
      <w:bookmarkStart w:id="102" w:name="_Toc16752"/>
      <w:bookmarkStart w:id="103" w:name="_Toc3769"/>
      <w:r>
        <w:rPr>
          <w:rFonts w:hint="eastAsia" w:ascii="仿宋_GB2312" w:hAnsi="仿宋_GB2312" w:eastAsia="仿宋_GB2312" w:cs="仿宋_GB2312"/>
          <w:b/>
          <w:color w:val="auto"/>
          <w:sz w:val="24"/>
          <w:highlight w:val="none"/>
        </w:rPr>
        <w:t>2.2 技术规范</w:t>
      </w:r>
      <w:bookmarkEnd w:id="99"/>
      <w:bookmarkEnd w:id="100"/>
      <w:bookmarkEnd w:id="101"/>
      <w:bookmarkEnd w:id="102"/>
      <w:bookmarkEnd w:id="103"/>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4" w:name="_Toc27945"/>
      <w:bookmarkStart w:id="105" w:name="_Toc4133"/>
      <w:bookmarkStart w:id="106" w:name="_Toc9161"/>
      <w:bookmarkStart w:id="107" w:name="_Toc12412"/>
      <w:bookmarkStart w:id="108" w:name="_Toc13673"/>
      <w:r>
        <w:rPr>
          <w:rFonts w:hint="eastAsia" w:ascii="仿宋_GB2312" w:hAnsi="仿宋_GB2312" w:eastAsia="仿宋_GB2312" w:cs="仿宋_GB2312"/>
          <w:b/>
          <w:color w:val="auto"/>
          <w:sz w:val="24"/>
          <w:highlight w:val="none"/>
        </w:rPr>
        <w:t>2.3 知识产权</w:t>
      </w:r>
      <w:bookmarkEnd w:id="104"/>
      <w:bookmarkEnd w:id="105"/>
      <w:bookmarkEnd w:id="106"/>
      <w:bookmarkEnd w:id="107"/>
      <w:bookmarkEnd w:id="108"/>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 合同涉及技术成果的归属和收益的分成办法的，详见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2.4 履约检查和问题反馈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2.4.2 合同履行期间，甲方有权将履行过程中出现的问题反馈给乙方，双方当事人应以书面形式约定需要完善和改进的内容。</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9" w:name="_Toc31233"/>
      <w:bookmarkStart w:id="110" w:name="_Toc26555"/>
      <w:bookmarkStart w:id="111" w:name="_Toc32670"/>
      <w:bookmarkStart w:id="112" w:name="_Toc22011"/>
      <w:bookmarkStart w:id="113" w:name="_Toc15447"/>
      <w:r>
        <w:rPr>
          <w:rFonts w:hint="eastAsia" w:ascii="仿宋_GB2312" w:hAnsi="仿宋_GB2312" w:eastAsia="仿宋_GB2312" w:cs="仿宋_GB2312"/>
          <w:b/>
          <w:color w:val="auto"/>
          <w:sz w:val="24"/>
          <w:highlight w:val="none"/>
        </w:rPr>
        <w:t>2.5 结算方式和付款条件</w:t>
      </w:r>
      <w:bookmarkEnd w:id="109"/>
      <w:bookmarkEnd w:id="110"/>
      <w:bookmarkEnd w:id="111"/>
      <w:bookmarkEnd w:id="112"/>
      <w:bookmarkEnd w:id="113"/>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4" w:name="_Toc16163"/>
      <w:bookmarkStart w:id="115" w:name="_Toc13467"/>
      <w:bookmarkStart w:id="116" w:name="_Toc30507"/>
      <w:bookmarkStart w:id="117" w:name="_Toc13154"/>
      <w:bookmarkStart w:id="118" w:name="_Toc18990"/>
      <w:r>
        <w:rPr>
          <w:rFonts w:hint="eastAsia" w:ascii="仿宋_GB2312" w:hAnsi="仿宋_GB2312" w:eastAsia="仿宋_GB2312" w:cs="仿宋_GB2312"/>
          <w:b/>
          <w:color w:val="auto"/>
          <w:sz w:val="24"/>
          <w:highlight w:val="none"/>
        </w:rPr>
        <w:t>2.6 技术资料和保密义务</w:t>
      </w:r>
      <w:bookmarkEnd w:id="114"/>
      <w:bookmarkEnd w:id="115"/>
      <w:bookmarkEnd w:id="116"/>
      <w:bookmarkEnd w:id="117"/>
      <w:bookmarkEnd w:id="118"/>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2.6.1 乙方有权依据合同约定和项目需要，向甲方了解有关情况，调阅有关资料等，甲方应予积极配合；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2.6.2 乙方有义务妥善保管和保护由甲方提供的前款信息和资料等；</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9" w:name="_Toc19069"/>
      <w:r>
        <w:rPr>
          <w:rFonts w:hint="eastAsia" w:ascii="仿宋_GB2312" w:hAnsi="仿宋_GB2312" w:eastAsia="仿宋_GB2312" w:cs="仿宋_GB2312"/>
          <w:b/>
          <w:color w:val="auto"/>
          <w:sz w:val="24"/>
          <w:highlight w:val="none"/>
        </w:rPr>
        <w:t>2.7 质量保证</w:t>
      </w:r>
      <w:bookmarkEnd w:id="11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2.7.1 乙方应建立和完善履行合同的内部质量保证体系，并提供相关内部规章制度给甲方，以便甲方进行监督检查；</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2.7.2 乙方应保证履行合同的人员数量和素质、软件和硬件设备的配置、场地、环境和设施等满足全面履行合同的要求，并应接受甲方的监督检查。</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0" w:name="_Toc22267"/>
      <w:r>
        <w:rPr>
          <w:rFonts w:hint="eastAsia" w:ascii="仿宋_GB2312" w:hAnsi="仿宋_GB2312" w:eastAsia="仿宋_GB2312" w:cs="仿宋_GB2312"/>
          <w:b/>
          <w:color w:val="auto"/>
          <w:sz w:val="24"/>
          <w:highlight w:val="none"/>
        </w:rPr>
        <w:t>2.8 延迟履行</w:t>
      </w:r>
      <w:bookmarkEnd w:id="120"/>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1" w:name="_Toc10611"/>
      <w:r>
        <w:rPr>
          <w:rFonts w:hint="eastAsia" w:ascii="仿宋_GB2312" w:hAnsi="仿宋_GB2312" w:eastAsia="仿宋_GB2312" w:cs="仿宋_GB2312"/>
          <w:b/>
          <w:color w:val="auto"/>
          <w:sz w:val="24"/>
          <w:highlight w:val="none"/>
        </w:rPr>
        <w:t>2.9 合同变更</w:t>
      </w:r>
      <w:bookmarkEnd w:id="121"/>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2" w:name="_Toc23368"/>
      <w:bookmarkStart w:id="123" w:name="_Toc10663"/>
      <w:bookmarkStart w:id="124" w:name="_Toc26689"/>
      <w:bookmarkStart w:id="125" w:name="_Toc42"/>
      <w:bookmarkStart w:id="126" w:name="_Toc21830"/>
      <w:r>
        <w:rPr>
          <w:rFonts w:hint="eastAsia" w:ascii="仿宋_GB2312" w:hAnsi="仿宋_GB2312" w:eastAsia="仿宋_GB2312" w:cs="仿宋_GB2312"/>
          <w:b/>
          <w:color w:val="auto"/>
          <w:sz w:val="24"/>
          <w:highlight w:val="none"/>
        </w:rPr>
        <w:t>2.10 合同转让和分包</w:t>
      </w:r>
      <w:bookmarkEnd w:id="122"/>
      <w:bookmarkEnd w:id="123"/>
      <w:bookmarkEnd w:id="124"/>
      <w:bookmarkEnd w:id="125"/>
      <w:bookmarkEnd w:id="126"/>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7" w:name="_Toc32494"/>
      <w:bookmarkStart w:id="128" w:name="_Toc26633"/>
      <w:bookmarkStart w:id="129" w:name="_Toc25571"/>
      <w:bookmarkStart w:id="130" w:name="_Toc4720"/>
      <w:bookmarkStart w:id="131" w:name="_Toc14371"/>
      <w:r>
        <w:rPr>
          <w:rFonts w:hint="eastAsia" w:ascii="仿宋_GB2312" w:hAnsi="仿宋_GB2312" w:eastAsia="仿宋_GB2312" w:cs="仿宋_GB2312"/>
          <w:b/>
          <w:color w:val="auto"/>
          <w:sz w:val="24"/>
          <w:highlight w:val="none"/>
        </w:rPr>
        <w:t>2.11 不可抗力</w:t>
      </w:r>
      <w:bookmarkEnd w:id="127"/>
      <w:bookmarkEnd w:id="128"/>
      <w:bookmarkEnd w:id="129"/>
      <w:bookmarkEnd w:id="130"/>
      <w:bookmarkEnd w:id="131"/>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2.11.1如果任何一方遭遇法律规定的不可抗力，致使合同履行受阻时，履行合同的期限应予延长，延长的期限应相当于不可抗力所影响的时间；</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2.11.2 因不可抗力致使不能实现合同目的的，当事人可以解除合同；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 因不可抗力致使合同有变更必要的，双方当事人应在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约定时间内以书面形式变更合同；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2.11.4受不可抗力影响的一方在不可抗力发生后，应在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约定时间内以书面形式通知对方当事人，并在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约定时间内，将有关部门出具的证明文件送达对方当事人。</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2" w:name="_Toc23854"/>
      <w:bookmarkStart w:id="133" w:name="_Toc3638"/>
      <w:bookmarkStart w:id="134" w:name="_Toc14115"/>
      <w:bookmarkStart w:id="135" w:name="_Toc24465"/>
      <w:bookmarkStart w:id="136" w:name="_Toc25783"/>
      <w:r>
        <w:rPr>
          <w:rFonts w:hint="eastAsia" w:ascii="仿宋_GB2312" w:hAnsi="仿宋_GB2312" w:eastAsia="仿宋_GB2312" w:cs="仿宋_GB2312"/>
          <w:b/>
          <w:color w:val="auto"/>
          <w:sz w:val="24"/>
          <w:highlight w:val="none"/>
        </w:rPr>
        <w:t>2.12 税费</w:t>
      </w:r>
      <w:bookmarkEnd w:id="132"/>
      <w:bookmarkEnd w:id="133"/>
      <w:bookmarkEnd w:id="134"/>
      <w:bookmarkEnd w:id="135"/>
      <w:bookmarkEnd w:id="136"/>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与合同有关的一切税费，均按照中华人民共和国法律的相关规定缴纳。</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7" w:name="_Toc7315"/>
      <w:bookmarkStart w:id="138" w:name="_Toc30105"/>
      <w:bookmarkStart w:id="139" w:name="_Toc26883"/>
      <w:bookmarkStart w:id="140" w:name="_Toc25525"/>
      <w:bookmarkStart w:id="141" w:name="_Toc14814"/>
      <w:r>
        <w:rPr>
          <w:rFonts w:hint="eastAsia" w:ascii="仿宋_GB2312" w:hAnsi="仿宋_GB2312" w:eastAsia="仿宋_GB2312" w:cs="仿宋_GB2312"/>
          <w:b/>
          <w:color w:val="auto"/>
          <w:sz w:val="24"/>
          <w:highlight w:val="none"/>
        </w:rPr>
        <w:t>2.13 乙方破产</w:t>
      </w:r>
      <w:bookmarkEnd w:id="137"/>
      <w:bookmarkEnd w:id="138"/>
      <w:bookmarkEnd w:id="139"/>
      <w:bookmarkEnd w:id="140"/>
      <w:bookmarkEnd w:id="141"/>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2" w:name="_Toc1123"/>
      <w:bookmarkStart w:id="143" w:name="_Toc23323"/>
      <w:bookmarkStart w:id="144" w:name="_Toc2016"/>
      <w:r>
        <w:rPr>
          <w:rFonts w:hint="eastAsia" w:ascii="仿宋_GB2312" w:hAnsi="仿宋_GB2312" w:eastAsia="仿宋_GB2312" w:cs="仿宋_GB2312"/>
          <w:b/>
          <w:color w:val="auto"/>
          <w:sz w:val="24"/>
          <w:highlight w:val="none"/>
        </w:rPr>
        <w:t>2.14 合同中止、终止</w:t>
      </w:r>
      <w:bookmarkEnd w:id="142"/>
      <w:bookmarkEnd w:id="143"/>
      <w:bookmarkEnd w:id="144"/>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2.14.1 双方当事人不得擅自中止或者终止合同；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5" w:name="_Toc14525"/>
      <w:bookmarkStart w:id="146" w:name="_Toc17363"/>
      <w:bookmarkStart w:id="147" w:name="_Toc1969"/>
      <w:r>
        <w:rPr>
          <w:rFonts w:hint="eastAsia" w:ascii="仿宋_GB2312" w:hAnsi="仿宋_GB2312" w:eastAsia="仿宋_GB2312" w:cs="仿宋_GB2312"/>
          <w:b/>
          <w:color w:val="auto"/>
          <w:sz w:val="24"/>
          <w:highlight w:val="none"/>
        </w:rPr>
        <w:t>2.15 检验和验收</w:t>
      </w:r>
      <w:bookmarkEnd w:id="145"/>
      <w:bookmarkEnd w:id="146"/>
      <w:bookmarkEnd w:id="147"/>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 乙方按照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的约定，定期提交服务报告，甲方按照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的约定进行定期验收；</w:t>
      </w:r>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 检验和验收标准、程序等具体内容以及前述验收书的效力详见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i/>
          <w:color w:val="auto"/>
          <w:sz w:val="24"/>
          <w:highlight w:val="none"/>
        </w:rPr>
        <w:t>。</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8" w:name="_Toc25198"/>
      <w:bookmarkStart w:id="149" w:name="_Toc12666"/>
      <w:bookmarkStart w:id="150" w:name="_Toc9808"/>
      <w:bookmarkStart w:id="151" w:name="_Toc2308"/>
      <w:bookmarkStart w:id="152" w:name="_Toc31892"/>
      <w:r>
        <w:rPr>
          <w:rFonts w:hint="eastAsia" w:ascii="仿宋_GB2312" w:hAnsi="仿宋_GB2312" w:eastAsia="仿宋_GB2312" w:cs="仿宋_GB2312"/>
          <w:b/>
          <w:color w:val="auto"/>
          <w:sz w:val="24"/>
          <w:highlight w:val="none"/>
        </w:rPr>
        <w:t>2.16 通知和送达</w:t>
      </w:r>
      <w:bookmarkEnd w:id="148"/>
      <w:bookmarkEnd w:id="149"/>
      <w:bookmarkEnd w:id="150"/>
      <w:bookmarkEnd w:id="151"/>
      <w:bookmarkEnd w:id="152"/>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bookmarkStart w:id="153" w:name="_Toc27674"/>
      <w:bookmarkStart w:id="154" w:name="_Toc18401"/>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 xml:space="preserve">.1任何一方因履行合同而以合同第一部分尾部所列明的传真或电子邮件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发出的所有通知、文件、材料，均视为已向对方当事人送达；任何一方变更上述送达方式或者地址的，应于</w:t>
      </w:r>
      <w:r>
        <w:rPr>
          <w:rFonts w:hint="eastAsia" w:ascii="仿宋_GB2312" w:hAnsi="仿宋_GB2312" w:eastAsia="仿宋_GB2312" w:cs="仿宋_GB2312"/>
          <w:color w:val="auto"/>
          <w:sz w:val="24"/>
          <w:highlight w:val="none"/>
          <w:u w:val="single"/>
        </w:rPr>
        <w:t>3</w:t>
      </w:r>
      <w:r>
        <w:rPr>
          <w:rFonts w:hint="eastAsia" w:ascii="仿宋_GB2312" w:hAnsi="仿宋_GB2312" w:eastAsia="仿宋_GB2312" w:cs="仿宋_GB2312"/>
          <w:color w:val="auto"/>
          <w:sz w:val="24"/>
          <w:highlight w:val="none"/>
        </w:rPr>
        <w:t>个工作日内书面通知对方当事人，在对方当事人收到有关变更通知之前，变更前的约定送达方式或者地址仍视为有效。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3"/>
      <w:bookmarkEnd w:id="154"/>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55" w:name="_Toc5063"/>
      <w:bookmarkStart w:id="156" w:name="_Toc12254"/>
      <w:bookmarkStart w:id="157" w:name="_Toc20808"/>
      <w:bookmarkStart w:id="158" w:name="_Toc27644"/>
      <w:bookmarkStart w:id="159" w:name="_Toc28906"/>
      <w:r>
        <w:rPr>
          <w:rFonts w:hint="eastAsia" w:ascii="仿宋_GB2312" w:hAnsi="仿宋_GB2312" w:eastAsia="仿宋_GB2312" w:cs="仿宋_GB2312"/>
          <w:b/>
          <w:color w:val="auto"/>
          <w:sz w:val="24"/>
          <w:highlight w:val="none"/>
        </w:rPr>
        <w:t>2.17 合同使用的文字和适用的法律</w:t>
      </w:r>
      <w:bookmarkEnd w:id="155"/>
      <w:bookmarkEnd w:id="156"/>
      <w:bookmarkEnd w:id="157"/>
      <w:bookmarkEnd w:id="158"/>
      <w:bookmarkEnd w:id="15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2.17.1 合同使用汉语书就、变更和解释；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2.17.2 合同适用中华人民共和国法律。</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60" w:name="_Toc18540"/>
      <w:bookmarkStart w:id="161" w:name="_Toc30599"/>
      <w:bookmarkStart w:id="162" w:name="_Toc4355"/>
      <w:r>
        <w:rPr>
          <w:rFonts w:hint="eastAsia" w:ascii="仿宋_GB2312" w:hAnsi="仿宋_GB2312" w:eastAsia="仿宋_GB2312" w:cs="仿宋_GB2312"/>
          <w:b/>
          <w:color w:val="auto"/>
          <w:sz w:val="24"/>
          <w:highlight w:val="none"/>
        </w:rPr>
        <w:t>2.18 计量单位</w:t>
      </w:r>
      <w:bookmarkEnd w:id="160"/>
      <w:bookmarkEnd w:id="161"/>
      <w:bookmarkEnd w:id="162"/>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除技术规范中另有规定外,合同的计量单位均使用国家法定计量单位。</w:t>
      </w:r>
    </w:p>
    <w:p>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19</w:t>
      </w:r>
      <w:r>
        <w:rPr>
          <w:rFonts w:hint="eastAsia" w:ascii="仿宋_GB2312" w:hAnsi="仿宋_GB2312" w:eastAsia="仿宋_GB2312" w:cs="仿宋_GB2312"/>
          <w:b/>
          <w:color w:val="auto"/>
          <w:sz w:val="24"/>
          <w:highlight w:val="none"/>
        </w:rPr>
        <w:t>合同份数</w:t>
      </w:r>
    </w:p>
    <w:p>
      <w:pPr>
        <w:keepNext w:val="0"/>
        <w:keepLines w:val="0"/>
        <w:pageBreakBefore w:val="0"/>
        <w:widowControl w:val="0"/>
        <w:kinsoku/>
        <w:wordWrap w:val="0"/>
        <w:overflowPunct/>
        <w:topLinePunct w:val="0"/>
        <w:autoSpaceDE/>
        <w:autoSpaceDN/>
        <w:bidi w:val="0"/>
        <w:adjustRightInd w:val="0"/>
        <w:snapToGrid/>
        <w:spacing w:line="440" w:lineRule="atLeast"/>
        <w:ind w:firstLine="480" w:firstLineChars="200"/>
        <w:jc w:val="left"/>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合同份数按</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规定，每份均具有同等法律效力</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color w:val="auto"/>
          <w:sz w:val="24"/>
          <w:highlight w:val="none"/>
        </w:rPr>
        <w:br w:type="page"/>
      </w:r>
      <w:bookmarkStart w:id="163" w:name="_Toc331685784"/>
      <w:r>
        <w:rPr>
          <w:rFonts w:hint="eastAsia" w:ascii="仿宋_GB2312" w:hAnsi="仿宋_GB2312" w:eastAsia="仿宋_GB2312" w:cs="仿宋_GB2312"/>
          <w:b/>
          <w:color w:val="auto"/>
          <w:sz w:val="24"/>
          <w:highlight w:val="none"/>
        </w:rPr>
        <w:t xml:space="preserve"> </w:t>
      </w:r>
      <w:bookmarkEnd w:id="163"/>
      <w:r>
        <w:rPr>
          <w:rFonts w:hint="eastAsia" w:ascii="仿宋_GB2312" w:hAnsi="仿宋_GB2312" w:eastAsia="仿宋_GB2312" w:cs="仿宋_GB2312"/>
          <w:b/>
          <w:color w:val="auto"/>
          <w:kern w:val="2"/>
          <w:sz w:val="24"/>
          <w:szCs w:val="24"/>
          <w:highlight w:val="none"/>
          <w:lang w:val="en-US" w:eastAsia="zh-CN" w:bidi="ar-SA"/>
        </w:rPr>
        <w:t>第三部分  合同专用条款</w:t>
      </w:r>
    </w:p>
    <w:p>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条款号</w:t>
            </w:r>
          </w:p>
        </w:tc>
        <w:tc>
          <w:tcPr>
            <w:tcW w:w="8149"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1.5.1 </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1.5.3 </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1.8.7</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2.11.4 </w:t>
            </w:r>
          </w:p>
        </w:tc>
        <w:tc>
          <w:tcPr>
            <w:tcW w:w="8149"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2.19</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left="-420" w:leftChars="-200" w:right="-420" w:rightChars="-200" w:firstLine="480" w:firstLineChars="200"/>
        <w:jc w:val="center"/>
        <w:outlineLvl w:val="0"/>
        <w:rPr>
          <w:rFonts w:hint="eastAsia" w:ascii="仿宋_GB2312" w:hAnsi="仿宋_GB2312" w:eastAsia="仿宋_GB2312" w:cs="仿宋_GB2312"/>
          <w:color w:val="auto"/>
          <w:sz w:val="24"/>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pPr>
        <w:pStyle w:val="26"/>
        <w:rPr>
          <w:rFonts w:hint="eastAsia"/>
          <w:color w:val="auto"/>
        </w:rPr>
      </w:pPr>
    </w:p>
    <w:p>
      <w:pPr>
        <w:pStyle w:val="23"/>
        <w:rPr>
          <w:rFonts w:hint="eastAsia" w:ascii="仿宋_GB2312" w:hAnsi="仿宋_GB2312" w:eastAsia="仿宋_GB2312" w:cs="仿宋_GB2312"/>
          <w:color w:val="auto"/>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b/>
          <w:bCs/>
          <w:iCs/>
          <w:color w:val="auto"/>
          <w:sz w:val="24"/>
          <w:highlight w:val="none"/>
        </w:rPr>
        <w:t>分）</w:t>
      </w:r>
    </w:p>
    <w:tbl>
      <w:tblPr>
        <w:tblStyle w:val="63"/>
        <w:tblW w:w="94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11"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
                <w:bCs/>
                <w:color w:val="auto"/>
                <w:kern w:val="0"/>
                <w:sz w:val="24"/>
                <w:szCs w:val="24"/>
                <w:highlight w:val="none"/>
              </w:rPr>
            </w:pPr>
            <w:r>
              <w:rPr>
                <w:rFonts w:hint="eastAsia" w:ascii="楷体_GB2312" w:hAnsi="楷体_GB2312" w:eastAsia="楷体_GB2312" w:cs="楷体_GB2312"/>
                <w:b/>
                <w:bCs/>
                <w:color w:val="auto"/>
                <w:sz w:val="24"/>
                <w:szCs w:val="24"/>
                <w:highlight w:val="none"/>
                <w:lang w:eastAsia="zh-CN"/>
              </w:rPr>
              <w:t>序号</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
                <w:bCs/>
                <w:color w:val="auto"/>
                <w:kern w:val="0"/>
                <w:sz w:val="24"/>
                <w:szCs w:val="24"/>
                <w:highlight w:val="none"/>
              </w:rPr>
            </w:pPr>
            <w:r>
              <w:rPr>
                <w:rFonts w:hint="eastAsia" w:ascii="楷体_GB2312" w:hAnsi="楷体_GB2312" w:eastAsia="楷体_GB2312" w:cs="楷体_GB2312"/>
                <w:b/>
                <w:bCs/>
                <w:color w:val="auto"/>
                <w:sz w:val="24"/>
                <w:szCs w:val="24"/>
                <w:highlight w:val="none"/>
                <w:lang w:eastAsia="zh-CN"/>
              </w:rPr>
              <w:t>评分项</w:t>
            </w:r>
          </w:p>
        </w:tc>
        <w:tc>
          <w:tcPr>
            <w:tcW w:w="641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
                <w:bCs/>
                <w:color w:val="auto"/>
                <w:kern w:val="0"/>
                <w:sz w:val="24"/>
                <w:szCs w:val="24"/>
                <w:highlight w:val="none"/>
              </w:rPr>
            </w:pPr>
            <w:r>
              <w:rPr>
                <w:rFonts w:hint="eastAsia" w:ascii="楷体_GB2312" w:hAnsi="楷体_GB2312" w:eastAsia="楷体_GB2312" w:cs="楷体_GB2312"/>
                <w:b/>
                <w:bCs/>
                <w:color w:val="auto"/>
                <w:sz w:val="24"/>
                <w:szCs w:val="24"/>
                <w:highlight w:val="none"/>
                <w:lang w:eastAsia="zh-CN"/>
              </w:rPr>
              <w:t>评审依据及标准</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
                <w:bCs/>
                <w:color w:val="auto"/>
                <w:kern w:val="0"/>
                <w:sz w:val="24"/>
                <w:szCs w:val="24"/>
                <w:highlight w:val="none"/>
              </w:rPr>
            </w:pPr>
            <w:r>
              <w:rPr>
                <w:rFonts w:hint="eastAsia" w:ascii="楷体_GB2312" w:hAnsi="楷体_GB2312" w:eastAsia="楷体_GB2312" w:cs="楷体_GB2312"/>
                <w:b/>
                <w:bCs/>
                <w:color w:val="auto"/>
                <w:sz w:val="24"/>
                <w:szCs w:val="24"/>
                <w:highlight w:val="none"/>
                <w:lang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lang w:val="en-US" w:eastAsia="zh-CN"/>
              </w:rPr>
              <w:t>1</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sz w:val="24"/>
                <w:szCs w:val="24"/>
                <w:highlight w:val="none"/>
              </w:rPr>
              <w:t>企业证书情况</w:t>
            </w:r>
          </w:p>
        </w:tc>
        <w:tc>
          <w:tcPr>
            <w:tcW w:w="6416" w:type="dxa"/>
            <w:vAlign w:val="center"/>
          </w:tcPr>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根据投标人</w:t>
            </w:r>
            <w:bookmarkStart w:id="164" w:name="OLE_LINK4"/>
            <w:r>
              <w:rPr>
                <w:rFonts w:hint="eastAsia" w:ascii="楷体_GB2312" w:hAnsi="楷体_GB2312" w:eastAsia="楷体_GB2312" w:cs="楷体_GB2312"/>
                <w:color w:val="auto"/>
                <w:sz w:val="24"/>
                <w:szCs w:val="24"/>
                <w:highlight w:val="none"/>
              </w:rPr>
              <w:t>企业证书情况</w:t>
            </w:r>
            <w:bookmarkEnd w:id="164"/>
            <w:r>
              <w:rPr>
                <w:rFonts w:hint="eastAsia" w:ascii="楷体_GB2312" w:hAnsi="楷体_GB2312" w:eastAsia="楷体_GB2312" w:cs="楷体_GB2312"/>
                <w:color w:val="auto"/>
                <w:sz w:val="24"/>
                <w:szCs w:val="24"/>
                <w:highlight w:val="none"/>
              </w:rPr>
              <w:t>进行打分，包括但不限于质量控制、安全生产管理、合同履约等方面，提供相关证明并加盖投标人公章（本项分值设置为3,2,1,0.5,0分）</w:t>
            </w:r>
          </w:p>
        </w:tc>
        <w:tc>
          <w:tcPr>
            <w:tcW w:w="786"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2</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sz w:val="24"/>
                <w:szCs w:val="24"/>
              </w:rPr>
              <w:t>业绩案例</w:t>
            </w:r>
          </w:p>
        </w:tc>
        <w:tc>
          <w:tcPr>
            <w:tcW w:w="6416" w:type="dxa"/>
            <w:vAlign w:val="center"/>
          </w:tcPr>
          <w:p>
            <w:pPr>
              <w:widowControl/>
              <w:spacing w:line="460" w:lineRule="exact"/>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投标人自2022年</w:t>
            </w:r>
            <w:r>
              <w:rPr>
                <w:rFonts w:hint="eastAsia" w:ascii="楷体_GB2312" w:hAnsi="楷体_GB2312" w:eastAsia="楷体_GB2312" w:cs="楷体_GB2312"/>
                <w:color w:val="auto"/>
                <w:sz w:val="24"/>
                <w:szCs w:val="24"/>
                <w:highlight w:val="none"/>
                <w:lang w:val="en-US" w:eastAsia="zh-CN"/>
              </w:rPr>
              <w:t>7</w:t>
            </w:r>
            <w:r>
              <w:rPr>
                <w:rFonts w:hint="eastAsia" w:ascii="楷体_GB2312" w:hAnsi="楷体_GB2312" w:eastAsia="楷体_GB2312" w:cs="楷体_GB2312"/>
                <w:color w:val="auto"/>
                <w:sz w:val="24"/>
                <w:szCs w:val="24"/>
                <w:highlight w:val="none"/>
              </w:rPr>
              <w:t>月1日以来（以合同签订时间为准）完成的同类案例，每有1个得</w:t>
            </w:r>
            <w:r>
              <w:rPr>
                <w:rFonts w:hint="eastAsia" w:ascii="楷体_GB2312" w:hAnsi="楷体_GB2312" w:eastAsia="楷体_GB2312" w:cs="楷体_GB2312"/>
                <w:color w:val="auto"/>
                <w:sz w:val="24"/>
                <w:szCs w:val="24"/>
                <w:highlight w:val="none"/>
                <w:lang w:val="en-US" w:eastAsia="zh-CN"/>
              </w:rPr>
              <w:t>1</w:t>
            </w:r>
            <w:r>
              <w:rPr>
                <w:rFonts w:hint="eastAsia" w:ascii="楷体_GB2312" w:hAnsi="楷体_GB2312" w:eastAsia="楷体_GB2312" w:cs="楷体_GB2312"/>
                <w:color w:val="auto"/>
                <w:sz w:val="24"/>
                <w:szCs w:val="24"/>
                <w:highlight w:val="none"/>
              </w:rPr>
              <w:t>分，满分</w:t>
            </w:r>
            <w:r>
              <w:rPr>
                <w:rFonts w:hint="eastAsia" w:ascii="楷体_GB2312" w:hAnsi="楷体_GB2312" w:eastAsia="楷体_GB2312" w:cs="楷体_GB2312"/>
                <w:color w:val="auto"/>
                <w:sz w:val="24"/>
                <w:szCs w:val="24"/>
                <w:highlight w:val="none"/>
                <w:lang w:val="en-US" w:eastAsia="zh-CN"/>
              </w:rPr>
              <w:t>3</w:t>
            </w:r>
            <w:r>
              <w:rPr>
                <w:rFonts w:hint="eastAsia" w:ascii="楷体_GB2312" w:hAnsi="楷体_GB2312" w:eastAsia="楷体_GB2312" w:cs="楷体_GB2312"/>
                <w:color w:val="auto"/>
                <w:sz w:val="24"/>
                <w:szCs w:val="24"/>
                <w:highlight w:val="none"/>
              </w:rPr>
              <w:t>分。</w:t>
            </w:r>
          </w:p>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b/>
                <w:bCs/>
                <w:color w:val="auto"/>
                <w:sz w:val="24"/>
                <w:szCs w:val="24"/>
                <w:highlight w:val="none"/>
              </w:rPr>
              <w:t>注：每个案例提供合同和验收报告</w:t>
            </w:r>
            <w:r>
              <w:rPr>
                <w:rFonts w:hint="eastAsia" w:ascii="楷体_GB2312" w:hAnsi="楷体_GB2312" w:eastAsia="楷体_GB2312" w:cs="楷体_GB2312"/>
                <w:b/>
                <w:bCs/>
                <w:color w:val="auto"/>
                <w:sz w:val="24"/>
                <w:szCs w:val="24"/>
                <w:highlight w:val="none"/>
                <w:lang w:val="en-US" w:eastAsia="zh-CN"/>
              </w:rPr>
              <w:t>复印件</w:t>
            </w: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rPr>
              <w:t>并加盖投标人公章。</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3</w:t>
            </w:r>
          </w:p>
        </w:tc>
        <w:tc>
          <w:tcPr>
            <w:tcW w:w="1413" w:type="dxa"/>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楷体_GB2312" w:hAnsi="楷体_GB2312" w:eastAsia="楷体_GB2312" w:cs="楷体_GB2312"/>
                <w:bCs/>
                <w:iCs/>
                <w:color w:val="auto"/>
                <w:sz w:val="24"/>
                <w:szCs w:val="24"/>
                <w:highlight w:val="none"/>
                <w:lang w:val="en-US" w:eastAsia="zh-CN"/>
              </w:rPr>
            </w:pPr>
            <w:r>
              <w:rPr>
                <w:rFonts w:hint="eastAsia" w:ascii="楷体_GB2312" w:hAnsi="楷体_GB2312" w:eastAsia="楷体_GB2312" w:cs="楷体_GB2312"/>
                <w:color w:val="auto"/>
                <w:kern w:val="0"/>
                <w:sz w:val="24"/>
                <w:szCs w:val="24"/>
                <w:highlight w:val="none"/>
              </w:rPr>
              <w:t>技术要求</w:t>
            </w:r>
          </w:p>
        </w:tc>
        <w:tc>
          <w:tcPr>
            <w:tcW w:w="6416" w:type="dxa"/>
            <w:vAlign w:val="center"/>
          </w:tcPr>
          <w:p>
            <w:pPr>
              <w:keepNext w:val="0"/>
              <w:keepLines w:val="0"/>
              <w:pageBreakBefore w:val="0"/>
              <w:widowControl/>
              <w:kinsoku/>
              <w:wordWrap w:val="0"/>
              <w:overflowPunct/>
              <w:topLinePunct w:val="0"/>
              <w:bidi w:val="0"/>
              <w:adjustRightInd w:val="0"/>
              <w:snapToGrid w:val="0"/>
              <w:spacing w:line="440" w:lineRule="exact"/>
              <w:jc w:val="left"/>
              <w:textAlignment w:val="auto"/>
              <w:rPr>
                <w:rFonts w:hint="eastAsia" w:ascii="楷体_GB2312" w:hAnsi="楷体_GB2312" w:eastAsia="楷体_GB2312" w:cs="楷体_GB2312"/>
                <w:bCs/>
                <w:iCs/>
                <w:color w:val="auto"/>
                <w:sz w:val="24"/>
                <w:szCs w:val="24"/>
                <w:highlight w:val="none"/>
                <w:lang w:val="en-US" w:eastAsia="zh-CN"/>
              </w:rPr>
            </w:pPr>
            <w:r>
              <w:rPr>
                <w:rFonts w:hint="eastAsia" w:ascii="楷体_GB2312" w:hAnsi="楷体_GB2312" w:eastAsia="楷体_GB2312" w:cs="楷体_GB2312"/>
                <w:color w:val="auto"/>
                <w:sz w:val="24"/>
                <w:szCs w:val="24"/>
                <w:highlight w:val="none"/>
                <w:lang w:eastAsia="zh-CN"/>
              </w:rPr>
              <w:t>技术参数响应情况：对应于招标文件第三部分招标项目范围及要求——“2、设备清单及技术要求”，完全满足指标参数得</w:t>
            </w:r>
            <w:r>
              <w:rPr>
                <w:rFonts w:hint="eastAsia" w:ascii="楷体_GB2312" w:hAnsi="楷体_GB2312" w:eastAsia="楷体_GB2312" w:cs="楷体_GB2312"/>
                <w:color w:val="auto"/>
                <w:kern w:val="0"/>
                <w:sz w:val="24"/>
                <w:szCs w:val="24"/>
                <w:highlight w:val="none"/>
                <w:lang w:val="en-US" w:eastAsia="zh-CN"/>
              </w:rPr>
              <w:t>36</w:t>
            </w:r>
            <w:r>
              <w:rPr>
                <w:rFonts w:hint="eastAsia" w:ascii="楷体_GB2312" w:hAnsi="楷体_GB2312" w:eastAsia="楷体_GB2312" w:cs="楷体_GB2312"/>
                <w:color w:val="auto"/>
                <w:sz w:val="24"/>
                <w:szCs w:val="24"/>
                <w:highlight w:val="none"/>
                <w:lang w:eastAsia="zh-CN"/>
              </w:rPr>
              <w:t>分。</w:t>
            </w:r>
            <w:r>
              <w:rPr>
                <w:rFonts w:hint="eastAsia" w:ascii="楷体_GB2312" w:hAnsi="楷体_GB2312" w:eastAsia="楷体_GB2312" w:cs="楷体_GB2312"/>
                <w:color w:val="auto"/>
                <w:sz w:val="24"/>
                <w:szCs w:val="24"/>
                <w:highlight w:val="none"/>
              </w:rPr>
              <w:t>打“▲”为主要性能指标，每有一项负偏离扣</w:t>
            </w:r>
            <w:r>
              <w:rPr>
                <w:rFonts w:hint="eastAsia" w:ascii="楷体_GB2312" w:hAnsi="楷体_GB2312" w:eastAsia="楷体_GB2312" w:cs="楷体_GB2312"/>
                <w:color w:val="auto"/>
                <w:sz w:val="24"/>
                <w:szCs w:val="24"/>
                <w:highlight w:val="none"/>
                <w:lang w:val="en-US" w:eastAsia="zh-CN"/>
              </w:rPr>
              <w:t>3</w:t>
            </w:r>
            <w:r>
              <w:rPr>
                <w:rFonts w:hint="eastAsia" w:ascii="楷体_GB2312" w:hAnsi="楷体_GB2312" w:eastAsia="楷体_GB2312" w:cs="楷体_GB2312"/>
                <w:color w:val="auto"/>
                <w:sz w:val="24"/>
                <w:szCs w:val="24"/>
                <w:highlight w:val="none"/>
              </w:rPr>
              <w:t>分；其他指标，每有一项负偏离扣1分，扣完为止。</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default" w:ascii="楷体_GB2312" w:hAnsi="楷体_GB2312" w:eastAsia="楷体_GB2312" w:cs="楷体_GB2312"/>
                <w:bCs/>
                <w:iCs/>
                <w:color w:val="auto"/>
                <w:sz w:val="24"/>
                <w:szCs w:val="24"/>
                <w:highlight w:val="none"/>
                <w:lang w:val="en-US" w:eastAsia="zh-CN"/>
              </w:rPr>
            </w:pPr>
            <w:r>
              <w:rPr>
                <w:rFonts w:hint="eastAsia" w:ascii="楷体_GB2312" w:hAnsi="楷体_GB2312" w:eastAsia="楷体_GB2312" w:cs="楷体_GB2312"/>
                <w:bCs/>
                <w:iCs/>
                <w:color w:val="auto"/>
                <w:sz w:val="24"/>
                <w:szCs w:val="24"/>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bCs/>
                <w:iCs/>
                <w:color w:val="auto"/>
                <w:sz w:val="24"/>
                <w:szCs w:val="24"/>
                <w:highlight w:val="none"/>
              </w:rPr>
              <w:t>整体方案</w:t>
            </w:r>
          </w:p>
        </w:tc>
        <w:tc>
          <w:tcPr>
            <w:tcW w:w="6416" w:type="dxa"/>
            <w:vAlign w:val="center"/>
          </w:tcPr>
          <w:p>
            <w:pPr>
              <w:keepNext w:val="0"/>
              <w:keepLines w:val="0"/>
              <w:pageBreakBefore w:val="0"/>
              <w:widowControl/>
              <w:kinsoku/>
              <w:wordWrap w:val="0"/>
              <w:overflowPunct/>
              <w:topLinePunct w:val="0"/>
              <w:bidi w:val="0"/>
              <w:adjustRightInd w:val="0"/>
              <w:snapToGrid w:val="0"/>
              <w:spacing w:line="440" w:lineRule="exact"/>
              <w:jc w:val="left"/>
              <w:textAlignment w:val="auto"/>
              <w:rPr>
                <w:rFonts w:hint="eastAsia" w:ascii="楷体_GB2312" w:hAnsi="楷体_GB2312" w:eastAsia="楷体_GB2312" w:cs="楷体_GB2312"/>
                <w:color w:val="auto"/>
                <w:sz w:val="24"/>
                <w:szCs w:val="24"/>
                <w:highlight w:val="none"/>
                <w:lang w:eastAsia="zh-CN"/>
              </w:rPr>
            </w:pPr>
            <w:r>
              <w:rPr>
                <w:rFonts w:hint="eastAsia" w:ascii="楷体_GB2312" w:hAnsi="楷体_GB2312" w:eastAsia="楷体_GB2312" w:cs="楷体_GB2312"/>
                <w:color w:val="auto"/>
                <w:kern w:val="0"/>
                <w:sz w:val="24"/>
                <w:szCs w:val="24"/>
                <w:lang w:val="en-US" w:eastAsia="zh-CN"/>
              </w:rPr>
              <w:t>根据投标人提供的整体技术方案进行打分，包括但不限于完整租赁维护方案，拟投入设备方案，</w:t>
            </w:r>
            <w:r>
              <w:rPr>
                <w:rFonts w:hint="eastAsia" w:ascii="楷体_GB2312" w:hAnsi="楷体_GB2312" w:eastAsia="楷体_GB2312" w:cs="楷体_GB2312"/>
                <w:color w:val="auto"/>
                <w:sz w:val="24"/>
                <w:szCs w:val="24"/>
                <w:highlight w:val="none"/>
                <w:lang w:eastAsia="zh-CN"/>
              </w:rPr>
              <w:t>管理和协调</w:t>
            </w:r>
            <w:r>
              <w:rPr>
                <w:rFonts w:hint="eastAsia" w:ascii="楷体_GB2312" w:hAnsi="楷体_GB2312" w:eastAsia="楷体_GB2312" w:cs="楷体_GB2312"/>
                <w:color w:val="auto"/>
                <w:kern w:val="0"/>
                <w:sz w:val="24"/>
                <w:szCs w:val="24"/>
                <w:lang w:val="en-US" w:eastAsia="zh-CN"/>
              </w:rPr>
              <w:t>方案</w:t>
            </w:r>
            <w:r>
              <w:rPr>
                <w:rFonts w:hint="eastAsia" w:ascii="楷体_GB2312" w:hAnsi="楷体_GB2312" w:eastAsia="楷体_GB2312" w:cs="楷体_GB2312"/>
                <w:color w:val="auto"/>
                <w:sz w:val="24"/>
                <w:szCs w:val="24"/>
                <w:highlight w:val="none"/>
                <w:lang w:eastAsia="zh-CN"/>
              </w:rPr>
              <w:t>等</w:t>
            </w:r>
            <w:r>
              <w:rPr>
                <w:rFonts w:hint="eastAsia" w:ascii="楷体_GB2312" w:hAnsi="楷体_GB2312" w:eastAsia="楷体_GB2312" w:cs="楷体_GB2312"/>
                <w:color w:val="auto"/>
                <w:sz w:val="24"/>
                <w:szCs w:val="24"/>
                <w:highlight w:val="none"/>
                <w:lang w:val="en-US" w:eastAsia="zh-CN"/>
              </w:rPr>
              <w:t>内容</w:t>
            </w:r>
            <w:r>
              <w:rPr>
                <w:rFonts w:hint="eastAsia" w:ascii="楷体_GB2312" w:hAnsi="楷体_GB2312" w:eastAsia="楷体_GB2312" w:cs="楷体_GB2312"/>
                <w:color w:val="auto"/>
                <w:sz w:val="24"/>
                <w:szCs w:val="24"/>
                <w:highlight w:val="none"/>
                <w:lang w:eastAsia="zh-CN"/>
              </w:rPr>
              <w:t>。</w:t>
            </w:r>
          </w:p>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bCs/>
                <w:iCs/>
                <w:color w:val="auto"/>
                <w:sz w:val="24"/>
                <w:szCs w:val="24"/>
              </w:rPr>
              <w:t>（本项分值设置为5,4,3,2,1,0.5,0分）</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Cs/>
                <w:iCs/>
                <w:color w:val="auto"/>
                <w:sz w:val="24"/>
                <w:szCs w:val="24"/>
                <w:highlight w:val="none"/>
                <w:lang w:val="en-US" w:eastAsia="zh-CN"/>
              </w:rPr>
            </w:pPr>
            <w:r>
              <w:rPr>
                <w:rFonts w:hint="eastAsia" w:ascii="楷体_GB2312" w:hAnsi="楷体_GB2312" w:eastAsia="楷体_GB2312" w:cs="楷体_GB2312"/>
                <w:bCs/>
                <w:iCs/>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lang w:val="en-US" w:eastAsia="zh-CN"/>
              </w:rPr>
              <w:t>5</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bCs/>
                <w:iCs/>
                <w:color w:val="auto"/>
                <w:sz w:val="24"/>
                <w:szCs w:val="24"/>
                <w:highlight w:val="none"/>
              </w:rPr>
              <w:t>项目团队人员</w:t>
            </w:r>
          </w:p>
        </w:tc>
        <w:tc>
          <w:tcPr>
            <w:tcW w:w="6416" w:type="dxa"/>
            <w:vAlign w:val="center"/>
          </w:tcPr>
          <w:p>
            <w:pPr>
              <w:pStyle w:val="19"/>
              <w:keepNext w:val="0"/>
              <w:keepLines w:val="0"/>
              <w:pageBreakBefore w:val="0"/>
              <w:numPr>
                <w:ilvl w:val="0"/>
                <w:numId w:val="0"/>
              </w:numPr>
              <w:kinsoku/>
              <w:wordWrap/>
              <w:overflowPunct/>
              <w:topLinePunct w:val="0"/>
              <w:autoSpaceDE/>
              <w:autoSpaceDN/>
              <w:bidi w:val="0"/>
              <w:adjustRightInd w:val="0"/>
              <w:spacing w:line="440" w:lineRule="exact"/>
              <w:jc w:val="left"/>
              <w:textAlignment w:val="auto"/>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kern w:val="0"/>
                <w:sz w:val="24"/>
                <w:szCs w:val="24"/>
                <w:lang w:val="en-US" w:eastAsia="zh-CN"/>
              </w:rPr>
              <w:t>一、</w:t>
            </w:r>
            <w:r>
              <w:rPr>
                <w:rFonts w:hint="eastAsia" w:ascii="楷体_GB2312" w:hAnsi="楷体_GB2312" w:eastAsia="楷体_GB2312" w:cs="楷体_GB2312"/>
                <w:color w:val="auto"/>
                <w:kern w:val="0"/>
                <w:sz w:val="24"/>
                <w:szCs w:val="24"/>
              </w:rPr>
              <w:t>拟派项目负责人</w:t>
            </w:r>
            <w:r>
              <w:rPr>
                <w:rFonts w:hint="eastAsia" w:ascii="楷体_GB2312" w:hAnsi="楷体_GB2312" w:eastAsia="楷体_GB2312" w:cs="楷体_GB2312"/>
                <w:color w:val="auto"/>
                <w:kern w:val="0"/>
                <w:sz w:val="24"/>
                <w:szCs w:val="24"/>
                <w:lang w:eastAsia="zh-CN"/>
              </w:rPr>
              <w:t>：</w:t>
            </w:r>
          </w:p>
          <w:p>
            <w:pPr>
              <w:pStyle w:val="19"/>
              <w:keepNext w:val="0"/>
              <w:keepLines w:val="0"/>
              <w:pageBreakBefore w:val="0"/>
              <w:kinsoku/>
              <w:wordWrap/>
              <w:overflowPunct/>
              <w:topLinePunct w:val="0"/>
              <w:autoSpaceDE/>
              <w:autoSpaceDN/>
              <w:bidi w:val="0"/>
              <w:adjustRightInd w:val="0"/>
              <w:spacing w:line="440" w:lineRule="exact"/>
              <w:textAlignment w:val="auto"/>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1.持有人社部门颁发的计算机技术与软件专业资格证书（专业：系统集成项目管理工程师）</w:t>
            </w:r>
            <w:bookmarkStart w:id="165" w:name="OLE_LINK1"/>
            <w:r>
              <w:rPr>
                <w:rFonts w:hint="eastAsia" w:ascii="楷体_GB2312" w:hAnsi="楷体_GB2312" w:eastAsia="楷体_GB2312" w:cs="楷体_GB2312"/>
                <w:i w:val="0"/>
                <w:iCs w:val="0"/>
                <w:color w:val="000000"/>
                <w:kern w:val="0"/>
                <w:sz w:val="24"/>
                <w:szCs w:val="24"/>
                <w:u w:val="none"/>
                <w:lang w:val="en-US" w:eastAsia="zh-CN" w:bidi="ar"/>
              </w:rPr>
              <w:t>的得2分。</w:t>
            </w:r>
            <w:bookmarkEnd w:id="165"/>
          </w:p>
          <w:p>
            <w:pPr>
              <w:pStyle w:val="19"/>
              <w:keepNext w:val="0"/>
              <w:keepLines w:val="0"/>
              <w:pageBreakBefore w:val="0"/>
              <w:kinsoku/>
              <w:wordWrap/>
              <w:overflowPunct/>
              <w:topLinePunct w:val="0"/>
              <w:autoSpaceDE/>
              <w:autoSpaceDN/>
              <w:bidi w:val="0"/>
              <w:adjustRightInd w:val="0"/>
              <w:spacing w:line="440" w:lineRule="exact"/>
              <w:textAlignment w:val="auto"/>
              <w:rPr>
                <w:rFonts w:hint="default"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2.持有中国信息安全测评中心颁发的注册信息安全管理人员证书的得2分。</w:t>
            </w:r>
          </w:p>
          <w:p>
            <w:pPr>
              <w:pStyle w:val="19"/>
              <w:keepNext w:val="0"/>
              <w:keepLines w:val="0"/>
              <w:pageBreakBefore w:val="0"/>
              <w:kinsoku/>
              <w:wordWrap/>
              <w:overflowPunct/>
              <w:topLinePunct w:val="0"/>
              <w:autoSpaceDE/>
              <w:autoSpaceDN/>
              <w:bidi w:val="0"/>
              <w:adjustRightInd w:val="0"/>
              <w:spacing w:line="440" w:lineRule="exact"/>
              <w:textAlignment w:val="auto"/>
              <w:rPr>
                <w:rFonts w:hint="eastAsia" w:ascii="楷体_GB2312" w:hAnsi="楷体_GB2312" w:eastAsia="楷体_GB2312" w:cs="楷体_GB2312"/>
                <w:color w:val="auto"/>
                <w:kern w:val="0"/>
                <w:sz w:val="24"/>
                <w:szCs w:val="24"/>
                <w:lang w:eastAsia="zh-CN"/>
              </w:rPr>
            </w:pPr>
            <w:r>
              <w:rPr>
                <w:rFonts w:hint="eastAsia" w:ascii="楷体_GB2312" w:hAnsi="楷体_GB2312" w:eastAsia="楷体_GB2312" w:cs="楷体_GB2312"/>
                <w:color w:val="auto"/>
                <w:kern w:val="0"/>
                <w:sz w:val="24"/>
                <w:szCs w:val="24"/>
                <w:lang w:val="en-US" w:eastAsia="zh-CN"/>
              </w:rPr>
              <w:t>二、</w:t>
            </w:r>
            <w:r>
              <w:rPr>
                <w:rFonts w:hint="eastAsia" w:ascii="楷体_GB2312" w:hAnsi="楷体_GB2312" w:eastAsia="楷体_GB2312" w:cs="楷体_GB2312"/>
                <w:color w:val="auto"/>
                <w:kern w:val="0"/>
                <w:sz w:val="24"/>
                <w:szCs w:val="24"/>
              </w:rPr>
              <w:t>拟派项目团队人员</w:t>
            </w:r>
            <w:r>
              <w:rPr>
                <w:rFonts w:hint="eastAsia" w:ascii="楷体_GB2312" w:hAnsi="楷体_GB2312" w:eastAsia="楷体_GB2312" w:cs="楷体_GB2312"/>
                <w:i w:val="0"/>
                <w:iCs w:val="0"/>
                <w:color w:val="000000"/>
                <w:kern w:val="0"/>
                <w:sz w:val="24"/>
                <w:szCs w:val="24"/>
                <w:u w:val="none"/>
                <w:lang w:val="en-US" w:eastAsia="zh-CN" w:bidi="ar"/>
              </w:rPr>
              <w:t>持有人社部门颁发的计算机技术与软件专业资格证书（专业：网络工程师）的得2分。</w:t>
            </w:r>
          </w:p>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楷体_GB2312" w:hAnsi="楷体_GB2312" w:eastAsia="楷体_GB2312" w:cs="楷体_GB2312"/>
                <w:color w:val="auto"/>
                <w:kern w:val="0"/>
                <w:sz w:val="24"/>
                <w:szCs w:val="24"/>
                <w:lang w:val="en-US" w:eastAsia="zh-CN"/>
              </w:rPr>
            </w:pPr>
            <w:r>
              <w:rPr>
                <w:rFonts w:hint="eastAsia" w:ascii="楷体_GB2312" w:hAnsi="楷体_GB2312" w:eastAsia="楷体_GB2312" w:cs="楷体_GB2312"/>
                <w:color w:val="auto"/>
                <w:sz w:val="24"/>
                <w:szCs w:val="24"/>
                <w:highlight w:val="none"/>
                <w:lang w:val="en-US" w:eastAsia="zh-CN"/>
              </w:rPr>
              <w:t>三、</w:t>
            </w:r>
            <w:r>
              <w:rPr>
                <w:rFonts w:hint="eastAsia" w:ascii="楷体_GB2312" w:hAnsi="楷体_GB2312" w:eastAsia="楷体_GB2312" w:cs="楷体_GB2312"/>
                <w:color w:val="auto"/>
                <w:kern w:val="0"/>
                <w:sz w:val="24"/>
                <w:szCs w:val="24"/>
              </w:rPr>
              <w:t>拟派</w:t>
            </w:r>
            <w:r>
              <w:rPr>
                <w:rFonts w:hint="eastAsia" w:ascii="楷体_GB2312" w:hAnsi="楷体_GB2312" w:eastAsia="楷体_GB2312" w:cs="楷体_GB2312"/>
                <w:color w:val="auto"/>
                <w:kern w:val="0"/>
                <w:sz w:val="24"/>
                <w:szCs w:val="24"/>
                <w:lang w:val="en-US" w:eastAsia="zh-CN"/>
              </w:rPr>
              <w:t>售后服务人员：</w:t>
            </w:r>
          </w:p>
          <w:p>
            <w:pPr>
              <w:pStyle w:val="19"/>
              <w:keepNext w:val="0"/>
              <w:keepLines w:val="0"/>
              <w:pageBreakBefore w:val="0"/>
              <w:kinsoku/>
              <w:wordWrap/>
              <w:overflowPunct/>
              <w:topLinePunct w:val="0"/>
              <w:autoSpaceDE/>
              <w:autoSpaceDN/>
              <w:bidi w:val="0"/>
              <w:adjustRightInd w:val="0"/>
              <w:spacing w:line="440" w:lineRule="exact"/>
              <w:textAlignment w:val="auto"/>
              <w:rPr>
                <w:rFonts w:hint="eastAsia" w:ascii="楷体_GB2312" w:hAnsi="楷体_GB2312" w:eastAsia="楷体_GB2312" w:cs="楷体_GB2312"/>
                <w:i w:val="0"/>
                <w:iCs w:val="0"/>
                <w:color w:val="000000"/>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1.持有人社部门颁发的计算机技术与软件专业资格证书（专业：系统集成项目管理工程师）的，每有一本得2分，最高得4分。</w:t>
            </w:r>
          </w:p>
          <w:p>
            <w:pPr>
              <w:pStyle w:val="19"/>
              <w:keepNext w:val="0"/>
              <w:keepLines w:val="0"/>
              <w:pageBreakBefore w:val="0"/>
              <w:kinsoku/>
              <w:wordWrap/>
              <w:overflowPunct/>
              <w:topLinePunct w:val="0"/>
              <w:autoSpaceDE/>
              <w:autoSpaceDN/>
              <w:bidi w:val="0"/>
              <w:adjustRightInd w:val="0"/>
              <w:spacing w:line="440" w:lineRule="exact"/>
              <w:textAlignment w:val="auto"/>
              <w:rPr>
                <w:rFonts w:hint="default" w:ascii="楷体_GB2312" w:hAnsi="楷体_GB2312" w:eastAsia="楷体_GB2312" w:cs="楷体_GB2312"/>
                <w:i w:val="0"/>
                <w:iCs w:val="0"/>
                <w:color w:val="auto"/>
                <w:kern w:val="0"/>
                <w:sz w:val="24"/>
                <w:szCs w:val="24"/>
                <w:u w:val="none"/>
                <w:lang w:val="en-US" w:eastAsia="zh-CN" w:bidi="ar"/>
              </w:rPr>
            </w:pPr>
            <w:r>
              <w:rPr>
                <w:rFonts w:hint="eastAsia" w:ascii="楷体_GB2312" w:hAnsi="楷体_GB2312" w:eastAsia="楷体_GB2312" w:cs="楷体_GB2312"/>
                <w:i w:val="0"/>
                <w:iCs w:val="0"/>
                <w:color w:val="000000"/>
                <w:kern w:val="0"/>
                <w:sz w:val="24"/>
                <w:szCs w:val="24"/>
                <w:u w:val="none"/>
                <w:lang w:val="en-US" w:eastAsia="zh-CN" w:bidi="ar"/>
              </w:rPr>
              <w:t>2.持有人社部门颁发的中级及以上通信专业技术人员职业水</w:t>
            </w:r>
            <w:r>
              <w:rPr>
                <w:rFonts w:hint="eastAsia" w:ascii="楷体_GB2312" w:hAnsi="楷体_GB2312" w:eastAsia="楷体_GB2312" w:cs="楷体_GB2312"/>
                <w:i w:val="0"/>
                <w:iCs w:val="0"/>
                <w:color w:val="auto"/>
                <w:kern w:val="0"/>
                <w:sz w:val="24"/>
                <w:szCs w:val="24"/>
                <w:u w:val="none"/>
                <w:lang w:val="en-US" w:eastAsia="zh-CN" w:bidi="ar"/>
              </w:rPr>
              <w:t>平证书的，每有一本得2分，最高得4分。</w:t>
            </w:r>
          </w:p>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楷体_GB2312" w:hAnsi="楷体_GB2312" w:eastAsia="楷体_GB2312" w:cs="楷体_GB2312"/>
                <w:b/>
                <w:bCs/>
                <w:color w:val="auto"/>
                <w:sz w:val="24"/>
                <w:szCs w:val="24"/>
                <w:highlight w:val="none"/>
                <w:lang w:val="en-US" w:eastAsia="zh-CN"/>
              </w:rPr>
            </w:pPr>
            <w:r>
              <w:rPr>
                <w:rFonts w:hint="eastAsia" w:ascii="楷体_GB2312" w:hAnsi="楷体_GB2312" w:eastAsia="楷体_GB2312" w:cs="楷体_GB2312"/>
                <w:b/>
                <w:bCs/>
                <w:color w:val="auto"/>
                <w:sz w:val="24"/>
                <w:szCs w:val="24"/>
                <w:highlight w:val="none"/>
                <w:lang w:val="en-US" w:eastAsia="zh-CN"/>
              </w:rPr>
              <w:t>注：1.以上人员须在质保期内长期驻守，需提供书面承诺函，否则不得分。</w:t>
            </w:r>
          </w:p>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b/>
                <w:bCs/>
                <w:color w:val="auto"/>
                <w:sz w:val="24"/>
                <w:szCs w:val="24"/>
                <w:highlight w:val="none"/>
                <w:lang w:val="en-US" w:eastAsia="zh-CN"/>
              </w:rPr>
              <w:t>2.以上人员须为投标人的在职正式员工，一人多证不重复得分，需提供以上相关人员本单位的社保证明材料及相关证书材料复印件并加盖投标人公章,否则不得分。</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default" w:ascii="楷体_GB2312" w:hAnsi="楷体_GB2312" w:eastAsia="楷体_GB2312" w:cs="楷体_GB2312"/>
                <w:bCs/>
                <w:iCs/>
                <w:color w:val="auto"/>
                <w:sz w:val="24"/>
                <w:szCs w:val="24"/>
                <w:highlight w:val="none"/>
                <w:lang w:val="en-US" w:eastAsia="zh-CN"/>
              </w:rPr>
            </w:pPr>
            <w:r>
              <w:rPr>
                <w:rFonts w:hint="eastAsia" w:ascii="楷体_GB2312" w:hAnsi="楷体_GB2312" w:eastAsia="楷体_GB2312" w:cs="楷体_GB2312"/>
                <w:bCs/>
                <w:iCs/>
                <w:color w:val="auto"/>
                <w:sz w:val="24"/>
                <w:szCs w:val="24"/>
                <w:highlight w:val="no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lang w:val="en-US" w:eastAsia="zh-CN"/>
              </w:rPr>
              <w:t>6</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color w:val="auto"/>
                <w:kern w:val="0"/>
                <w:sz w:val="24"/>
                <w:szCs w:val="24"/>
              </w:rPr>
              <w:t>通信线路</w:t>
            </w:r>
          </w:p>
        </w:tc>
        <w:tc>
          <w:tcPr>
            <w:tcW w:w="6416" w:type="dxa"/>
            <w:vAlign w:val="center"/>
          </w:tcPr>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bCs/>
                <w:iCs/>
                <w:color w:val="auto"/>
                <w:sz w:val="24"/>
                <w:szCs w:val="24"/>
                <w:highlight w:val="none"/>
              </w:rPr>
              <w:t>投标人若采用自有管线组网的得3分，但需持有固定网通信运营商资格或有线电视网络运营商证明文件，投标文件中提供相关证明复印件并加盖投标人公章，未提供证明不得分；</w:t>
            </w:r>
          </w:p>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bCs/>
                <w:iCs/>
                <w:color w:val="auto"/>
                <w:sz w:val="24"/>
                <w:szCs w:val="24"/>
                <w:highlight w:val="none"/>
              </w:rPr>
              <w:t>投标人没有自有管线的，要与管线提供商签订该项目线路意向协议，且管线提供商承诺管线施工根据本项目建设进度同步完成施工，投标文件中提供意向协议及承诺书复印件并加盖投标人公章，同时还需提供该固定网通信运营商或有线电视网络运营商资格证明文件复印件并加盖协议双方公章，满足得3分，未提供不得分。</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Cs/>
                <w:iCs/>
                <w:color w:val="auto"/>
                <w:sz w:val="24"/>
                <w:szCs w:val="24"/>
                <w:highlight w:val="none"/>
                <w:lang w:val="en-US" w:eastAsia="zh-CN"/>
              </w:rPr>
            </w:pPr>
            <w:r>
              <w:rPr>
                <w:rFonts w:hint="eastAsia" w:ascii="楷体_GB2312" w:hAnsi="楷体_GB2312" w:eastAsia="楷体_GB2312" w:cs="楷体_GB2312"/>
                <w:bCs/>
                <w:iCs/>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lang w:val="en-US" w:eastAsia="zh-CN"/>
              </w:rPr>
              <w:t>7</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color w:val="auto"/>
                <w:kern w:val="0"/>
                <w:sz w:val="24"/>
                <w:szCs w:val="24"/>
              </w:rPr>
              <w:t>售后服务方案</w:t>
            </w:r>
          </w:p>
        </w:tc>
        <w:tc>
          <w:tcPr>
            <w:tcW w:w="6416" w:type="dxa"/>
            <w:vAlign w:val="center"/>
          </w:tcPr>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楷体_GB2312" w:hAnsi="楷体_GB2312" w:eastAsia="楷体_GB2312" w:cs="楷体_GB2312"/>
                <w:bCs/>
                <w:iCs/>
                <w:color w:val="auto"/>
                <w:sz w:val="24"/>
                <w:szCs w:val="24"/>
                <w:highlight w:val="none"/>
                <w:lang w:eastAsia="zh-CN"/>
              </w:rPr>
            </w:pPr>
            <w:r>
              <w:rPr>
                <w:rFonts w:hint="eastAsia" w:ascii="楷体_GB2312" w:hAnsi="楷体_GB2312" w:eastAsia="楷体_GB2312" w:cs="楷体_GB2312"/>
                <w:color w:val="auto"/>
                <w:kern w:val="0"/>
                <w:sz w:val="24"/>
                <w:szCs w:val="24"/>
              </w:rPr>
              <w:t>根据投标人</w:t>
            </w:r>
            <w:r>
              <w:rPr>
                <w:rFonts w:hint="eastAsia" w:ascii="楷体_GB2312" w:hAnsi="楷体_GB2312" w:eastAsia="楷体_GB2312" w:cs="楷体_GB2312"/>
                <w:color w:val="auto"/>
                <w:kern w:val="0"/>
                <w:sz w:val="24"/>
                <w:szCs w:val="24"/>
                <w:lang w:val="en-US" w:eastAsia="zh-CN"/>
              </w:rPr>
              <w:t>提供</w:t>
            </w:r>
            <w:r>
              <w:rPr>
                <w:rFonts w:hint="eastAsia" w:ascii="楷体_GB2312" w:hAnsi="楷体_GB2312" w:eastAsia="楷体_GB2312" w:cs="楷体_GB2312"/>
                <w:color w:val="auto"/>
                <w:kern w:val="0"/>
                <w:sz w:val="24"/>
                <w:szCs w:val="24"/>
              </w:rPr>
              <w:t>的售后服务方案进行打分，</w:t>
            </w:r>
            <w:r>
              <w:rPr>
                <w:rFonts w:hint="eastAsia" w:ascii="楷体_GB2312" w:hAnsi="楷体_GB2312" w:eastAsia="楷体_GB2312" w:cs="楷体_GB2312"/>
                <w:color w:val="auto"/>
                <w:sz w:val="24"/>
                <w:szCs w:val="24"/>
              </w:rPr>
              <w:t>包括但不限于</w:t>
            </w:r>
            <w:r>
              <w:rPr>
                <w:rFonts w:hint="eastAsia" w:ascii="楷体_GB2312" w:hAnsi="楷体_GB2312" w:eastAsia="楷体_GB2312" w:cs="楷体_GB2312"/>
                <w:color w:val="auto"/>
                <w:kern w:val="0"/>
                <w:sz w:val="24"/>
                <w:szCs w:val="24"/>
              </w:rPr>
              <w:t>响应速度、服务内容、突发事件应对措施、备品备件管理制度等方面。（本项分值设置为3,2,1,0.5,0分）</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Cs/>
                <w:iCs/>
                <w:color w:val="auto"/>
                <w:sz w:val="24"/>
                <w:szCs w:val="24"/>
                <w:highlight w:val="none"/>
                <w:lang w:val="en-US" w:eastAsia="zh-CN"/>
              </w:rPr>
            </w:pPr>
            <w:r>
              <w:rPr>
                <w:rFonts w:hint="eastAsia" w:ascii="楷体_GB2312" w:hAnsi="楷体_GB2312" w:eastAsia="楷体_GB2312" w:cs="楷体_GB2312"/>
                <w:bCs/>
                <w:iCs/>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lang w:val="en-US" w:eastAsia="zh-CN"/>
              </w:rPr>
              <w:t>8</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bCs/>
                <w:iCs/>
                <w:color w:val="auto"/>
                <w:sz w:val="24"/>
                <w:szCs w:val="24"/>
                <w:highlight w:val="none"/>
              </w:rPr>
              <w:t>培训方案</w:t>
            </w:r>
          </w:p>
        </w:tc>
        <w:tc>
          <w:tcPr>
            <w:tcW w:w="6416" w:type="dxa"/>
            <w:vAlign w:val="center"/>
          </w:tcPr>
          <w:p>
            <w:pPr>
              <w:pStyle w:val="19"/>
              <w:keepNext w:val="0"/>
              <w:keepLines w:val="0"/>
              <w:pageBreakBefore w:val="0"/>
              <w:kinsoku/>
              <w:wordWrap/>
              <w:overflowPunct/>
              <w:topLinePunct w:val="0"/>
              <w:autoSpaceDE/>
              <w:autoSpaceDN/>
              <w:bidi w:val="0"/>
              <w:adjustRightInd w:val="0"/>
              <w:spacing w:line="440" w:lineRule="exact"/>
              <w:textAlignment w:val="auto"/>
              <w:rPr>
                <w:rFonts w:hint="eastAsia" w:ascii="楷体_GB2312" w:hAnsi="楷体_GB2312" w:eastAsia="楷体_GB2312" w:cs="楷体_GB2312"/>
                <w:bCs/>
                <w:iCs/>
                <w:color w:val="auto"/>
                <w:sz w:val="24"/>
                <w:szCs w:val="24"/>
                <w:highlight w:val="none"/>
              </w:rPr>
            </w:pPr>
            <w:r>
              <w:rPr>
                <w:rFonts w:hint="eastAsia" w:ascii="楷体_GB2312" w:hAnsi="楷体_GB2312" w:eastAsia="楷体_GB2312" w:cs="楷体_GB2312"/>
                <w:color w:val="auto"/>
                <w:kern w:val="0"/>
                <w:sz w:val="24"/>
                <w:szCs w:val="24"/>
              </w:rPr>
              <w:t>根据投标人</w:t>
            </w:r>
            <w:r>
              <w:rPr>
                <w:rFonts w:hint="eastAsia" w:ascii="楷体_GB2312" w:hAnsi="楷体_GB2312" w:eastAsia="楷体_GB2312" w:cs="楷体_GB2312"/>
                <w:color w:val="auto"/>
                <w:kern w:val="0"/>
                <w:sz w:val="24"/>
                <w:szCs w:val="24"/>
                <w:lang w:val="en-US" w:eastAsia="zh-CN"/>
              </w:rPr>
              <w:t>提供</w:t>
            </w:r>
            <w:r>
              <w:rPr>
                <w:rFonts w:hint="eastAsia" w:ascii="楷体_GB2312" w:hAnsi="楷体_GB2312" w:eastAsia="楷体_GB2312" w:cs="楷体_GB2312"/>
                <w:color w:val="auto"/>
                <w:kern w:val="0"/>
                <w:sz w:val="24"/>
                <w:szCs w:val="24"/>
              </w:rPr>
              <w:t>的培训方案进行打分，</w:t>
            </w:r>
            <w:r>
              <w:rPr>
                <w:rFonts w:hint="eastAsia" w:ascii="楷体_GB2312" w:hAnsi="楷体_GB2312" w:eastAsia="楷体_GB2312" w:cs="楷体_GB2312"/>
                <w:color w:val="auto"/>
                <w:sz w:val="24"/>
                <w:szCs w:val="24"/>
              </w:rPr>
              <w:t>包括但不限于</w:t>
            </w:r>
            <w:r>
              <w:rPr>
                <w:rFonts w:hint="eastAsia" w:ascii="楷体_GB2312" w:hAnsi="楷体_GB2312" w:eastAsia="楷体_GB2312" w:cs="楷体_GB2312"/>
                <w:color w:val="auto"/>
                <w:kern w:val="0"/>
                <w:sz w:val="24"/>
                <w:szCs w:val="24"/>
              </w:rPr>
              <w:t>课程资料、培训内容、培训讲师等方面。（本项分值设置为3,2,1,0.5,0分）</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楷体_GB2312" w:hAnsi="楷体_GB2312" w:eastAsia="楷体_GB2312" w:cs="楷体_GB2312"/>
                <w:bCs/>
                <w:iCs/>
                <w:color w:val="auto"/>
                <w:sz w:val="24"/>
                <w:szCs w:val="24"/>
                <w:highlight w:val="none"/>
                <w:lang w:val="en-US" w:eastAsia="zh-CN"/>
              </w:rPr>
            </w:pPr>
            <w:bookmarkStart w:id="171" w:name="_GoBack"/>
            <w:bookmarkEnd w:id="171"/>
            <w:r>
              <w:rPr>
                <w:rFonts w:hint="eastAsia" w:ascii="楷体_GB2312" w:hAnsi="楷体_GB2312" w:eastAsia="楷体_GB2312" w:cs="楷体_GB2312"/>
                <w:bCs/>
                <w:iCs/>
                <w:color w:val="auto"/>
                <w:sz w:val="24"/>
                <w:szCs w:val="24"/>
                <w:highlight w:val="none"/>
                <w:lang w:val="en-US" w:eastAsia="zh-CN"/>
              </w:rPr>
              <w:t>3</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_GB2312" w:hAnsi="仿宋_GB2312" w:eastAsia="仿宋_GB2312" w:cs="仿宋_GB2312"/>
          <w:bCs/>
          <w:iCs/>
          <w:color w:val="auto"/>
          <w:sz w:val="24"/>
          <w:highlight w:val="none"/>
          <w:u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color w:val="auto"/>
          <w:sz w:val="24"/>
          <w:highlight w:val="none"/>
          <w:u w:val="none"/>
          <w:lang w:val="en-US" w:eastAsia="zh-CN"/>
        </w:rPr>
        <w:t>30</w:t>
      </w:r>
    </w:p>
    <w:p>
      <w:pPr>
        <w:pStyle w:val="23"/>
        <w:rPr>
          <w:rFonts w:hint="eastAsia" w:ascii="仿宋_GB2312" w:hAnsi="仿宋_GB2312" w:eastAsia="仿宋_GB2312" w:cs="仿宋_GB2312"/>
          <w:color w:val="auto"/>
          <w:lang w:val="en-US" w:eastAsia="zh-CN"/>
        </w:rPr>
      </w:pPr>
    </w:p>
    <w:p>
      <w:pPr>
        <w:pStyle w:val="25"/>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5"/>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5"/>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kinsoku/>
        <w:wordWrap w:val="0"/>
        <w:overflowPunct/>
        <w:topLinePunct w:val="0"/>
        <w:bidi w:val="0"/>
        <w:rPr>
          <w:rFonts w:hint="eastAsia" w:ascii="仿宋_GB2312" w:hAnsi="仿宋_GB2312" w:eastAsia="仿宋_GB2312" w:cs="仿宋_GB2312"/>
          <w:b/>
          <w:color w:val="auto"/>
          <w:sz w:val="36"/>
          <w:szCs w:val="20"/>
          <w:highlight w:val="none"/>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bookmarkEnd w:id="38"/>
      <w:r>
        <w:rPr>
          <w:rFonts w:hint="eastAsia" w:ascii="仿宋_GB2312" w:hAnsi="仿宋_GB2312" w:eastAsia="仿宋_GB2312" w:cs="仿宋_GB2312"/>
          <w:b/>
          <w:color w:val="auto"/>
          <w:sz w:val="36"/>
          <w:szCs w:val="20"/>
          <w:highlight w:val="none"/>
        </w:rPr>
        <w:t xml:space="preserve"> </w:t>
      </w:r>
      <w:bookmarkEnd w:id="39"/>
      <w:r>
        <w:rPr>
          <w:rFonts w:hint="eastAsia" w:ascii="仿宋_GB2312" w:hAnsi="仿宋_GB2312" w:eastAsia="仿宋_GB2312" w:cs="仿宋_GB2312"/>
          <w:b/>
          <w:color w:val="auto"/>
          <w:sz w:val="36"/>
          <w:szCs w:val="20"/>
          <w:highlight w:val="none"/>
        </w:rPr>
        <w:t>投标文件及其附件格式</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pPr>
        <w:pStyle w:val="23"/>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绍兴市公安局</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绍兴市公安局589个高清监控改造租赁项目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2025-07-0061</w:t>
      </w:r>
      <w:r>
        <w:rPr>
          <w:rFonts w:hint="eastAsia" w:ascii="仿宋_GB2312" w:hAnsi="仿宋_GB2312" w:eastAsia="仿宋_GB2312" w:cs="仿宋_GB2312"/>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pPr>
        <w:widowControl/>
        <w:kinsoku/>
        <w:wordWrap w:val="0"/>
        <w:overflowPunct/>
        <w:topLinePunct w:val="0"/>
        <w:bidi w:val="0"/>
        <w:spacing w:line="360" w:lineRule="auto"/>
        <w:ind w:firstLine="643" w:firstLineChars="20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.专门面向中小企业，服务全部由符合政策要求的中小企业（或小微企业）承接的，提供相应的中小企业声明函（附件7）。 </w:t>
      </w:r>
    </w:p>
    <w:p>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pPr>
        <w:pStyle w:val="905"/>
        <w:numPr>
          <w:ilvl w:val="0"/>
          <w:numId w:val="1"/>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pPr>
        <w:pStyle w:val="905"/>
        <w:numPr>
          <w:ilvl w:val="0"/>
          <w:numId w:val="1"/>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rPr>
        <w:t>法定代表人授权委托书</w:t>
      </w:r>
      <w:r>
        <w:rPr>
          <w:rFonts w:hint="eastAsia" w:ascii="仿宋_GB2312" w:hAnsi="仿宋_GB2312" w:eastAsia="仿宋_GB2312" w:cs="仿宋_GB2312"/>
          <w:color w:val="auto"/>
          <w:highlight w:val="none"/>
        </w:rPr>
        <w:t xml:space="preserve"> …………………………………………………… （页码）</w:t>
      </w:r>
    </w:p>
    <w:p>
      <w:pPr>
        <w:pStyle w:val="905"/>
        <w:numPr>
          <w:ilvl w:val="0"/>
          <w:numId w:val="1"/>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pPr>
        <w:pStyle w:val="905"/>
        <w:numPr>
          <w:ilvl w:val="0"/>
          <w:numId w:val="1"/>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lang w:val="en-US" w:eastAsia="zh-CN"/>
        </w:rPr>
        <w:t>授权代表社保证明</w:t>
      </w:r>
      <w:r>
        <w:rPr>
          <w:rFonts w:hint="eastAsia" w:ascii="仿宋_GB2312" w:hAnsi="仿宋_GB2312" w:eastAsia="仿宋_GB2312" w:cs="仿宋_GB2312"/>
          <w:color w:val="auto"/>
          <w:highlight w:val="none"/>
        </w:rPr>
        <w:t>……………………………………………………………（页码）</w:t>
      </w:r>
    </w:p>
    <w:p>
      <w:pPr>
        <w:pStyle w:val="905"/>
        <w:numPr>
          <w:ilvl w:val="0"/>
          <w:numId w:val="1"/>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法定代表人身份证明书………………………………………………………（页码）</w:t>
      </w:r>
    </w:p>
    <w:p>
      <w:pPr>
        <w:pStyle w:val="905"/>
        <w:numPr>
          <w:ilvl w:val="0"/>
          <w:numId w:val="1"/>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………………………………………………………………（页码）</w:t>
      </w:r>
    </w:p>
    <w:p>
      <w:pPr>
        <w:pStyle w:val="905"/>
        <w:numPr>
          <w:ilvl w:val="0"/>
          <w:numId w:val="1"/>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……………………………………………（页码）</w:t>
      </w:r>
    </w:p>
    <w:p>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both"/>
        <w:rPr>
          <w:rFonts w:hint="eastAsia" w:ascii="仿宋_GB2312" w:hAnsi="仿宋_GB2312" w:eastAsia="仿宋_GB2312" w:cs="仿宋_GB2312"/>
          <w:b/>
          <w:color w:val="auto"/>
          <w:kern w:val="0"/>
          <w:sz w:val="32"/>
          <w:szCs w:val="32"/>
          <w:highlight w:val="none"/>
          <w:lang w:val="zh-CN"/>
        </w:rPr>
      </w:pPr>
    </w:p>
    <w:p>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Cs w:val="24"/>
          <w:u w:val="single"/>
          <w:lang w:eastAsia="zh-CN"/>
        </w:rPr>
        <w:t>绍兴市公安局</w:t>
      </w:r>
      <w:r>
        <w:rPr>
          <w:rFonts w:hint="eastAsia" w:ascii="仿宋_GB2312" w:hAnsi="仿宋_GB2312" w:eastAsia="仿宋_GB2312" w:cs="仿宋_GB2312"/>
          <w:color w:val="auto"/>
          <w:szCs w:val="24"/>
          <w:u w:val="single"/>
        </w:rPr>
        <w:t>、绍兴市公共资源交易中心</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绍兴市公安局、绍兴市公共资源交易中心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绍兴市公安局589个高清监控改造租赁项目（招标编号:2025-07-0061）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绍兴市公安局、绍兴市公共资源交易中心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绍兴市公安局589个高清监控改造租赁项目（招标编号:2025-07-0061）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both"/>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pacing w:line="360" w:lineRule="auto"/>
        <w:ind w:right="42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注：按本格式和要求提供。</w:t>
      </w:r>
    </w:p>
    <w:p>
      <w:pPr>
        <w:widowControl/>
        <w:kinsoku/>
        <w:wordWrap w:val="0"/>
        <w:overflowPunct/>
        <w:topLinePunct w:val="0"/>
        <w:bidi w:val="0"/>
        <w:adjustRightInd/>
        <w:jc w:val="left"/>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绍兴市公安局</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648"/>
        <w:kinsoku/>
        <w:wordWrap w:val="0"/>
        <w:overflowPunct/>
        <w:topLinePunct w:val="0"/>
        <w:bidi w:val="0"/>
        <w:ind w:firstLine="0"/>
        <w:jc w:val="both"/>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jc w:val="right"/>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pPr>
        <w:pStyle w:val="80"/>
        <w:kinsoku/>
        <w:wordWrap w:val="0"/>
        <w:overflowPunct/>
        <w:topLinePunct w:val="0"/>
        <w:bidi w:val="0"/>
        <w:rPr>
          <w:rFonts w:hint="eastAsia" w:ascii="仿宋_GB2312" w:hAnsi="仿宋_GB2312" w:eastAsia="仿宋_GB2312" w:cs="仿宋_GB2312"/>
          <w:color w:val="auto"/>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80"/>
        <w:kinsoku/>
        <w:wordWrap w:val="0"/>
        <w:overflowPunct/>
        <w:topLinePunct w:val="0"/>
        <w:bidi w:val="0"/>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81"/>
        <w:kinsoku/>
        <w:wordWrap w:val="0"/>
        <w:overflowPunct/>
        <w:topLinePunct w:val="0"/>
        <w:bidi w:val="0"/>
        <w:rPr>
          <w:rFonts w:hint="eastAsia" w:ascii="仿宋_GB2312" w:hAnsi="仿宋_GB2312" w:eastAsia="仿宋_GB2312" w:cs="仿宋_GB2312"/>
          <w:color w:val="auto"/>
          <w:highlight w:val="none"/>
        </w:rPr>
        <w:sectPr>
          <w:headerReference r:id="rId13" w:type="first"/>
          <w:footerReference r:id="rId15" w:type="first"/>
          <w:footerReference r:id="rId14" w:type="default"/>
          <w:pgSz w:w="11906" w:h="16838"/>
          <w:pgMar w:top="1276" w:right="1418" w:bottom="1247" w:left="1418"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（2）中小企业声明函………………………………………………………………（页码）</w:t>
      </w:r>
    </w:p>
    <w:p>
      <w:pPr>
        <w:pStyle w:val="23"/>
        <w:numPr>
          <w:ilvl w:val="0"/>
          <w:numId w:val="0"/>
        </w:num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（3）残疾人福利性单位声明函……………………………………………………（页码）</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8" w:type="first"/>
          <w:headerReference r:id="rId16" w:type="default"/>
          <w:footerReference r:id="rId17" w:type="default"/>
          <w:pgSz w:w="11906" w:h="16838"/>
          <w:pgMar w:top="1276" w:right="1418" w:bottom="1247" w:left="1418"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绍兴市公安局</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绍兴市公安局589个高清监控改造租赁项目</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2025-07-0061</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开标一览表（报价表）(单位均为人民币元)</w:t>
      </w:r>
    </w:p>
    <w:tbl>
      <w:tblPr>
        <w:tblStyle w:val="6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87" w:type="pct"/>
            <w:vAlign w:val="center"/>
          </w:tcPr>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657" w:type="pct"/>
          </w:tcPr>
          <w:p>
            <w:pPr>
              <w:wordWrap w:val="0"/>
              <w:spacing w:line="360" w:lineRule="auto"/>
              <w:jc w:val="center"/>
              <w:rPr>
                <w:rFonts w:ascii="仿宋" w:hAnsi="仿宋" w:eastAsia="仿宋" w:cs="仿宋"/>
                <w:b/>
                <w:color w:val="auto"/>
                <w:sz w:val="24"/>
              </w:rPr>
            </w:pPr>
          </w:p>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服务范围</w:t>
            </w:r>
          </w:p>
        </w:tc>
        <w:tc>
          <w:tcPr>
            <w:tcW w:w="698" w:type="pct"/>
            <w:vAlign w:val="center"/>
          </w:tcPr>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服务要求</w:t>
            </w:r>
          </w:p>
        </w:tc>
        <w:tc>
          <w:tcPr>
            <w:tcW w:w="657" w:type="pct"/>
            <w:vAlign w:val="center"/>
          </w:tcPr>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服务时间</w:t>
            </w:r>
          </w:p>
        </w:tc>
        <w:tc>
          <w:tcPr>
            <w:tcW w:w="615" w:type="pct"/>
            <w:vAlign w:val="center"/>
          </w:tcPr>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服务标准</w:t>
            </w:r>
          </w:p>
        </w:tc>
        <w:tc>
          <w:tcPr>
            <w:tcW w:w="616" w:type="pct"/>
          </w:tcPr>
          <w:p>
            <w:pPr>
              <w:wordWrap w:val="0"/>
              <w:spacing w:line="360" w:lineRule="auto"/>
              <w:jc w:val="center"/>
              <w:rPr>
                <w:rFonts w:ascii="仿宋" w:hAnsi="仿宋" w:eastAsia="仿宋" w:cs="仿宋"/>
                <w:b/>
                <w:color w:val="auto"/>
                <w:sz w:val="24"/>
              </w:rPr>
            </w:pPr>
          </w:p>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服务人数</w:t>
            </w:r>
          </w:p>
        </w:tc>
        <w:tc>
          <w:tcPr>
            <w:tcW w:w="615" w:type="pct"/>
            <w:vAlign w:val="center"/>
          </w:tcPr>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服务单价</w:t>
            </w:r>
          </w:p>
        </w:tc>
        <w:tc>
          <w:tcPr>
            <w:tcW w:w="615" w:type="pct"/>
            <w:vAlign w:val="center"/>
          </w:tcPr>
          <w:p>
            <w:pPr>
              <w:wordWrap w:val="0"/>
              <w:spacing w:line="360" w:lineRule="auto"/>
              <w:jc w:val="center"/>
              <w:rPr>
                <w:rFonts w:ascii="仿宋" w:hAnsi="仿宋" w:eastAsia="仿宋" w:cs="仿宋"/>
                <w:b/>
                <w:color w:val="auto"/>
                <w:sz w:val="24"/>
              </w:rPr>
            </w:pPr>
          </w:p>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备注（如有）</w:t>
            </w:r>
          </w:p>
          <w:p>
            <w:pPr>
              <w:wordWrap w:val="0"/>
              <w:spacing w:line="360" w:lineRule="auto"/>
              <w:jc w:val="center"/>
              <w:rPr>
                <w:rFonts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287" w:type="pct"/>
            <w:vAlign w:val="center"/>
          </w:tcPr>
          <w:p>
            <w:pPr>
              <w:wordWrap w:val="0"/>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98" w:type="pct"/>
            <w:vAlign w:val="center"/>
          </w:tcPr>
          <w:p>
            <w:pPr>
              <w:wordWrap w:val="0"/>
              <w:snapToGrid w:val="0"/>
              <w:spacing w:line="360" w:lineRule="auto"/>
              <w:jc w:val="center"/>
              <w:rPr>
                <w:rFonts w:ascii="仿宋" w:hAnsi="仿宋" w:eastAsia="仿宋" w:cs="仿宋"/>
                <w:color w:val="auto"/>
                <w:sz w:val="24"/>
              </w:rPr>
            </w:pP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6" w:type="pct"/>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287" w:type="pct"/>
            <w:vAlign w:val="center"/>
          </w:tcPr>
          <w:p>
            <w:pPr>
              <w:wordWrap w:val="0"/>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98" w:type="pct"/>
            <w:vAlign w:val="center"/>
          </w:tcPr>
          <w:p>
            <w:pPr>
              <w:wordWrap w:val="0"/>
              <w:snapToGrid w:val="0"/>
              <w:spacing w:line="360" w:lineRule="auto"/>
              <w:jc w:val="center"/>
              <w:rPr>
                <w:rFonts w:ascii="仿宋" w:hAnsi="仿宋" w:eastAsia="仿宋" w:cs="仿宋"/>
                <w:color w:val="auto"/>
                <w:sz w:val="24"/>
              </w:rPr>
            </w:pP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6" w:type="pct"/>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287" w:type="pct"/>
            <w:vAlign w:val="center"/>
          </w:tcPr>
          <w:p>
            <w:pPr>
              <w:wordWrap w:val="0"/>
              <w:snapToGrid w:val="0"/>
              <w:spacing w:line="360" w:lineRule="auto"/>
              <w:jc w:val="center"/>
              <w:rPr>
                <w:rFonts w:ascii="仿宋" w:hAnsi="仿宋" w:eastAsia="仿宋" w:cs="仿宋"/>
                <w:color w:val="auto"/>
                <w:sz w:val="24"/>
              </w:rPr>
            </w:pP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98" w:type="pct"/>
            <w:vAlign w:val="center"/>
          </w:tcPr>
          <w:p>
            <w:pPr>
              <w:wordWrap w:val="0"/>
              <w:snapToGrid w:val="0"/>
              <w:spacing w:line="360" w:lineRule="auto"/>
              <w:jc w:val="center"/>
              <w:rPr>
                <w:rFonts w:ascii="仿宋" w:hAnsi="仿宋" w:eastAsia="仿宋" w:cs="仿宋"/>
                <w:color w:val="auto"/>
                <w:sz w:val="24"/>
              </w:rPr>
            </w:pP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6" w:type="pct"/>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236" w:type="pct"/>
            <w:vAlign w:val="center"/>
          </w:tcPr>
          <w:p>
            <w:pPr>
              <w:wordWrap w:val="0"/>
              <w:spacing w:line="360" w:lineRule="auto"/>
              <w:jc w:val="center"/>
              <w:rPr>
                <w:rFonts w:ascii="仿宋" w:hAnsi="仿宋" w:eastAsia="仿宋" w:cs="仿宋"/>
                <w:color w:val="auto"/>
                <w:sz w:val="24"/>
              </w:rPr>
            </w:pPr>
          </w:p>
        </w:tc>
        <w:tc>
          <w:tcPr>
            <w:tcW w:w="287" w:type="pct"/>
            <w:vAlign w:val="center"/>
          </w:tcPr>
          <w:p>
            <w:pPr>
              <w:wordWrap w:val="0"/>
              <w:snapToGrid w:val="0"/>
              <w:spacing w:line="360" w:lineRule="auto"/>
              <w:jc w:val="center"/>
              <w:rPr>
                <w:rFonts w:ascii="仿宋" w:hAnsi="仿宋" w:eastAsia="仿宋" w:cs="仿宋"/>
                <w:color w:val="auto"/>
                <w:sz w:val="24"/>
              </w:rPr>
            </w:pP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98" w:type="pct"/>
            <w:vAlign w:val="center"/>
          </w:tcPr>
          <w:p>
            <w:pPr>
              <w:wordWrap w:val="0"/>
              <w:snapToGrid w:val="0"/>
              <w:spacing w:line="360" w:lineRule="auto"/>
              <w:jc w:val="center"/>
              <w:rPr>
                <w:rFonts w:ascii="仿宋" w:hAnsi="仿宋" w:eastAsia="仿宋" w:cs="仿宋"/>
                <w:color w:val="auto"/>
                <w:sz w:val="24"/>
              </w:rPr>
            </w:pP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6" w:type="pct"/>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wordWrap w:val="0"/>
              <w:spacing w:line="360" w:lineRule="auto"/>
              <w:jc w:val="center"/>
              <w:rPr>
                <w:rFonts w:ascii="仿宋" w:hAnsi="仿宋" w:eastAsia="仿宋" w:cs="仿宋"/>
                <w:color w:val="auto"/>
                <w:sz w:val="24"/>
              </w:rPr>
            </w:pPr>
          </w:p>
        </w:tc>
        <w:tc>
          <w:tcPr>
            <w:tcW w:w="287" w:type="pct"/>
            <w:vAlign w:val="center"/>
          </w:tcPr>
          <w:p>
            <w:pPr>
              <w:wordWrap w:val="0"/>
              <w:snapToGrid w:val="0"/>
              <w:spacing w:line="360" w:lineRule="auto"/>
              <w:jc w:val="center"/>
              <w:rPr>
                <w:rFonts w:ascii="仿宋" w:hAnsi="仿宋" w:eastAsia="仿宋" w:cs="仿宋"/>
                <w:color w:val="auto"/>
                <w:sz w:val="24"/>
              </w:rPr>
            </w:pP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98" w:type="pct"/>
            <w:vAlign w:val="center"/>
          </w:tcPr>
          <w:p>
            <w:pPr>
              <w:wordWrap w:val="0"/>
              <w:snapToGrid w:val="0"/>
              <w:spacing w:line="360" w:lineRule="auto"/>
              <w:jc w:val="center"/>
              <w:rPr>
                <w:rFonts w:ascii="仿宋" w:hAnsi="仿宋" w:eastAsia="仿宋" w:cs="仿宋"/>
                <w:color w:val="auto"/>
                <w:sz w:val="24"/>
              </w:rPr>
            </w:pPr>
          </w:p>
        </w:tc>
        <w:tc>
          <w:tcPr>
            <w:tcW w:w="657" w:type="pct"/>
            <w:vAlign w:val="center"/>
          </w:tcPr>
          <w:p>
            <w:pPr>
              <w:wordWrap w:val="0"/>
              <w:snapToGrid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6" w:type="pct"/>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c>
          <w:tcPr>
            <w:tcW w:w="615" w:type="pct"/>
            <w:vAlign w:val="center"/>
          </w:tcPr>
          <w:p>
            <w:pPr>
              <w:wordWrap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2504" w:type="pct"/>
            <w:gridSpan w:val="4"/>
          </w:tcPr>
          <w:p>
            <w:pPr>
              <w:wordWrap w:val="0"/>
              <w:spacing w:line="360" w:lineRule="auto"/>
              <w:jc w:val="center"/>
              <w:rPr>
                <w:rFonts w:ascii="仿宋" w:hAnsi="仿宋" w:eastAsia="仿宋" w:cs="仿宋"/>
                <w:color w:val="auto"/>
                <w:sz w:val="24"/>
              </w:rPr>
            </w:pPr>
          </w:p>
        </w:tc>
        <w:tc>
          <w:tcPr>
            <w:tcW w:w="615" w:type="pct"/>
          </w:tcPr>
          <w:p>
            <w:pPr>
              <w:wordWrap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7" w:hRule="atLeast"/>
        </w:trPr>
        <w:tc>
          <w:tcPr>
            <w:tcW w:w="1879" w:type="pct"/>
            <w:gridSpan w:val="4"/>
            <w:vAlign w:val="center"/>
          </w:tcPr>
          <w:p>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2504" w:type="pct"/>
            <w:gridSpan w:val="4"/>
          </w:tcPr>
          <w:p>
            <w:pPr>
              <w:wordWrap w:val="0"/>
              <w:spacing w:line="360" w:lineRule="auto"/>
              <w:jc w:val="center"/>
              <w:rPr>
                <w:rFonts w:ascii="仿宋" w:hAnsi="仿宋" w:eastAsia="仿宋" w:cs="仿宋"/>
                <w:color w:val="auto"/>
                <w:sz w:val="24"/>
              </w:rPr>
            </w:pPr>
          </w:p>
        </w:tc>
        <w:tc>
          <w:tcPr>
            <w:tcW w:w="615" w:type="pct"/>
          </w:tcPr>
          <w:p>
            <w:pPr>
              <w:wordWrap w:val="0"/>
              <w:spacing w:line="360" w:lineRule="auto"/>
              <w:jc w:val="center"/>
              <w:rPr>
                <w:rFonts w:ascii="仿宋" w:hAnsi="仿宋" w:eastAsia="仿宋" w:cs="仿宋"/>
                <w:color w:val="auto"/>
                <w:sz w:val="24"/>
              </w:rPr>
            </w:pPr>
          </w:p>
        </w:tc>
      </w:tr>
    </w:tbl>
    <w:p>
      <w:pPr>
        <w:kinsoku/>
        <w:wordWrap w:val="0"/>
        <w:overflowPunct/>
        <w:topLinePunct w:val="0"/>
        <w:bidi w:val="0"/>
        <w:snapToGrid w:val="0"/>
        <w:spacing w:line="360" w:lineRule="auto"/>
        <w:rPr>
          <w:rFonts w:hint="eastAsia" w:ascii="仿宋_GB2312" w:hAnsi="仿宋_GB2312" w:eastAsia="仿宋_GB2312" w:cs="仿宋_GB2312"/>
          <w:b/>
          <w:color w:val="auto"/>
          <w:kern w:val="0"/>
          <w:sz w:val="24"/>
          <w:highlight w:val="none"/>
          <w:lang w:val="zh-CN"/>
        </w:rPr>
      </w:pPr>
    </w:p>
    <w:p>
      <w:pPr>
        <w:kinsoku/>
        <w:wordWrap w:val="0"/>
        <w:overflowPunct/>
        <w:topLinePunct w:val="0"/>
        <w:bidi w:val="0"/>
        <w:snapToGrid w:val="0"/>
        <w:spacing w:line="360" w:lineRule="auto"/>
        <w:ind w:left="480" w:firstLine="9120" w:firstLineChars="3800"/>
        <w:rPr>
          <w:rFonts w:hint="eastAsia" w:ascii="仿宋_GB2312" w:hAnsi="仿宋_GB2312" w:eastAsia="仿宋_GB2312" w:cs="仿宋_GB2312"/>
          <w:b/>
          <w:color w:val="auto"/>
          <w:kern w:val="0"/>
          <w:sz w:val="24"/>
          <w:highlight w:val="none"/>
          <w:lang w:val="en-US"/>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r>
        <w:rPr>
          <w:rFonts w:hint="eastAsia" w:ascii="仿宋_GB2312" w:hAnsi="仿宋_GB2312" w:eastAsia="仿宋_GB2312" w:cs="仿宋_GB2312"/>
          <w:color w:val="auto"/>
          <w:sz w:val="24"/>
          <w:highlight w:val="none"/>
          <w:lang w:val="en-US"/>
        </w:rPr>
        <w:t>:</w:t>
      </w:r>
    </w:p>
    <w:p>
      <w:pPr>
        <w:kinsoku/>
        <w:wordWrap w:val="0"/>
        <w:overflowPunct/>
        <w:topLinePunct w:val="0"/>
        <w:bidi w:val="0"/>
        <w:snapToGrid w:val="0"/>
        <w:spacing w:line="360" w:lineRule="auto"/>
        <w:ind w:firstLine="9600" w:firstLineChars="400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snapToGrid w:val="0"/>
        <w:spacing w:line="360" w:lineRule="auto"/>
        <w:ind w:left="48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中小企业声明函（如有）</w:t>
      </w:r>
    </w:p>
    <w:p>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kinsoku/>
        <w:wordWrap w:val="0"/>
        <w:overflowPunct/>
        <w:topLinePunct w:val="0"/>
        <w:bidi w:val="0"/>
        <w:rPr>
          <w:rFonts w:hint="eastAsia" w:ascii="仿宋_GB2312" w:hAnsi="仿宋_GB2312" w:eastAsia="仿宋_GB2312" w:cs="仿宋_GB2312"/>
          <w:b/>
          <w:color w:val="auto"/>
          <w:sz w:val="24"/>
          <w:highlight w:val="none"/>
        </w:rPr>
      </w:pPr>
    </w:p>
    <w:p>
      <w:pPr>
        <w:pStyle w:val="81"/>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b/>
          <w:color w:val="auto"/>
          <w:sz w:val="24"/>
          <w:highlight w:val="none"/>
        </w:rPr>
      </w:pPr>
    </w:p>
    <w:p>
      <w:pPr>
        <w:pStyle w:val="80"/>
        <w:kinsoku/>
        <w:wordWrap w:val="0"/>
        <w:overflowPunct/>
        <w:topLinePunct w:val="0"/>
        <w:bidi w:val="0"/>
        <w:rPr>
          <w:rFonts w:hint="eastAsia" w:ascii="仿宋_GB2312" w:hAnsi="仿宋_GB2312" w:eastAsia="仿宋_GB2312" w:cs="仿宋_GB2312"/>
          <w:b/>
          <w:color w:val="auto"/>
          <w:sz w:val="24"/>
          <w:highlight w:val="none"/>
        </w:rPr>
      </w:pPr>
    </w:p>
    <w:p>
      <w:pPr>
        <w:pStyle w:val="81"/>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color w:val="auto"/>
          <w:highlight w:val="none"/>
          <w:lang w:eastAsia="zh-CN"/>
        </w:rPr>
      </w:pPr>
    </w:p>
    <w:p>
      <w:pPr>
        <w:widowControl/>
        <w:kinsoku/>
        <w:wordWrap w:val="0"/>
        <w:overflowPunct/>
        <w:topLinePunct w:val="0"/>
        <w:bidi w:val="0"/>
        <w:spacing w:line="360" w:lineRule="auto"/>
        <w:ind w:firstLine="161" w:firstLineChars="50"/>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eastAsia="zh-CN"/>
        </w:rPr>
        <w:t>三、残疾人福利性单位声明函（如有）</w:t>
      </w:r>
    </w:p>
    <w:p>
      <w:pPr>
        <w:pStyle w:val="23"/>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[符合条件的残疾人福利性单位，提供残疾人福利性单位声明函(附件6)，否则不需要提供。]</w:t>
      </w: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pStyle w:val="4"/>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附件</w:t>
      </w: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附件1：质疑函范本及制作说明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绍兴市公安局</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绍兴市公共资源交易中心</w:t>
      </w:r>
      <w:r>
        <w:rPr>
          <w:rFonts w:hint="eastAsia" w:ascii="仿宋_GB2312" w:hAnsi="仿宋_GB2312" w:eastAsia="仿宋_GB2312" w:cs="仿宋_GB2312"/>
          <w:color w:val="auto"/>
          <w:sz w:val="24"/>
          <w:highlight w:val="none"/>
          <w:u w:val="single"/>
        </w:rPr>
        <w:t>：</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绍兴市公安局589个高清监控改造租赁项目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2025-07-0061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4</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lang w:val="zh-CN"/>
        </w:rPr>
        <w:t>联合协议</w:t>
      </w:r>
    </w:p>
    <w:p>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绍兴市公安局589个高清监控改造租赁项目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2025-07-0061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w:t>
      </w:r>
      <w:bookmarkStart w:id="166" w:name="_Hlk101131882"/>
      <w:r>
        <w:rPr>
          <w:rFonts w:hint="eastAsia" w:ascii="仿宋_GB2312" w:hAnsi="仿宋_GB2312" w:eastAsia="仿宋_GB2312" w:cs="仿宋_GB2312"/>
          <w:color w:val="auto"/>
          <w:kern w:val="0"/>
          <w:sz w:val="24"/>
          <w:highlight w:val="none"/>
          <w:u w:val="single"/>
        </w:rPr>
        <w:t>联合体成员X,……</w:t>
      </w:r>
      <w:bookmarkEnd w:id="166"/>
      <w:r>
        <w:rPr>
          <w:rFonts w:hint="eastAsia" w:ascii="仿宋_GB2312" w:hAnsi="仿宋_GB2312" w:eastAsia="仿宋_GB2312" w:cs="仿宋_GB2312"/>
          <w:color w:val="auto"/>
          <w:kern w:val="0"/>
          <w:sz w:val="24"/>
          <w:highlight w:val="none"/>
          <w:u w:val="single"/>
        </w:rPr>
        <w:t>）</w:t>
      </w:r>
      <w:r>
        <w:rPr>
          <w:rFonts w:hint="eastAsia" w:ascii="仿宋_GB2312" w:hAnsi="仿宋_GB2312" w:eastAsia="仿宋_GB2312" w:cs="仿宋_GB2312"/>
          <w:color w:val="auto"/>
          <w:kern w:val="0"/>
          <w:sz w:val="24"/>
          <w:highlight w:val="none"/>
        </w:rPr>
        <w:t>提供的服务由小微企业承接，其合同份额占到合同总金额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w:t>
      </w:r>
      <w:bookmarkStart w:id="167" w:name="_Hlk101133598"/>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bookmarkEnd w:id="167"/>
      <w:r>
        <w:rPr>
          <w:rFonts w:hint="eastAsia" w:ascii="仿宋_GB2312" w:hAnsi="仿宋_GB2312" w:eastAsia="仿宋_GB2312" w:cs="仿宋_GB2312"/>
          <w:b/>
          <w:color w:val="auto"/>
          <w:kern w:val="0"/>
          <w:sz w:val="24"/>
          <w:highlight w:val="none"/>
          <w:lang w:val="zh-CN"/>
        </w:rPr>
        <w:t>）</w:t>
      </w:r>
    </w:p>
    <w:p>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168"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168"/>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napToGrid w:val="0"/>
        <w:spacing w:line="360" w:lineRule="auto"/>
        <w:ind w:firstLine="3666" w:firstLineChars="1100"/>
        <w:rPr>
          <w:rFonts w:hint="eastAsia" w:ascii="仿宋_GB2312" w:hAnsi="仿宋_GB2312" w:eastAsia="仿宋_GB2312" w:cs="仿宋_GB2312"/>
          <w:b/>
          <w:color w:val="auto"/>
          <w:spacing w:val="6"/>
          <w:sz w:val="32"/>
          <w:szCs w:val="32"/>
          <w:highlight w:val="none"/>
        </w:rPr>
      </w:pPr>
    </w:p>
    <w:p>
      <w:pPr>
        <w:widowControl/>
        <w:kinsoku/>
        <w:wordWrap w:val="0"/>
        <w:overflowPunct/>
        <w:topLinePunct w:val="0"/>
        <w:bidi w:val="0"/>
        <w:adjustRightInd/>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br w:type="page"/>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5</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rPr>
        <w:t>分包意向协议</w:t>
      </w:r>
    </w:p>
    <w:p>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绍兴市公安局589个高清监控改造租赁项目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2025-07-0061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（分包供应商2名称），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pPr>
        <w:pStyle w:val="5"/>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（分包供应商X,……）提供的服务全部由小微企业承接，</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八、其他</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  。                                           投标人名称(电子签名)：</w:t>
      </w:r>
    </w:p>
    <w:p>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color w:val="auto"/>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bookmarkStart w:id="169" w:name="OLE_LINK13"/>
      <w:bookmarkStart w:id="170" w:name="OLE_LINK14"/>
      <w:r>
        <w:rPr>
          <w:rFonts w:hint="eastAsia" w:ascii="仿宋_GB2312" w:hAnsi="仿宋_GB2312" w:eastAsia="仿宋_GB2312" w:cs="仿宋_GB2312"/>
          <w:b/>
          <w:color w:val="auto"/>
          <w:spacing w:val="6"/>
          <w:sz w:val="32"/>
          <w:szCs w:val="32"/>
          <w:highlight w:val="none"/>
        </w:rPr>
        <w:t>残疾人福利性单位声明函</w:t>
      </w:r>
    </w:p>
    <w:bookmarkEnd w:id="169"/>
    <w:bookmarkEnd w:id="170"/>
    <w:p>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lang w:eastAsia="zh-CN"/>
        </w:rPr>
        <w:t>绍兴市公安局</w:t>
      </w:r>
      <w:r>
        <w:rPr>
          <w:rFonts w:hint="eastAsia" w:ascii="仿宋_GB2312" w:hAnsi="仿宋_GB2312" w:eastAsia="仿宋_GB2312" w:cs="仿宋_GB2312"/>
          <w:color w:val="auto"/>
          <w:sz w:val="24"/>
          <w:highlight w:val="none"/>
        </w:rPr>
        <w:t>单位的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lang w:eastAsia="zh-CN"/>
        </w:rPr>
        <w:t>绍兴市公安局589个高清监控改造租赁项目</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none"/>
          <w:lang w:val="en-US" w:eastAsia="zh-CN"/>
        </w:rPr>
        <w:t>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23"/>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7</w:t>
      </w:r>
      <w:r>
        <w:rPr>
          <w:rFonts w:hint="eastAsia" w:ascii="仿宋_GB2312" w:hAnsi="仿宋_GB2312" w:eastAsia="仿宋_GB2312" w:cs="仿宋_GB2312"/>
          <w:b/>
          <w:color w:val="auto"/>
          <w:kern w:val="0"/>
          <w:sz w:val="32"/>
          <w:szCs w:val="32"/>
          <w:highlight w:val="none"/>
        </w:rPr>
        <w:t>：中小企业声明函</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中小企业声明函（服务）</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绍兴市公安局</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绍兴市公安局589个高清监控改造租赁项目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采购活动</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服务全部由符合政策要求的中小企业承接。相关企业（含联合体中的中小企业、签订分包意向协议的中小企业）的具体情况如下：</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 xml:space="preserve"> ；承建（承接）企业为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 xml:space="preserve">属于 </w:t>
      </w:r>
      <w:r>
        <w:rPr>
          <w:rFonts w:hint="eastAsia" w:ascii="仿宋_GB2312" w:hAnsi="仿宋_GB2312" w:eastAsia="仿宋_GB2312" w:cs="仿宋_GB2312"/>
          <w:color w:val="auto"/>
          <w:sz w:val="24"/>
          <w:highlight w:val="none"/>
          <w:u w:val="single"/>
        </w:rPr>
        <w:t xml:space="preserve">（采购文件中明确的所属行业） </w:t>
      </w:r>
      <w:r>
        <w:rPr>
          <w:rFonts w:hint="eastAsia" w:ascii="仿宋_GB2312" w:hAnsi="仿宋_GB2312" w:eastAsia="仿宋_GB2312" w:cs="仿宋_GB2312"/>
          <w:color w:val="auto"/>
          <w:sz w:val="24"/>
          <w:highlight w:val="none"/>
        </w:rPr>
        <w:t xml:space="preserve">；承建（承接）企业为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kinsoku/>
        <w:wordWrap w:val="0"/>
        <w:overflowPunct/>
        <w:topLinePunct w:val="0"/>
        <w:bidi w:val="0"/>
        <w:spacing w:line="360" w:lineRule="auto"/>
        <w:ind w:right="176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投标人名称（电子签名）：</w:t>
      </w:r>
    </w:p>
    <w:p>
      <w:pPr>
        <w:kinsoku/>
        <w:wordWrap w:val="0"/>
        <w:overflowPunct/>
        <w:topLinePunct w:val="0"/>
        <w:bidi w:val="0"/>
        <w:spacing w:line="360" w:lineRule="auto"/>
        <w:ind w:right="1120" w:firstLine="4680" w:firstLineChars="19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p>
    <w:p>
      <w:pPr>
        <w:kinsoku/>
        <w:wordWrap w:val="0"/>
        <w:overflowPunct/>
        <w:topLinePunct w:val="0"/>
        <w:bidi w:val="0"/>
        <w:spacing w:line="360" w:lineRule="auto"/>
        <w:ind w:firstLine="310" w:firstLineChars="147"/>
        <w:jc w:val="left"/>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从业人员、营业收入、资产总额填报上一年度数据，无上一年度数据的新成立企业可不填报。</w:t>
      </w: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注：</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kinsoku/>
        <w:wordWrap w:val="0"/>
        <w:overflowPunct/>
        <w:topLinePunct w:val="0"/>
        <w:bidi w:val="0"/>
        <w:rPr>
          <w:rFonts w:hint="eastAsia" w:ascii="仿宋_GB2312" w:hAnsi="仿宋_GB2312" w:eastAsia="仿宋_GB2312" w:cs="仿宋_GB2312"/>
          <w:color w:val="auto"/>
          <w:highlight w:val="none"/>
          <w:lang w:val="en-US"/>
        </w:rPr>
      </w:pPr>
    </w:p>
    <w:p>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pPr>
        <w:pStyle w:val="23"/>
        <w:kinsoku/>
        <w:wordWrap w:val="0"/>
        <w:overflowPunct/>
        <w:topLinePunct w:val="0"/>
        <w:bidi w:val="0"/>
        <w:rPr>
          <w:rFonts w:hint="eastAsia" w:ascii="仿宋_GB2312" w:hAnsi="仿宋_GB2312" w:eastAsia="仿宋_GB2312" w:cs="仿宋_GB2312"/>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九</w:t>
      </w:r>
      <w:r>
        <w:rPr>
          <w:rFonts w:hint="eastAsia" w:ascii="仿宋_GB2312" w:hAnsi="仿宋_GB2312" w:eastAsia="仿宋_GB2312" w:cs="仿宋_GB2312"/>
          <w:color w:val="auto"/>
          <w:kern w:val="0"/>
          <w:szCs w:val="21"/>
          <w:highlight w:val="none"/>
          <w:lang w:eastAsia="zh-CN"/>
        </w:rPr>
        <w:t>、</w:t>
      </w:r>
      <w:r>
        <w:rPr>
          <w:rFonts w:hint="eastAsia" w:ascii="仿宋_GB2312" w:hAnsi="仿宋_GB2312" w:eastAsia="仿宋_GB2312" w:cs="仿宋_GB2312"/>
          <w:color w:val="auto"/>
          <w:kern w:val="0"/>
          <w:szCs w:val="21"/>
          <w:highlight w:val="none"/>
        </w:rPr>
        <w:t>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ind w:firstLine="420" w:firstLineChars="200"/>
        <w:rPr>
          <w:rFonts w:hint="eastAsia" w:ascii="仿宋_GB2312" w:hAnsi="仿宋_GB2312" w:eastAsia="仿宋_GB2312" w:cs="仿宋_GB2312"/>
          <w:color w:val="auto"/>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highlight w:val="none"/>
        </w:rPr>
      </w:pP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sectPr>
      <w:footerReference r:id="rId21" w:type="firs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hint="default"/>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招标编号:2025-07-0061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hint="default"/>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招标编号:2025-07-0061</w:t>
    </w:r>
  </w:p>
  <w:p>
    <w:pPr>
      <w:pStyle w:val="42"/>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hint="default"/>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招标编号:2025-07-0061</w:t>
    </w:r>
  </w:p>
  <w:p>
    <w:pPr>
      <w:pStyle w:val="42"/>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p>
    <w:pPr>
      <w:pStyle w:val="42"/>
      <w:pBdr>
        <w:bottom w:val="none" w:color="auto" w:sz="0" w:space="0"/>
      </w:pBdr>
      <w:tabs>
        <w:tab w:val="clear" w:pos="4153"/>
        <w:tab w:val="clear" w:pos="8306"/>
      </w:tabs>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i/>
        <w:sz w:val="18"/>
        <w:u w:val="single"/>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0CC0779"/>
    <w:rsid w:val="012C5E9B"/>
    <w:rsid w:val="01F74BBE"/>
    <w:rsid w:val="035BEF8B"/>
    <w:rsid w:val="03DA3F2C"/>
    <w:rsid w:val="058C7827"/>
    <w:rsid w:val="068F7A91"/>
    <w:rsid w:val="06E61033"/>
    <w:rsid w:val="076C615B"/>
    <w:rsid w:val="07EA521F"/>
    <w:rsid w:val="09392985"/>
    <w:rsid w:val="0C080F2B"/>
    <w:rsid w:val="0D05270C"/>
    <w:rsid w:val="0ED066DD"/>
    <w:rsid w:val="0F096B8F"/>
    <w:rsid w:val="0F63063F"/>
    <w:rsid w:val="0F8F6C52"/>
    <w:rsid w:val="110F45BD"/>
    <w:rsid w:val="1158774F"/>
    <w:rsid w:val="12EA679E"/>
    <w:rsid w:val="141B7F03"/>
    <w:rsid w:val="14523964"/>
    <w:rsid w:val="15321013"/>
    <w:rsid w:val="16543937"/>
    <w:rsid w:val="18E60774"/>
    <w:rsid w:val="191D5072"/>
    <w:rsid w:val="1A163489"/>
    <w:rsid w:val="1A63432A"/>
    <w:rsid w:val="1CE037CB"/>
    <w:rsid w:val="1CF46385"/>
    <w:rsid w:val="1D2F1C3B"/>
    <w:rsid w:val="1D304A12"/>
    <w:rsid w:val="1E4A59F7"/>
    <w:rsid w:val="1EEE5318"/>
    <w:rsid w:val="1F9312CE"/>
    <w:rsid w:val="1FBB4AF5"/>
    <w:rsid w:val="1FBFFEB0"/>
    <w:rsid w:val="200564E6"/>
    <w:rsid w:val="20D45A2B"/>
    <w:rsid w:val="21790939"/>
    <w:rsid w:val="21C23686"/>
    <w:rsid w:val="21C326D6"/>
    <w:rsid w:val="22BB3CC3"/>
    <w:rsid w:val="246C7EDA"/>
    <w:rsid w:val="263B65E0"/>
    <w:rsid w:val="26C24DE0"/>
    <w:rsid w:val="26E12F35"/>
    <w:rsid w:val="27271960"/>
    <w:rsid w:val="275DFFED"/>
    <w:rsid w:val="27936D88"/>
    <w:rsid w:val="27A4658C"/>
    <w:rsid w:val="28683013"/>
    <w:rsid w:val="28B23A27"/>
    <w:rsid w:val="2A697D61"/>
    <w:rsid w:val="2A7F7380"/>
    <w:rsid w:val="2ABB04FC"/>
    <w:rsid w:val="2B2B22B3"/>
    <w:rsid w:val="2BE55846"/>
    <w:rsid w:val="2C26125D"/>
    <w:rsid w:val="2C6B52AC"/>
    <w:rsid w:val="2F0C0A43"/>
    <w:rsid w:val="2F760421"/>
    <w:rsid w:val="2FF4756A"/>
    <w:rsid w:val="30CD01D9"/>
    <w:rsid w:val="316545AD"/>
    <w:rsid w:val="31935FA5"/>
    <w:rsid w:val="31EF5C5F"/>
    <w:rsid w:val="325B74D9"/>
    <w:rsid w:val="326F4556"/>
    <w:rsid w:val="343524A0"/>
    <w:rsid w:val="34985663"/>
    <w:rsid w:val="34C311A7"/>
    <w:rsid w:val="34D04EBC"/>
    <w:rsid w:val="34D4228C"/>
    <w:rsid w:val="37772AB0"/>
    <w:rsid w:val="38805C9A"/>
    <w:rsid w:val="38A71B3B"/>
    <w:rsid w:val="38D72BE1"/>
    <w:rsid w:val="3DC52552"/>
    <w:rsid w:val="3DF436D8"/>
    <w:rsid w:val="3E6DF6DC"/>
    <w:rsid w:val="3FCFDA4A"/>
    <w:rsid w:val="405F35B8"/>
    <w:rsid w:val="40CC3269"/>
    <w:rsid w:val="419F6F93"/>
    <w:rsid w:val="41BE06AF"/>
    <w:rsid w:val="42054D9A"/>
    <w:rsid w:val="427E60E8"/>
    <w:rsid w:val="437B7334"/>
    <w:rsid w:val="43CC0ABA"/>
    <w:rsid w:val="43E20365"/>
    <w:rsid w:val="440973C9"/>
    <w:rsid w:val="44940677"/>
    <w:rsid w:val="45D027A7"/>
    <w:rsid w:val="45EB3B06"/>
    <w:rsid w:val="471C2176"/>
    <w:rsid w:val="477A396D"/>
    <w:rsid w:val="49A83F2D"/>
    <w:rsid w:val="4A9A622B"/>
    <w:rsid w:val="4AB656E6"/>
    <w:rsid w:val="4B822B15"/>
    <w:rsid w:val="4BD5605F"/>
    <w:rsid w:val="4D494522"/>
    <w:rsid w:val="4F1636DC"/>
    <w:rsid w:val="4F357B5D"/>
    <w:rsid w:val="4F4B3D85"/>
    <w:rsid w:val="4F981E95"/>
    <w:rsid w:val="4FB234AC"/>
    <w:rsid w:val="51457CA0"/>
    <w:rsid w:val="54171EB0"/>
    <w:rsid w:val="55711956"/>
    <w:rsid w:val="58C80011"/>
    <w:rsid w:val="5A087C92"/>
    <w:rsid w:val="5B3A5A13"/>
    <w:rsid w:val="5B41777E"/>
    <w:rsid w:val="5B73EE39"/>
    <w:rsid w:val="5B8462C1"/>
    <w:rsid w:val="5C1A2FAD"/>
    <w:rsid w:val="5C9C42B6"/>
    <w:rsid w:val="5CFAC9C4"/>
    <w:rsid w:val="5D2259CE"/>
    <w:rsid w:val="5E2E4BD1"/>
    <w:rsid w:val="5EAE6770"/>
    <w:rsid w:val="5F561B6F"/>
    <w:rsid w:val="5F57E5CA"/>
    <w:rsid w:val="5FD75EED"/>
    <w:rsid w:val="63046C6E"/>
    <w:rsid w:val="63672B83"/>
    <w:rsid w:val="642E7CA1"/>
    <w:rsid w:val="643636B1"/>
    <w:rsid w:val="64AFCBD0"/>
    <w:rsid w:val="64D24E2B"/>
    <w:rsid w:val="65D53812"/>
    <w:rsid w:val="65E0560D"/>
    <w:rsid w:val="669C35D3"/>
    <w:rsid w:val="66BB07E1"/>
    <w:rsid w:val="682014BB"/>
    <w:rsid w:val="69891001"/>
    <w:rsid w:val="69891E57"/>
    <w:rsid w:val="69B3625A"/>
    <w:rsid w:val="6AFF2A6C"/>
    <w:rsid w:val="6EBAEEF7"/>
    <w:rsid w:val="6F943CEF"/>
    <w:rsid w:val="6FC37AD4"/>
    <w:rsid w:val="6FE74316"/>
    <w:rsid w:val="702A1CA8"/>
    <w:rsid w:val="71EA68D7"/>
    <w:rsid w:val="726625DC"/>
    <w:rsid w:val="745C6534"/>
    <w:rsid w:val="761D2D89"/>
    <w:rsid w:val="7750128D"/>
    <w:rsid w:val="778CFDC4"/>
    <w:rsid w:val="77D33BC9"/>
    <w:rsid w:val="77EDE09C"/>
    <w:rsid w:val="784A750A"/>
    <w:rsid w:val="78AD1F79"/>
    <w:rsid w:val="78BB59A6"/>
    <w:rsid w:val="791B1DFC"/>
    <w:rsid w:val="794F0A43"/>
    <w:rsid w:val="79574D11"/>
    <w:rsid w:val="79E94B73"/>
    <w:rsid w:val="7B1A3687"/>
    <w:rsid w:val="7C9254F1"/>
    <w:rsid w:val="7CF829C4"/>
    <w:rsid w:val="7D275D37"/>
    <w:rsid w:val="7DFF3A1B"/>
    <w:rsid w:val="7F2A5316"/>
    <w:rsid w:val="7F306D99"/>
    <w:rsid w:val="7F387C2E"/>
    <w:rsid w:val="7F7D3C0B"/>
    <w:rsid w:val="7FB129C4"/>
    <w:rsid w:val="7FCE9F2A"/>
    <w:rsid w:val="7FFA6A5B"/>
    <w:rsid w:val="B7FEB47E"/>
    <w:rsid w:val="B9F6DAE2"/>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3">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customStyle="1" w:styleId="2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5">
    <w:name w:val="Body Text Indent"/>
    <w:basedOn w:val="1"/>
    <w:next w:val="26"/>
    <w:link w:val="264"/>
    <w:qFormat/>
    <w:uiPriority w:val="0"/>
    <w:pPr>
      <w:spacing w:line="480" w:lineRule="exact"/>
      <w:ind w:firstLine="480" w:firstLineChars="200"/>
    </w:pPr>
    <w:rPr>
      <w:rFonts w:ascii="宋体" w:hAnsi="宋体"/>
      <w:sz w:val="24"/>
    </w:rPr>
  </w:style>
  <w:style w:type="paragraph" w:styleId="26">
    <w:name w:val="Body Text First Indent 2"/>
    <w:basedOn w:val="25"/>
    <w:next w:val="23"/>
    <w:link w:val="121"/>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3"/>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basedOn w:val="1"/>
    <w:next w:val="1"/>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3"/>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6"/>
    <w:qFormat/>
    <w:uiPriority w:val="0"/>
    <w:rPr>
      <w:b/>
      <w:bCs/>
    </w:rPr>
  </w:style>
  <w:style w:type="paragraph" w:styleId="62">
    <w:name w:val="Body Text First Indent"/>
    <w:basedOn w:val="23"/>
    <w:next w:val="52"/>
    <w:link w:val="320"/>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6"/>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70"/>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3"/>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2"/>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3"/>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2"/>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2"/>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2"/>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3"/>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2"/>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5">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966">
    <w:name w:val="Style 4"/>
    <w:qFormat/>
    <w:uiPriority w:val="0"/>
    <w:pPr>
      <w:spacing w:line="444" w:lineRule="auto"/>
      <w:ind w:firstLine="400"/>
    </w:pPr>
    <w:rPr>
      <w:rFonts w:ascii="宋体" w:hAnsi="宋体" w:eastAsia="宋体" w:cs="宋体"/>
      <w:sz w:val="22"/>
      <w:szCs w:val="22"/>
      <w:lang w:val="zh-CN" w:eastAsia="zh-CN" w:bidi="zh-CN"/>
    </w:rPr>
  </w:style>
  <w:style w:type="paragraph" w:customStyle="1" w:styleId="967">
    <w:name w:val="正文_0"/>
    <w:qFormat/>
    <w:uiPriority w:val="99"/>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86</Pages>
  <Words>40152</Words>
  <Characters>42752</Characters>
  <Paragraphs>1943</Paragraphs>
  <TotalTime>0</TotalTime>
  <ScaleCrop>false</ScaleCrop>
  <LinksUpToDate>false</LinksUpToDate>
  <CharactersWithSpaces>50218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Administrator</cp:lastModifiedBy>
  <cp:lastPrinted>2025-06-03T03:04:00Z</cp:lastPrinted>
  <dcterms:modified xsi:type="dcterms:W3CDTF">2025-07-14T03:28:51Z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