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隶书" w:hAnsi="Arial" w:eastAsia="隶书" w:cs="Arial"/>
          <w:b/>
          <w:color w:val="auto"/>
          <w:spacing w:val="-12"/>
          <w:sz w:val="48"/>
          <w:szCs w:val="48"/>
          <w:highlight w:val="none"/>
          <w:lang w:eastAsia="zh-CN"/>
        </w:rPr>
      </w:pPr>
    </w:p>
    <w:p>
      <w:pPr>
        <w:jc w:val="center"/>
        <w:outlineLvl w:val="0"/>
        <w:rPr>
          <w:rFonts w:hint="eastAsia" w:ascii="隶书" w:hAnsi="Arial" w:eastAsia="隶书" w:cs="Arial"/>
          <w:b/>
          <w:color w:val="auto"/>
          <w:spacing w:val="-12"/>
          <w:sz w:val="48"/>
          <w:szCs w:val="48"/>
          <w:highlight w:val="none"/>
          <w:lang w:eastAsia="zh-CN"/>
        </w:rPr>
      </w:pPr>
      <w:r>
        <w:rPr>
          <w:rFonts w:hint="eastAsia" w:ascii="隶书" w:hAnsi="Arial" w:eastAsia="隶书" w:cs="Arial"/>
          <w:b/>
          <w:color w:val="auto"/>
          <w:spacing w:val="-12"/>
          <w:sz w:val="52"/>
          <w:szCs w:val="52"/>
          <w:highlight w:val="none"/>
          <w:lang w:eastAsia="zh-CN"/>
        </w:rPr>
        <w:t>曹娥江流域预报调度一体化项目</w:t>
      </w:r>
    </w:p>
    <w:p>
      <w:pPr>
        <w:outlineLvl w:val="0"/>
        <w:rPr>
          <w:rFonts w:ascii="隶书" w:eastAsia="隶书"/>
          <w:color w:val="auto"/>
          <w:sz w:val="44"/>
          <w:highlight w:val="none"/>
        </w:rPr>
      </w:pPr>
    </w:p>
    <w:p>
      <w:pPr>
        <w:pStyle w:val="2"/>
        <w:keepNext/>
        <w:keepLines/>
        <w:pageBreakBefore w:val="0"/>
        <w:widowControl w:val="0"/>
        <w:numPr>
          <w:ilvl w:val="0"/>
          <w:numId w:val="0"/>
        </w:numPr>
        <w:kinsoku/>
        <w:wordWrap/>
        <w:overflowPunct/>
        <w:topLinePunct w:val="0"/>
        <w:autoSpaceDE/>
        <w:autoSpaceDN/>
        <w:bidi w:val="0"/>
        <w:adjustRightInd/>
        <w:snapToGrid/>
        <w:spacing w:after="0" w:line="416" w:lineRule="auto"/>
        <w:ind w:left="425" w:leftChars="0"/>
        <w:textAlignment w:val="auto"/>
        <w:rPr>
          <w:color w:val="auto"/>
          <w:highlight w:val="none"/>
        </w:rPr>
      </w:pP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公</w:t>
      </w: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开</w:t>
      </w: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招</w:t>
      </w: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标</w:t>
      </w:r>
    </w:p>
    <w:p>
      <w:pPr>
        <w:jc w:val="center"/>
        <w:outlineLvl w:val="0"/>
        <w:rPr>
          <w:rFonts w:ascii="隶书" w:eastAsia="隶书"/>
          <w:b/>
          <w:color w:val="auto"/>
          <w:sz w:val="72"/>
          <w:szCs w:val="72"/>
          <w:highlight w:val="none"/>
        </w:rPr>
      </w:pPr>
      <w:r>
        <w:rPr>
          <w:rFonts w:hint="eastAsia" w:ascii="隶书" w:eastAsia="隶书"/>
          <w:b/>
          <w:color w:val="auto"/>
          <w:sz w:val="72"/>
          <w:szCs w:val="72"/>
          <w:highlight w:val="none"/>
        </w:rPr>
        <w:t>文</w:t>
      </w:r>
    </w:p>
    <w:p>
      <w:pPr>
        <w:jc w:val="center"/>
        <w:outlineLvl w:val="0"/>
        <w:rPr>
          <w:rFonts w:ascii="隶书" w:eastAsia="隶书"/>
          <w:color w:val="auto"/>
          <w:sz w:val="44"/>
          <w:highlight w:val="none"/>
        </w:rPr>
      </w:pPr>
      <w:r>
        <w:rPr>
          <w:rFonts w:hint="eastAsia" w:ascii="隶书" w:eastAsia="隶书"/>
          <w:b/>
          <w:color w:val="auto"/>
          <w:sz w:val="72"/>
          <w:szCs w:val="72"/>
          <w:highlight w:val="none"/>
        </w:rPr>
        <w:t>件</w:t>
      </w:r>
    </w:p>
    <w:p>
      <w:pPr>
        <w:jc w:val="center"/>
        <w:outlineLvl w:val="0"/>
        <w:rPr>
          <w:rFonts w:ascii="隶书" w:eastAsia="隶书"/>
          <w:color w:val="auto"/>
          <w:sz w:val="44"/>
          <w:highlight w:val="none"/>
        </w:rPr>
      </w:pPr>
    </w:p>
    <w:p>
      <w:pPr>
        <w:jc w:val="center"/>
        <w:outlineLvl w:val="0"/>
        <w:rPr>
          <w:rFonts w:ascii="隶书" w:eastAsia="隶书"/>
          <w:color w:val="auto"/>
          <w:sz w:val="44"/>
          <w:highlight w:val="none"/>
        </w:rPr>
      </w:pPr>
    </w:p>
    <w:p>
      <w:pPr>
        <w:pStyle w:val="2"/>
        <w:numPr>
          <w:ilvl w:val="0"/>
          <w:numId w:val="0"/>
        </w:numPr>
        <w:ind w:left="425" w:leftChars="0"/>
        <w:rPr>
          <w:color w:val="auto"/>
          <w:highlight w:val="none"/>
        </w:rPr>
      </w:pPr>
    </w:p>
    <w:p>
      <w:pPr>
        <w:jc w:val="center"/>
        <w:rPr>
          <w:rFonts w:hint="eastAsia" w:ascii="隶书" w:eastAsia="隶书"/>
          <w:b/>
          <w:color w:val="auto"/>
          <w:sz w:val="28"/>
          <w:szCs w:val="28"/>
          <w:highlight w:val="none"/>
        </w:rPr>
      </w:pPr>
      <w:r>
        <w:rPr>
          <w:rFonts w:hint="eastAsia" w:ascii="隶书" w:eastAsia="隶书"/>
          <w:b/>
          <w:color w:val="auto"/>
          <w:sz w:val="28"/>
          <w:szCs w:val="28"/>
          <w:highlight w:val="none"/>
        </w:rPr>
        <w:t>招标编号:CGSHZJ-2022-N000697</w:t>
      </w:r>
    </w:p>
    <w:tbl>
      <w:tblPr>
        <w:tblStyle w:val="41"/>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pacing w:val="93"/>
                <w:kern w:val="0"/>
                <w:sz w:val="28"/>
                <w:szCs w:val="28"/>
                <w:highlight w:val="none"/>
              </w:rPr>
              <w:t>采购单</w:t>
            </w:r>
            <w:r>
              <w:rPr>
                <w:rFonts w:hint="eastAsia" w:ascii="隶书" w:hAnsi="宋体" w:eastAsia="隶书"/>
                <w:color w:val="auto"/>
                <w:spacing w:val="1"/>
                <w:kern w:val="0"/>
                <w:sz w:val="28"/>
                <w:szCs w:val="28"/>
                <w:highlight w:val="none"/>
              </w:rPr>
              <w:t>位</w:t>
            </w:r>
            <w:r>
              <w:rPr>
                <w:rFonts w:hint="eastAsia" w:ascii="隶书" w:hAnsi="宋体" w:eastAsia="隶书"/>
                <w:color w:val="auto"/>
                <w:sz w:val="28"/>
                <w:szCs w:val="28"/>
                <w:highlight w:val="none"/>
              </w:rPr>
              <w:t>：</w:t>
            </w:r>
          </w:p>
        </w:tc>
        <w:tc>
          <w:tcPr>
            <w:tcW w:w="5445" w:type="dxa"/>
            <w:vAlign w:val="center"/>
          </w:tcPr>
          <w:p>
            <w:pPr>
              <w:spacing w:line="320" w:lineRule="exact"/>
              <w:outlineLvl w:val="0"/>
              <w:rPr>
                <w:rFonts w:hint="eastAsia" w:ascii="隶书" w:hAnsi="宋体" w:eastAsia="隶书"/>
                <w:color w:val="auto"/>
                <w:sz w:val="28"/>
                <w:szCs w:val="28"/>
                <w:highlight w:val="none"/>
                <w:lang w:eastAsia="zh-CN"/>
              </w:rPr>
            </w:pPr>
            <w:r>
              <w:rPr>
                <w:rFonts w:hint="eastAsia" w:ascii="隶书" w:hAnsi="宋体" w:eastAsia="隶书"/>
                <w:color w:val="auto"/>
                <w:sz w:val="28"/>
                <w:szCs w:val="28"/>
                <w:highlight w:val="none"/>
                <w:lang w:eastAsia="zh-CN"/>
              </w:rPr>
              <w:t>绍兴市防汛防旱应急保障中心</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pacing w:val="0"/>
                <w:w w:val="100"/>
                <w:kern w:val="0"/>
                <w:sz w:val="28"/>
                <w:szCs w:val="28"/>
                <w:highlight w:val="none"/>
                <w:fitText w:val="1680" w:id="1390965561"/>
              </w:rPr>
              <w:t>采购代理机构</w:t>
            </w:r>
            <w:r>
              <w:rPr>
                <w:rFonts w:hint="eastAsia" w:ascii="隶书" w:hAnsi="宋体" w:eastAsia="隶书"/>
                <w:color w:val="auto"/>
                <w:sz w:val="28"/>
                <w:szCs w:val="28"/>
                <w:highlight w:val="none"/>
              </w:rPr>
              <w:t>：</w:t>
            </w:r>
          </w:p>
        </w:tc>
        <w:tc>
          <w:tcPr>
            <w:tcW w:w="5445"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z w:val="28"/>
                <w:szCs w:val="28"/>
                <w:highlight w:val="none"/>
              </w:rPr>
              <w:t>浙江翔实建设项目管理有限公司</w:t>
            </w:r>
          </w:p>
        </w:tc>
      </w:tr>
      <w:tr>
        <w:tblPrEx>
          <w:tblCellMar>
            <w:top w:w="0" w:type="dxa"/>
            <w:left w:w="108" w:type="dxa"/>
            <w:bottom w:w="0" w:type="dxa"/>
            <w:right w:w="108" w:type="dxa"/>
          </w:tblCellMar>
        </w:tblPrEx>
        <w:trPr>
          <w:trHeight w:val="397" w:hRule="atLeast"/>
          <w:jc w:val="center"/>
        </w:trPr>
        <w:tc>
          <w:tcPr>
            <w:tcW w:w="2356" w:type="dxa"/>
            <w:vMerge w:val="restart"/>
            <w:vAlign w:val="center"/>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pacing w:val="93"/>
                <w:kern w:val="0"/>
                <w:sz w:val="28"/>
                <w:szCs w:val="28"/>
                <w:highlight w:val="none"/>
                <w:fitText w:val="1680" w:id="1"/>
              </w:rPr>
              <w:t>监督单</w:t>
            </w:r>
            <w:r>
              <w:rPr>
                <w:rFonts w:hint="eastAsia" w:ascii="隶书" w:hAnsi="宋体" w:eastAsia="隶书"/>
                <w:color w:val="auto"/>
                <w:spacing w:val="1"/>
                <w:kern w:val="0"/>
                <w:sz w:val="28"/>
                <w:szCs w:val="28"/>
                <w:highlight w:val="none"/>
                <w:fitText w:val="1680" w:id="1"/>
              </w:rPr>
              <w:t>位</w:t>
            </w:r>
            <w:r>
              <w:rPr>
                <w:rFonts w:hint="eastAsia" w:ascii="隶书" w:hAnsi="宋体" w:eastAsia="隶书"/>
                <w:color w:val="auto"/>
                <w:sz w:val="28"/>
                <w:szCs w:val="28"/>
                <w:highlight w:val="none"/>
              </w:rPr>
              <w:t>：</w:t>
            </w:r>
          </w:p>
        </w:tc>
        <w:tc>
          <w:tcPr>
            <w:tcW w:w="5445"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z w:val="28"/>
                <w:szCs w:val="28"/>
                <w:highlight w:val="none"/>
              </w:rPr>
              <w:t>绍兴市财政局</w:t>
            </w:r>
          </w:p>
        </w:tc>
      </w:tr>
      <w:tr>
        <w:tblPrEx>
          <w:tblCellMar>
            <w:top w:w="0" w:type="dxa"/>
            <w:left w:w="108" w:type="dxa"/>
            <w:bottom w:w="0" w:type="dxa"/>
            <w:right w:w="108" w:type="dxa"/>
          </w:tblCellMar>
        </w:tblPrEx>
        <w:trPr>
          <w:trHeight w:val="397" w:hRule="atLeast"/>
          <w:jc w:val="center"/>
        </w:trPr>
        <w:tc>
          <w:tcPr>
            <w:tcW w:w="2356" w:type="dxa"/>
            <w:vMerge w:val="continue"/>
          </w:tcPr>
          <w:p>
            <w:pPr>
              <w:spacing w:after="100" w:afterAutospacing="1" w:line="440" w:lineRule="exact"/>
              <w:rPr>
                <w:rFonts w:ascii="隶书" w:hAnsi="宋体" w:eastAsia="隶书"/>
                <w:color w:val="auto"/>
                <w:sz w:val="28"/>
                <w:szCs w:val="28"/>
                <w:highlight w:val="none"/>
              </w:rPr>
            </w:pPr>
          </w:p>
        </w:tc>
        <w:tc>
          <w:tcPr>
            <w:tcW w:w="5445"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z w:val="28"/>
                <w:szCs w:val="28"/>
                <w:highlight w:val="none"/>
              </w:rPr>
              <w:t>绍兴市政务服务办公室</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ascii="隶书" w:hAnsi="宋体" w:eastAsia="隶书"/>
                <w:color w:val="auto"/>
                <w:sz w:val="28"/>
                <w:szCs w:val="28"/>
                <w:highlight w:val="none"/>
              </w:rPr>
            </w:pPr>
            <w:r>
              <w:rPr>
                <w:rFonts w:hint="eastAsia" w:ascii="隶书" w:eastAsia="隶书"/>
                <w:color w:val="auto"/>
                <w:sz w:val="28"/>
                <w:szCs w:val="28"/>
                <w:highlight w:val="none"/>
              </w:rPr>
              <w:t>二○二二年四月</w:t>
            </w:r>
          </w:p>
        </w:tc>
      </w:tr>
    </w:tbl>
    <w:p>
      <w:pPr>
        <w:jc w:val="center"/>
        <w:rPr>
          <w:rFonts w:ascii="隶书" w:eastAsia="隶书"/>
          <w:b/>
          <w:color w:val="auto"/>
          <w:sz w:val="44"/>
          <w:szCs w:val="44"/>
          <w:highlight w:val="none"/>
        </w:rPr>
      </w:pPr>
    </w:p>
    <w:p>
      <w:pPr>
        <w:pageBreakBefore/>
        <w:jc w:val="center"/>
        <w:rPr>
          <w:rFonts w:ascii="隶书" w:eastAsia="隶书"/>
          <w:b/>
          <w:color w:val="auto"/>
          <w:sz w:val="44"/>
          <w:szCs w:val="44"/>
          <w:highlight w:val="none"/>
        </w:rPr>
      </w:pPr>
      <w:r>
        <w:rPr>
          <w:rFonts w:hint="eastAsia" w:ascii="隶书" w:eastAsia="隶书"/>
          <w:b/>
          <w:color w:val="auto"/>
          <w:sz w:val="44"/>
          <w:szCs w:val="44"/>
          <w:highlight w:val="none"/>
        </w:rPr>
        <w:t xml:space="preserve">  </w:t>
      </w:r>
    </w:p>
    <w:p>
      <w:pPr>
        <w:jc w:val="center"/>
        <w:rPr>
          <w:rFonts w:ascii="隶书" w:eastAsia="隶书"/>
          <w:b/>
          <w:color w:val="auto"/>
          <w:sz w:val="44"/>
          <w:szCs w:val="44"/>
          <w:highlight w:val="none"/>
        </w:rPr>
      </w:pPr>
    </w:p>
    <w:p>
      <w:pPr>
        <w:jc w:val="center"/>
        <w:rPr>
          <w:rFonts w:ascii="仿宋_GB2312" w:eastAsia="仿宋_GB2312"/>
          <w:b/>
          <w:color w:val="auto"/>
          <w:sz w:val="44"/>
          <w:szCs w:val="44"/>
          <w:highlight w:val="none"/>
        </w:rPr>
      </w:pPr>
      <w:r>
        <w:rPr>
          <w:rFonts w:hint="eastAsia" w:ascii="仿宋_GB2312" w:eastAsia="仿宋_GB2312"/>
          <w:b/>
          <w:color w:val="auto"/>
          <w:sz w:val="44"/>
          <w:szCs w:val="44"/>
          <w:highlight w:val="none"/>
        </w:rPr>
        <w:t>目录</w:t>
      </w:r>
    </w:p>
    <w:p>
      <w:pPr>
        <w:jc w:val="center"/>
        <w:rPr>
          <w:rFonts w:ascii="隶书" w:eastAsia="隶书"/>
          <w:b/>
          <w:color w:val="auto"/>
          <w:sz w:val="44"/>
          <w:szCs w:val="44"/>
          <w:highlight w:val="none"/>
        </w:rPr>
      </w:pPr>
    </w:p>
    <w:p>
      <w:pPr>
        <w:jc w:val="center"/>
        <w:rPr>
          <w:rFonts w:ascii="隶书" w:eastAsia="隶书"/>
          <w:color w:val="auto"/>
          <w:highlight w:val="none"/>
        </w:rPr>
      </w:pP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第一部分    招标公告</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第二部分    投标须知</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第三部分    招标项目范围及要求</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第四部分    合同的主要条款</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第五部分    评标方法及标准</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第六部分    投标文件及其附件格式</w:t>
      </w: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pageBreakBefore/>
        <w:widowControl/>
        <w:jc w:val="center"/>
        <w:rPr>
          <w:rFonts w:ascii="仿宋_GB2312" w:eastAsia="仿宋_GB2312"/>
          <w:b/>
          <w:color w:val="auto"/>
          <w:sz w:val="36"/>
          <w:szCs w:val="36"/>
          <w:highlight w:val="none"/>
        </w:rPr>
      </w:pPr>
      <w:r>
        <w:rPr>
          <w:rFonts w:hint="eastAsia" w:ascii="仿宋_GB2312" w:eastAsia="仿宋_GB2312"/>
          <w:b/>
          <w:color w:val="auto"/>
          <w:sz w:val="36"/>
          <w:szCs w:val="36"/>
          <w:highlight w:val="none"/>
        </w:rPr>
        <w:t>第一部分 招标公告</w:t>
      </w:r>
    </w:p>
    <w:tbl>
      <w:tblPr>
        <w:tblStyle w:val="41"/>
        <w:tblW w:w="8279" w:type="dxa"/>
        <w:tblInd w:w="0" w:type="dxa"/>
        <w:tblLayout w:type="fixed"/>
        <w:tblCellMar>
          <w:top w:w="0" w:type="dxa"/>
          <w:left w:w="0" w:type="dxa"/>
          <w:bottom w:w="0" w:type="dxa"/>
          <w:right w:w="0" w:type="dxa"/>
        </w:tblCellMar>
      </w:tblPr>
      <w:tblGrid>
        <w:gridCol w:w="8279"/>
      </w:tblGrid>
      <w:tr>
        <w:tblPrEx>
          <w:tblCellMar>
            <w:top w:w="0" w:type="dxa"/>
            <w:left w:w="0" w:type="dxa"/>
            <w:bottom w:w="0" w:type="dxa"/>
            <w:right w:w="0" w:type="dxa"/>
          </w:tblCellMar>
        </w:tblPrEx>
        <w:tc>
          <w:tcPr>
            <w:tcW w:w="8279" w:type="dxa"/>
            <w:vAlign w:val="center"/>
          </w:tcPr>
          <w:p>
            <w:pPr>
              <w:rPr>
                <w:color w:val="auto"/>
                <w:highlight w:val="none"/>
              </w:rPr>
            </w:pPr>
            <w:r>
              <w:rPr>
                <w:rFonts w:ascii="仿宋_GB2312" w:hAnsi="新宋体" w:eastAsia="仿宋_GB2312"/>
                <w:color w:val="auto"/>
                <w:highlight w:val="none"/>
              </w:rPr>
              <w:br w:type="page"/>
            </w:r>
          </w:p>
          <w:tbl>
            <w:tblPr>
              <w:tblStyle w:val="41"/>
              <w:tblW w:w="80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8070" w:type="dxa"/>
                </w:tcPr>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项目概况：</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lang w:eastAsia="zh-CN"/>
                    </w:rPr>
                    <w:t>曹娥江流域预报调度一体化项目</w:t>
                  </w:r>
                  <w:r>
                    <w:rPr>
                      <w:rFonts w:hint="eastAsia" w:ascii="仿宋_GB2312" w:hAnsi="新宋体" w:eastAsia="仿宋_GB2312"/>
                      <w:color w:val="auto"/>
                      <w:szCs w:val="24"/>
                      <w:highlight w:val="none"/>
                    </w:rPr>
                    <w:t>的潜在投标人应在</w:t>
                  </w:r>
                  <w:r>
                    <w:rPr>
                      <w:rStyle w:val="276"/>
                      <w:rFonts w:ascii="仿宋" w:hAnsi="仿宋"/>
                      <w:color w:val="auto"/>
                      <w:sz w:val="27"/>
                      <w:szCs w:val="27"/>
                      <w:highlight w:val="none"/>
                    </w:rPr>
                    <w:t>https://www.zcygov.cn</w:t>
                  </w:r>
                  <w:r>
                    <w:rPr>
                      <w:rFonts w:hint="eastAsia" w:ascii="仿宋_GB2312" w:hAnsi="新宋体" w:eastAsia="仿宋_GB2312"/>
                      <w:color w:val="auto"/>
                      <w:szCs w:val="24"/>
                      <w:highlight w:val="none"/>
                    </w:rPr>
                    <w:t>获取（下载）招标文件，并于2022年</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日 09:00（北京时间）前递交（上传）投标文件。</w:t>
                  </w:r>
                </w:p>
              </w:tc>
            </w:tr>
          </w:tbl>
          <w:p>
            <w:pPr>
              <w:pStyle w:val="67"/>
              <w:spacing w:afterLines="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一、项目基本情况</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项目编号：</w:t>
            </w:r>
            <w:r>
              <w:rPr>
                <w:rFonts w:hint="eastAsia" w:ascii="仿宋_GB2312" w:hAnsi="新宋体" w:eastAsia="仿宋_GB2312"/>
                <w:color w:val="auto"/>
                <w:szCs w:val="24"/>
                <w:highlight w:val="none"/>
                <w:lang w:eastAsia="zh-CN"/>
              </w:rPr>
              <w:t>CGSHZJ-2022-N000697</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项目名称：</w:t>
            </w:r>
            <w:r>
              <w:rPr>
                <w:rFonts w:hint="eastAsia" w:ascii="仿宋_GB2312" w:hAnsi="新宋体" w:eastAsia="仿宋_GB2312"/>
                <w:color w:val="auto"/>
                <w:szCs w:val="24"/>
                <w:highlight w:val="none"/>
                <w:lang w:eastAsia="zh-CN"/>
              </w:rPr>
              <w:t>曹娥江流域预报调度一体化项目</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采购方式：公开招标</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预算金额（元）：</w:t>
            </w:r>
            <w:r>
              <w:rPr>
                <w:rFonts w:hint="eastAsia" w:ascii="仿宋_GB2312" w:hAnsi="新宋体" w:eastAsia="仿宋_GB2312"/>
                <w:color w:val="auto"/>
                <w:szCs w:val="24"/>
                <w:highlight w:val="none"/>
                <w:lang w:eastAsia="zh-CN"/>
              </w:rPr>
              <w:t>7400000</w:t>
            </w:r>
          </w:p>
          <w:p>
            <w:pPr>
              <w:pStyle w:val="67"/>
              <w:spacing w:afterLines="0" w:line="440" w:lineRule="exact"/>
              <w:ind w:firstLine="480"/>
              <w:rPr>
                <w:rFonts w:hint="eastAsia" w:ascii="微软雅黑" w:hAnsi="微软雅黑" w:eastAsia="仿宋_GB2312"/>
                <w:color w:val="auto"/>
                <w:sz w:val="21"/>
                <w:szCs w:val="21"/>
                <w:highlight w:val="none"/>
                <w:shd w:val="clear" w:color="auto" w:fill="F5FAFF"/>
                <w:lang w:eastAsia="zh-CN"/>
              </w:rPr>
            </w:pPr>
            <w:r>
              <w:rPr>
                <w:rFonts w:hint="eastAsia" w:ascii="仿宋_GB2312" w:hAnsi="新宋体" w:eastAsia="仿宋_GB2312"/>
                <w:color w:val="auto"/>
                <w:szCs w:val="24"/>
                <w:highlight w:val="none"/>
              </w:rPr>
              <w:t>最高限价（元）：</w:t>
            </w:r>
            <w:r>
              <w:rPr>
                <w:rFonts w:hint="eastAsia" w:ascii="仿宋_GB2312" w:hAnsi="新宋体" w:eastAsia="仿宋_GB2312"/>
                <w:color w:val="auto"/>
                <w:szCs w:val="24"/>
                <w:highlight w:val="none"/>
                <w:lang w:eastAsia="zh-CN"/>
              </w:rPr>
              <w:t>7400000</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采购需求：</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标项一:</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标项名称:</w:t>
            </w:r>
            <w:r>
              <w:rPr>
                <w:rFonts w:hint="eastAsia" w:ascii="仿宋_GB2312" w:hAnsi="新宋体" w:eastAsia="仿宋_GB2312"/>
                <w:color w:val="auto"/>
                <w:szCs w:val="24"/>
                <w:highlight w:val="none"/>
                <w:lang w:eastAsia="zh-CN"/>
              </w:rPr>
              <w:t>曹娥江流域预报调度一体化项目</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数量:1</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预算金额（元）:</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lang w:eastAsia="zh-CN"/>
              </w:rPr>
              <w:t>7400000</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简要规格描述或项目基本概况介绍、用途：详见采购文件</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备注：无</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合同履约期限：详见采购文件。</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本项目（是）接受联合体投标。</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二、申请人的资格要求：</w:t>
            </w:r>
          </w:p>
          <w:p>
            <w:pPr>
              <w:pStyle w:val="67"/>
              <w:spacing w:after="12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2.落实政府采购政策需满足的资格要求：</w:t>
            </w:r>
          </w:p>
          <w:p>
            <w:pPr>
              <w:pStyle w:val="67"/>
              <w:spacing w:afterLines="0" w:line="440" w:lineRule="exact"/>
              <w:ind w:firstLine="480"/>
              <w:rPr>
                <w:rFonts w:ascii="仿宋_GB2312" w:hAnsi="新宋体" w:eastAsia="仿宋_GB2312"/>
                <w:color w:val="auto"/>
                <w:szCs w:val="24"/>
                <w:highlight w:val="none"/>
              </w:rPr>
            </w:pPr>
            <w:sdt>
              <w:sdtPr>
                <w:rPr>
                  <w:rFonts w:hint="eastAsia" w:ascii="仿宋_GB2312" w:hAnsi="仿宋" w:eastAsia="仿宋_GB2312" w:cs="Arial"/>
                  <w:color w:val="auto"/>
                  <w:highlight w:val="none"/>
                </w:rPr>
                <w:id w:val="725337177"/>
              </w:sdtPr>
              <w:sdtEndPr>
                <w:rPr>
                  <w:rFonts w:hint="eastAsia" w:ascii="仿宋_GB2312" w:hAnsi="仿宋" w:eastAsia="仿宋_GB2312" w:cs="Arial"/>
                  <w:color w:val="auto"/>
                  <w:highlight w:val="none"/>
                </w:rPr>
              </w:sdtEndPr>
              <w:sdtContent>
                <w:r>
                  <w:rPr>
                    <w:rFonts w:hint="eastAsia" w:ascii="仿宋_GB2312" w:hAnsi="MS Gothic" w:eastAsia="仿宋_GB2312" w:cs="Arial"/>
                    <w:color w:val="auto"/>
                    <w:highlight w:val="none"/>
                  </w:rPr>
                  <w:sym w:font="Wingdings" w:char="F0FE"/>
                </w:r>
              </w:sdtContent>
            </w:sdt>
            <w:r>
              <w:rPr>
                <w:rFonts w:hint="eastAsia" w:ascii="仿宋_GB2312" w:hAnsi="仿宋" w:eastAsia="仿宋_GB2312"/>
                <w:color w:val="auto"/>
                <w:highlight w:val="none"/>
              </w:rPr>
              <w:t>无；</w:t>
            </w:r>
          </w:p>
          <w:p>
            <w:pPr>
              <w:spacing w:line="360" w:lineRule="auto"/>
              <w:ind w:firstLine="480" w:firstLineChars="200"/>
              <w:rPr>
                <w:rFonts w:ascii="仿宋_GB2312" w:hAnsi="仿宋" w:eastAsia="仿宋_GB2312"/>
                <w:color w:val="auto"/>
                <w:sz w:val="24"/>
                <w:highlight w:val="none"/>
              </w:rPr>
            </w:pPr>
            <w:r>
              <w:rPr>
                <w:rFonts w:ascii="MS Gothic" w:hAnsi="MS Gothic" w:eastAsia="MS Gothic" w:cs="Arial"/>
                <w:color w:val="auto"/>
                <w:kern w:val="0"/>
                <w:sz w:val="24"/>
                <w:highlight w:val="none"/>
              </w:rPr>
              <w:t>☐</w:t>
            </w:r>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pPr>
              <w:spacing w:line="360" w:lineRule="auto"/>
              <w:ind w:firstLine="897" w:firstLineChars="374"/>
              <w:rPr>
                <w:rFonts w:ascii="仿宋_GB2312" w:hAnsi="仿宋" w:eastAsia="仿宋_GB2312"/>
                <w:color w:val="auto"/>
                <w:sz w:val="24"/>
                <w:highlight w:val="none"/>
              </w:rPr>
            </w:pPr>
            <w:r>
              <w:rPr>
                <w:rFonts w:ascii="MS Gothic" w:hAnsi="MS Gothic" w:eastAsia="MS Gothic" w:cs="Arial"/>
                <w:color w:val="auto"/>
                <w:kern w:val="0"/>
                <w:sz w:val="24"/>
                <w:highlight w:val="none"/>
              </w:rPr>
              <w:t>☐</w:t>
            </w:r>
            <w:r>
              <w:rPr>
                <w:rFonts w:hint="eastAsia" w:ascii="仿宋_GB2312" w:hAnsi="仿宋" w:eastAsia="仿宋_GB2312"/>
                <w:color w:val="auto"/>
                <w:sz w:val="24"/>
                <w:highlight w:val="none"/>
              </w:rPr>
              <w:t>货物全部由符合政策要求的中小企业制造，提供中小企业声明函；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2365989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09"/>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货物全部由符合政策要求的小微企业制造，提供中小企业声明函；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0690290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1"/>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服务全部由符合政策要求的中小企业承接，提供中小企业声明函；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46959412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3"/>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服务全部由符合政策要求的小微企业承接，提供中小企业声明函；</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60369722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%，小微企业合同金额应当达到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_GB2312" w:hAnsi="仿宋" w:eastAsia="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4630645"/>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7"/>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要求合同分包，提供分包意向协议和中小企业声明函，分包意向协议中中小企业合同金额应当达到达到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 ，小微企业合同金额应当达到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 ;</w:t>
            </w:r>
            <w:r>
              <w:rPr>
                <w:rFonts w:hint="eastAsia" w:ascii="仿宋_GB2312" w:hAnsi="仿宋" w:eastAsia="仿宋_GB2312"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_GB2312" w:hAnsi="仿宋" w:eastAsia="仿宋_GB2312"/>
                <w:color w:val="auto"/>
                <w:sz w:val="24"/>
                <w:highlight w:val="none"/>
              </w:rPr>
              <w:t>；</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3.本项目的特定资格要求：无</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三、获取招标文件</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时间：/至2022年 </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 xml:space="preserve"> 日，每天上午00:00至12:00</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，下午12:00至23:59（北京时间，线上获取法定节假日均可，线下获取文件法定节假日除外）</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地点（网址）：</w:t>
            </w:r>
            <w:r>
              <w:rPr>
                <w:rFonts w:ascii="仿宋_GB2312" w:hAnsi="新宋体" w:eastAsia="仿宋_GB2312" w:cs="Arial"/>
                <w:bCs/>
                <w:color w:val="auto"/>
                <w:highlight w:val="none"/>
              </w:rPr>
              <w:t>http://www</w:t>
            </w:r>
            <w:r>
              <w:rPr>
                <w:rFonts w:hint="eastAsia" w:ascii="仿宋_GB2312" w:hAnsi="新宋体" w:eastAsia="仿宋_GB2312" w:cs="Arial"/>
                <w:bCs/>
                <w:color w:val="auto"/>
                <w:highlight w:val="none"/>
              </w:rPr>
              <w:t>.</w:t>
            </w:r>
            <w:r>
              <w:rPr>
                <w:rFonts w:ascii="仿宋_GB2312" w:hAnsi="新宋体" w:eastAsia="仿宋_GB2312" w:cs="Arial"/>
                <w:bCs/>
                <w:color w:val="auto"/>
                <w:highlight w:val="none"/>
              </w:rPr>
              <w:t>zcygov.cn/</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方式：</w:t>
            </w:r>
            <w:r>
              <w:rPr>
                <w:rFonts w:hint="eastAsia" w:ascii="仿宋_GB2312" w:hAnsi="新宋体" w:eastAsia="仿宋_GB2312" w:cs="Arial"/>
                <w:bCs/>
                <w:color w:val="auto"/>
                <w:highlight w:val="none"/>
              </w:rPr>
              <w:t>供应商登陆政采云平台</w:t>
            </w:r>
            <w:r>
              <w:rPr>
                <w:rFonts w:ascii="仿宋_GB2312" w:hAnsi="新宋体" w:eastAsia="仿宋_GB2312" w:cs="Arial"/>
                <w:bCs/>
                <w:color w:val="auto"/>
                <w:highlight w:val="none"/>
              </w:rPr>
              <w:t>http://www</w:t>
            </w:r>
            <w:r>
              <w:rPr>
                <w:rFonts w:hint="eastAsia" w:ascii="仿宋_GB2312" w:hAnsi="新宋体" w:eastAsia="仿宋_GB2312" w:cs="Arial"/>
                <w:bCs/>
                <w:color w:val="auto"/>
                <w:highlight w:val="none"/>
              </w:rPr>
              <w:t>.</w:t>
            </w:r>
            <w:r>
              <w:rPr>
                <w:rFonts w:ascii="仿宋_GB2312" w:hAnsi="新宋体" w:eastAsia="仿宋_GB2312" w:cs="Arial"/>
                <w:bCs/>
                <w:color w:val="auto"/>
                <w:highlight w:val="none"/>
              </w:rPr>
              <w:t>zcygov.cn/</w:t>
            </w:r>
            <w:r>
              <w:rPr>
                <w:rFonts w:hint="eastAsia" w:ascii="仿宋_GB2312" w:hAnsi="新宋体" w:eastAsia="仿宋_GB2312" w:cs="Arial"/>
                <w:bCs/>
                <w:color w:val="auto"/>
                <w:highlight w:val="none"/>
              </w:rPr>
              <w:t>，在线申请获取采购文件（进入“项目采购”应用，在获取采购文件菜单中选择项目，申请获取采购文件）</w:t>
            </w:r>
            <w:r>
              <w:rPr>
                <w:rFonts w:ascii="仿宋_GB2312" w:hAnsi="新宋体" w:eastAsia="仿宋_GB2312" w:cs="Arial"/>
                <w:bCs/>
                <w:color w:val="auto"/>
                <w:highlight w:val="none"/>
              </w:rPr>
              <w:t>。</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售价（元）：0</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四、提交投标文件截止时间、开标时间和地点</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提交投标文件截止时间：2022年</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 xml:space="preserve">月 </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日 09:00（北京时间）</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投标地点（网址）：</w:t>
            </w:r>
            <w:r>
              <w:rPr>
                <w:rFonts w:ascii="仿宋_GB2312" w:hAnsi="新宋体" w:eastAsia="仿宋_GB2312" w:cs="Arial"/>
                <w:bCs/>
                <w:color w:val="auto"/>
                <w:highlight w:val="none"/>
              </w:rPr>
              <w:t>http://www</w:t>
            </w:r>
            <w:r>
              <w:rPr>
                <w:rFonts w:hint="eastAsia" w:ascii="仿宋_GB2312" w:hAnsi="新宋体" w:eastAsia="仿宋_GB2312" w:cs="Arial"/>
                <w:bCs/>
                <w:color w:val="auto"/>
                <w:highlight w:val="none"/>
              </w:rPr>
              <w:t>.</w:t>
            </w:r>
            <w:r>
              <w:rPr>
                <w:rFonts w:ascii="仿宋_GB2312" w:hAnsi="新宋体" w:eastAsia="仿宋_GB2312" w:cs="Arial"/>
                <w:bCs/>
                <w:color w:val="auto"/>
                <w:highlight w:val="none"/>
              </w:rPr>
              <w:t>zcygov.cn/</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开标时间：2022年 </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 xml:space="preserve">  </w:t>
            </w:r>
            <w:r>
              <w:rPr>
                <w:rFonts w:hint="eastAsia" w:ascii="仿宋_GB2312" w:hAnsi="新宋体" w:eastAsia="仿宋_GB2312"/>
                <w:color w:val="auto"/>
                <w:szCs w:val="24"/>
                <w:highlight w:val="none"/>
              </w:rPr>
              <w:t xml:space="preserve">  日 09:00</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开标地点（网址）：绍兴市迪荡新城惠利街20号鼎盛时代大厦四楼绍兴市公共资源交易中心</w:t>
            </w:r>
            <w:r>
              <w:rPr>
                <w:rFonts w:hint="eastAsia" w:ascii="仿宋_GB2312" w:hAnsi="新宋体" w:eastAsia="仿宋_GB2312"/>
                <w:color w:val="auto"/>
                <w:szCs w:val="24"/>
                <w:highlight w:val="none"/>
              </w:rPr>
              <w:t>413</w:t>
            </w:r>
            <w:r>
              <w:rPr>
                <w:rFonts w:ascii="仿宋_GB2312" w:hAnsi="新宋体" w:eastAsia="仿宋_GB2312"/>
                <w:color w:val="auto"/>
                <w:szCs w:val="24"/>
                <w:highlight w:val="none"/>
              </w:rPr>
              <w:t xml:space="preserve"> </w:t>
            </w:r>
            <w:r>
              <w:rPr>
                <w:rFonts w:hint="eastAsia" w:ascii="仿宋_GB2312" w:hAnsi="新宋体" w:eastAsia="仿宋_GB2312"/>
                <w:color w:val="auto"/>
                <w:szCs w:val="24"/>
                <w:highlight w:val="none"/>
              </w:rPr>
              <w:t>室</w:t>
            </w:r>
            <w:r>
              <w:rPr>
                <w:rFonts w:hint="eastAsia" w:ascii="仿宋_GB2312" w:hAnsi="新宋体" w:eastAsia="仿宋_GB2312"/>
                <w:color w:val="auto"/>
                <w:szCs w:val="24"/>
                <w:highlight w:val="none"/>
              </w:rPr>
              <w:t>，在政府采购云平台（www.zcygov.cn）上开启响应文件。</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五、公告期限</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自本公告发布之日起5个工作日。</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六、其他补充事宜</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2.其他事项：</w:t>
            </w:r>
            <w:r>
              <w:rPr>
                <w:rFonts w:ascii="仿宋_GB2312" w:hAnsi="仿宋" w:eastAsia="仿宋_GB2312"/>
                <w:color w:val="auto"/>
                <w:highlight w:val="none"/>
              </w:rPr>
              <w:t>电子招投标的说明：</w:t>
            </w:r>
            <w:r>
              <w:rPr>
                <w:rFonts w:hint="eastAsia" w:ascii="仿宋_GB2312" w:hAnsi="仿宋" w:eastAsia="仿宋_GB2312" w:cs="仿宋_GB2312"/>
                <w:color w:val="auto"/>
                <w:highlight w:val="none"/>
              </w:rPr>
              <w:t>①</w:t>
            </w:r>
            <w:r>
              <w:rPr>
                <w:rFonts w:ascii="仿宋_GB2312" w:hAnsi="仿宋" w:eastAsia="仿宋_GB2312" w:cs="仿宋_GB2312"/>
                <w:color w:val="auto"/>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highlight w:val="none"/>
              </w:rPr>
              <w:t>；②</w:t>
            </w:r>
            <w:r>
              <w:rPr>
                <w:rFonts w:ascii="仿宋_GB2312" w:hAnsi="仿宋" w:eastAsia="仿宋_GB2312" w:cs="仿宋_GB2312"/>
                <w:color w:val="auto"/>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highlight w:val="none"/>
              </w:rPr>
              <w:t>采云电子交易客户端”</w:t>
            </w:r>
            <w:r>
              <w:rPr>
                <w:rFonts w:ascii="仿宋_GB2312" w:hAnsi="仿宋" w:eastAsia="仿宋_GB2312" w:cs="仿宋_GB2312"/>
                <w:color w:val="auto"/>
                <w:highlight w:val="none"/>
              </w:rPr>
              <w:t>----前往“浙江政府采购网-下载专区-电子交易客户端”进行下载并安装</w:t>
            </w:r>
            <w:r>
              <w:rPr>
                <w:rFonts w:hint="eastAsia" w:ascii="仿宋_GB2312" w:hAnsi="仿宋" w:eastAsia="仿宋_GB2312" w:cs="仿宋_GB2312"/>
                <w:color w:val="auto"/>
                <w:highlight w:val="none"/>
              </w:rPr>
              <w:t>；③</w:t>
            </w:r>
            <w:r>
              <w:rPr>
                <w:rFonts w:ascii="仿宋_GB2312" w:hAnsi="仿宋" w:eastAsia="仿宋_GB2312" w:cs="仿宋_GB2312"/>
                <w:color w:val="auto"/>
                <w:highlight w:val="none"/>
              </w:rPr>
              <w:t>招标文件的获取：使用账号登录或者使用CA登录政</w:t>
            </w:r>
            <w:r>
              <w:rPr>
                <w:rFonts w:hint="eastAsia" w:ascii="仿宋_GB2312" w:hAnsi="仿宋" w:eastAsia="仿宋_GB2312" w:cs="仿宋_GB2312"/>
                <w:color w:val="auto"/>
                <w:highlight w:val="none"/>
              </w:rPr>
              <w:t>采云平台；进入“项目采购”应用，在获取采购文件菜单中选择项目，获取招标文件；④</w:t>
            </w:r>
            <w:r>
              <w:rPr>
                <w:rFonts w:ascii="仿宋_GB2312" w:hAnsi="仿宋" w:eastAsia="仿宋_GB2312" w:cs="仿宋_GB2312"/>
                <w:color w:val="auto"/>
                <w:highlight w:val="none"/>
              </w:rPr>
              <w:t>投标文件的制作：在“政</w:t>
            </w:r>
            <w:r>
              <w:rPr>
                <w:rFonts w:hint="eastAsia" w:ascii="仿宋_GB2312" w:hAnsi="仿宋" w:eastAsia="仿宋_GB2312" w:cs="仿宋_GB2312"/>
                <w:color w:val="auto"/>
                <w:highlight w:val="none"/>
              </w:rPr>
              <w:t>采云电子交易客户端”中完成“填写基本信息”、“导入投标文件”、“标书关联”、“标书检查”、“电子签名”、“生成电子标书”等操作；</w:t>
            </w:r>
            <w:r>
              <w:rPr>
                <w:rFonts w:hint="eastAsia" w:ascii="仿宋_GB2312" w:hAnsi="仿宋" w:eastAsia="仿宋_GB2312"/>
                <w:color w:val="auto"/>
                <w:highlight w:val="none"/>
              </w:rPr>
              <w:t>⑤</w:t>
            </w:r>
            <w:r>
              <w:rPr>
                <w:rFonts w:ascii="仿宋_GB2312" w:hAnsi="仿宋" w:eastAsia="仿宋_GB2312"/>
                <w:color w:val="auto"/>
                <w:highlight w:val="none"/>
              </w:rPr>
              <w:t>采购人、采购机构将依托政</w:t>
            </w:r>
            <w:r>
              <w:rPr>
                <w:rFonts w:hint="eastAsia" w:ascii="仿宋_GB2312" w:hAnsi="仿宋" w:eastAsia="仿宋_GB2312"/>
                <w:color w:val="auto"/>
                <w:highlight w:val="none"/>
              </w:rPr>
              <w:t>采云平台完成本项目的电子交易活动，平台不接受未按上述方式获取招标文件的供应商进行投标活动；</w:t>
            </w:r>
            <w:r>
              <w:rPr>
                <w:rFonts w:ascii="仿宋_GB2312" w:hAnsi="仿宋" w:eastAsia="仿宋_GB2312"/>
                <w:color w:val="auto"/>
                <w:highlight w:val="none"/>
              </w:rPr>
              <w:t xml:space="preserve"> </w:t>
            </w:r>
            <w:r>
              <w:rPr>
                <w:rFonts w:hint="eastAsia" w:ascii="仿宋_GB2312" w:hAnsi="仿宋" w:eastAsia="仿宋_GB2312"/>
                <w:color w:val="auto"/>
                <w:highlight w:val="none"/>
              </w:rPr>
              <w:t>⑥</w:t>
            </w:r>
            <w:r>
              <w:rPr>
                <w:rFonts w:ascii="仿宋_GB2312" w:hAnsi="仿宋" w:eastAsia="仿宋_GB2312"/>
                <w:color w:val="auto"/>
                <w:highlight w:val="none"/>
              </w:rPr>
              <w:t>对未按上述方式获取招标文件的供应商对该文件提出的质疑，采购人或采购代理机构将</w:t>
            </w:r>
            <w:r>
              <w:rPr>
                <w:rFonts w:hint="eastAsia" w:ascii="仿宋_GB2312" w:hAnsi="仿宋" w:eastAsia="仿宋_GB2312"/>
                <w:color w:val="auto"/>
                <w:highlight w:val="none"/>
              </w:rPr>
              <w:t>不予处理；⑦</w:t>
            </w:r>
            <w:r>
              <w:rPr>
                <w:rFonts w:ascii="仿宋_GB2312" w:hAnsi="仿宋" w:eastAsia="仿宋_GB2312"/>
                <w:color w:val="auto"/>
                <w:highlight w:val="none"/>
              </w:rPr>
              <w:t>不提供招标文件纸质版</w:t>
            </w:r>
            <w:r>
              <w:rPr>
                <w:rFonts w:hint="eastAsia" w:ascii="仿宋_GB2312" w:hAnsi="仿宋" w:eastAsia="仿宋_GB2312"/>
                <w:color w:val="auto"/>
                <w:highlight w:val="none"/>
              </w:rPr>
              <w:t>；</w:t>
            </w:r>
            <w:r>
              <w:rPr>
                <w:rFonts w:hint="eastAsia" w:ascii="仿宋_GB2312" w:hAnsi="仿宋" w:eastAsia="仿宋_GB2312" w:cs="仿宋_GB2312"/>
                <w:color w:val="auto"/>
                <w:highlight w:val="none"/>
              </w:rPr>
              <w:t>⑧</w:t>
            </w:r>
            <w:r>
              <w:rPr>
                <w:rFonts w:ascii="仿宋_GB2312" w:hAnsi="仿宋" w:eastAsia="仿宋_GB2312" w:cs="仿宋_GB2312"/>
                <w:color w:val="auto"/>
                <w:highlight w:val="none"/>
              </w:rPr>
              <w:t>投标文件的传输递交：投标人在投标截止时间前将加密的投标文件上传至政府采购云平台</w:t>
            </w:r>
            <w:r>
              <w:rPr>
                <w:rFonts w:hint="eastAsia" w:ascii="仿宋_GB2312" w:hAnsi="仿宋" w:eastAsia="仿宋_GB2312" w:cs="仿宋_GB2312"/>
                <w:color w:val="auto"/>
                <w:highlight w:val="none"/>
              </w:rPr>
              <w:t>；</w:t>
            </w:r>
            <w:r>
              <w:rPr>
                <w:rFonts w:hint="eastAsia" w:ascii="仿宋_GB2312" w:hAnsi="仿宋" w:eastAsia="仿宋_GB2312"/>
                <w:color w:val="auto"/>
                <w:highlight w:val="none"/>
              </w:rPr>
              <w:t>⑨</w:t>
            </w:r>
            <w:r>
              <w:rPr>
                <w:rFonts w:hint="eastAsia" w:ascii="仿宋_GB2312" w:hAnsi="仿宋" w:eastAsia="仿宋_GB2312" w:cs="仿宋_GB2312"/>
                <w:color w:val="auto"/>
                <w:highlight w:val="none"/>
              </w:rPr>
              <w:t>投标文件的解密：投标人按照平台提示和招标文件的规定在半小时内完成在线解密。通过“政府采购云平台”上传递交的投标文件无法按时解密，视为投标文件撤回；⑩</w:t>
            </w:r>
            <w:r>
              <w:rPr>
                <w:rFonts w:ascii="仿宋_GB2312" w:hAnsi="仿宋" w:eastAsia="仿宋_GB2312" w:cs="仿宋_GB2312"/>
                <w:color w:val="auto"/>
                <w:highlight w:val="none"/>
              </w:rPr>
              <w:t>具体操作指南：详见政</w:t>
            </w:r>
            <w:r>
              <w:rPr>
                <w:rFonts w:hint="eastAsia" w:ascii="仿宋_GB2312" w:hAnsi="仿宋" w:eastAsia="仿宋_GB2312" w:cs="仿宋_GB2312"/>
                <w:color w:val="auto"/>
                <w:highlight w:val="none"/>
              </w:rPr>
              <w:t>采云平台“服务中心</w:t>
            </w:r>
            <w:r>
              <w:rPr>
                <w:rFonts w:ascii="仿宋_GB2312" w:hAnsi="仿宋" w:eastAsia="仿宋_GB2312" w:cs="仿宋_GB2312"/>
                <w:color w:val="auto"/>
                <w:highlight w:val="none"/>
              </w:rPr>
              <w:t>-帮助文档-项目采购-操作流程-电子招投标-政府采购项目电子交易管理操作指南-供应商”。</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七、对本次采购提出询问、质疑、投诉，请按以下方式联系</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1.采购人信息</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w:t>
            </w:r>
            <w:r>
              <w:rPr>
                <w:rFonts w:hint="eastAsia" w:ascii="仿宋_GB2312" w:hAnsi="新宋体" w:eastAsia="仿宋_GB2312"/>
                <w:color w:val="auto"/>
                <w:szCs w:val="24"/>
                <w:highlight w:val="none"/>
                <w:lang w:eastAsia="zh-CN"/>
              </w:rPr>
              <w:t>绍兴市防汛防旱应急保障中心</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地址：绍兴市洋江西路589号</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w:t>
            </w:r>
            <w:r>
              <w:rPr>
                <w:rFonts w:hint="eastAsia" w:ascii="仿宋_GB2312" w:hAnsi="新宋体" w:eastAsia="仿宋_GB2312"/>
                <w:color w:val="auto"/>
                <w:szCs w:val="24"/>
                <w:highlight w:val="none"/>
                <w:lang w:val="en-US" w:eastAsia="zh-CN"/>
              </w:rPr>
              <w:t>/</w:t>
            </w:r>
            <w:r>
              <w:rPr>
                <w:rFonts w:ascii="仿宋_GB2312" w:hAnsi="新宋体" w:eastAsia="仿宋_GB2312"/>
                <w:color w:val="auto"/>
                <w:szCs w:val="24"/>
                <w:highlight w:val="none"/>
              </w:rPr>
              <w:t> </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项目联系人（询问）：</w:t>
            </w:r>
            <w:r>
              <w:rPr>
                <w:rFonts w:hint="eastAsia" w:ascii="仿宋_GB2312" w:hAnsi="新宋体" w:eastAsia="仿宋_GB2312"/>
                <w:color w:val="auto"/>
                <w:szCs w:val="24"/>
                <w:highlight w:val="none"/>
                <w:lang w:val="en-US" w:eastAsia="zh-CN"/>
              </w:rPr>
              <w:t xml:space="preserve"> 代俊玲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项目联系方式（询问）：0575-85179623 </w:t>
            </w:r>
            <w:r>
              <w:rPr>
                <w:rFonts w:hint="eastAsia" w:ascii="仿宋_GB2312" w:hAnsi="新宋体" w:eastAsia="仿宋_GB2312"/>
                <w:color w:val="auto"/>
                <w:szCs w:val="24"/>
                <w:highlight w:val="none"/>
                <w:lang w:val="en-US" w:eastAsia="zh-CN"/>
              </w:rPr>
              <w:t xml:space="preserve"> </w:t>
            </w:r>
            <w:r>
              <w:rPr>
                <w:rFonts w:ascii="仿宋_GB2312" w:hAnsi="新宋体" w:eastAsia="仿宋_GB2312"/>
                <w:color w:val="auto"/>
                <w:szCs w:val="24"/>
                <w:highlight w:val="none"/>
              </w:rPr>
              <w:t> </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质疑联系人：</w:t>
            </w:r>
            <w:r>
              <w:rPr>
                <w:rFonts w:hint="eastAsia" w:ascii="仿宋_GB2312" w:hAnsi="新宋体" w:eastAsia="仿宋_GB2312"/>
                <w:color w:val="auto"/>
                <w:szCs w:val="24"/>
                <w:highlight w:val="none"/>
                <w:lang w:val="en-US" w:eastAsia="zh-CN"/>
              </w:rPr>
              <w:t xml:space="preserve"> 徐侃 </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质疑联系方式：</w:t>
            </w:r>
            <w:r>
              <w:rPr>
                <w:rFonts w:hint="eastAsia" w:ascii="仿宋_GB2312" w:hAnsi="新宋体" w:eastAsia="仿宋_GB2312"/>
                <w:color w:val="auto"/>
                <w:szCs w:val="24"/>
                <w:highlight w:val="none"/>
                <w:lang w:val="en-US" w:eastAsia="zh-CN"/>
              </w:rPr>
              <w:t>0575-85167757</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2.采购代理机构信息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名称：浙江翔实建设项目管理有限公司</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地址：绍兴市越城区阳明北路692号</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w:t>
            </w:r>
            <w:r>
              <w:rPr>
                <w:rFonts w:hint="eastAsia" w:ascii="仿宋_GB2312" w:hAnsi="新宋体" w:eastAsia="仿宋_GB2312"/>
                <w:color w:val="auto"/>
                <w:szCs w:val="24"/>
                <w:highlight w:val="none"/>
                <w:lang w:val="en-US" w:eastAsia="zh-CN"/>
              </w:rPr>
              <w:t>/</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项目联系人（询问）：丁诗哲</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项目联系方式（询问）：0575-88682896/13857501150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质疑联系人：孙莉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质疑联系方式：0575-88976639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3.同级政府采购监督管理部门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名称：绍兴市财政局</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地址：绍兴市越城区凤林西路151号</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传真：0575-85209697</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联系人 ：宋晓林</w:t>
            </w:r>
            <w:r>
              <w:rPr>
                <w:rFonts w:ascii="仿宋_GB2312" w:hAnsi="新宋体" w:eastAsia="仿宋_GB2312"/>
                <w:color w:val="auto"/>
                <w:szCs w:val="24"/>
                <w:highlight w:val="none"/>
              </w:rPr>
              <w:t>       </w:t>
            </w:r>
          </w:p>
          <w:p>
            <w:pPr>
              <w:pStyle w:val="67"/>
              <w:spacing w:afterLines="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监督投诉电话：0575-85209697</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若对项目采购电子交易系统操作有疑问，可登录政采云（https://www.zcygov.cn/），点击右侧咨询小采，获取采小蜜智能服务管家帮助，或拨打政采云服务热线400-881-7190获取热线服务帮助。</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CA问题联系电话（人工）：汇信CA 400-888-4636；天谷CA 400-087-8198。</w:t>
            </w:r>
          </w:p>
        </w:tc>
      </w:tr>
      <w:tr>
        <w:tblPrEx>
          <w:tblCellMar>
            <w:top w:w="0" w:type="dxa"/>
            <w:left w:w="0" w:type="dxa"/>
            <w:bottom w:w="0" w:type="dxa"/>
            <w:right w:w="0" w:type="dxa"/>
          </w:tblCellMar>
        </w:tblPrEx>
        <w:tc>
          <w:tcPr>
            <w:tcW w:w="8279" w:type="dxa"/>
            <w:vAlign w:val="center"/>
          </w:tcPr>
          <w:p>
            <w:pPr>
              <w:rPr>
                <w:rFonts w:ascii="仿宋_GB2312" w:hAnsi="新宋体" w:eastAsia="仿宋_GB2312"/>
                <w:color w:val="auto"/>
                <w:highlight w:val="none"/>
              </w:rPr>
            </w:pPr>
            <w:r>
              <w:rPr>
                <w:rFonts w:hint="eastAsia" w:ascii="仿宋_GB2312" w:hAnsi="新宋体" w:eastAsia="仿宋_GB2312"/>
                <w:color w:val="auto"/>
                <w:highlight w:val="none"/>
              </w:rPr>
              <w:t>·</w:t>
            </w:r>
          </w:p>
        </w:tc>
      </w:tr>
    </w:tbl>
    <w:p>
      <w:pPr>
        <w:widowControl/>
        <w:jc w:val="left"/>
        <w:rPr>
          <w:rFonts w:ascii="仿宋_GB2312" w:hAnsi="新宋体" w:eastAsia="仿宋_GB2312"/>
          <w:color w:val="auto"/>
          <w:kern w:val="0"/>
          <w:sz w:val="24"/>
          <w:highlight w:val="none"/>
        </w:rPr>
      </w:pPr>
    </w:p>
    <w:p>
      <w:pPr>
        <w:widowControl/>
        <w:jc w:val="left"/>
        <w:rPr>
          <w:rFonts w:ascii="仿宋_GB2312" w:hAnsi="新宋体" w:eastAsia="仿宋_GB2312"/>
          <w:color w:val="auto"/>
          <w:kern w:val="0"/>
          <w:sz w:val="24"/>
          <w:highlight w:val="none"/>
        </w:rPr>
      </w:pPr>
      <w:r>
        <w:rPr>
          <w:rFonts w:ascii="仿宋_GB2312" w:hAnsi="新宋体" w:eastAsia="仿宋_GB2312"/>
          <w:color w:val="auto"/>
          <w:highlight w:val="none"/>
        </w:rPr>
        <w:br w:type="page"/>
      </w:r>
    </w:p>
    <w:p>
      <w:pPr>
        <w:pageBreakBefore/>
        <w:ind w:left="238"/>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第二部分 投标须知</w:t>
      </w:r>
    </w:p>
    <w:p>
      <w:pPr>
        <w:ind w:left="238"/>
        <w:jc w:val="center"/>
        <w:rPr>
          <w:rFonts w:ascii="仿宋_GB2312" w:hAnsi="宋体" w:eastAsia="仿宋_GB2312"/>
          <w:b/>
          <w:color w:val="auto"/>
          <w:sz w:val="30"/>
          <w:szCs w:val="36"/>
          <w:highlight w:val="none"/>
        </w:rPr>
      </w:pPr>
      <w:bookmarkStart w:id="0" w:name="_Hlk47616320"/>
      <w:r>
        <w:rPr>
          <w:rFonts w:hint="eastAsia" w:ascii="仿宋_GB2312" w:hAnsi="宋体" w:eastAsia="仿宋_GB2312"/>
          <w:b/>
          <w:color w:val="auto"/>
          <w:sz w:val="30"/>
          <w:szCs w:val="36"/>
          <w:highlight w:val="none"/>
        </w:rPr>
        <w:t>前附表</w:t>
      </w:r>
    </w:p>
    <w:tbl>
      <w:tblPr>
        <w:tblStyle w:val="41"/>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7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序号</w:t>
            </w:r>
          </w:p>
        </w:tc>
        <w:tc>
          <w:tcPr>
            <w:tcW w:w="8371" w:type="dxa"/>
            <w:gridSpan w:val="2"/>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w:t>
            </w:r>
          </w:p>
        </w:tc>
        <w:tc>
          <w:tcPr>
            <w:tcW w:w="8371" w:type="dxa"/>
            <w:gridSpan w:val="2"/>
            <w:vAlign w:val="center"/>
          </w:tcPr>
          <w:p>
            <w:pPr>
              <w:snapToGrid w:val="0"/>
              <w:spacing w:line="44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投标人应当提交的资格、资信证明文件</w:t>
            </w:r>
            <w:r>
              <w:rPr>
                <w:rFonts w:hint="eastAsia" w:ascii="仿宋_GB2312" w:hAnsi="仿宋_GB2312" w:eastAsia="仿宋_GB2312" w:cs="仿宋_GB2312"/>
                <w:color w:val="auto"/>
                <w:sz w:val="24"/>
                <w:highlight w:val="none"/>
              </w:rPr>
              <w:t>：</w:t>
            </w:r>
          </w:p>
          <w:p>
            <w:pPr>
              <w:snapToGrid w:val="0"/>
              <w:spacing w:line="44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（1）相关证明文件：</w:t>
            </w:r>
            <w:r>
              <w:rPr>
                <w:rFonts w:hint="eastAsia" w:ascii="仿宋_GB2312" w:hAnsi="仿宋_GB2312" w:eastAsia="仿宋_GB2312" w:cs="仿宋_GB2312"/>
                <w:color w:val="auto"/>
                <w:sz w:val="24"/>
                <w:highlight w:val="none"/>
              </w:rPr>
              <w:t>营业执照复印件、2021年度资产负债表等财务报表资料文件、依法缴纳税收和社会保障资金的良好记录证明、参加本次政府采购活动前三年内，在经营活动中没有重大违法记录的声明（详见格式范例）。</w:t>
            </w:r>
          </w:p>
          <w:p>
            <w:pPr>
              <w:snapToGrid w:val="0"/>
              <w:spacing w:line="44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（2）资信证明文件（如果有，按招标文件第三部分招标项目范围及要求和第五部分评分标准提供）。</w:t>
            </w:r>
          </w:p>
          <w:p>
            <w:pPr>
              <w:snapToGrid w:val="0"/>
              <w:spacing w:line="440" w:lineRule="exact"/>
              <w:rPr>
                <w:rFonts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（3）特许资格、资信证明文件（如果有）：</w:t>
            </w:r>
          </w:p>
          <w:p>
            <w:pPr>
              <w:spacing w:line="440" w:lineRule="exact"/>
              <w:ind w:firstLine="480" w:firstLineChars="200"/>
              <w:rPr>
                <w:rFonts w:ascii="仿宋_GB2312" w:hAnsi="宋体" w:eastAsia="仿宋_GB2312"/>
                <w:b/>
                <w:color w:val="auto"/>
                <w:sz w:val="24"/>
                <w:highlight w:val="none"/>
              </w:rPr>
            </w:pPr>
            <w:r>
              <w:rPr>
                <w:rFonts w:hint="eastAsia" w:ascii="仿宋_GB2312" w:hAnsi="仿宋_GB2312" w:eastAsia="仿宋_GB2312" w:cs="仿宋_GB2312"/>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2</w:t>
            </w:r>
          </w:p>
        </w:tc>
        <w:tc>
          <w:tcPr>
            <w:tcW w:w="8371" w:type="dxa"/>
            <w:gridSpan w:val="2"/>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资格审查方式：</w:t>
            </w:r>
          </w:p>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1.资格后审。</w:t>
            </w:r>
          </w:p>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3</w:t>
            </w:r>
          </w:p>
        </w:tc>
        <w:tc>
          <w:tcPr>
            <w:tcW w:w="8371" w:type="dxa"/>
            <w:gridSpan w:val="2"/>
            <w:vAlign w:val="center"/>
          </w:tcPr>
          <w:p>
            <w:pPr>
              <w:autoSpaceDE w:val="0"/>
              <w:autoSpaceDN w:val="0"/>
              <w:spacing w:line="440" w:lineRule="exact"/>
              <w:textAlignment w:val="bottom"/>
              <w:rPr>
                <w:rFonts w:ascii="仿宋_GB2312" w:hAnsi="宋体" w:eastAsia="仿宋_GB2312"/>
                <w:color w:val="auto"/>
                <w:sz w:val="24"/>
                <w:highlight w:val="none"/>
              </w:rPr>
            </w:pPr>
            <w:r>
              <w:rPr>
                <w:rFonts w:hint="eastAsia" w:ascii="仿宋_GB2312" w:hAnsi="宋体" w:eastAsia="仿宋_GB2312"/>
                <w:b/>
                <w:color w:val="auto"/>
                <w:sz w:val="24"/>
                <w:highlight w:val="none"/>
              </w:rPr>
              <w:t>投标有效期：</w:t>
            </w:r>
            <w:r>
              <w:rPr>
                <w:rFonts w:hint="eastAsia" w:ascii="仿宋_GB2312" w:hAnsi="仿宋" w:eastAsia="仿宋_GB2312" w:cs="仿宋_GB2312"/>
                <w:color w:val="auto"/>
                <w:sz w:val="24"/>
                <w:highlight w:val="none"/>
              </w:rPr>
              <w:t>投标有效期为从提交投标文件的截止之日起90天。</w:t>
            </w:r>
            <w:r>
              <w:rPr>
                <w:rFonts w:hint="eastAsia" w:ascii="仿宋_GB2312" w:hAnsi="仿宋" w:eastAsia="仿宋_GB2312" w:cs="仿宋_GB2312"/>
                <w:b/>
                <w:color w:val="auto"/>
                <w:sz w:val="24"/>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4</w:t>
            </w:r>
          </w:p>
        </w:tc>
        <w:tc>
          <w:tcPr>
            <w:tcW w:w="8371" w:type="dxa"/>
            <w:gridSpan w:val="2"/>
            <w:vAlign w:val="center"/>
          </w:tcPr>
          <w:p>
            <w:pPr>
              <w:spacing w:line="440" w:lineRule="exact"/>
              <w:rPr>
                <w:rFonts w:ascii="仿宋_GB2312" w:hAnsi="宋体" w:eastAsia="仿宋_GB2312"/>
                <w:color w:val="auto"/>
                <w:sz w:val="24"/>
                <w:highlight w:val="none"/>
              </w:rPr>
            </w:pPr>
            <w:r>
              <w:rPr>
                <w:rFonts w:hint="eastAsia" w:ascii="仿宋_GB2312" w:hAnsi="仿宋" w:eastAsia="仿宋_GB2312" w:cs="仿宋_GB2312"/>
                <w:b/>
                <w:color w:val="auto"/>
                <w:sz w:val="24"/>
                <w:highlight w:val="none"/>
              </w:rPr>
              <w:t>转包：</w:t>
            </w:r>
            <w:r>
              <w:rPr>
                <w:rFonts w:hint="eastAsia" w:ascii="仿宋_GB2312" w:hAnsi="仿宋" w:eastAsia="仿宋_GB2312" w:cs="仿宋_GB2312"/>
                <w:color w:val="auto"/>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5</w:t>
            </w:r>
          </w:p>
        </w:tc>
        <w:tc>
          <w:tcPr>
            <w:tcW w:w="8371" w:type="dxa"/>
            <w:gridSpan w:val="2"/>
            <w:vAlign w:val="center"/>
          </w:tcPr>
          <w:p>
            <w:pPr>
              <w:spacing w:line="440" w:lineRule="exact"/>
              <w:rPr>
                <w:rFonts w:ascii="仿宋_GB2312" w:hAnsi="仿宋" w:eastAsia="仿宋_GB2312"/>
                <w:color w:val="auto"/>
                <w:sz w:val="24"/>
                <w:highlight w:val="none"/>
              </w:rPr>
            </w:pPr>
            <w:r>
              <w:rPr>
                <w:rFonts w:hint="eastAsia" w:ascii="仿宋_GB2312" w:hAnsi="仿宋" w:eastAsia="仿宋_GB2312" w:cs="仿宋_GB2312"/>
                <w:b/>
                <w:color w:val="auto"/>
                <w:sz w:val="24"/>
                <w:highlight w:val="none"/>
              </w:rPr>
              <w:t>分包：</w:t>
            </w:r>
            <w:r>
              <w:rPr>
                <w:rFonts w:ascii="MS Gothic" w:hAnsi="MS Gothic" w:eastAsia="MS Gothic"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工作分包。</w:t>
            </w:r>
          </w:p>
          <w:p>
            <w:pPr>
              <w:spacing w:line="440" w:lineRule="exact"/>
              <w:ind w:firstLine="720" w:firstLineChars="300"/>
              <w:rPr>
                <w:rFonts w:ascii="仿宋_GB2312" w:hAnsi="仿宋" w:eastAsia="仿宋_GB2312" w:cs="仿宋_GB2312"/>
                <w:b/>
                <w:color w:val="auto"/>
                <w:sz w:val="24"/>
                <w:highlight w:val="none"/>
              </w:rPr>
            </w:pPr>
            <w:r>
              <w:rPr>
                <w:rFonts w:ascii="仿宋_GB2312" w:hAnsi="仿宋" w:eastAsia="仿宋_GB2312" w:cs="Arial"/>
                <w:color w:val="auto"/>
                <w:kern w:val="0"/>
                <w:sz w:val="24"/>
                <w:highlight w:val="none"/>
              </w:rPr>
              <w:sym w:font="Wingdings" w:char="F0FE"/>
            </w:r>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6</w:t>
            </w:r>
          </w:p>
        </w:tc>
        <w:tc>
          <w:tcPr>
            <w:tcW w:w="8371" w:type="dxa"/>
            <w:gridSpan w:val="2"/>
            <w:vAlign w:val="center"/>
          </w:tcPr>
          <w:p>
            <w:pPr>
              <w:spacing w:line="44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投标文件份数：</w:t>
            </w:r>
            <w:r>
              <w:rPr>
                <w:rFonts w:hint="eastAsia" w:ascii="仿宋_GB2312" w:hAnsi="宋体" w:eastAsia="仿宋_GB2312"/>
                <w:color w:val="auto"/>
                <w:sz w:val="24"/>
                <w:highlight w:val="none"/>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7</w:t>
            </w:r>
          </w:p>
        </w:tc>
        <w:tc>
          <w:tcPr>
            <w:tcW w:w="8371" w:type="dxa"/>
            <w:gridSpan w:val="2"/>
            <w:vAlign w:val="center"/>
          </w:tcPr>
          <w:p>
            <w:pPr>
              <w:autoSpaceDE w:val="0"/>
              <w:autoSpaceDN w:val="0"/>
              <w:spacing w:line="440" w:lineRule="exact"/>
              <w:textAlignment w:val="bottom"/>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263220618"/>
              </w:sdtPr>
              <w:sdtEndPr>
                <w:rPr>
                  <w:rFonts w:hint="eastAsia" w:ascii="仿宋_GB2312" w:hAnsi="仿宋" w:eastAsia="仿宋_GB2312" w:cs="Arial"/>
                  <w:color w:val="auto"/>
                  <w:kern w:val="0"/>
                  <w:sz w:val="24"/>
                  <w:highlight w:val="none"/>
                </w:rPr>
              </w:sdtEndPr>
              <w:sdtContent>
                <w:r>
                  <w:rPr>
                    <w:rFonts w:ascii="仿宋_GB2312" w:hAnsi="仿宋" w:eastAsia="仿宋_GB2312" w:cs="Arial"/>
                    <w:color w:val="auto"/>
                    <w:kern w:val="0"/>
                    <w:sz w:val="24"/>
                    <w:highlight w:val="none"/>
                  </w:rPr>
                  <w:sym w:font="Wingdings" w:char="F0FE"/>
                </w: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autoSpaceDE w:val="0"/>
              <w:autoSpaceDN w:val="0"/>
              <w:spacing w:line="440" w:lineRule="exact"/>
              <w:textAlignment w:val="bottom"/>
              <w:rPr>
                <w:rFonts w:ascii="仿宋_GB2312" w:hAnsi="宋体" w:eastAsia="仿宋_GB2312"/>
                <w:b/>
                <w:color w:val="auto"/>
                <w:sz w:val="24"/>
                <w:highlight w:val="none"/>
              </w:rPr>
            </w:pPr>
            <w:sdt>
              <w:sdtPr>
                <w:rPr>
                  <w:rFonts w:hint="eastAsia" w:ascii="仿宋_GB2312" w:hAnsi="仿宋" w:eastAsia="仿宋_GB2312" w:cs="Arial"/>
                  <w:color w:val="auto"/>
                  <w:kern w:val="0"/>
                  <w:sz w:val="24"/>
                  <w:highlight w:val="none"/>
                </w:rPr>
                <w:id w:val="-94006690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ascii="仿宋_GB2312" w:hAnsi="仿宋" w:eastAsia="仿宋_GB2312"/>
                <w:color w:val="auto"/>
                <w:kern w:val="0"/>
                <w:sz w:val="24"/>
                <w:highlight w:val="none"/>
              </w:rPr>
              <w:t>B组织，</w:t>
            </w:r>
            <w:r>
              <w:rPr>
                <w:rFonts w:hint="eastAsia" w:ascii="仿宋_GB2312" w:hAnsi="仿宋" w:eastAsia="仿宋_GB2312"/>
                <w:color w:val="auto"/>
                <w:sz w:val="24"/>
                <w:highlight w:val="none"/>
              </w:rPr>
              <w:t>时间：</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,地点：</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8</w:t>
            </w:r>
          </w:p>
        </w:tc>
        <w:tc>
          <w:tcPr>
            <w:tcW w:w="8371" w:type="dxa"/>
            <w:gridSpan w:val="2"/>
            <w:vAlign w:val="center"/>
          </w:tcPr>
          <w:p>
            <w:pPr>
              <w:spacing w:line="44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样品提供：</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74078883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02683198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sym w:font="Wingdings" w:char="F0FE"/>
                    </w:r>
                  </w:sdtContent>
                </w:sdt>
              </w:sdtContent>
            </w:sdt>
            <w:r>
              <w:rPr>
                <w:rFonts w:hint="eastAsia"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pPr>
              <w:spacing w:line="360" w:lineRule="auto"/>
              <w:rPr>
                <w:rFonts w:ascii="仿宋_GB2312" w:hAnsi="仿宋" w:eastAsia="仿宋_GB2312"/>
                <w:color w:val="auto"/>
                <w:kern w:val="0"/>
                <w:sz w:val="24"/>
                <w:highlight w:val="none"/>
              </w:rPr>
            </w:pPr>
            <w:r>
              <w:rPr>
                <w:rFonts w:hint="eastAsia" w:ascii="仿宋_GB2312" w:hAnsi="MS Gothic" w:eastAsia="仿宋_GB2312" w:cs="Arial"/>
                <w:color w:val="auto"/>
                <w:kern w:val="0"/>
                <w:sz w:val="24"/>
                <w:highlight w:val="none"/>
              </w:rPr>
              <w:t>□</w:t>
            </w:r>
            <w:r>
              <w:rPr>
                <w:rFonts w:hint="eastAsia" w:ascii="仿宋_GB2312" w:hAnsi="仿宋" w:eastAsia="仿宋_GB2312"/>
                <w:color w:val="auto"/>
                <w:kern w:val="0"/>
                <w:sz w:val="24"/>
                <w:highlight w:val="none"/>
              </w:rPr>
              <w:t>B要求提供，</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（1）</w:t>
            </w:r>
            <w:r>
              <w:rPr>
                <w:rFonts w:hint="eastAsia" w:ascii="仿宋_GB2312" w:hAnsi="仿宋" w:eastAsia="仿宋_GB2312"/>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（2）</w:t>
            </w:r>
            <w:r>
              <w:rPr>
                <w:rFonts w:hint="eastAsia" w:ascii="仿宋_GB2312" w:hAnsi="仿宋" w:eastAsia="仿宋_GB2312"/>
                <w:snapToGrid w:val="0"/>
                <w:color w:val="auto"/>
                <w:kern w:val="28"/>
                <w:sz w:val="24"/>
                <w:highlight w:val="none"/>
              </w:rPr>
              <w:t>样品制作的标准和要求：</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（3）样品的评审方法以及评审标准</w:t>
            </w:r>
            <w:r>
              <w:rPr>
                <w:rFonts w:hint="eastAsia" w:ascii="仿宋_GB2312" w:hAnsi="仿宋" w:eastAsia="仿宋_GB2312"/>
                <w:snapToGrid w:val="0"/>
                <w:color w:val="auto"/>
                <w:kern w:val="28"/>
                <w:sz w:val="24"/>
                <w:highlight w:val="none"/>
              </w:rPr>
              <w:t>：详见</w:t>
            </w:r>
            <w:r>
              <w:rPr>
                <w:rFonts w:hint="eastAsia" w:ascii="仿宋_GB2312" w:hAnsi="仿宋" w:eastAsia="仿宋_GB2312"/>
                <w:color w:val="auto"/>
                <w:sz w:val="24"/>
                <w:highlight w:val="none"/>
                <w:u w:val="single"/>
              </w:rPr>
              <w:t>评标办法</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（4）是否需要随样品提交检测报告：</w:t>
            </w:r>
            <w:sdt>
              <w:sdtPr>
                <w:rPr>
                  <w:rFonts w:hint="eastAsia" w:ascii="仿宋_GB2312" w:hAnsi="仿宋" w:eastAsia="仿宋_GB2312" w:cs="Arial"/>
                  <w:color w:val="auto"/>
                  <w:kern w:val="0"/>
                  <w:sz w:val="24"/>
                  <w:highlight w:val="none"/>
                </w:rPr>
                <w:id w:val="1303421454"/>
              </w:sdtPr>
              <w:sdtEndPr>
                <w:rPr>
                  <w:rFonts w:hint="eastAsia" w:ascii="仿宋_GB2312" w:hAnsi="仿宋" w:eastAsia="仿宋_GB2312" w:cs="Arial"/>
                  <w:color w:val="auto"/>
                  <w:kern w:val="0"/>
                  <w:sz w:val="24"/>
                  <w:highlight w:val="none"/>
                </w:rPr>
              </w:sdtEndPr>
              <w:sdtContent>
                <w:r>
                  <w:rPr>
                    <w:rFonts w:hint="eastAsia" w:ascii="仿宋_GB2312" w:hAnsi="仿宋" w:eastAsia="仿宋_GB2312" w:cs="Arial"/>
                    <w:color w:val="auto"/>
                    <w:kern w:val="0"/>
                    <w:sz w:val="24"/>
                    <w:highlight w:val="none"/>
                  </w:rPr>
                  <w:sym w:font="Wingdings" w:char="F0FE"/>
                </w:r>
              </w:sdtContent>
            </w:sdt>
            <w:r>
              <w:rPr>
                <w:rFonts w:hint="eastAsia" w:ascii="仿宋_GB2312" w:hAnsi="仿宋" w:eastAsia="仿宋_GB2312" w:cs="Arial"/>
                <w:color w:val="auto"/>
                <w:kern w:val="0"/>
                <w:sz w:val="24"/>
                <w:highlight w:val="none"/>
              </w:rPr>
              <w:t>否</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621728433"/>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41474232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t>□</w:t>
                    </w:r>
                  </w:sdtContent>
                </w:sdt>
              </w:sdtContent>
            </w:sdt>
            <w:r>
              <w:rPr>
                <w:rFonts w:hint="eastAsia"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（5）提供样品的时间：</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；联系人</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olor w:val="auto"/>
                <w:kern w:val="28"/>
                <w:sz w:val="24"/>
                <w:highlight w:val="none"/>
              </w:rPr>
              <w:t>联系电话：</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adjustRightInd w:val="0"/>
              <w:spacing w:line="440" w:lineRule="exact"/>
              <w:jc w:val="left"/>
              <w:rPr>
                <w:rFonts w:ascii="仿宋_GB2312" w:hAnsi="宋体" w:eastAsia="仿宋_GB2312"/>
                <w:b/>
                <w:color w:val="auto"/>
                <w:sz w:val="24"/>
                <w:highlight w:val="none"/>
              </w:rPr>
            </w:pPr>
            <w:r>
              <w:rPr>
                <w:rFonts w:hint="eastAsia" w:ascii="仿宋_GB2312" w:hAnsi="仿宋" w:eastAsia="仿宋_GB2312"/>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9</w:t>
            </w:r>
          </w:p>
        </w:tc>
        <w:tc>
          <w:tcPr>
            <w:tcW w:w="8371" w:type="dxa"/>
            <w:gridSpan w:val="2"/>
            <w:vAlign w:val="center"/>
          </w:tcPr>
          <w:p>
            <w:pPr>
              <w:spacing w:line="440" w:lineRule="exac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rPr>
              <w:t>演示(讲解)：</w:t>
            </w:r>
          </w:p>
          <w:p>
            <w:pPr>
              <w:spacing w:line="360" w:lineRule="auto"/>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1、有，详见商务技术评分要求。</w:t>
            </w:r>
          </w:p>
          <w:p>
            <w:pPr>
              <w:spacing w:line="360" w:lineRule="auto"/>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2、演示次序以政府采购云平台（https://www.zcygov.cn）中投标人提交投标文件的顺序为准。</w:t>
            </w:r>
          </w:p>
          <w:p>
            <w:pPr>
              <w:spacing w:line="360" w:lineRule="auto"/>
              <w:rPr>
                <w:rFonts w:hint="default" w:ascii="仿宋_GB2312" w:hAnsi="宋体" w:eastAsia="仿宋_GB2312"/>
                <w:b/>
                <w:color w:val="auto"/>
                <w:sz w:val="24"/>
                <w:highlight w:val="none"/>
                <w:lang w:val="en-US" w:eastAsia="zh-CN"/>
              </w:rPr>
            </w:pPr>
            <w:r>
              <w:rPr>
                <w:rFonts w:hint="eastAsia" w:ascii="仿宋_GB2312" w:hAnsi="仿宋" w:eastAsia="仿宋_GB2312"/>
                <w:color w:val="auto"/>
                <w:sz w:val="24"/>
                <w:highlight w:val="none"/>
              </w:rPr>
              <w:t>3、演示内容通过录制视频以U盘存储形式提交（提交方式采用顺丰邮寄或现场即交即走），投标人应于2022年 月 日  时  分之前将演示录制视频存储U盘密封以顺丰邮寄或现场即交即走的方式送达至绍兴市阳明北路692号浙江翔实建设项目管理有限公司一楼政府采购部，收件人：丁诗哲，联系电话：13857501150，邮政编码：312000，如采用邮寄的，请寄件人在邮件外包装注明投标项目名称，投标供应商名称，被授权人姓名及联系电话，接收邮寄快递包裹的时间为工作日9:00-17:00，接收截止时间为：2022年 月 日  时。邮寄以签收时间为准，逾期送达或未密封将予以拒收。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10</w:t>
            </w:r>
          </w:p>
        </w:tc>
        <w:tc>
          <w:tcPr>
            <w:tcW w:w="855" w:type="dxa"/>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进口产品</w:t>
            </w:r>
          </w:p>
        </w:tc>
        <w:tc>
          <w:tcPr>
            <w:tcW w:w="7516" w:type="dxa"/>
            <w:vAlign w:val="center"/>
          </w:tcPr>
          <w:p>
            <w:pPr>
              <w:spacing w:line="360" w:lineRule="auto"/>
              <w:rPr>
                <w:rFonts w:ascii="仿宋_GB2312" w:hAnsi="仿宋" w:eastAsia="仿宋_GB2312" w:cs="Arial"/>
                <w:color w:val="auto"/>
                <w:kern w:val="0"/>
                <w:sz w:val="24"/>
                <w:highlight w:val="none"/>
              </w:rPr>
            </w:pPr>
            <w:sdt>
              <w:sdtPr>
                <w:rPr>
                  <w:rFonts w:hint="eastAsia" w:ascii="仿宋_GB2312" w:hAnsi="仿宋" w:eastAsia="仿宋_GB2312" w:cs="Arial"/>
                  <w:color w:val="auto"/>
                  <w:kern w:val="0"/>
                  <w:sz w:val="24"/>
                  <w:highlight w:val="none"/>
                </w:rPr>
                <w:id w:val="-751813434"/>
              </w:sdtPr>
              <w:sdtEndPr>
                <w:rPr>
                  <w:rFonts w:hint="eastAsia" w:ascii="仿宋_GB2312" w:hAnsi="仿宋" w:eastAsia="仿宋_GB2312" w:cs="Arial"/>
                  <w:color w:val="auto"/>
                  <w:kern w:val="0"/>
                  <w:sz w:val="24"/>
                  <w:highlight w:val="none"/>
                </w:rPr>
              </w:sdtEndPr>
              <w:sdtContent>
                <w:r>
                  <w:rPr>
                    <w:rFonts w:ascii="仿宋_GB2312" w:hAnsi="仿宋" w:eastAsia="仿宋_GB2312" w:cs="Arial"/>
                    <w:color w:val="auto"/>
                    <w:kern w:val="0"/>
                    <w:sz w:val="24"/>
                    <w:highlight w:val="none"/>
                  </w:rPr>
                  <w:sym w:font="Wingdings" w:char="F0FE"/>
                </w:r>
              </w:sdtContent>
            </w:sdt>
            <w:r>
              <w:rPr>
                <w:rFonts w:hint="eastAsia" w:ascii="仿宋_GB2312" w:hAnsi="仿宋" w:eastAsia="仿宋_GB2312" w:cs="Arial"/>
                <w:color w:val="auto"/>
                <w:kern w:val="0"/>
                <w:sz w:val="24"/>
                <w:highlight w:val="none"/>
              </w:rPr>
              <w:t>本项目不允许采购进口产品。</w:t>
            </w:r>
          </w:p>
          <w:p>
            <w:pPr>
              <w:snapToGrid w:val="0"/>
              <w:spacing w:line="440" w:lineRule="exact"/>
              <w:rPr>
                <w:rFonts w:ascii="仿宋_GB2312" w:hAnsi="仿宋_GB2312" w:eastAsia="仿宋_GB2312" w:cs="仿宋_GB2312"/>
                <w:b/>
                <w:color w:val="auto"/>
                <w:sz w:val="24"/>
                <w:highlight w:val="none"/>
              </w:rPr>
            </w:pPr>
            <w:sdt>
              <w:sdtPr>
                <w:rPr>
                  <w:rFonts w:hint="eastAsia" w:ascii="仿宋_GB2312" w:hAnsi="仿宋" w:eastAsia="仿宋_GB2312" w:cs="Arial"/>
                  <w:color w:val="auto"/>
                  <w:kern w:val="0"/>
                  <w:sz w:val="24"/>
                  <w:highlight w:val="none"/>
                </w:rPr>
                <w:id w:val="-833212847"/>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11</w:t>
            </w:r>
          </w:p>
        </w:tc>
        <w:tc>
          <w:tcPr>
            <w:tcW w:w="855" w:type="dxa"/>
            <w:vAlign w:val="center"/>
          </w:tcPr>
          <w:p>
            <w:pPr>
              <w:snapToGrid w:val="0"/>
              <w:ind w:left="-3" w:leftChars="-8" w:right="-50" w:rightChars="-24" w:hanging="14" w:hangingChars="7"/>
              <w:rPr>
                <w:rFonts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项目属性与核心产品</w:t>
            </w:r>
          </w:p>
        </w:tc>
        <w:tc>
          <w:tcPr>
            <w:tcW w:w="7516" w:type="dxa"/>
            <w:vAlign w:val="center"/>
          </w:tcPr>
          <w:p>
            <w:pPr>
              <w:spacing w:line="360" w:lineRule="auto"/>
              <w:rPr>
                <w:rFonts w:ascii="仿宋_GB2312" w:hAnsi="仿宋" w:eastAsia="仿宋_GB2312"/>
                <w:color w:val="auto"/>
                <w:sz w:val="24"/>
                <w:highlight w:val="none"/>
              </w:rPr>
            </w:pPr>
            <w:r>
              <w:rPr>
                <w:rFonts w:ascii="MS Gothic" w:hAnsi="MS Gothic" w:eastAsia="仿宋_GB2312"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货物类。</w:t>
            </w:r>
          </w:p>
          <w:p>
            <w:pPr>
              <w:snapToGrid w:val="0"/>
              <w:spacing w:line="440" w:lineRule="exact"/>
              <w:rPr>
                <w:rFonts w:ascii="仿宋_GB2312" w:hAnsi="仿宋_GB2312" w:eastAsia="仿宋_GB2312" w:cs="仿宋_GB2312"/>
                <w:color w:val="auto"/>
                <w:sz w:val="24"/>
                <w:highlight w:val="none"/>
              </w:rPr>
            </w:pPr>
            <w:sdt>
              <w:sdtPr>
                <w:rPr>
                  <w:rFonts w:hint="eastAsia" w:ascii="仿宋_GB2312" w:hAnsi="仿宋" w:eastAsia="仿宋_GB2312" w:cs="Arial"/>
                  <w:color w:val="auto"/>
                  <w:kern w:val="0"/>
                  <w:sz w:val="24"/>
                  <w:highlight w:val="none"/>
                </w:rPr>
                <w:id w:val="47488555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18727868"/>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w:t>
                    </w:r>
                  </w:sdtContent>
                </w:sdt>
              </w:sdtContent>
            </w:sdt>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12</w:t>
            </w:r>
          </w:p>
        </w:tc>
        <w:tc>
          <w:tcPr>
            <w:tcW w:w="855" w:type="dxa"/>
            <w:vAlign w:val="center"/>
          </w:tcPr>
          <w:p>
            <w:pPr>
              <w:snapToGrid w:val="0"/>
              <w:ind w:left="-18" w:leftChars="-9" w:right="-50" w:rightChars="-24" w:hanging="1"/>
              <w:jc w:val="center"/>
              <w:rPr>
                <w:rFonts w:ascii="仿宋_GB2312" w:hAnsi="仿宋" w:eastAsia="仿宋_GB2312" w:cs="仿宋_GB2312"/>
                <w:b/>
                <w:color w:val="auto"/>
                <w:spacing w:val="-20"/>
                <w:sz w:val="24"/>
                <w:highlight w:val="none"/>
              </w:rPr>
            </w:pPr>
            <w:r>
              <w:rPr>
                <w:rFonts w:hint="eastAsia" w:ascii="仿宋_GB2312" w:hAnsi="仿宋" w:eastAsia="仿宋_GB2312" w:cs="仿宋_GB2312"/>
                <w:b/>
                <w:color w:val="auto"/>
                <w:spacing w:val="-20"/>
                <w:sz w:val="24"/>
                <w:highlight w:val="none"/>
              </w:rPr>
              <w:t>采购标的对应的中小企业划分标准所属行业</w:t>
            </w:r>
          </w:p>
        </w:tc>
        <w:tc>
          <w:tcPr>
            <w:tcW w:w="7516" w:type="dxa"/>
          </w:tcPr>
          <w:p>
            <w:pPr>
              <w:snapToGrid w:val="0"/>
              <w:spacing w:line="360" w:lineRule="auto"/>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cs="Arial"/>
                <w:color w:val="auto"/>
                <w:kern w:val="0"/>
                <w:sz w:val="24"/>
                <w:highlight w:val="none"/>
                <w:u w:val="single"/>
              </w:rPr>
              <w:t xml:space="preserve">   </w:t>
            </w:r>
            <w:r>
              <w:rPr>
                <w:rFonts w:ascii="仿宋_GB2312" w:hAnsi="仿宋" w:eastAsia="仿宋_GB2312" w:cs="Arial"/>
                <w:color w:val="auto"/>
                <w:kern w:val="0"/>
                <w:sz w:val="24"/>
                <w:highlight w:val="none"/>
                <w:u w:val="single"/>
              </w:rPr>
              <w:t>01</w:t>
            </w:r>
            <w:r>
              <w:rPr>
                <w:rFonts w:hint="eastAsia" w:ascii="仿宋_GB2312" w:hAnsi="仿宋" w:eastAsia="仿宋_GB2312" w:cs="Arial"/>
                <w:color w:val="auto"/>
                <w:kern w:val="0"/>
                <w:sz w:val="24"/>
                <w:highlight w:val="none"/>
                <w:u w:val="single"/>
              </w:rPr>
              <w:t xml:space="preserve">标 </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rPr>
              <w:t>软件和信息技术服务业</w:t>
            </w:r>
            <w:r>
              <w:rPr>
                <w:rFonts w:hint="eastAsia" w:ascii="仿宋_GB2312" w:hAnsi="仿宋" w:eastAsia="仿宋_GB2312" w:cs="Arial"/>
                <w:color w:val="auto"/>
                <w:kern w:val="0"/>
                <w:sz w:val="24"/>
                <w:highlight w:val="none"/>
              </w:rPr>
              <w:t>行业；</w:t>
            </w:r>
          </w:p>
          <w:p>
            <w:pPr>
              <w:snapToGrid w:val="0"/>
              <w:spacing w:line="360" w:lineRule="auto"/>
              <w:rPr>
                <w:color w:val="auto"/>
                <w:highlight w:val="none"/>
              </w:rPr>
            </w:pPr>
            <w:r>
              <w:rPr>
                <w:rFonts w:hint="eastAsia" w:ascii="仿宋_GB2312" w:hAnsi="仿宋" w:eastAsia="仿宋_GB2312" w:cs="Arial"/>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restart"/>
            <w:vAlign w:val="center"/>
          </w:tcPr>
          <w:p>
            <w:pPr>
              <w:spacing w:line="440" w:lineRule="exact"/>
              <w:jc w:val="center"/>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3</w:t>
            </w:r>
          </w:p>
        </w:tc>
        <w:tc>
          <w:tcPr>
            <w:tcW w:w="855" w:type="dxa"/>
            <w:vMerge w:val="restart"/>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投标人信用信息事项</w:t>
            </w:r>
          </w:p>
        </w:tc>
        <w:tc>
          <w:tcPr>
            <w:tcW w:w="7516" w:type="dxa"/>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信用信息查询渠道及截止时间：</w:t>
            </w:r>
            <w:r>
              <w:rPr>
                <w:rFonts w:hint="eastAsia" w:ascii="仿宋_GB2312" w:hAnsi="宋体" w:eastAsia="仿宋_GB2312"/>
                <w:color w:val="auto"/>
                <w:sz w:val="24"/>
                <w:highlight w:val="none"/>
              </w:rPr>
              <w:t>采购人或采购人委托的评审小组或采购代理机构将通过“信用中国”网站(www.creditchina.gov.cn)、中国政府采购网(www.ccgp.gov.cn)渠道查询投标人</w:t>
            </w:r>
            <w:r>
              <w:rPr>
                <w:rFonts w:hint="eastAsia" w:ascii="仿宋_GB2312" w:hAnsi="仿宋_GB2312" w:eastAsia="仿宋_GB2312" w:cs="仿宋_GB2312"/>
                <w:b/>
                <w:color w:val="auto"/>
                <w:sz w:val="24"/>
                <w:highlight w:val="none"/>
              </w:rPr>
              <w:t>开标当天</w:t>
            </w:r>
            <w:r>
              <w:rPr>
                <w:rFonts w:hint="eastAsia" w:ascii="仿宋_GB2312" w:hAnsi="宋体" w:eastAsia="仿宋_GB2312"/>
                <w:color w:val="auto"/>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vAlign w:val="center"/>
          </w:tcPr>
          <w:p>
            <w:pPr>
              <w:spacing w:line="440" w:lineRule="exact"/>
              <w:jc w:val="center"/>
              <w:rPr>
                <w:rFonts w:ascii="仿宋_GB2312" w:hAnsi="宋体" w:eastAsia="仿宋_GB2312"/>
                <w:color w:val="auto"/>
                <w:sz w:val="24"/>
                <w:highlight w:val="none"/>
              </w:rPr>
            </w:pPr>
          </w:p>
        </w:tc>
        <w:tc>
          <w:tcPr>
            <w:tcW w:w="855" w:type="dxa"/>
            <w:vMerge w:val="continue"/>
            <w:vAlign w:val="center"/>
          </w:tcPr>
          <w:p>
            <w:pPr>
              <w:snapToGrid w:val="0"/>
              <w:spacing w:line="440" w:lineRule="exact"/>
              <w:rPr>
                <w:rFonts w:ascii="仿宋_GB2312" w:hAnsi="仿宋_GB2312" w:eastAsia="仿宋_GB2312" w:cs="仿宋_GB2312"/>
                <w:b/>
                <w:color w:val="auto"/>
                <w:sz w:val="24"/>
                <w:highlight w:val="none"/>
              </w:rPr>
            </w:pPr>
          </w:p>
        </w:tc>
        <w:tc>
          <w:tcPr>
            <w:tcW w:w="7516" w:type="dxa"/>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信用信息查询记录和证据留存的具体方式：</w:t>
            </w:r>
            <w:r>
              <w:rPr>
                <w:rFonts w:hint="eastAsia" w:ascii="仿宋_GB2312" w:hAnsi="宋体" w:eastAsia="仿宋_GB2312"/>
                <w:color w:val="auto"/>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vAlign w:val="center"/>
          </w:tcPr>
          <w:p>
            <w:pPr>
              <w:spacing w:line="440" w:lineRule="exact"/>
              <w:jc w:val="center"/>
              <w:rPr>
                <w:rFonts w:ascii="仿宋_GB2312" w:hAnsi="宋体" w:eastAsia="仿宋_GB2312"/>
                <w:color w:val="auto"/>
                <w:sz w:val="24"/>
                <w:highlight w:val="none"/>
              </w:rPr>
            </w:pPr>
          </w:p>
        </w:tc>
        <w:tc>
          <w:tcPr>
            <w:tcW w:w="855" w:type="dxa"/>
            <w:vMerge w:val="continue"/>
            <w:vAlign w:val="center"/>
          </w:tcPr>
          <w:p>
            <w:pPr>
              <w:snapToGrid w:val="0"/>
              <w:spacing w:line="440" w:lineRule="exact"/>
              <w:rPr>
                <w:rFonts w:ascii="仿宋_GB2312" w:hAnsi="仿宋_GB2312" w:eastAsia="仿宋_GB2312" w:cs="仿宋_GB2312"/>
                <w:b/>
                <w:color w:val="auto"/>
                <w:sz w:val="24"/>
                <w:highlight w:val="none"/>
              </w:rPr>
            </w:pPr>
          </w:p>
        </w:tc>
        <w:tc>
          <w:tcPr>
            <w:tcW w:w="7516" w:type="dxa"/>
            <w:vAlign w:val="center"/>
          </w:tcPr>
          <w:p>
            <w:pPr>
              <w:snapToGrid w:val="0"/>
              <w:spacing w:line="44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信用信息的使用规则：</w:t>
            </w:r>
            <w:r>
              <w:rPr>
                <w:rFonts w:hint="eastAsia" w:ascii="仿宋_GB2312" w:hAnsi="宋体" w:eastAsia="仿宋_GB2312"/>
                <w:color w:val="auto"/>
                <w:sz w:val="24"/>
                <w:highlight w:val="none"/>
              </w:rPr>
              <w:t>经查询列入失信被执行人名单、重大税收违法案件当事人名单、政府采购严重违法失信行为记录名单的投标人将被拒绝参与政府采购活动。</w:t>
            </w:r>
          </w:p>
          <w:p>
            <w:pPr>
              <w:snapToGrid w:val="0"/>
              <w:spacing w:line="440" w:lineRule="exact"/>
              <w:rPr>
                <w:rFonts w:ascii="仿宋_GB2312" w:hAnsi="仿宋_GB2312" w:eastAsia="仿宋_GB2312" w:cs="仿宋_GB2312"/>
                <w:b/>
                <w:color w:val="auto"/>
                <w:sz w:val="24"/>
                <w:highlight w:val="none"/>
              </w:rPr>
            </w:pPr>
            <w:r>
              <w:rPr>
                <w:rFonts w:ascii="仿宋_GB2312" w:hAnsi="宋体" w:eastAsia="仿宋_GB2312"/>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宋体" w:eastAsia="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14</w:t>
            </w:r>
          </w:p>
        </w:tc>
        <w:tc>
          <w:tcPr>
            <w:tcW w:w="8371" w:type="dxa"/>
            <w:gridSpan w:val="2"/>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扰乱公共资源交易市场秩序行为：</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不诚信参加公共资源交易活动，扰乱市场秩序，被绍兴市公共资源交易平台责令整改、暂停交易的投标人，在此期间将被拒绝参与政府采购活动。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15</w:t>
            </w:r>
          </w:p>
        </w:tc>
        <w:tc>
          <w:tcPr>
            <w:tcW w:w="8371" w:type="dxa"/>
            <w:gridSpan w:val="2"/>
            <w:vAlign w:val="center"/>
          </w:tcPr>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16</w:t>
            </w:r>
          </w:p>
        </w:tc>
        <w:tc>
          <w:tcPr>
            <w:tcW w:w="8371" w:type="dxa"/>
            <w:gridSpan w:val="2"/>
            <w:vAlign w:val="center"/>
          </w:tcPr>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17                                                                                                                                                                                                                                                                                                                                                                                                                                                                                                                                                                                                                                                                                                                                                                                                                                                                                                                                                                                                                                                                                                                                                                                                                                                                                                                                        </w:t>
            </w:r>
          </w:p>
        </w:tc>
        <w:tc>
          <w:tcPr>
            <w:tcW w:w="8371" w:type="dxa"/>
            <w:gridSpan w:val="2"/>
            <w:vAlign w:val="center"/>
          </w:tcPr>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投标与开标注意事项：</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1.本项目实行网上投标，采用电子投标文件。若供应商参与投标，自行承担投标一切费用。</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2.标前准备：各供应商应在开标前应确保成为浙江省政府采购网正式注册入库供应商，并完成CA数字证书办理。因未注册入库、未办理CA数字证书等原因造成无法投标或投标失败等后果由供应商自行承担。</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供应商将政采云电子交易客户端下载、安装完成后，可通过账号密码或CA登录客户端进行投标文件制作。在使用政采云投标客户端时，建议使用WIN7及以上操作系统。</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pPr>
              <w:snapToGrid w:val="0"/>
              <w:spacing w:line="440" w:lineRule="exact"/>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《CA申领操作指南》：https://help.zcygov.cn/web/site_2/2018/11-29/2452.html</w:t>
            </w:r>
          </w:p>
          <w:p>
            <w:pPr>
              <w:snapToGrid w:val="0"/>
              <w:spacing w:line="440" w:lineRule="exact"/>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《CA管理操作指南》：https://help.zcygov.cn/web/site_2/2019/08-20/3405.html</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《CA驱动和申领流程》:</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http://zfcg.czt.zj.gov.cn//bidClientTemplate/2019-05-27/12945.html</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3.投标文件制作、递交、解密：</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3.1应按照本项目招标文件和政采云平台的要求编制、加密传输投标文件。供应商在使用系统进行投标的过程中遇到涉及平台使用的任何问题，可致电政采云平台技术支持热线咨询，联系方式：400-881-7190。</w:t>
            </w:r>
          </w:p>
          <w:p>
            <w:pPr>
              <w:snapToGrid w:val="0"/>
              <w:spacing w:line="440" w:lineRule="exact"/>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3.2投标人通过“政采云”平台制作电子投标文件，投标文件制作详见“供应商-政府采购项目电子交易操作指南：</w:t>
            </w:r>
            <w:r>
              <w:rPr>
                <w:color w:val="auto"/>
                <w:highlight w:val="none"/>
              </w:rPr>
              <w:fldChar w:fldCharType="begin"/>
            </w:r>
            <w:r>
              <w:rPr>
                <w:color w:val="auto"/>
                <w:highlight w:val="none"/>
              </w:rPr>
              <w:instrText xml:space="preserve"> HYPERLINK "https://help.zcygov.cn/web/site_2/2018/12-28/2573.html" </w:instrText>
            </w:r>
            <w:r>
              <w:rPr>
                <w:color w:val="auto"/>
                <w:highlight w:val="none"/>
              </w:rPr>
              <w:fldChar w:fldCharType="separate"/>
            </w:r>
            <w:r>
              <w:rPr>
                <w:rStyle w:val="48"/>
                <w:rFonts w:hint="eastAsia" w:ascii="仿宋_GB2312" w:hAnsi="仿宋" w:eastAsia="仿宋_GB2312"/>
                <w:color w:val="auto"/>
                <w:sz w:val="24"/>
                <w:highlight w:val="none"/>
              </w:rPr>
              <w:t>https://help.zcygov.cn/web/site_2/2018/12-28/2573.html</w:t>
            </w:r>
            <w:r>
              <w:rPr>
                <w:rStyle w:val="48"/>
                <w:rFonts w:hint="eastAsia" w:ascii="仿宋_GB2312" w:hAnsi="仿宋" w:eastAsia="仿宋_GB2312"/>
                <w:color w:val="auto"/>
                <w:sz w:val="24"/>
                <w:highlight w:val="none"/>
              </w:rPr>
              <w:fldChar w:fldCharType="end"/>
            </w:r>
            <w:r>
              <w:rPr>
                <w:rFonts w:hint="eastAsia" w:ascii="仿宋_GB2312" w:hAnsi="仿宋" w:eastAsia="仿宋_GB2312"/>
                <w:color w:val="auto"/>
                <w:sz w:val="24"/>
                <w:highlight w:val="none"/>
              </w:rPr>
              <w:t>”。</w:t>
            </w:r>
          </w:p>
          <w:p>
            <w:pPr>
              <w:snapToGrid w:val="0"/>
              <w:spacing w:line="440" w:lineRule="exact"/>
              <w:rPr>
                <w:rFonts w:ascii="仿宋" w:hAnsi="仿宋" w:eastAsia="仿宋"/>
                <w:color w:val="auto"/>
                <w:sz w:val="24"/>
                <w:highlight w:val="none"/>
              </w:rPr>
            </w:pPr>
            <w:r>
              <w:rPr>
                <w:rFonts w:hint="eastAsia" w:ascii="仿宋_GB2312" w:hAnsi="仿宋" w:eastAsia="仿宋_GB2312"/>
                <w:color w:val="auto"/>
                <w:sz w:val="24"/>
                <w:highlight w:val="none"/>
              </w:rPr>
              <w:t>3.3</w:t>
            </w:r>
            <w:r>
              <w:rPr>
                <w:rFonts w:hint="eastAsia" w:ascii="仿宋_GB2312" w:hAnsi="新宋体" w:eastAsia="仿宋_GB2312" w:cs="Arial"/>
                <w:color w:val="auto"/>
                <w:sz w:val="24"/>
                <w:highlight w:val="none"/>
              </w:rPr>
              <w:t>开标时间后3</w:t>
            </w:r>
            <w:r>
              <w:rPr>
                <w:rFonts w:ascii="仿宋_GB2312" w:hAnsi="新宋体" w:eastAsia="仿宋_GB2312" w:cs="Arial"/>
                <w:color w:val="auto"/>
                <w:sz w:val="24"/>
                <w:highlight w:val="none"/>
              </w:rPr>
              <w:t>0</w:t>
            </w:r>
            <w:r>
              <w:rPr>
                <w:rFonts w:hint="eastAsia" w:ascii="仿宋_GB2312" w:hAnsi="新宋体" w:eastAsia="仿宋_GB2312" w:cs="Arial"/>
                <w:color w:val="auto"/>
                <w:sz w:val="24"/>
                <w:highlight w:val="none"/>
              </w:rPr>
              <w:t>分钟内供应商可以登录“政采云”平台，用“项目采购-开标评标”功能进行解密投标文件。若供应商</w:t>
            </w:r>
            <w:r>
              <w:rPr>
                <w:rFonts w:hint="eastAsia" w:ascii="仿宋_GB2312" w:hAnsi="宋体" w:eastAsia="仿宋_GB2312"/>
                <w:b/>
                <w:color w:val="auto"/>
                <w:sz w:val="24"/>
                <w:highlight w:val="none"/>
                <w:u w:val="single"/>
              </w:rPr>
              <w:t>未按时解密的</w:t>
            </w:r>
            <w:r>
              <w:rPr>
                <w:rFonts w:hint="eastAsia" w:ascii="仿宋_GB2312" w:hAnsi="新宋体" w:eastAsia="仿宋_GB2312" w:cs="Arial"/>
                <w:color w:val="auto"/>
                <w:sz w:val="24"/>
                <w:highlight w:val="none"/>
              </w:rPr>
              <w:t>，</w:t>
            </w:r>
            <w:r>
              <w:rPr>
                <w:rFonts w:hint="eastAsia" w:ascii="仿宋_GB2312" w:hAnsi="宋体" w:eastAsia="仿宋_GB2312"/>
                <w:b/>
                <w:color w:val="auto"/>
                <w:sz w:val="24"/>
                <w:highlight w:val="none"/>
                <w:u w:val="single"/>
              </w:rPr>
              <w:t>视为投标文件撤回</w:t>
            </w:r>
            <w:r>
              <w:rPr>
                <w:rFonts w:hint="eastAsia" w:ascii="仿宋_GB2312" w:hAnsi="新宋体" w:eastAsia="仿宋_GB2312" w:cs="Arial"/>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解释：凡涉及本招标文件的解释权属于采购人和</w:t>
            </w:r>
            <w:r>
              <w:rPr>
                <w:rFonts w:hint="eastAsia" w:ascii="仿宋_GB2312" w:hAnsi="宋体" w:eastAsia="仿宋_GB2312"/>
                <w:color w:val="auto"/>
                <w:sz w:val="24"/>
                <w:highlight w:val="none"/>
                <w:lang w:eastAsia="zh-CN"/>
              </w:rPr>
              <w:t>代理机构</w:t>
            </w:r>
            <w:r>
              <w:rPr>
                <w:rFonts w:hint="eastAsia" w:ascii="仿宋_GB2312" w:hAnsi="宋体" w:eastAsia="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ascii="仿宋_GB2312" w:eastAsia="仿宋_GB2312"/>
                <w:b/>
                <w:color w:val="auto"/>
                <w:sz w:val="24"/>
                <w:highlight w:val="none"/>
              </w:rPr>
            </w:pPr>
            <w:r>
              <w:rPr>
                <w:rFonts w:hint="eastAsia" w:ascii="仿宋_GB2312" w:eastAsia="仿宋_GB2312"/>
                <w:b/>
                <w:color w:val="auto"/>
                <w:sz w:val="24"/>
                <w:highlight w:val="none"/>
              </w:rPr>
              <w:t>注：中标人放弃中标资格或因质疑、投诉被取消中标资格或不能履行合同的，本项目重新组织采购。</w:t>
            </w:r>
          </w:p>
        </w:tc>
      </w:tr>
      <w:bookmarkEnd w:id="0"/>
    </w:tbl>
    <w:p>
      <w:pPr>
        <w:pageBreakBefore/>
        <w:snapToGrid w:val="0"/>
        <w:spacing w:line="300" w:lineRule="auto"/>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一、总则</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 项目说明</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1.1本招标文件</w:t>
      </w:r>
      <w:r>
        <w:rPr>
          <w:rFonts w:hint="eastAsia" w:ascii="仿宋" w:hAnsi="仿宋" w:eastAsia="仿宋"/>
          <w:color w:val="auto"/>
          <w:sz w:val="24"/>
          <w:highlight w:val="none"/>
        </w:rPr>
        <w:t>适用于该项目的招标、投标、开标、资格审查及信用信息查询、评标、定标、合同、验收等行为（法律、法规另有规定的，从其规定）。</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1.2投标人一旦参与本次招标活动，即被视为接受了本招标文件的所有内容，如有任何异议，均应在法定时间内提出。</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1.4本招标文件所称公章是指单位法定名称章或者冠以法定名称的投标业务专用章或单位法定名称电子公章。</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 定义</w:t>
      </w:r>
    </w:p>
    <w:p>
      <w:pPr>
        <w:snapToGrid w:val="0"/>
        <w:spacing w:line="440" w:lineRule="exact"/>
        <w:jc w:val="left"/>
        <w:rPr>
          <w:rFonts w:ascii="仿宋_GB2312" w:hAnsi="宋体" w:eastAsia="仿宋_GB2312"/>
          <w:color w:val="auto"/>
          <w:sz w:val="24"/>
          <w:highlight w:val="none"/>
        </w:rPr>
      </w:pPr>
      <w:r>
        <w:rPr>
          <w:rFonts w:hint="eastAsia" w:ascii="仿宋_GB2312" w:hAnsi="仿宋_GB2312" w:eastAsia="仿宋_GB2312" w:cs="仿宋_GB2312"/>
          <w:color w:val="auto"/>
          <w:sz w:val="24"/>
          <w:highlight w:val="none"/>
        </w:rPr>
        <w:t>2.1政府采购当事人及监管部门：</w:t>
      </w: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sz w:val="24"/>
          <w:highlight w:val="none"/>
        </w:rPr>
        <w:t>为本项目的采购人（合同中的甲方），浙江翔实建设项目管理有限公司为采购代理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2.2“产品”系指供方按招标文件规定，经合法途径取得的，须向采购人提供的一切产品、保险、税金、安装、施工、调试、备品备件、工具、手册及其它有关技术资料和材料。</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2.3“服务”系指招标文件规定投标人须承担的安装、调试、技术协助、校准、培训、技术指导以及其他类似的义务。</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2.4“项目”系指投标人按招标文件规定向采购人提供的产品和服务。</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2.5“授权代表”系指法定代表人的被授权委托人。</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2.6“电子交易平台”是指本项目政府采购活动所依托的政府采购云平台（https://www.zcygov.cn/）。</w:t>
      </w:r>
    </w:p>
    <w:p>
      <w:pPr>
        <w:snapToGrid w:val="0"/>
        <w:spacing w:line="440" w:lineRule="exact"/>
        <w:jc w:val="left"/>
        <w:rPr>
          <w:rFonts w:ascii="仿宋_GB2312" w:hAnsi="仿宋" w:eastAsia="仿宋_GB2312"/>
          <w:color w:val="auto"/>
          <w:sz w:val="24"/>
          <w:highlight w:val="none"/>
        </w:rPr>
      </w:pPr>
      <w:r>
        <w:rPr>
          <w:rFonts w:hint="eastAsia" w:ascii="仿宋_GB2312" w:hAnsi="宋体" w:eastAsia="仿宋_GB2312"/>
          <w:color w:val="auto"/>
          <w:sz w:val="24"/>
          <w:highlight w:val="none"/>
        </w:rPr>
        <w:t>2.7 “★”系指实质性指标要求条款，“▲”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_GB2312" w:hAnsi="仿宋" w:eastAsia="仿宋_GB2312"/>
          <w:color w:val="auto"/>
          <w:sz w:val="24"/>
          <w:highlight w:val="none"/>
        </w:rPr>
        <w:t>“</w:t>
      </w:r>
      <w:sdt>
        <w:sdtPr>
          <w:rPr>
            <w:rFonts w:hint="eastAsia" w:ascii="仿宋_GB2312" w:hAnsi="仿宋" w:eastAsia="仿宋_GB2312" w:cs="Arial"/>
            <w:color w:val="auto"/>
            <w:kern w:val="0"/>
            <w:sz w:val="24"/>
            <w:highlight w:val="none"/>
          </w:rPr>
          <w:id w:val="512970236"/>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w:t>
          </w:r>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系指适用本项目的要求，“</w:t>
      </w:r>
      <w:sdt>
        <w:sdtPr>
          <w:rPr>
            <w:rFonts w:hint="eastAsia" w:ascii="仿宋_GB2312" w:hAnsi="仿宋" w:eastAsia="仿宋_GB2312" w:cs="Arial"/>
            <w:color w:val="auto"/>
            <w:kern w:val="0"/>
            <w:sz w:val="24"/>
            <w:highlight w:val="none"/>
          </w:rPr>
          <w:id w:val="40488885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系指不适用本项目的要求。</w:t>
      </w:r>
    </w:p>
    <w:p>
      <w:pPr>
        <w:snapToGrid w:val="0"/>
        <w:spacing w:line="440" w:lineRule="exact"/>
        <w:jc w:val="left"/>
        <w:rPr>
          <w:rFonts w:ascii="仿宋_GB2312" w:hAnsi="宋体" w:eastAsia="仿宋_GB2312"/>
          <w:color w:val="auto"/>
          <w:sz w:val="24"/>
          <w:highlight w:val="none"/>
        </w:rPr>
      </w:pPr>
      <w:r>
        <w:rPr>
          <w:rFonts w:hint="eastAsia" w:ascii="仿宋_GB2312" w:hAnsi="仿宋" w:eastAsia="仿宋_GB2312"/>
          <w:color w:val="auto"/>
          <w:sz w:val="24"/>
          <w:highlight w:val="none"/>
        </w:rPr>
        <w:t>2.8因特殊原因需要使用冠以法定名称的业务专用章的，投标时须提供《业务专用章使用说明函》(详见附件)</w:t>
      </w:r>
    </w:p>
    <w:p>
      <w:pPr>
        <w:spacing w:line="440" w:lineRule="exact"/>
        <w:rPr>
          <w:rFonts w:ascii="仿宋_GB2312" w:hAnsi="仿宋" w:eastAsia="仿宋_GB2312"/>
          <w:b/>
          <w:color w:val="auto"/>
          <w:sz w:val="24"/>
          <w:highlight w:val="none"/>
        </w:rPr>
      </w:pPr>
      <w:r>
        <w:rPr>
          <w:rFonts w:hint="eastAsia" w:ascii="仿宋_GB2312" w:hAnsi="仿宋" w:eastAsia="仿宋_GB2312"/>
          <w:b/>
          <w:color w:val="auto"/>
          <w:sz w:val="24"/>
          <w:highlight w:val="none"/>
        </w:rPr>
        <w:t>3.采购项目需要落实的政府采购政策</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440" w:lineRule="exact"/>
        <w:rPr>
          <w:rFonts w:ascii="仿宋_GB2312" w:hAnsi="仿宋" w:eastAsia="仿宋_GB2312"/>
          <w:b/>
          <w:color w:val="auto"/>
          <w:sz w:val="24"/>
          <w:highlight w:val="none"/>
        </w:rPr>
      </w:pPr>
      <w:r>
        <w:rPr>
          <w:rFonts w:hint="eastAsia" w:ascii="仿宋_GB2312" w:hAnsi="仿宋" w:eastAsia="仿宋_GB2312"/>
          <w:color w:val="auto"/>
          <w:sz w:val="24"/>
          <w:highlight w:val="none"/>
        </w:rPr>
        <w:t>3.2.2</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3</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w:t>
      </w:r>
      <w:r>
        <w:rPr>
          <w:rFonts w:hint="eastAsia" w:ascii="仿宋_GB2312" w:hAnsi="仿宋" w:eastAsia="仿宋_GB2312"/>
          <w:bCs/>
          <w:color w:val="auto"/>
          <w:sz w:val="24"/>
          <w:highlight w:val="none"/>
        </w:rPr>
        <w:t>小微</w:t>
      </w:r>
      <w:r>
        <w:rPr>
          <w:rFonts w:hint="eastAsia" w:ascii="仿宋_GB2312" w:hAnsi="仿宋" w:eastAsia="仿宋_GB2312"/>
          <w:color w:val="auto"/>
          <w:sz w:val="24"/>
          <w:highlight w:val="none"/>
        </w:rPr>
        <w:t>企业价格扣除。</w:t>
      </w:r>
    </w:p>
    <w:p>
      <w:pPr>
        <w:spacing w:line="440" w:lineRule="exact"/>
        <w:rPr>
          <w:rFonts w:ascii="仿宋_GB2312" w:hAnsi="仿宋" w:eastAsia="仿宋_GB2312"/>
          <w:bCs/>
          <w:color w:val="auto"/>
          <w:sz w:val="24"/>
          <w:highlight w:val="none"/>
        </w:rPr>
      </w:pPr>
      <w:r>
        <w:rPr>
          <w:rFonts w:hint="eastAsia" w:ascii="仿宋_GB2312" w:hAnsi="仿宋" w:eastAsia="仿宋_GB2312"/>
          <w:color w:val="auto"/>
          <w:sz w:val="24"/>
          <w:highlight w:val="none"/>
        </w:rPr>
        <w:t>3.3.1小微企业是指</w:t>
      </w:r>
      <w:r>
        <w:rPr>
          <w:rFonts w:hint="eastAsia" w:ascii="仿宋_GB2312" w:hAnsi="仿宋" w:eastAsia="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80" w:firstLineChars="200"/>
        <w:rPr>
          <w:rFonts w:ascii="仿宋_GB2312" w:hAnsi="仿宋" w:eastAsia="仿宋_GB2312"/>
          <w:bCs/>
          <w:color w:val="auto"/>
          <w:sz w:val="24"/>
          <w:highlight w:val="none"/>
        </w:rPr>
      </w:pPr>
      <w:r>
        <w:rPr>
          <w:rFonts w:hint="eastAsia" w:ascii="仿宋_GB2312" w:hAnsi="仿宋" w:eastAsia="仿宋_GB2312"/>
          <w:bCs/>
          <w:color w:val="auto"/>
          <w:sz w:val="24"/>
          <w:highlight w:val="none"/>
        </w:rPr>
        <w:t>符合中小企业划分标准的个体工商户，在政府采购活动中视同中小企业。</w:t>
      </w:r>
    </w:p>
    <w:p>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4"/>
          <w:highlight w:val="none"/>
        </w:rPr>
        <w:t>供应商提供的货物既有中小企业制造货物，也有大型企业制造货物的，不享受中小企业扶持政策。</w:t>
      </w:r>
    </w:p>
    <w:p>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3.3.3在服务采购项目中，服务由小微企业承接，即提供服务的人员为小微企业依照《中华人民共和国劳动合同法》订立劳动合同的从业人员。</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3.3.4小微企业应按照招标文件格式要求提供《中小企业声明函》。</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ascii="仿宋_GB2312" w:hAnsi="仿宋" w:eastAsia="仿宋_GB2312"/>
          <w:color w:val="auto"/>
          <w:sz w:val="24"/>
          <w:highlight w:val="none"/>
        </w:rPr>
        <w:t>3</w:t>
      </w:r>
      <w:r>
        <w:rPr>
          <w:rFonts w:hint="eastAsia"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以联合体形式参加政府采购活动， 联合体各方均为中小企业的，联合体视同中小企业。其中，联合体各方均为小微企业的，联合体视同小微企业。</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3.3.7符合《关于促进残疾人就业政府采购政策的通知》（财库〔2017〕141号）规定的条件并提供《残疾人福利性单位声明函》（附件1）的残疾人福利性单位视同小微企业；</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440" w:lineRule="exact"/>
        <w:rPr>
          <w:rFonts w:ascii="仿宋_GB2312" w:hAnsi="仿宋" w:eastAsia="仿宋_GB2312"/>
          <w:color w:val="auto"/>
          <w:sz w:val="24"/>
          <w:highlight w:val="none"/>
        </w:rPr>
      </w:pPr>
      <w:r>
        <w:rPr>
          <w:rFonts w:hint="eastAsia" w:ascii="仿宋_GB2312" w:hAnsi="宋体" w:eastAsia="仿宋_GB2312"/>
          <w:color w:val="auto"/>
          <w:sz w:val="24"/>
          <w:highlight w:val="none"/>
        </w:rPr>
        <w:t>★</w:t>
      </w:r>
      <w:r>
        <w:rPr>
          <w:rFonts w:hint="eastAsia" w:ascii="仿宋_GB2312" w:hAnsi="仿宋" w:eastAsia="仿宋_GB2312"/>
          <w:color w:val="auto"/>
          <w:sz w:val="24"/>
          <w:highlight w:val="none"/>
        </w:rPr>
        <w:t>4.特别说明：</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4.1供应商投标所使用的资格、信誉、荣誉、业绩与企业认证必须为投标单位所拥有。供应商投标所使用的采购项目实施人员必须为投标单位正式员工。</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4.2供应商应仔细阅读招标文件的所有内容，按照招标文件的要求提交投标文件，并对所提供的全部资料的真实性承担法律责任。</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pPr>
        <w:snapToGrid w:val="0"/>
        <w:spacing w:beforeLines="50" w:afterLines="50"/>
        <w:jc w:val="center"/>
        <w:rPr>
          <w:rFonts w:ascii="仿宋_GB2312" w:hAnsi="宋体" w:eastAsia="仿宋_GB2312"/>
          <w:color w:val="auto"/>
          <w:sz w:val="24"/>
          <w:highlight w:val="none"/>
        </w:rPr>
      </w:pPr>
      <w:r>
        <w:rPr>
          <w:rFonts w:hint="eastAsia" w:ascii="仿宋_GB2312" w:hAnsi="宋体" w:eastAsia="仿宋_GB2312"/>
          <w:b/>
          <w:color w:val="auto"/>
          <w:sz w:val="36"/>
          <w:szCs w:val="36"/>
          <w:highlight w:val="none"/>
        </w:rPr>
        <w:t>二、招标文件</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1．招标方式</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 本次招标采用</w:t>
      </w:r>
      <w:r>
        <w:rPr>
          <w:rFonts w:hint="eastAsia" w:ascii="仿宋_GB2312" w:hAnsi="宋体" w:eastAsia="仿宋_GB2312"/>
          <w:b/>
          <w:color w:val="auto"/>
          <w:kern w:val="0"/>
          <w:sz w:val="24"/>
          <w:highlight w:val="none"/>
        </w:rPr>
        <w:t>公开招标</w:t>
      </w:r>
      <w:r>
        <w:rPr>
          <w:rFonts w:hint="eastAsia" w:ascii="仿宋_GB2312" w:hAnsi="宋体" w:eastAsia="仿宋_GB2312"/>
          <w:color w:val="auto"/>
          <w:sz w:val="24"/>
          <w:highlight w:val="none"/>
        </w:rPr>
        <w:t>方式进行。</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color w:val="auto"/>
          <w:sz w:val="24"/>
          <w:highlight w:val="none"/>
        </w:rPr>
        <w:t>1.2 如某一标项投标人或实质性响应招标文件的投标人不足三家时，由采购人重新组织招标或按有关规定实施。</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 本次招标设定限价，即招标公告中公布的各标项预算金额或最高限价（各标项之间的预算金额不能互相调整）。</w:t>
      </w:r>
    </w:p>
    <w:p>
      <w:pPr>
        <w:pStyle w:val="18"/>
        <w:snapToGrid w:val="0"/>
        <w:spacing w:after="0" w:line="440" w:lineRule="exact"/>
        <w:ind w:left="0" w:leftChars="0"/>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2.授权委托</w:t>
      </w:r>
    </w:p>
    <w:p>
      <w:pPr>
        <w:pStyle w:val="13"/>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宋体" w:eastAsia="仿宋_GB2312"/>
          <w:color w:val="auto"/>
          <w:highlight w:val="none"/>
        </w:rPr>
        <w:t>本项目为电子投标项目，投标人的法定代表人或其授权代表或个体工商户不需要参加现场投标和开标。</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 投标费用</w:t>
      </w:r>
    </w:p>
    <w:p>
      <w:pPr>
        <w:pStyle w:val="13"/>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宋体" w:eastAsia="仿宋_GB2312"/>
          <w:color w:val="auto"/>
          <w:highlight w:val="none"/>
        </w:rPr>
        <w:t>投标人应自行承担编制投标文件及参加本次投标所涉及的一切费用。不管投标结果如何，招标人对上述费用不负任何责任。对中标人免收政府采购代理服务费。</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4. 招标文件的修改</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4.1 </w:t>
      </w:r>
      <w:r>
        <w:rPr>
          <w:rFonts w:hint="eastAsia" w:ascii="仿宋_GB2312" w:hAnsi="宋体" w:eastAsia="仿宋_GB2312"/>
          <w:bCs/>
          <w:color w:val="auto"/>
          <w:sz w:val="24"/>
          <w:highlight w:val="none"/>
        </w:rPr>
        <w:t>招标文件包括本招标文件及所有的招标答疑记录（澄清、修改）和发出的补充通知</w:t>
      </w:r>
      <w:r>
        <w:rPr>
          <w:rFonts w:hint="eastAsia" w:ascii="仿宋_GB2312" w:hAnsi="宋体" w:eastAsia="仿宋_GB2312"/>
          <w:color w:val="auto"/>
          <w:sz w:val="24"/>
          <w:highlight w:val="none"/>
        </w:rPr>
        <w:t>。</w:t>
      </w:r>
    </w:p>
    <w:p>
      <w:pPr>
        <w:pStyle w:val="13"/>
        <w:widowControl w:val="0"/>
        <w:tabs>
          <w:tab w:val="clear" w:pos="454"/>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 xml:space="preserve">4.2招标文件的澄清 </w:t>
      </w:r>
    </w:p>
    <w:p>
      <w:pPr>
        <w:pStyle w:val="13"/>
        <w:widowControl w:val="0"/>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宋体" w:eastAsia="仿宋_GB2312"/>
          <w:color w:val="auto"/>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pStyle w:val="13"/>
        <w:tabs>
          <w:tab w:val="clear" w:pos="454"/>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4.3招标文件的修改</w:t>
      </w:r>
    </w:p>
    <w:p>
      <w:pPr>
        <w:pStyle w:val="13"/>
        <w:tabs>
          <w:tab w:val="clear" w:pos="454"/>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5.参考品牌</w:t>
      </w:r>
    </w:p>
    <w:p>
      <w:pPr>
        <w:snapToGrid w:val="0"/>
        <w:spacing w:line="440" w:lineRule="exact"/>
        <w:ind w:firstLine="470" w:firstLineChars="19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snapToGrid w:val="0"/>
        <w:spacing w:line="800" w:lineRule="exact"/>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三、投标文件</w:t>
      </w:r>
    </w:p>
    <w:p>
      <w:pPr>
        <w:numPr>
          <w:ilvl w:val="0"/>
          <w:numId w:val="5"/>
        </w:num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投标文件的语言、计量单位、形式及效力</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1.1投标人应仔细阅读招标文件中的所有内容，按照招标文件要求，详细编制投标文件，并保证投标文件的正确性和真实性。</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 投标文件以及投标方与招标方就有关投标事宜的所有来往函电，均应以中文书写（技术术语除外）。</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 投标计量单位，除招标文件中有特殊要求外，应采用中华人民共和国法定计量单位，货币单位：人民币元。</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1.4不按招标文件的要求提供的投标文件可能导致被拒绝。</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1.5投标文件的形式和效力</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1.5.1投标文件为电子投标文件，电子投标文件按“政采云供应商项目采购-电子招投标操作指南”及本招标文件要求制作、加密传输。</w:t>
      </w:r>
    </w:p>
    <w:p>
      <w:pPr>
        <w:snapToGrid w:val="0"/>
        <w:spacing w:line="440" w:lineRule="exact"/>
        <w:jc w:val="left"/>
        <w:rPr>
          <w:rFonts w:ascii="仿宋_GB2312" w:hAnsi="宋体" w:eastAsia="仿宋_GB2312"/>
          <w:b/>
          <w:color w:val="auto"/>
          <w:sz w:val="24"/>
          <w:highlight w:val="none"/>
          <w:u w:val="single"/>
        </w:rPr>
      </w:pPr>
      <w:r>
        <w:rPr>
          <w:rFonts w:hint="eastAsia" w:ascii="仿宋_GB2312" w:hAnsi="宋体" w:eastAsia="仿宋_GB2312"/>
          <w:b/>
          <w:color w:val="auto"/>
          <w:sz w:val="24"/>
          <w:highlight w:val="none"/>
          <w:u w:val="single"/>
        </w:rPr>
        <w:t>1.5.2投标文件的效力：</w:t>
      </w:r>
    </w:p>
    <w:p>
      <w:pPr>
        <w:snapToGrid w:val="0"/>
        <w:spacing w:line="440" w:lineRule="exact"/>
        <w:ind w:firstLine="472" w:firstLineChars="196"/>
        <w:jc w:val="left"/>
        <w:rPr>
          <w:rFonts w:ascii="仿宋_GB2312" w:hAnsi="宋体" w:eastAsia="仿宋_GB2312"/>
          <w:b/>
          <w:color w:val="auto"/>
          <w:sz w:val="24"/>
          <w:highlight w:val="none"/>
          <w:u w:val="single"/>
        </w:rPr>
      </w:pPr>
      <w:r>
        <w:rPr>
          <w:rFonts w:hint="eastAsia" w:ascii="仿宋_GB2312" w:hAnsi="宋体" w:eastAsia="仿宋_GB2312"/>
          <w:b/>
          <w:color w:val="auto"/>
          <w:sz w:val="24"/>
          <w:highlight w:val="none"/>
          <w:u w:val="single"/>
        </w:rPr>
        <w:t>投标文件未在投标截止时间前完成传输的，视为投标文件撤回；投标文件未按时解密，亦视为投标文件撤回。</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 投标文件的组成</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投标文件由“报价文件资料”、“商务技术（资信）文件资料”两部分组成，</w:t>
      </w:r>
      <w:r>
        <w:rPr>
          <w:rFonts w:hint="eastAsia" w:ascii="仿宋" w:hAnsi="仿宋" w:eastAsia="仿宋"/>
          <w:color w:val="auto"/>
          <w:sz w:val="24"/>
          <w:highlight w:val="none"/>
        </w:rPr>
        <w:t>其中</w:t>
      </w:r>
      <w:r>
        <w:rPr>
          <w:rFonts w:hint="eastAsia" w:ascii="仿宋" w:hAnsi="仿宋" w:eastAsia="仿宋"/>
          <w:b/>
          <w:color w:val="auto"/>
          <w:sz w:val="24"/>
          <w:highlight w:val="none"/>
        </w:rPr>
        <w:t>电子投标文件中所须加盖公章部分均应采用电子签章。</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2.1 “报价文件资料”应包含以下内容：</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2.1.1投标响应函（格式见第六部分附件）； </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2.1.2开标一览表（格式见第六部分附件）；</w:t>
      </w:r>
    </w:p>
    <w:p>
      <w:pPr>
        <w:pStyle w:val="23"/>
        <w:spacing w:line="440" w:lineRule="exact"/>
        <w:rPr>
          <w:rFonts w:ascii="仿宋_GB2312" w:hAnsi="宋体" w:eastAsia="仿宋_GB2312"/>
          <w:b w:val="0"/>
          <w:color w:val="auto"/>
          <w:sz w:val="24"/>
          <w:highlight w:val="none"/>
        </w:rPr>
      </w:pPr>
      <w:r>
        <w:rPr>
          <w:rFonts w:hint="eastAsia" w:ascii="仿宋_GB2312" w:hAnsi="宋体" w:eastAsia="仿宋_GB2312"/>
          <w:b w:val="0"/>
          <w:color w:val="auto"/>
          <w:sz w:val="24"/>
          <w:highlight w:val="none"/>
        </w:rPr>
        <w:t>2.1.3中小企业声明函（如有，格式见第六部分附件）；</w:t>
      </w:r>
    </w:p>
    <w:p>
      <w:pPr>
        <w:pStyle w:val="23"/>
        <w:spacing w:line="440" w:lineRule="exact"/>
        <w:rPr>
          <w:rFonts w:ascii="仿宋_GB2312" w:hAnsi="宋体" w:eastAsia="仿宋_GB2312"/>
          <w:b w:val="0"/>
          <w:color w:val="auto"/>
          <w:sz w:val="24"/>
          <w:highlight w:val="none"/>
        </w:rPr>
      </w:pPr>
      <w:r>
        <w:rPr>
          <w:rFonts w:hint="eastAsia" w:ascii="仿宋_GB2312" w:hAnsi="宋体" w:eastAsia="仿宋_GB2312"/>
          <w:b w:val="0"/>
          <w:color w:val="auto"/>
          <w:sz w:val="24"/>
          <w:highlight w:val="none"/>
        </w:rPr>
        <w:t>2.1.4残疾人福利性单位声明函（如有，格式见第六部分附件）。</w:t>
      </w:r>
    </w:p>
    <w:p>
      <w:pPr>
        <w:tabs>
          <w:tab w:val="left" w:pos="3870"/>
          <w:tab w:val="left" w:pos="4085"/>
        </w:tabs>
        <w:snapToGrid w:val="0"/>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以上文件组成“报价文件资料”。投标人在“报价文件资料”中应对招标文件作实质性响应，该项内容将作为评标重要指标。</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 “商务技术（资信）文件资料”应包括以下内容（正本用原件）：</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2.2.1法定代表人授权委托书(格式见第六部分附件)；</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2.2.2授权代表社保证明（格式见第六部分附件）；</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2.2.3法定代表人身份证明书（格式见第六部分附件）；</w:t>
      </w:r>
    </w:p>
    <w:p>
      <w:pPr>
        <w:snapToGrid w:val="0"/>
        <w:spacing w:line="440" w:lineRule="exact"/>
        <w:rPr>
          <w:rFonts w:ascii="仿宋_GB2312" w:hAnsi="Arial" w:eastAsia="仿宋_GB2312" w:cs="Arial"/>
          <w:color w:val="auto"/>
          <w:kern w:val="0"/>
          <w:sz w:val="24"/>
          <w:highlight w:val="none"/>
        </w:rPr>
      </w:pPr>
      <w:r>
        <w:rPr>
          <w:rFonts w:hint="eastAsia" w:ascii="仿宋_GB2312" w:hAnsi="宋体" w:eastAsia="仿宋_GB2312"/>
          <w:color w:val="auto"/>
          <w:sz w:val="24"/>
          <w:highlight w:val="none"/>
        </w:rPr>
        <w:t>2.2.4相关资质证明或文件复印件</w:t>
      </w:r>
      <w:r>
        <w:rPr>
          <w:rFonts w:hint="eastAsia" w:ascii="仿宋_GB2312" w:hAnsi="仿宋_GB2312" w:eastAsia="仿宋_GB2312" w:cs="仿宋_GB2312"/>
          <w:color w:val="auto"/>
          <w:sz w:val="24"/>
          <w:highlight w:val="none"/>
        </w:rPr>
        <w:t>（均需加盖公章）：</w:t>
      </w:r>
      <w:r>
        <w:rPr>
          <w:rFonts w:hint="eastAsia" w:ascii="仿宋_GB2312" w:hAnsi="仿宋_GB2312" w:eastAsia="仿宋_GB2312" w:cs="仿宋_GB2312"/>
          <w:color w:val="auto"/>
          <w:kern w:val="0"/>
          <w:sz w:val="24"/>
          <w:highlight w:val="none"/>
        </w:rPr>
        <w:t>证明其符合《中华人民共和国政府采购法》</w:t>
      </w:r>
      <w:r>
        <w:rPr>
          <w:rFonts w:hint="eastAsia" w:ascii="仿宋_GB2312" w:hAnsi="Arial" w:eastAsia="仿宋_GB2312" w:cs="Arial"/>
          <w:color w:val="auto"/>
          <w:kern w:val="0"/>
          <w:sz w:val="24"/>
          <w:highlight w:val="none"/>
        </w:rPr>
        <w:t>规定的供应商基本条件和采购项目对供应商的特定要求</w:t>
      </w:r>
      <w:r>
        <w:rPr>
          <w:rFonts w:hint="eastAsia" w:ascii="仿宋_GB2312" w:hAnsi="仿宋_GB2312" w:eastAsia="仿宋_GB2312" w:cs="仿宋_GB2312"/>
          <w:color w:val="auto"/>
          <w:sz w:val="24"/>
          <w:highlight w:val="none"/>
        </w:rPr>
        <w:t>（如果项目要求）</w:t>
      </w:r>
      <w:r>
        <w:rPr>
          <w:rFonts w:hint="eastAsia" w:ascii="仿宋_GB2312" w:hAnsi="仿宋_GB2312" w:eastAsia="仿宋_GB2312" w:cs="仿宋_GB2312"/>
          <w:color w:val="auto"/>
          <w:kern w:val="0"/>
          <w:sz w:val="24"/>
          <w:highlight w:val="none"/>
        </w:rPr>
        <w:t>的有关资格证明文件。</w:t>
      </w:r>
    </w:p>
    <w:p>
      <w:pPr>
        <w:pStyle w:val="22"/>
        <w:spacing w:line="440" w:lineRule="exact"/>
        <w:ind w:firstLine="480" w:firstLineChars="200"/>
        <w:rPr>
          <w:rFonts w:ascii="仿宋_GB2312" w:hAnsi="仿宋" w:eastAsia="仿宋_GB2312"/>
          <w:color w:val="auto"/>
          <w:sz w:val="24"/>
          <w:highlight w:val="none"/>
        </w:rPr>
      </w:pPr>
      <w:bookmarkStart w:id="1" w:name="_Hlt68072998"/>
      <w:bookmarkEnd w:id="1"/>
      <w:bookmarkStart w:id="2" w:name="_Hlt68403820"/>
      <w:bookmarkEnd w:id="2"/>
      <w:bookmarkStart w:id="3" w:name="_Hlt68073093"/>
      <w:bookmarkEnd w:id="3"/>
      <w:r>
        <w:rPr>
          <w:rFonts w:hint="eastAsia" w:ascii="仿宋_GB2312" w:hAnsi="仿宋" w:eastAsia="仿宋_GB2312"/>
          <w:color w:val="auto"/>
          <w:sz w:val="24"/>
          <w:highlight w:val="none"/>
        </w:rPr>
        <w:t>（1）营业执照(或事业法人登记证或其他工商等登记证明材料)复印件，实施“五证合一、一照一码”登记制度改革的，只需提供改革后取得的营业执照复印件 ；</w:t>
      </w:r>
    </w:p>
    <w:p>
      <w:pPr>
        <w:pStyle w:val="22"/>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（2）2021年度资产负债表等财务报表资料文件(新成立的公司提供情况证明)；</w:t>
      </w:r>
    </w:p>
    <w:p>
      <w:pPr>
        <w:pStyle w:val="22"/>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（3）具有履行合同所必需的设备和专业技术能力的承诺函；</w:t>
      </w:r>
    </w:p>
    <w:p>
      <w:pPr>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（4）参加本次政府采购活动前三年内，在经营活动中没有重大违法记录的声明；</w:t>
      </w:r>
    </w:p>
    <w:p>
      <w:pPr>
        <w:spacing w:line="440" w:lineRule="exact"/>
        <w:ind w:firstLine="480" w:firstLineChars="2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pPr>
        <w:spacing w:line="440" w:lineRule="exact"/>
        <w:ind w:firstLine="480" w:firstLineChars="2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kern w:val="0"/>
          <w:sz w:val="24"/>
          <w:highlight w:val="none"/>
        </w:rPr>
        <w:t>(6</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szCs w:val="20"/>
          <w:highlight w:val="none"/>
        </w:rPr>
        <w:t>提供依法缴纳税收和社会保障资金的良好记录证明，税收和社保证明打印时间不得早于投标截止时间前1个月；</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(7</w:t>
      </w:r>
      <w:r>
        <w:rPr>
          <w:rFonts w:hint="eastAsia" w:ascii="仿宋_GB2312" w:hAnsi="仿宋_GB2312" w:eastAsia="仿宋_GB2312" w:cs="仿宋_GB2312"/>
          <w:color w:val="auto"/>
          <w:sz w:val="24"/>
          <w:highlight w:val="none"/>
        </w:rPr>
        <w:t>)符合特定资格条件（如果项目要求）的有关证明材料（复印件）；</w:t>
      </w:r>
    </w:p>
    <w:p>
      <w:pPr>
        <w:pStyle w:val="22"/>
        <w:snapToGrid w:val="0"/>
        <w:spacing w:line="440" w:lineRule="exact"/>
        <w:rPr>
          <w:rFonts w:ascii="仿宋_GB2312" w:hAnsi="仿宋_GB2312" w:eastAsia="仿宋_GB2312" w:cs="仿宋_GB2312"/>
          <w:color w:val="auto"/>
          <w:sz w:val="24"/>
          <w:highlight w:val="none"/>
          <w:lang w:val="zh-CN"/>
        </w:rPr>
      </w:pPr>
      <w:r>
        <w:rPr>
          <w:rFonts w:hint="eastAsia" w:ascii="仿宋_GB2312" w:hAnsi="宋体" w:eastAsia="仿宋_GB2312"/>
          <w:color w:val="auto"/>
          <w:sz w:val="24"/>
          <w:highlight w:val="none"/>
        </w:rPr>
        <w:t>2.2.5</w:t>
      </w:r>
      <w:r>
        <w:rPr>
          <w:rFonts w:hint="eastAsia" w:ascii="仿宋_GB2312" w:hAnsi="仿宋_GB2312" w:eastAsia="仿宋_GB2312" w:cs="仿宋_GB2312"/>
          <w:color w:val="auto"/>
          <w:sz w:val="24"/>
          <w:highlight w:val="none"/>
          <w:lang w:val="zh-CN"/>
        </w:rPr>
        <w:t>投标人应提供针对项目的完整技术解决方案：</w:t>
      </w:r>
    </w:p>
    <w:p>
      <w:pPr>
        <w:snapToGrid w:val="0"/>
        <w:spacing w:line="440" w:lineRule="exact"/>
        <w:ind w:firstLine="480" w:firstLineChars="20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lang w:val="zh-CN"/>
        </w:rPr>
        <w:t>针对本项目的完整技术解决方案和实施方案；详细阐述项目方案的实现思路及关键技术；符合本项目对当前和未来发展的要求；以及对功能设计和实施计划的建议；</w:t>
      </w:r>
    </w:p>
    <w:p>
      <w:pPr>
        <w:tabs>
          <w:tab w:val="left" w:pos="3870"/>
          <w:tab w:val="left" w:pos="4085"/>
        </w:tabs>
        <w:snapToGrid w:val="0"/>
        <w:spacing w:line="440" w:lineRule="exact"/>
        <w:ind w:firstLine="472" w:firstLineChars="196"/>
        <w:jc w:val="lef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如果本项目涉及硬件设备采购，还需提供相关设备完整配置方案（设备名称、品牌、规格型号、数量、主要技术参数等）</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color w:val="auto"/>
          <w:sz w:val="24"/>
          <w:highlight w:val="none"/>
        </w:rPr>
        <w:t>提供主要投标产品的技术参数证明材料（如原厂技术说明、官网截图、产品彩页等），</w:t>
      </w:r>
      <w:r>
        <w:rPr>
          <w:rFonts w:hint="eastAsia" w:ascii="仿宋_GB2312" w:hAnsi="仿宋_GB2312" w:eastAsia="仿宋_GB2312" w:cs="仿宋_GB2312"/>
          <w:color w:val="auto"/>
          <w:sz w:val="24"/>
          <w:highlight w:val="none"/>
        </w:rPr>
        <w:t>明确表示该项指标所涉及的软硬件是标准配置还是选择配置</w:t>
      </w:r>
      <w:r>
        <w:rPr>
          <w:rFonts w:hint="eastAsia" w:ascii="仿宋_GB2312" w:hAnsi="仿宋_GB2312" w:eastAsia="仿宋_GB2312" w:cs="仿宋_GB2312"/>
          <w:b/>
          <w:color w:val="auto"/>
          <w:sz w:val="24"/>
          <w:highlight w:val="none"/>
        </w:rPr>
        <w:t>（所有技术指标表述均应采用中文，如当前公布的技术指标只有英文表述的，必须由投标人作出中文注释，否则</w:t>
      </w:r>
      <w:r>
        <w:rPr>
          <w:rFonts w:hint="eastAsia" w:ascii="仿宋_GB2312" w:hAnsi="仿宋_GB2312" w:eastAsia="仿宋_GB2312" w:cs="仿宋_GB2312"/>
          <w:b/>
          <w:color w:val="auto"/>
          <w:kern w:val="0"/>
          <w:sz w:val="24"/>
          <w:highlight w:val="none"/>
          <w:lang w:val="zh-CN"/>
        </w:rPr>
        <w:t>任何含糊不清的</w:t>
      </w:r>
      <w:r>
        <w:rPr>
          <w:rFonts w:hint="eastAsia" w:ascii="仿宋_GB2312" w:hAnsi="仿宋_GB2312" w:eastAsia="仿宋_GB2312" w:cs="仿宋_GB2312"/>
          <w:b/>
          <w:color w:val="auto"/>
          <w:sz w:val="24"/>
          <w:highlight w:val="none"/>
        </w:rPr>
        <w:t>表述导致</w:t>
      </w:r>
      <w:r>
        <w:rPr>
          <w:rFonts w:hint="eastAsia" w:ascii="仿宋_GB2312" w:hAnsi="仿宋_GB2312" w:eastAsia="仿宋_GB2312" w:cs="仿宋_GB2312"/>
          <w:b/>
          <w:color w:val="auto"/>
          <w:kern w:val="0"/>
          <w:sz w:val="24"/>
          <w:highlight w:val="none"/>
          <w:lang w:val="zh-CN"/>
        </w:rPr>
        <w:t>评标委员会技术扣分直至认定为投标无效都将是投标人的责任）</w:t>
      </w:r>
      <w:r>
        <w:rPr>
          <w:rFonts w:hint="eastAsia" w:ascii="仿宋_GB2312" w:hAnsi="仿宋_GB2312" w:eastAsia="仿宋_GB2312" w:cs="仿宋_GB2312"/>
          <w:color w:val="auto"/>
          <w:sz w:val="24"/>
          <w:highlight w:val="none"/>
        </w:rPr>
        <w:t>。</w:t>
      </w:r>
    </w:p>
    <w:p>
      <w:pPr>
        <w:tabs>
          <w:tab w:val="left" w:pos="3870"/>
          <w:tab w:val="left" w:pos="4085"/>
        </w:tabs>
        <w:snapToGrid w:val="0"/>
        <w:spacing w:line="440" w:lineRule="exact"/>
        <w:ind w:firstLine="470" w:firstLineChars="196"/>
        <w:jc w:val="left"/>
        <w:rPr>
          <w:rFonts w:ascii="仿宋_GB2312" w:hAnsi="宋体" w:eastAsia="仿宋_GB2312"/>
          <w:color w:val="auto"/>
          <w:sz w:val="24"/>
          <w:highlight w:val="none"/>
        </w:rPr>
      </w:pPr>
      <w:r>
        <w:rPr>
          <w:rFonts w:hint="eastAsia" w:ascii="仿宋" w:hAnsi="仿宋" w:eastAsia="仿宋" w:cs="仿宋_GB2312"/>
          <w:color w:val="auto"/>
          <w:sz w:val="24"/>
          <w:highlight w:val="none"/>
        </w:rPr>
        <w:t>本项目如需采购政府强制采购的节能产品的或</w:t>
      </w:r>
      <w:r>
        <w:rPr>
          <w:rFonts w:hint="eastAsia" w:ascii="仿宋" w:hAnsi="仿宋" w:eastAsia="仿宋"/>
          <w:color w:val="auto"/>
          <w:sz w:val="24"/>
          <w:highlight w:val="none"/>
        </w:rPr>
        <w:t>投标人提供的产品是环境标志产品，</w:t>
      </w:r>
      <w:r>
        <w:rPr>
          <w:rFonts w:hint="eastAsia" w:ascii="仿宋" w:hAnsi="仿宋" w:eastAsia="仿宋" w:cs="仿宋_GB2312"/>
          <w:color w:val="auto"/>
          <w:sz w:val="24"/>
          <w:highlight w:val="none"/>
        </w:rPr>
        <w:t>投标人须按格式提供节能产品、环境标志产品认证证书复印件。</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2.2.6优惠条件：投标人承诺给予招标人的各种优惠条件，包括设备价格、运输、保险、安装调试、付款条件、技术服务、售后服务等方面的优惠；当优惠条件涉及“报价单”中的各项费用时，必须与投标价格相统一；（如有）</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2.2.7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rPr>
        <w:t>2.2.8</w:t>
      </w:r>
      <w:r>
        <w:rPr>
          <w:rFonts w:hint="eastAsia" w:ascii="仿宋_GB2312" w:hAnsi="仿宋_GB2312" w:eastAsia="仿宋_GB2312" w:cs="仿宋_GB2312"/>
          <w:color w:val="auto"/>
          <w:sz w:val="24"/>
          <w:highlight w:val="none"/>
        </w:rPr>
        <w:t>投标人在投标文件技术偏离说明表中，</w:t>
      </w:r>
      <w:r>
        <w:rPr>
          <w:rFonts w:hint="eastAsia" w:ascii="仿宋_GB2312" w:hAnsi="仿宋_GB2312" w:eastAsia="仿宋_GB2312" w:cs="仿宋_GB2312"/>
          <w:color w:val="auto"/>
          <w:kern w:val="0"/>
          <w:sz w:val="24"/>
          <w:highlight w:val="none"/>
          <w:lang w:val="zh-CN"/>
        </w:rPr>
        <w:t>应对</w:t>
      </w:r>
      <w:r>
        <w:rPr>
          <w:rFonts w:hint="eastAsia" w:ascii="仿宋_GB2312" w:hAnsi="仿宋_GB2312" w:eastAsia="仿宋_GB2312" w:cs="仿宋_GB2312"/>
          <w:color w:val="auto"/>
          <w:sz w:val="24"/>
          <w:highlight w:val="none"/>
        </w:rPr>
        <w:t>项目技术规范和服务要求</w:t>
      </w:r>
      <w:r>
        <w:rPr>
          <w:rFonts w:hint="eastAsia" w:ascii="仿宋_GB2312" w:hAnsi="仿宋_GB2312" w:eastAsia="仿宋_GB2312" w:cs="仿宋_GB2312"/>
          <w:color w:val="auto"/>
          <w:kern w:val="0"/>
          <w:sz w:val="24"/>
          <w:highlight w:val="none"/>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2.2.9针对本项目建设的详细实施计划。本项目详细工作实施组织方案，包括(但不限于)以下内容：组织机构、工作时间进度表、工作程序和步骤、管理和协调方法、关键步骤的思路和要点。</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2.2.10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2.2.11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tabs>
          <w:tab w:val="left" w:pos="0"/>
          <w:tab w:val="left" w:pos="840"/>
        </w:tabs>
        <w:autoSpaceDE w:val="0"/>
        <w:autoSpaceDN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2.2.12备品备件清单（含随机自带的备品备件和质保期后供采购人选择的备品备件及配套零部件，明细备品备件及价格，且供货价格不高于中标价格；中标货物设备应提供易损部件的备件和整机备品）；（如果有）</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rPr>
        <w:t>2.2.13</w:t>
      </w:r>
      <w:r>
        <w:rPr>
          <w:rFonts w:hint="eastAsia" w:ascii="仿宋_GB2312" w:hAnsi="仿宋_GB2312" w:eastAsia="仿宋_GB2312" w:cs="仿宋_GB2312"/>
          <w:color w:val="auto"/>
          <w:kern w:val="0"/>
          <w:sz w:val="24"/>
          <w:highlight w:val="none"/>
          <w:lang w:val="zh-CN"/>
        </w:rPr>
        <w:t>培训计划；（如果有）</w:t>
      </w:r>
    </w:p>
    <w:p>
      <w:pPr>
        <w:tabs>
          <w:tab w:val="left" w:pos="0"/>
          <w:tab w:val="left" w:pos="840"/>
        </w:tabs>
        <w:autoSpaceDE w:val="0"/>
        <w:autoSpaceDN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2.2.14 验收方案；</w:t>
      </w:r>
    </w:p>
    <w:p>
      <w:pPr>
        <w:snapToGrid w:val="0"/>
        <w:spacing w:line="440" w:lineRule="exact"/>
        <w:rPr>
          <w:rFonts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kern w:val="0"/>
          <w:sz w:val="24"/>
          <w:highlight w:val="none"/>
        </w:rPr>
        <w:t>2.2.15</w:t>
      </w:r>
      <w:r>
        <w:rPr>
          <w:rFonts w:hint="eastAsia" w:ascii="仿宋_GB2312" w:hAnsi="仿宋_GB2312" w:eastAsia="仿宋_GB2312" w:cs="仿宋_GB2312"/>
          <w:snapToGrid w:val="0"/>
          <w:color w:val="auto"/>
          <w:sz w:val="24"/>
          <w:highlight w:val="none"/>
        </w:rPr>
        <w:t>非本地投标人售后服务机构证明材料。非本地投标人</w:t>
      </w:r>
      <w:r>
        <w:rPr>
          <w:rFonts w:hint="eastAsia" w:ascii="仿宋_GB2312" w:hAnsi="仿宋_GB2312" w:eastAsia="仿宋_GB2312" w:cs="仿宋_GB2312"/>
          <w:color w:val="auto"/>
          <w:sz w:val="24"/>
          <w:highlight w:val="none"/>
          <w:lang w:val="zh-CN"/>
        </w:rPr>
        <w:t>在绍兴的分公司</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lang w:val="zh-CN"/>
        </w:rPr>
        <w:t>需提供本地工商注册</w:t>
      </w:r>
      <w:r>
        <w:rPr>
          <w:rFonts w:hint="eastAsia" w:ascii="仿宋_GB2312" w:hAnsi="仿宋_GB2312" w:eastAsia="仿宋_GB2312" w:cs="仿宋_GB2312"/>
          <w:color w:val="auto"/>
          <w:sz w:val="24"/>
          <w:highlight w:val="none"/>
        </w:rPr>
        <w:t>登记</w:t>
      </w:r>
      <w:r>
        <w:rPr>
          <w:rFonts w:hint="eastAsia" w:ascii="仿宋_GB2312" w:hAnsi="仿宋_GB2312" w:eastAsia="仿宋_GB2312" w:cs="仿宋_GB2312"/>
          <w:color w:val="auto"/>
          <w:sz w:val="24"/>
          <w:highlight w:val="none"/>
          <w:lang w:val="zh-CN"/>
        </w:rPr>
        <w:t>资料）或办事处</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lang w:val="zh-CN"/>
        </w:rPr>
        <w:t>需提供本地国内经济合作办注册资料</w:t>
      </w:r>
      <w:r>
        <w:rPr>
          <w:rFonts w:hint="eastAsia" w:ascii="仿宋_GB2312" w:hAnsi="仿宋_GB2312" w:eastAsia="仿宋_GB2312" w:cs="仿宋_GB2312"/>
          <w:color w:val="auto"/>
          <w:kern w:val="0"/>
          <w:sz w:val="24"/>
          <w:highlight w:val="none"/>
        </w:rPr>
        <w:t>）或符合本项目服务能力并签订合作协议的第三方机构或者在中标（成交）公示后在本地设立售后服务机构作</w:t>
      </w:r>
      <w:r>
        <w:rPr>
          <w:rFonts w:hint="eastAsia" w:ascii="仿宋_GB2312" w:hAnsi="仿宋_GB2312" w:eastAsia="仿宋_GB2312" w:cs="仿宋_GB2312"/>
          <w:color w:val="auto"/>
          <w:sz w:val="24"/>
          <w:highlight w:val="none"/>
          <w:lang w:val="zh-CN"/>
        </w:rPr>
        <w:t>为常驻服务和技术支持机构；</w:t>
      </w:r>
    </w:p>
    <w:p>
      <w:pPr>
        <w:snapToGrid w:val="0"/>
        <w:spacing w:line="44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val="zh-CN"/>
        </w:rPr>
        <w:t>2.2.16廉政承诺书</w:t>
      </w:r>
      <w:r>
        <w:rPr>
          <w:rFonts w:hint="eastAsia" w:ascii="仿宋_GB2312" w:hAnsi="宋体" w:eastAsia="仿宋_GB2312"/>
          <w:color w:val="auto"/>
          <w:sz w:val="24"/>
          <w:highlight w:val="none"/>
        </w:rPr>
        <w:t>（格式见第六部分附件）；</w:t>
      </w:r>
    </w:p>
    <w:p>
      <w:pPr>
        <w:pStyle w:val="19"/>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2.2.17联合协议（如有）；</w:t>
      </w:r>
    </w:p>
    <w:p>
      <w:pPr>
        <w:pStyle w:val="19"/>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2.2.18分包意向协议（如有）；</w:t>
      </w:r>
    </w:p>
    <w:p>
      <w:pPr>
        <w:pStyle w:val="19"/>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2.2.19中小企业声明函（如有）；</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2.2.20</w:t>
      </w:r>
      <w:r>
        <w:rPr>
          <w:rFonts w:hint="eastAsia" w:ascii="仿宋_GB2312" w:hAnsi="宋体" w:eastAsia="仿宋_GB2312"/>
          <w:color w:val="auto"/>
          <w:sz w:val="24"/>
          <w:highlight w:val="none"/>
          <w:u w:val="wave"/>
        </w:rPr>
        <w:t>未尽事宜请各投标单位按评分标准和相对应标项相关要求制作</w:t>
      </w:r>
      <w:r>
        <w:rPr>
          <w:rFonts w:hint="eastAsia" w:ascii="仿宋_GB2312" w:hAnsi="宋体" w:eastAsia="仿宋_GB2312"/>
          <w:color w:val="auto"/>
          <w:sz w:val="24"/>
          <w:highlight w:val="none"/>
        </w:rPr>
        <w:t>；</w:t>
      </w:r>
    </w:p>
    <w:p>
      <w:pPr>
        <w:pStyle w:val="19"/>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2.2.21投标人需要说明的其他文件和说明（格式自拟）。</w:t>
      </w:r>
    </w:p>
    <w:p>
      <w:pPr>
        <w:tabs>
          <w:tab w:val="left" w:pos="3870"/>
          <w:tab w:val="left" w:pos="4085"/>
        </w:tabs>
        <w:snapToGrid w:val="0"/>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以上文件组成“商务技术（资信）文件资料”。投标人在“商务技术（资信）文件资料”中应对招标文件作实质性响应，该项内容将作为评标重要指标。</w:t>
      </w:r>
    </w:p>
    <w:p>
      <w:pPr>
        <w:pStyle w:val="19"/>
        <w:tabs>
          <w:tab w:val="left" w:pos="1854"/>
          <w:tab w:val="clear" w:pos="482"/>
        </w:tabs>
        <w:spacing w:afterLines="0" w:line="440" w:lineRule="exact"/>
        <w:ind w:left="0" w:right="-78" w:rightChars="-37" w:firstLine="480" w:firstLineChars="200"/>
        <w:rPr>
          <w:rFonts w:ascii="仿宋_GB2312" w:hAnsi="宋体" w:eastAsia="仿宋_GB2312"/>
          <w:b/>
          <w:color w:val="auto"/>
          <w:highlight w:val="none"/>
        </w:rPr>
      </w:pPr>
      <w:r>
        <w:rPr>
          <w:rFonts w:hint="eastAsia" w:ascii="仿宋_GB2312" w:hAnsi="宋体" w:eastAsia="仿宋_GB2312"/>
          <w:color w:val="auto"/>
          <w:highlight w:val="none"/>
        </w:rPr>
        <w:t>投标人不按招标文件的要求提供的投标文件，可能会被评标委员会视为未实质性响应，其风险应由投标人自行承担。</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 投标报价</w:t>
      </w:r>
    </w:p>
    <w:p>
      <w:pPr>
        <w:pStyle w:val="22"/>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3.1投标人应按招标文件中《开标一览表》等附表要求填写。</w:t>
      </w:r>
    </w:p>
    <w:p>
      <w:pPr>
        <w:pStyle w:val="22"/>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3.2报价为采购人可以合格使用产品的价格，包括货款、包装、运输、保险、货到就位以及安装、调试、培训、保修及产品知识产权等一切费用。</w:t>
      </w:r>
    </w:p>
    <w:p>
      <w:pPr>
        <w:pStyle w:val="22"/>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3.3招标文件未列明，而投标人认为必需的费用也需列入报价。</w:t>
      </w:r>
    </w:p>
    <w:p>
      <w:pPr>
        <w:tabs>
          <w:tab w:val="left" w:pos="52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3.4</w:t>
      </w:r>
      <w:r>
        <w:rPr>
          <w:rFonts w:hint="eastAsia" w:ascii="仿宋_GB2312" w:hAnsi="宋体" w:eastAsia="仿宋_GB2312"/>
          <w:b/>
          <w:i/>
          <w:color w:val="auto"/>
          <w:sz w:val="24"/>
          <w:highlight w:val="none"/>
        </w:rPr>
        <w:t>投标报价只允许有一个报价，有选择的报价将不予接受（除指定外）。</w:t>
      </w:r>
    </w:p>
    <w:p>
      <w:pPr>
        <w:pStyle w:val="13"/>
        <w:tabs>
          <w:tab w:val="clear" w:pos="454"/>
        </w:tabs>
        <w:spacing w:afterLines="0" w:line="440" w:lineRule="atLeast"/>
        <w:ind w:left="0" w:firstLine="0"/>
        <w:rPr>
          <w:rFonts w:ascii="仿宋_GB2312" w:hAnsi="宋体" w:eastAsia="仿宋_GB2312"/>
          <w:b/>
          <w:color w:val="auto"/>
          <w:szCs w:val="24"/>
          <w:highlight w:val="none"/>
        </w:rPr>
      </w:pPr>
      <w:r>
        <w:rPr>
          <w:rFonts w:hint="eastAsia" w:ascii="仿宋_GB2312" w:hAnsi="宋体" w:eastAsia="仿宋_GB2312"/>
          <w:b/>
          <w:color w:val="auto"/>
          <w:szCs w:val="24"/>
          <w:highlight w:val="none"/>
        </w:rPr>
        <w:t>4.投标文件的有效期</w:t>
      </w:r>
    </w:p>
    <w:p>
      <w:pPr>
        <w:pStyle w:val="13"/>
        <w:tabs>
          <w:tab w:val="clear" w:pos="454"/>
        </w:tabs>
        <w:spacing w:afterLines="0" w:line="440" w:lineRule="atLeas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4.1</w:t>
      </w:r>
      <w:r>
        <w:rPr>
          <w:rFonts w:hint="eastAsia" w:ascii="仿宋" w:hAnsi="仿宋" w:eastAsia="仿宋" w:cs="仿宋_GB2312"/>
          <w:color w:val="auto"/>
          <w:highlight w:val="none"/>
        </w:rPr>
        <w:t>投标有效期为从提交投标文件的截止之日起90天。</w:t>
      </w:r>
      <w:r>
        <w:rPr>
          <w:rFonts w:hint="eastAsia" w:ascii="仿宋" w:hAnsi="仿宋" w:eastAsia="仿宋" w:cs="仿宋_GB2312"/>
          <w:b/>
          <w:color w:val="auto"/>
          <w:highlight w:val="none"/>
        </w:rPr>
        <w:t>投标人的投标文件中承</w:t>
      </w:r>
      <w:r>
        <w:rPr>
          <w:rFonts w:hint="eastAsia" w:ascii="仿宋" w:hAnsi="仿宋" w:eastAsia="仿宋" w:cs="仿宋_GB2312"/>
          <w:b/>
          <w:color w:val="auto"/>
          <w:szCs w:val="21"/>
          <w:highlight w:val="none"/>
        </w:rPr>
        <w:t>诺的投标有效期少于招标文件中载明的投标有效期的，投标无效。</w:t>
      </w:r>
    </w:p>
    <w:p>
      <w:pPr>
        <w:pStyle w:val="13"/>
        <w:tabs>
          <w:tab w:val="clear" w:pos="454"/>
        </w:tabs>
        <w:spacing w:afterLines="0" w:line="440" w:lineRule="atLeas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4.2在特殊情况下，招标人可与投标人协商延长投标书的有效期，这种要求和答复均以书面形式进行。</w:t>
      </w:r>
    </w:p>
    <w:p>
      <w:pPr>
        <w:pStyle w:val="13"/>
        <w:tabs>
          <w:tab w:val="clear" w:pos="454"/>
        </w:tabs>
        <w:spacing w:afterLines="0" w:line="440" w:lineRule="atLeas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4.3投标人可拒绝接受延期要求而不会导致投标保证金被没收。同意延长有效期的投标人不能修改投标文件。</w:t>
      </w:r>
    </w:p>
    <w:p>
      <w:pPr>
        <w:snapToGrid w:val="0"/>
        <w:spacing w:line="440" w:lineRule="exact"/>
        <w:jc w:val="left"/>
        <w:rPr>
          <w:rFonts w:ascii="仿宋_GB2312" w:hAnsi="宋体" w:eastAsia="仿宋_GB2312"/>
          <w:b/>
          <w:color w:val="auto"/>
          <w:sz w:val="24"/>
          <w:highlight w:val="none"/>
          <w:u w:val="single"/>
        </w:rPr>
      </w:pPr>
      <w:r>
        <w:rPr>
          <w:rFonts w:hint="eastAsia" w:ascii="仿宋_GB2312" w:hAnsi="宋体" w:eastAsia="仿宋_GB2312"/>
          <w:b/>
          <w:color w:val="auto"/>
          <w:sz w:val="24"/>
          <w:highlight w:val="none"/>
          <w:u w:val="single"/>
        </w:rPr>
        <w:t>5.投标文件的规定</w:t>
      </w:r>
    </w:p>
    <w:p>
      <w:pPr>
        <w:pStyle w:val="22"/>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5.1投标文件由“商务技术（资信）文件资料”、“报价文件资料”两部分文件组成，应按统一格式填写。</w:t>
      </w:r>
    </w:p>
    <w:p>
      <w:pPr>
        <w:pStyle w:val="22"/>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5.2投标文件须按附件格式要求进行电子签章，投标人应写全称。</w:t>
      </w:r>
    </w:p>
    <w:p>
      <w:pPr>
        <w:pStyle w:val="22"/>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5.3投标文件不得涂改，若有修改错漏处，须加盖单位公章（或电子签章）或者法定代表人或其授权代表签字或盖章。</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5.4投标文件因字迹潦草或表达不清所引起的后果由投标人负责。</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5.5投标人应认真阅读招标文件中所有的内容。如果投标人编制的投标文件实质上不响应招标文件的要求，其投标文件将被招标人拒绝。</w:t>
      </w:r>
    </w:p>
    <w:p>
      <w:pPr>
        <w:spacing w:line="440" w:lineRule="exact"/>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5.6电子投标文件：投标人应根据“政采云供应商项目采购-电子招投标操作指南”及本招标文件规定的格式和顺序编制电子投标文件并进行关联定位。</w:t>
      </w:r>
    </w:p>
    <w:p>
      <w:pPr>
        <w:snapToGrid w:val="0"/>
        <w:spacing w:line="440" w:lineRule="exact"/>
        <w:jc w:val="left"/>
        <w:rPr>
          <w:rFonts w:ascii="仿宋_GB2312" w:hAnsi="仿宋" w:eastAsia="仿宋_GB2312" w:cs="仿宋_GB2312"/>
          <w:b/>
          <w:color w:val="auto"/>
          <w:sz w:val="24"/>
          <w:highlight w:val="none"/>
        </w:rPr>
      </w:pPr>
      <w:r>
        <w:rPr>
          <w:rFonts w:hint="eastAsia" w:ascii="仿宋_GB2312" w:hAnsi="宋体" w:eastAsia="仿宋_GB2312"/>
          <w:b/>
          <w:color w:val="auto"/>
          <w:sz w:val="24"/>
          <w:highlight w:val="none"/>
        </w:rPr>
        <w:t>6</w:t>
      </w:r>
      <w:r>
        <w:rPr>
          <w:rFonts w:hint="eastAsia" w:ascii="仿宋_GB2312" w:hAnsi="仿宋" w:eastAsia="仿宋_GB2312" w:cs="仿宋_GB2312"/>
          <w:b/>
          <w:color w:val="auto"/>
          <w:sz w:val="24"/>
          <w:highlight w:val="none"/>
        </w:rPr>
        <w:t>.投标文件的提交</w:t>
      </w:r>
    </w:p>
    <w:p>
      <w:pPr>
        <w:snapToGrid w:val="0"/>
        <w:spacing w:line="440" w:lineRule="exact"/>
        <w:ind w:firstLine="480" w:firstLineChars="200"/>
        <w:rPr>
          <w:rFonts w:ascii="仿宋_GB2312" w:eastAsia="仿宋_GB2312"/>
          <w:b/>
          <w:color w:val="auto"/>
          <w:sz w:val="24"/>
          <w:highlight w:val="none"/>
        </w:rPr>
      </w:pPr>
      <w:r>
        <w:rPr>
          <w:rFonts w:hint="eastAsia" w:ascii="仿宋_GB2312" w:eastAsia="仿宋_GB2312"/>
          <w:color w:val="auto"/>
          <w:sz w:val="24"/>
          <w:highlight w:val="none"/>
        </w:rPr>
        <w:t>投标人应按“招标公告”规定的时间、方式将投标文件提交给采购机构，</w:t>
      </w:r>
      <w:r>
        <w:rPr>
          <w:rFonts w:hint="eastAsia" w:ascii="仿宋_GB2312" w:eastAsia="仿宋_GB2312"/>
          <w:b/>
          <w:color w:val="auto"/>
          <w:sz w:val="24"/>
          <w:highlight w:val="none"/>
        </w:rPr>
        <w:t>采购机构将拒绝接受逾期提交的投标文件。</w:t>
      </w:r>
    </w:p>
    <w:p>
      <w:pPr>
        <w:widowControl/>
        <w:snapToGrid w:val="0"/>
        <w:spacing w:line="440" w:lineRule="exact"/>
        <w:rPr>
          <w:rFonts w:ascii="仿宋_GB2312" w:hAnsi="宋体" w:eastAsia="仿宋_GB2312"/>
          <w:b/>
          <w:color w:val="auto"/>
          <w:kern w:val="0"/>
          <w:sz w:val="24"/>
          <w:highlight w:val="none"/>
        </w:rPr>
      </w:pPr>
      <w:r>
        <w:rPr>
          <w:rFonts w:hint="eastAsia" w:ascii="仿宋_GB2312" w:hAnsi="宋体" w:eastAsia="仿宋_GB2312"/>
          <w:b/>
          <w:color w:val="auto"/>
          <w:sz w:val="24"/>
          <w:highlight w:val="none"/>
        </w:rPr>
        <w:t>7．</w:t>
      </w:r>
      <w:r>
        <w:rPr>
          <w:rFonts w:hint="eastAsia" w:ascii="仿宋_GB2312" w:hAnsi="宋体" w:eastAsia="仿宋_GB2312"/>
          <w:b/>
          <w:color w:val="auto"/>
          <w:kern w:val="0"/>
          <w:sz w:val="24"/>
          <w:highlight w:val="none"/>
        </w:rPr>
        <w:t>投标文件的补充和修改</w:t>
      </w:r>
    </w:p>
    <w:p>
      <w:pPr>
        <w:spacing w:line="440" w:lineRule="exact"/>
        <w:ind w:firstLine="480" w:firstLineChars="200"/>
        <w:jc w:val="lef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pacing w:line="440" w:lineRule="exact"/>
        <w:jc w:val="center"/>
        <w:rPr>
          <w:rFonts w:ascii="仿宋_GB2312" w:eastAsia="仿宋_GB2312"/>
          <w:b/>
          <w:color w:val="auto"/>
          <w:sz w:val="32"/>
          <w:szCs w:val="32"/>
          <w:highlight w:val="none"/>
        </w:rPr>
      </w:pPr>
      <w:r>
        <w:rPr>
          <w:rFonts w:hint="eastAsia" w:ascii="仿宋_GB2312" w:eastAsia="仿宋_GB2312"/>
          <w:b/>
          <w:color w:val="auto"/>
          <w:sz w:val="32"/>
          <w:szCs w:val="32"/>
          <w:highlight w:val="none"/>
        </w:rPr>
        <w:t>四、开标和评标</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1．电子招投标开标及评审程序</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1.1投标截止时间后，主持人宣布开标会开始。</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1.2投标人登录政采云平台，用“项目采购-开标评标”功能对电子投标文件进行在线解密。在线解密电子投标文件时间为开标时间起3</w:t>
      </w:r>
      <w:r>
        <w:rPr>
          <w:rFonts w:ascii="仿宋_GB2312" w:hAnsi="宋体" w:eastAsia="仿宋_GB2312"/>
          <w:color w:val="auto"/>
          <w:sz w:val="24"/>
          <w:highlight w:val="none"/>
        </w:rPr>
        <w:t>0</w:t>
      </w:r>
      <w:r>
        <w:rPr>
          <w:rFonts w:hint="eastAsia" w:ascii="仿宋_GB2312" w:hAnsi="宋体" w:eastAsia="仿宋_GB2312"/>
          <w:color w:val="auto"/>
          <w:sz w:val="24"/>
          <w:highlight w:val="none"/>
        </w:rPr>
        <w:t>分钟内。</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1.3评标委员会对资格和商务技术响应文件进行评审；</w:t>
      </w:r>
    </w:p>
    <w:p>
      <w:pPr>
        <w:snapToGrid w:val="0"/>
        <w:spacing w:line="440" w:lineRule="exact"/>
        <w:jc w:val="left"/>
        <w:rPr>
          <w:rFonts w:ascii="仿宋_GB2312" w:eastAsia="仿宋_GB2312"/>
          <w:color w:val="auto"/>
          <w:sz w:val="24"/>
          <w:highlight w:val="none"/>
        </w:rPr>
      </w:pPr>
      <w:r>
        <w:rPr>
          <w:rFonts w:hint="eastAsia" w:ascii="仿宋_GB2312" w:hAnsi="宋体" w:eastAsia="仿宋_GB2312"/>
          <w:color w:val="auto"/>
          <w:sz w:val="24"/>
          <w:highlight w:val="none"/>
        </w:rPr>
        <w:t>1.4主持人宣布商务技术得分及</w:t>
      </w:r>
      <w:r>
        <w:rPr>
          <w:rFonts w:hint="eastAsia" w:ascii="仿宋_GB2312" w:eastAsia="仿宋_GB2312"/>
          <w:color w:val="auto"/>
          <w:sz w:val="24"/>
          <w:highlight w:val="none"/>
        </w:rPr>
        <w:t>无效（废）投标情形</w:t>
      </w:r>
      <w:r>
        <w:rPr>
          <w:rFonts w:hint="eastAsia" w:ascii="仿宋_GB2312" w:hAnsi="宋体" w:eastAsia="仿宋_GB2312"/>
          <w:color w:val="auto"/>
          <w:sz w:val="24"/>
          <w:highlight w:val="none"/>
        </w:rPr>
        <w:t>（如有），</w:t>
      </w:r>
      <w:r>
        <w:rPr>
          <w:rFonts w:hint="eastAsia" w:ascii="仿宋_GB2312" w:hAnsi="Arial" w:eastAsia="仿宋_GB2312" w:cs="Arial"/>
          <w:color w:val="auto"/>
          <w:sz w:val="24"/>
          <w:highlight w:val="none"/>
        </w:rPr>
        <w:t>公布经商务技术（资信）评审符合招标文件要求的投标人名单及其商务技术得分。</w:t>
      </w:r>
    </w:p>
    <w:p>
      <w:pPr>
        <w:snapToGrid w:val="0"/>
        <w:spacing w:line="440" w:lineRule="exact"/>
        <w:jc w:val="left"/>
        <w:rPr>
          <w:rFonts w:ascii="仿宋_GB2312" w:hAnsi="宋体" w:eastAsia="仿宋_GB2312"/>
          <w:color w:val="auto"/>
          <w:sz w:val="24"/>
          <w:highlight w:val="none"/>
        </w:rPr>
      </w:pPr>
      <w:r>
        <w:rPr>
          <w:rFonts w:hint="eastAsia" w:ascii="仿宋_GB2312" w:eastAsia="仿宋_GB2312"/>
          <w:color w:val="auto"/>
          <w:sz w:val="24"/>
          <w:highlight w:val="none"/>
        </w:rPr>
        <w:t>1.5</w:t>
      </w:r>
      <w:r>
        <w:rPr>
          <w:rFonts w:hint="eastAsia" w:ascii="仿宋_GB2312" w:hAnsi="宋体" w:eastAsia="仿宋_GB2312"/>
          <w:color w:val="auto"/>
          <w:sz w:val="24"/>
          <w:highlight w:val="none"/>
        </w:rPr>
        <w:t>启封</w:t>
      </w:r>
      <w:r>
        <w:rPr>
          <w:rFonts w:hint="eastAsia" w:ascii="仿宋_GB2312" w:hAnsi="Arial" w:eastAsia="仿宋_GB2312" w:cs="Arial"/>
          <w:color w:val="auto"/>
          <w:sz w:val="24"/>
          <w:highlight w:val="none"/>
        </w:rPr>
        <w:t>报价文件资料</w:t>
      </w:r>
      <w:r>
        <w:rPr>
          <w:rFonts w:hint="eastAsia" w:ascii="仿宋_GB2312" w:hAnsi="宋体" w:eastAsia="仿宋_GB2312"/>
          <w:color w:val="auto"/>
          <w:sz w:val="24"/>
          <w:highlight w:val="none"/>
        </w:rPr>
        <w:t>，主持人宣读投标人名称、投标价格和投标文件的其他内容。未宣读的投标报价和招标文件未允许提供的备选投标方案等实质性内容，评标时不予承认。</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1.6评标委员会对投标文件</w:t>
      </w:r>
      <w:r>
        <w:rPr>
          <w:rFonts w:hint="eastAsia" w:ascii="仿宋_GB2312" w:hAnsi="Arial" w:eastAsia="仿宋_GB2312" w:cs="Arial"/>
          <w:color w:val="auto"/>
          <w:sz w:val="24"/>
          <w:highlight w:val="none"/>
        </w:rPr>
        <w:t>报价文件资料</w:t>
      </w:r>
      <w:r>
        <w:rPr>
          <w:rFonts w:hint="eastAsia" w:ascii="仿宋_GB2312" w:hAnsi="宋体" w:eastAsia="仿宋_GB2312"/>
          <w:color w:val="auto"/>
          <w:sz w:val="24"/>
          <w:highlight w:val="none"/>
        </w:rPr>
        <w:t>进行评审，核准投标报价及计算价格分，汇总商务技术分、价格分，根据得分排序确定中标候选人。</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1.7主持人公布评标结果。</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特别说明：政采云公司如对电子化开标及评审程序有调整的，按调整后的程序操作。</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2.采购过程中出现以下情形，导致电子交易平台无法正常运行，或者无法保证电子交易的公平、公正和安全时，采购组织机构可中止电子交易活动：</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2.1电子交易平台发生故障而无法登录访问的； </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2.2电子交易平台应用或数据库出现错误，不能进行正常操作的；</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2.3电子交易平台发现严重安全漏洞，有潜在泄密危险的；</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2.4病毒发作导致不能进行正常操作的； </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2.5其他无法保证电子交易的公平、公正和安全的情况。</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3．评标</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olor w:val="auto"/>
          <w:sz w:val="24"/>
          <w:highlight w:val="none"/>
        </w:rPr>
        <w:t>3.1</w:t>
      </w:r>
      <w:r>
        <w:rPr>
          <w:rFonts w:hint="eastAsia" w:ascii="仿宋_GB2312" w:hAnsi="宋体" w:eastAsia="仿宋_GB2312" w:cs="宋体"/>
          <w:color w:val="auto"/>
          <w:sz w:val="24"/>
          <w:highlight w:val="none"/>
        </w:rPr>
        <w:t>评标委员会由招标采购单位依法组建，负责评标活动。评标委员会遵循公开、公平、公正、科学合理、竞争择优的原则。</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3.2评标委员会由采购人代表和有关方面的专家组成，成员人数为五人以上单数。</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3.3评标委员会负责对投标人资格的最终审定。</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3.4评标委员会可以要求投标人对其投标文件中含义不明确的内容作必要的澄清或者说明，但澄清或者说明不得超过投标文件的范围或者改变投标文件的实质性内容。</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供应商通过政采云平台交换的数据电文必须进行电子签章。</w:t>
      </w:r>
    </w:p>
    <w:p>
      <w:pPr>
        <w:widowControl/>
        <w:snapToGrid w:val="0"/>
        <w:spacing w:line="440" w:lineRule="exac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3.5</w:t>
      </w:r>
      <w:r>
        <w:rPr>
          <w:rFonts w:hint="eastAsia" w:ascii="仿宋_GB2312" w:hAnsi="宋体" w:eastAsia="仿宋_GB2312"/>
          <w:color w:val="auto"/>
          <w:sz w:val="24"/>
          <w:highlight w:val="none"/>
        </w:rPr>
        <w:t>评标委员会</w:t>
      </w:r>
      <w:r>
        <w:rPr>
          <w:rFonts w:hint="eastAsia" w:ascii="仿宋_GB2312" w:hAnsi="宋体" w:eastAsia="仿宋_GB2312"/>
          <w:color w:val="auto"/>
          <w:kern w:val="0"/>
          <w:sz w:val="24"/>
          <w:highlight w:val="none"/>
        </w:rPr>
        <w:t>对投标文件的判定，只依据投标文件和招标文件内容本身，不依据任何外来证明。</w:t>
      </w:r>
    </w:p>
    <w:p>
      <w:pPr>
        <w:widowControl/>
        <w:snapToGrid w:val="0"/>
        <w:spacing w:line="440" w:lineRule="exact"/>
        <w:rPr>
          <w:rFonts w:ascii="仿宋_GB2312" w:hAnsi="宋体" w:eastAsia="仿宋_GB2312"/>
          <w:color w:val="auto"/>
          <w:kern w:val="0"/>
          <w:sz w:val="24"/>
          <w:highlight w:val="none"/>
        </w:rPr>
      </w:pPr>
      <w:r>
        <w:rPr>
          <w:rFonts w:hint="eastAsia" w:ascii="仿宋_GB2312" w:hAnsi="宋体" w:eastAsia="仿宋_GB2312" w:cs="宋体"/>
          <w:color w:val="auto"/>
          <w:sz w:val="24"/>
          <w:highlight w:val="none"/>
        </w:rPr>
        <w:t>3.6评标委员会不向落标方解释落标的原因。</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4．投标文件的初审鉴定</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4.1资格性审查</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4.1.1依据法律、法规和招标文件规定，采购人或采购人代表对投标人进行资格审查，以确定投标人是否具备投标资格。</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4.2符合性审查</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Pr>
          <w:rFonts w:hint="eastAsia" w:ascii="仿宋_GB2312" w:hAnsi="仿宋_GB2312" w:eastAsia="仿宋_GB2312" w:cs="仿宋_GB2312"/>
          <w:color w:val="auto"/>
          <w:sz w:val="24"/>
          <w:highlight w:val="none"/>
        </w:rPr>
        <w:t>评标委员会决定投标文件的响应性只根据投标文件本身的内容，而不寻求外部证据。</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4.3如果投标文件实质不响应招标文件的各项要求，评标委员会将予以拒绝，并且不允许投标人通过修改或撤销其不符合要求的差异或保留，使之成为具有实质性响应的投标。</w:t>
      </w:r>
    </w:p>
    <w:p>
      <w:pPr>
        <w:spacing w:line="440" w:lineRule="exact"/>
        <w:jc w:val="left"/>
        <w:rPr>
          <w:rFonts w:ascii="仿宋_GB2312" w:hAnsi="宋体" w:eastAsia="仿宋_GB2312" w:cs="宋体"/>
          <w:b/>
          <w:color w:val="auto"/>
          <w:sz w:val="24"/>
          <w:highlight w:val="none"/>
        </w:rPr>
      </w:pPr>
      <w:r>
        <w:rPr>
          <w:rFonts w:hint="eastAsia" w:ascii="仿宋_GB2312" w:hAnsi="宋体" w:eastAsia="仿宋_GB2312"/>
          <w:b/>
          <w:color w:val="auto"/>
          <w:kern w:val="0"/>
          <w:sz w:val="24"/>
          <w:highlight w:val="none"/>
        </w:rPr>
        <w:t xml:space="preserve">5. </w:t>
      </w:r>
      <w:r>
        <w:rPr>
          <w:rFonts w:hint="eastAsia" w:ascii="仿宋_GB2312" w:hAnsi="宋体" w:eastAsia="仿宋_GB2312" w:cs="宋体"/>
          <w:b/>
          <w:color w:val="auto"/>
          <w:sz w:val="24"/>
          <w:highlight w:val="none"/>
        </w:rPr>
        <w:t>投标文件报价出现前后不一致的，按照下列规定修正：</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5.1投标文件中开标一览表（报价表）内容与投标文件中相应内容不一致的，以开标一览表（报价表）为准；</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5.2大写金额和小写金额不一致的，以大写金额为准；</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5.3单价金额小数点或者百分比有明显错位的，以开标一览表的总价为准，并修改单价；</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5.4总价金额与按单价汇总金额不一致的，以单价金额计算结果为准。</w:t>
      </w:r>
    </w:p>
    <w:p>
      <w:pPr>
        <w:spacing w:line="440" w:lineRule="exact"/>
        <w:ind w:firstLine="480"/>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同时出现两种以上不一致的，按照前款规定的顺序修正。</w:t>
      </w:r>
      <w:r>
        <w:rPr>
          <w:rFonts w:hint="eastAsia" w:ascii="仿宋_GB2312" w:hAnsi="仿宋_GB2312" w:eastAsia="仿宋_GB2312" w:cs="仿宋_GB2312"/>
          <w:bCs/>
          <w:color w:val="auto"/>
          <w:sz w:val="24"/>
          <w:highlight w:val="none"/>
        </w:rPr>
        <w:t>修正后的报价按照财政部公布第87号令 《政府采购货物和服务招标投标管理办法》</w:t>
      </w:r>
      <w:r>
        <w:rPr>
          <w:rFonts w:hint="eastAsia" w:ascii="仿宋_GB2312" w:hAnsi="宋体" w:eastAsia="仿宋_GB2312" w:cs="宋体"/>
          <w:color w:val="auto"/>
          <w:sz w:val="24"/>
          <w:highlight w:val="none"/>
        </w:rPr>
        <w:t>第五十一条第二款的规定经投标人确认后产生约束力，投标人不确认的，其投标无效。</w:t>
      </w:r>
    </w:p>
    <w:p>
      <w:pPr>
        <w:spacing w:line="440" w:lineRule="exact"/>
        <w:jc w:val="left"/>
        <w:rPr>
          <w:rFonts w:ascii="仿宋_GB2312" w:hAnsi="宋体" w:eastAsia="仿宋_GB2312" w:cs="宋体"/>
          <w:b/>
          <w:color w:val="auto"/>
          <w:sz w:val="24"/>
          <w:highlight w:val="none"/>
        </w:rPr>
      </w:pPr>
      <w:r>
        <w:rPr>
          <w:rFonts w:hint="eastAsia" w:ascii="仿宋_GB2312" w:hAnsi="宋体" w:eastAsia="仿宋_GB2312" w:cs="宋体"/>
          <w:b/>
          <w:color w:val="auto"/>
          <w:sz w:val="24"/>
          <w:highlight w:val="none"/>
        </w:rPr>
        <w:t>6.投标文件的评审、比较和否决</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6.1评标委员会将对在实质上响应招标文件要求的投标文件进行评估和比较。</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6.2在评审过程中，评标委员会可以书面形式要求投标人就投标文件含义不明确的内容可对其通过政采云平台进行书面说明并提供相关材料，但</w:t>
      </w:r>
      <w:r>
        <w:rPr>
          <w:rFonts w:hint="eastAsia" w:ascii="仿宋_GB2312" w:hAnsi="宋体" w:eastAsia="仿宋_GB2312"/>
          <w:color w:val="auto"/>
          <w:sz w:val="24"/>
          <w:highlight w:val="none"/>
        </w:rPr>
        <w:t>不得超过投标文件的范围或者改变投标文件的实质性内容。</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6.3在评标过程中，如发现与招标文件要求相偏离的，评标委员会可对其偏离情形进行必要的核实。</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6.4在评审过程中，如属于实质性偏离或符合无效响应条件的，应当询问相关投标人，并可对其通过政采云平台进行线上确认，但不允许对偏离条款进行补充、修正或撤回。</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6.5</w:t>
      </w:r>
      <w:r>
        <w:rPr>
          <w:rFonts w:ascii="仿宋_GB2312" w:hAnsi="宋体" w:eastAsia="仿宋_GB2312" w:cs="宋体"/>
          <w:color w:val="auto"/>
          <w:sz w:val="24"/>
          <w:highlight w:val="none"/>
        </w:rPr>
        <w:t>比较与评价</w:t>
      </w:r>
      <w:r>
        <w:rPr>
          <w:rFonts w:hint="eastAsia" w:ascii="仿宋_GB2312" w:hAnsi="宋体" w:eastAsia="仿宋_GB2312" w:cs="宋体"/>
          <w:color w:val="auto"/>
          <w:sz w:val="24"/>
          <w:highlight w:val="none"/>
        </w:rPr>
        <w:t>。评</w:t>
      </w:r>
      <w:r>
        <w:rPr>
          <w:rFonts w:ascii="仿宋_GB2312" w:hAnsi="宋体" w:eastAsia="仿宋_GB2312" w:cs="宋体"/>
          <w:color w:val="auto"/>
          <w:sz w:val="24"/>
          <w:highlight w:val="none"/>
        </w:rPr>
        <w:t>标委员会应当按照评标标准，对符合性审查合格的投标文件进行商务和技术评估，综合比较与评价。</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6.6</w:t>
      </w:r>
      <w:r>
        <w:rPr>
          <w:rFonts w:ascii="仿宋_GB2312" w:hAnsi="宋体" w:eastAsia="仿宋_GB2312" w:cs="宋体"/>
          <w:color w:val="auto"/>
          <w:sz w:val="24"/>
          <w:highlight w:val="none"/>
        </w:rPr>
        <w:t>汇总</w:t>
      </w:r>
      <w:r>
        <w:rPr>
          <w:rFonts w:hint="eastAsia" w:ascii="仿宋_GB2312" w:hAnsi="宋体" w:eastAsia="仿宋_GB2312" w:cs="宋体"/>
          <w:color w:val="auto"/>
          <w:sz w:val="24"/>
          <w:highlight w:val="none"/>
        </w:rPr>
        <w:t>（商务技术得分情况）。</w:t>
      </w:r>
      <w:r>
        <w:rPr>
          <w:rFonts w:ascii="仿宋_GB2312" w:hAnsi="宋体" w:eastAsia="仿宋_GB2312" w:cs="宋体"/>
          <w:color w:val="auto"/>
          <w:sz w:val="24"/>
          <w:highlight w:val="none"/>
        </w:rPr>
        <w:t>评标委员会各成员应当独立对每个投标人的</w:t>
      </w:r>
      <w:r>
        <w:rPr>
          <w:rFonts w:hint="eastAsia" w:ascii="仿宋_GB2312" w:hAnsi="宋体" w:eastAsia="仿宋_GB2312" w:cs="宋体"/>
          <w:color w:val="auto"/>
          <w:sz w:val="24"/>
          <w:highlight w:val="none"/>
        </w:rPr>
        <w:t>商务技术（资信）文件</w:t>
      </w:r>
      <w:r>
        <w:rPr>
          <w:rFonts w:ascii="仿宋_GB2312" w:hAnsi="宋体" w:eastAsia="仿宋_GB2312" w:cs="宋体"/>
          <w:color w:val="auto"/>
          <w:sz w:val="24"/>
          <w:highlight w:val="none"/>
        </w:rPr>
        <w:t>进行评价，并汇总</w:t>
      </w:r>
      <w:r>
        <w:rPr>
          <w:rFonts w:hint="eastAsia" w:ascii="仿宋_GB2312" w:hAnsi="宋体" w:eastAsia="仿宋_GB2312" w:cs="宋体"/>
          <w:color w:val="auto"/>
          <w:sz w:val="24"/>
          <w:highlight w:val="none"/>
        </w:rPr>
        <w:t>商务技术得分情况</w:t>
      </w:r>
      <w:r>
        <w:rPr>
          <w:rFonts w:ascii="仿宋_GB2312" w:hAnsi="宋体" w:eastAsia="仿宋_GB2312" w:cs="宋体"/>
          <w:color w:val="auto"/>
          <w:sz w:val="24"/>
          <w:highlight w:val="none"/>
        </w:rPr>
        <w:t>。</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 报价审核。对符合采购需求且通过商务技术（资信）评审的投标人的报价的合理性、准确性等进行审查核实。</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6.7.2根据财政部发布的《政府采购促进中小企业发展暂行办法》规定，对于非专门面向中小企业的项目，对小型和微型企业产品的价格给予一定的扣除，用扣除后的价格参与评审。</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6.7.3如需投标价格修正，按财政部87号令第五十九条的规定对投标价格进行修正。</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6.8评标委员会依据招标文件规定的评标标准和方法，对投标文件进行评审和比较后，向本中心提供书面评标报告，并按得分高低排序推荐中标候选供应商。</w:t>
      </w:r>
    </w:p>
    <w:p>
      <w:pPr>
        <w:pStyle w:val="13"/>
        <w:widowControl w:val="0"/>
        <w:tabs>
          <w:tab w:val="clear" w:pos="454"/>
        </w:tabs>
        <w:spacing w:afterLines="0" w:line="440" w:lineRule="exact"/>
        <w:ind w:left="0" w:firstLine="0"/>
        <w:rPr>
          <w:rFonts w:ascii="仿宋_GB2312" w:hAnsi="宋体" w:eastAsia="仿宋_GB2312"/>
          <w:b/>
          <w:color w:val="auto"/>
          <w:highlight w:val="none"/>
        </w:rPr>
      </w:pPr>
      <w:r>
        <w:rPr>
          <w:rFonts w:hint="eastAsia" w:ascii="仿宋_GB2312" w:hAnsi="宋体" w:eastAsia="仿宋_GB2312"/>
          <w:b/>
          <w:color w:val="auto"/>
          <w:highlight w:val="none"/>
        </w:rPr>
        <w:t>7.投标文件的澄清</w:t>
      </w:r>
    </w:p>
    <w:p>
      <w:pPr>
        <w:pStyle w:val="13"/>
        <w:widowControl w:val="0"/>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仿宋_GB2312" w:eastAsia="仿宋_GB2312" w:cs="仿宋_GB2312"/>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22"/>
        <w:snapToGrid w:val="0"/>
        <w:spacing w:line="440" w:lineRule="exact"/>
        <w:jc w:val="left"/>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8.无效投标的情形</w:t>
      </w:r>
    </w:p>
    <w:p>
      <w:pPr>
        <w:tabs>
          <w:tab w:val="left" w:pos="4085"/>
        </w:tabs>
        <w:snapToGrid w:val="0"/>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投标文件有下列情形之一的作无效投标处理：</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8.1未按照招标文件规定要求电子签章、签字或盖章的；</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8.2单位负责人为同一人或者存在直接控股、管理关系的不同供应商参加同一合同项下的政府采购活动的（均无效）；</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8.3为采购项目提供整体设计、规范编制或者项目管理、监理、检测等服务的供应商参加该采购项目的其他采购活动的； </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8.4投标人不具备招标文件中规定的资格要求的（投标人未提供有效的资格证明文件的，视为投标人不具备招标文件中规定的资格要求）；</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kern w:val="0"/>
          <w:sz w:val="24"/>
          <w:highlight w:val="none"/>
        </w:rPr>
        <w:t>8.5《法定代表人身份证明书》与提供的身份证复印件信息不符的；《法定代表人授权委托书》与提供的身份证复印件信息不符的；</w:t>
      </w:r>
    </w:p>
    <w:p>
      <w:pPr>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8.6《法定代表人授权委托书》或《法定代表人身份证明书》填写不全、错误、未电子签章(《法定代表人授权委托书》要求“电子签章”和“签字或盖章”缺一不可）的；</w:t>
      </w:r>
    </w:p>
    <w:p>
      <w:pPr>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8.7授权代表非投标单位正式职工的（以</w:t>
      </w:r>
      <w:r>
        <w:rPr>
          <w:rFonts w:ascii="仿宋_GB2312" w:hAnsi="宋体" w:eastAsia="仿宋_GB2312"/>
          <w:b/>
          <w:color w:val="auto"/>
          <w:kern w:val="0"/>
          <w:sz w:val="24"/>
          <w:highlight w:val="none"/>
        </w:rPr>
        <w:t>社保证明</w:t>
      </w:r>
      <w:r>
        <w:rPr>
          <w:rFonts w:hint="eastAsia" w:ascii="仿宋_GB2312" w:hAnsi="宋体" w:eastAsia="仿宋_GB2312"/>
          <w:b/>
          <w:color w:val="auto"/>
          <w:kern w:val="0"/>
          <w:sz w:val="24"/>
          <w:highlight w:val="none"/>
        </w:rPr>
        <w:t>为准，如授权代表为</w:t>
      </w:r>
      <w:r>
        <w:rPr>
          <w:rFonts w:ascii="仿宋_GB2312" w:hAnsi="宋体" w:eastAsia="仿宋_GB2312"/>
          <w:b/>
          <w:color w:val="auto"/>
          <w:kern w:val="0"/>
          <w:sz w:val="24"/>
          <w:highlight w:val="none"/>
        </w:rPr>
        <w:t>离退休返聘人员的，</w:t>
      </w:r>
      <w:r>
        <w:rPr>
          <w:rFonts w:hint="eastAsia" w:ascii="仿宋_GB2312" w:hAnsi="宋体" w:eastAsia="仿宋_GB2312"/>
          <w:b/>
          <w:color w:val="auto"/>
          <w:kern w:val="0"/>
          <w:sz w:val="24"/>
          <w:highlight w:val="none"/>
        </w:rPr>
        <w:t>需提供</w:t>
      </w:r>
      <w:r>
        <w:rPr>
          <w:rFonts w:ascii="仿宋_GB2312" w:hAnsi="宋体" w:eastAsia="仿宋_GB2312"/>
          <w:b/>
          <w:color w:val="auto"/>
          <w:kern w:val="0"/>
          <w:sz w:val="24"/>
          <w:highlight w:val="none"/>
        </w:rPr>
        <w:t>退休证明及单位聘用证明</w:t>
      </w:r>
      <w:r>
        <w:rPr>
          <w:rFonts w:hint="eastAsia" w:ascii="仿宋_GB2312" w:hAnsi="宋体" w:eastAsia="仿宋_GB2312"/>
          <w:b/>
          <w:color w:val="auto"/>
          <w:kern w:val="0"/>
          <w:sz w:val="24"/>
          <w:highlight w:val="none"/>
        </w:rPr>
        <w:t>），法定代表人及个体工商户除外；</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8.8投标文件中的投标函无投标人的电子签章或填写不全的；</w:t>
      </w:r>
    </w:p>
    <w:p>
      <w:pPr>
        <w:tabs>
          <w:tab w:val="left" w:pos="3870"/>
          <w:tab w:val="left" w:pos="4085"/>
        </w:tabs>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8.9报</w:t>
      </w:r>
      <w:r>
        <w:rPr>
          <w:rFonts w:hint="eastAsia" w:ascii="仿宋_GB2312" w:hAnsi="宋体" w:eastAsia="仿宋_GB2312"/>
          <w:b/>
          <w:color w:val="auto"/>
          <w:sz w:val="24"/>
          <w:highlight w:val="none"/>
        </w:rPr>
        <w:t>价一经涂改，未在涂改处加盖投标单位公章或者未经法定代表人或其授权代表签字或盖章的；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kern w:val="0"/>
          <w:sz w:val="24"/>
          <w:highlight w:val="none"/>
        </w:rPr>
        <w:t>8.10</w:t>
      </w:r>
      <w:r>
        <w:rPr>
          <w:rFonts w:hint="eastAsia" w:ascii="仿宋_GB2312" w:hAnsi="宋体" w:eastAsia="仿宋_GB2312"/>
          <w:b/>
          <w:color w:val="auto"/>
          <w:sz w:val="24"/>
          <w:highlight w:val="none"/>
        </w:rPr>
        <w:t>未按招标文件规定的格式填写，或</w:t>
      </w:r>
      <w:r>
        <w:rPr>
          <w:rFonts w:hint="eastAsia" w:ascii="仿宋_GB2312" w:hAnsi="宋体" w:eastAsia="仿宋_GB2312"/>
          <w:b/>
          <w:color w:val="auto"/>
          <w:sz w:val="24"/>
          <w:szCs w:val="20"/>
          <w:highlight w:val="none"/>
        </w:rPr>
        <w:t>对招标</w:t>
      </w:r>
      <w:r>
        <w:rPr>
          <w:rFonts w:hint="eastAsia" w:ascii="仿宋_GB2312" w:hAnsi="宋体" w:eastAsia="仿宋_GB2312"/>
          <w:b/>
          <w:color w:val="auto"/>
          <w:sz w:val="24"/>
          <w:highlight w:val="none"/>
        </w:rPr>
        <w:t>服务或技术或产品等要求</w:t>
      </w:r>
      <w:r>
        <w:rPr>
          <w:rFonts w:hint="eastAsia" w:ascii="仿宋_GB2312" w:hAnsi="宋体" w:eastAsia="仿宋_GB2312"/>
          <w:b/>
          <w:color w:val="auto"/>
          <w:sz w:val="24"/>
          <w:szCs w:val="20"/>
          <w:highlight w:val="none"/>
        </w:rPr>
        <w:t>未详细应答或应答</w:t>
      </w:r>
      <w:r>
        <w:rPr>
          <w:rFonts w:hint="eastAsia" w:ascii="仿宋_GB2312" w:hAnsi="宋体" w:eastAsia="仿宋_GB2312"/>
          <w:b/>
          <w:color w:val="auto"/>
          <w:sz w:val="24"/>
          <w:highlight w:val="none"/>
        </w:rPr>
        <w:t>内容不全、有缺失的,经评标委员会认定为无法评审的；</w:t>
      </w:r>
    </w:p>
    <w:p>
      <w:pPr>
        <w:pStyle w:val="22"/>
        <w:snapToGrid w:val="0"/>
        <w:spacing w:line="440" w:lineRule="exact"/>
        <w:jc w:val="left"/>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8.11出现同一标的物或本次招标产品(服务)内的主要产品(重要组成部分)出现</w:t>
      </w:r>
      <w:r>
        <w:rPr>
          <w:rFonts w:hint="eastAsia" w:ascii="仿宋_GB2312" w:hAnsi="宋体" w:eastAsia="仿宋_GB2312"/>
          <w:b/>
          <w:color w:val="auto"/>
          <w:sz w:val="24"/>
          <w:highlight w:val="none"/>
        </w:rPr>
        <w:t>商务技术（资信）文件资料</w:t>
      </w:r>
      <w:r>
        <w:rPr>
          <w:rFonts w:hint="eastAsia" w:ascii="仿宋_GB2312" w:hAnsi="宋体" w:eastAsia="仿宋_GB2312"/>
          <w:b/>
          <w:color w:val="auto"/>
          <w:sz w:val="24"/>
          <w:szCs w:val="24"/>
          <w:highlight w:val="none"/>
        </w:rPr>
        <w:t>、</w:t>
      </w:r>
      <w:r>
        <w:rPr>
          <w:rFonts w:hint="eastAsia" w:ascii="仿宋_GB2312" w:hAnsi="宋体" w:eastAsia="仿宋_GB2312"/>
          <w:b/>
          <w:color w:val="auto"/>
          <w:sz w:val="24"/>
          <w:highlight w:val="none"/>
        </w:rPr>
        <w:t>报价文件资料</w:t>
      </w:r>
      <w:r>
        <w:rPr>
          <w:rFonts w:hint="eastAsia" w:ascii="仿宋_GB2312" w:hAnsi="宋体" w:eastAsia="仿宋_GB2312"/>
          <w:b/>
          <w:color w:val="auto"/>
          <w:sz w:val="24"/>
          <w:szCs w:val="24"/>
          <w:highlight w:val="none"/>
        </w:rPr>
        <w:t>描述不一致或前后描述不一致，经评标委员会认定后为无法评审的；</w:t>
      </w:r>
    </w:p>
    <w:p>
      <w:pPr>
        <w:pStyle w:val="22"/>
        <w:snapToGrid w:val="0"/>
        <w:spacing w:line="440" w:lineRule="exact"/>
        <w:jc w:val="left"/>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8.12《技</w:t>
      </w:r>
      <w:r>
        <w:rPr>
          <w:rFonts w:hint="eastAsia" w:ascii="仿宋_GB2312" w:hAnsi="宋体" w:eastAsia="仿宋_GB2312"/>
          <w:b/>
          <w:color w:val="auto"/>
          <w:sz w:val="24"/>
          <w:highlight w:val="none"/>
        </w:rPr>
        <w:t>术偏离说明表</w:t>
      </w:r>
      <w:r>
        <w:rPr>
          <w:rFonts w:hint="eastAsia" w:ascii="仿宋_GB2312" w:hAnsi="宋体" w:eastAsia="仿宋_GB2312"/>
          <w:b/>
          <w:color w:val="auto"/>
          <w:sz w:val="24"/>
          <w:szCs w:val="24"/>
          <w:highlight w:val="none"/>
        </w:rPr>
        <w:t>》</w:t>
      </w:r>
      <w:r>
        <w:rPr>
          <w:rFonts w:hint="eastAsia" w:ascii="仿宋_GB2312" w:hAnsi="宋体" w:eastAsia="仿宋_GB2312"/>
          <w:b/>
          <w:color w:val="auto"/>
          <w:sz w:val="24"/>
          <w:highlight w:val="none"/>
        </w:rPr>
        <w:t>不真实填写或弄虚作假的；</w:t>
      </w:r>
    </w:p>
    <w:p>
      <w:pPr>
        <w:tabs>
          <w:tab w:val="left" w:pos="3870"/>
          <w:tab w:val="left" w:pos="4085"/>
        </w:tabs>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sz w:val="24"/>
          <w:highlight w:val="none"/>
        </w:rPr>
        <w:t>8.13投</w:t>
      </w:r>
      <w:r>
        <w:rPr>
          <w:rFonts w:hint="eastAsia" w:ascii="仿宋_GB2312" w:hAnsi="宋体" w:eastAsia="仿宋_GB2312"/>
          <w:b/>
          <w:color w:val="auto"/>
          <w:kern w:val="0"/>
          <w:sz w:val="24"/>
          <w:highlight w:val="none"/>
        </w:rPr>
        <w:t>标文件含有采购人不能接受的附加条件；</w:t>
      </w:r>
    </w:p>
    <w:p>
      <w:pPr>
        <w:tabs>
          <w:tab w:val="left" w:pos="3870"/>
          <w:tab w:val="left" w:pos="4085"/>
        </w:tabs>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8.14评</w:t>
      </w:r>
      <w:r>
        <w:rPr>
          <w:rFonts w:hint="eastAsia" w:ascii="仿宋_GB2312" w:hAnsi="宋体" w:eastAsia="仿宋_GB2312"/>
          <w:b/>
          <w:color w:val="auto"/>
          <w:sz w:val="24"/>
          <w:highlight w:val="none"/>
        </w:rPr>
        <w:t>标委员会认为投标人的报价明显低于其他通过符合性审查投标人的报价，有可能影响产品质量或者不能诚信履约的，未能按要求提供书面说明或者提交相关证明材料证明其报价合理性的;</w:t>
      </w:r>
    </w:p>
    <w:p>
      <w:pPr>
        <w:tabs>
          <w:tab w:val="left" w:pos="3870"/>
          <w:tab w:val="left" w:pos="4085"/>
        </w:tabs>
        <w:snapToGrid w:val="0"/>
        <w:spacing w:line="440" w:lineRule="exact"/>
        <w:jc w:val="left"/>
        <w:rPr>
          <w:rFonts w:ascii="仿宋_GB2312" w:eastAsia="仿宋_GB2312"/>
          <w:b/>
          <w:color w:val="auto"/>
          <w:sz w:val="24"/>
          <w:highlight w:val="none"/>
        </w:rPr>
      </w:pPr>
      <w:r>
        <w:rPr>
          <w:rFonts w:hint="eastAsia" w:ascii="仿宋_GB2312" w:hAnsi="宋体" w:eastAsia="仿宋_GB2312"/>
          <w:b/>
          <w:color w:val="auto"/>
          <w:sz w:val="24"/>
          <w:highlight w:val="none"/>
        </w:rPr>
        <w:t>8.15报</w:t>
      </w:r>
      <w:r>
        <w:rPr>
          <w:rFonts w:hint="eastAsia" w:ascii="仿宋_GB2312" w:eastAsia="仿宋_GB2312"/>
          <w:b/>
          <w:color w:val="auto"/>
          <w:sz w:val="24"/>
          <w:highlight w:val="none"/>
        </w:rPr>
        <w:t>价超过招标文件中规定的预算金额或最高限价的；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8.16投标文件“商务技术（资信）文件资料”部分中出现《开标一览表》相关内容的；</w:t>
      </w:r>
    </w:p>
    <w:p>
      <w:pPr>
        <w:tabs>
          <w:tab w:val="left" w:pos="3870"/>
          <w:tab w:val="left" w:pos="4085"/>
        </w:tabs>
        <w:snapToGrid w:val="0"/>
        <w:spacing w:line="440" w:lineRule="exact"/>
        <w:jc w:val="left"/>
        <w:rPr>
          <w:rFonts w:ascii="仿宋" w:hAnsi="仿宋" w:eastAsia="仿宋" w:cs="仿宋_GB2312"/>
          <w:b/>
          <w:color w:val="auto"/>
          <w:sz w:val="24"/>
          <w:szCs w:val="21"/>
          <w:highlight w:val="none"/>
        </w:rPr>
      </w:pPr>
      <w:r>
        <w:rPr>
          <w:rFonts w:hint="eastAsia" w:ascii="仿宋_GB2312" w:hAnsi="仿宋" w:eastAsia="仿宋_GB2312" w:cs="仿宋_GB2312"/>
          <w:b/>
          <w:color w:val="auto"/>
          <w:sz w:val="24"/>
          <w:szCs w:val="21"/>
          <w:highlight w:val="none"/>
        </w:rPr>
        <w:t>8.17采</w:t>
      </w:r>
      <w:r>
        <w:rPr>
          <w:rFonts w:ascii="仿宋" w:hAnsi="仿宋" w:eastAsia="仿宋" w:cs="仿宋_GB2312"/>
          <w:b/>
          <w:color w:val="auto"/>
          <w:sz w:val="24"/>
          <w:szCs w:val="21"/>
          <w:highlight w:val="none"/>
        </w:rPr>
        <w:t>购人拟采购的产品属于</w:t>
      </w:r>
      <w:r>
        <w:rPr>
          <w:rFonts w:hint="eastAsia" w:ascii="仿宋" w:hAnsi="仿宋" w:eastAsia="仿宋" w:cs="仿宋_GB2312"/>
          <w:b/>
          <w:color w:val="auto"/>
          <w:sz w:val="24"/>
          <w:szCs w:val="21"/>
          <w:highlight w:val="none"/>
        </w:rPr>
        <w:t>政府强制采购的节能产品品目清单范围的，投标人未按招标文件要求提供国家确定的认证机构出具的、处于有效期之内的节能产品认证证书的；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8.18《开标一览表》填写不完整或字迹不能辨认或有漏项的，经评标委员会认定属于重大偏差的；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8.19投标人对根据修正原则修正后的报价不确认的；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8.20投标人提供虚假材料投标的（包括但不限于以下情节）；</w:t>
      </w:r>
    </w:p>
    <w:p>
      <w:pPr>
        <w:tabs>
          <w:tab w:val="left" w:pos="3870"/>
          <w:tab w:val="left" w:pos="4085"/>
        </w:tabs>
        <w:snapToGrid w:val="0"/>
        <w:spacing w:line="440" w:lineRule="exact"/>
        <w:ind w:firstLine="470" w:firstLineChars="19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8.20.1使用伪造、变造的许可证件；</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8.20.2提供虚假的财务状况或者业绩；</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8.20.3提供虚假的项目负责人或者主要技术人员简历、劳动关系证明；</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8.20.4提供虚假的信用状况；</w:t>
      </w:r>
    </w:p>
    <w:p>
      <w:pPr>
        <w:tabs>
          <w:tab w:val="left" w:pos="3870"/>
          <w:tab w:val="left" w:pos="4085"/>
        </w:tabs>
        <w:snapToGrid w:val="0"/>
        <w:spacing w:line="440" w:lineRule="exact"/>
        <w:ind w:firstLine="48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8.20.5其他弄虚作假的行为。</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8.21下列情形之一的，视为投标人串通投标，其投标无效：</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8.21.1不同投标人的投标文件由同一单位或者个人编制；</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8.21.2不同投标人委托同一单位或者个人办理投标事宜；</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8.21.3不同投标人的投标文件载明的项目管理成员或者联系人员为同一人；</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8.21.4不同投标人的投标文件异常一致或者投标报价呈规律性差异；</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8.21.5不同投标人的投标文件相互混装；</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8.22有下列情形之一的，属于恶意串通，其投标无效：</w:t>
      </w:r>
    </w:p>
    <w:p>
      <w:pPr>
        <w:spacing w:line="440" w:lineRule="exact"/>
        <w:ind w:firstLine="480" w:firstLineChars="200"/>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8.22.1</w:t>
      </w:r>
      <w:r>
        <w:rPr>
          <w:rFonts w:hint="eastAsia" w:ascii="仿宋_GB2312" w:hAnsi="仿宋" w:eastAsia="仿宋_GB2312" w:cs="仿宋_GB2312"/>
          <w:color w:val="auto"/>
          <w:sz w:val="24"/>
          <w:highlight w:val="none"/>
        </w:rPr>
        <w:t>供应商直接或者间接从采购人或者采购机构处获得其他供应商的相关情况并修改其投标文件或者响应文件；</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8.22.2供应商按照采购人或者采购机构的授意撤换、修改投标文件或者响应文件；</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8.22.3供应商之间协商报价、技术方案等投标文件或者响应文件的实质性内容；</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8.22.4属于同一集团、协会、商会等组织成员的供应商按照该组织要求协同参加政府采购活动；</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8.22.5供应商之间事先约定由某一特定供应商中标、成交；</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8.22.7供应商与采购人或者采购机构之间、供应商相互之间，为谋求特定供应商中标、成交或者排斥其他供应商的其他串通行为。</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仿宋_GB2312" w:eastAsia="仿宋_GB2312" w:cs="仿宋_GB2312"/>
          <w:b/>
          <w:color w:val="auto"/>
          <w:sz w:val="24"/>
          <w:szCs w:val="21"/>
          <w:highlight w:val="none"/>
        </w:rPr>
        <w:t>8.23</w:t>
      </w:r>
      <w:r>
        <w:rPr>
          <w:rFonts w:hint="eastAsia" w:ascii="仿宋_GB2312" w:hAnsi="宋体" w:eastAsia="仿宋_GB2312"/>
          <w:b/>
          <w:color w:val="auto"/>
          <w:sz w:val="24"/>
          <w:highlight w:val="none"/>
        </w:rPr>
        <w:t>评标委员会认定有重大偏差或实质性不响应招标文件要求的；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8.24投标文件出现不是唯一的、有选择性投标报价的；</w:t>
      </w:r>
    </w:p>
    <w:p>
      <w:pPr>
        <w:spacing w:line="440" w:lineRule="exact"/>
        <w:rPr>
          <w:color w:val="auto"/>
          <w:highlight w:val="none"/>
        </w:rPr>
      </w:pPr>
      <w:r>
        <w:rPr>
          <w:rFonts w:hint="eastAsia" w:ascii="仿宋_GB2312" w:eastAsia="仿宋_GB2312"/>
          <w:b/>
          <w:color w:val="auto"/>
          <w:sz w:val="24"/>
          <w:highlight w:val="none"/>
        </w:rPr>
        <w:t>8.25</w:t>
      </w:r>
      <w:r>
        <w:rPr>
          <w:rFonts w:hint="eastAsia" w:ascii="仿宋_GB2312" w:hAnsi="宋体" w:eastAsia="仿宋_GB2312"/>
          <w:b/>
          <w:color w:val="auto"/>
          <w:sz w:val="24"/>
          <w:highlight w:val="none"/>
        </w:rPr>
        <w:t>其他违反法律、法规的情形。</w:t>
      </w:r>
    </w:p>
    <w:p>
      <w:pPr>
        <w:snapToGrid w:val="0"/>
        <w:spacing w:line="440" w:lineRule="exac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9. 评标过程保密</w:t>
      </w:r>
    </w:p>
    <w:p>
      <w:pPr>
        <w:snapToGrid w:val="0"/>
        <w:spacing w:line="440" w:lineRule="exac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9.1</w:t>
      </w:r>
      <w:r>
        <w:rPr>
          <w:rFonts w:hint="eastAsia" w:ascii="仿宋_GB2312" w:hAnsi="仿宋" w:eastAsia="仿宋_GB2312" w:cs="仿宋_GB2312"/>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440" w:lineRule="exac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9.2 在评标期间，投标人企图影响招标人或</w:t>
      </w:r>
      <w:r>
        <w:rPr>
          <w:rFonts w:hint="eastAsia" w:ascii="仿宋_GB2312" w:hAnsi="宋体" w:eastAsia="仿宋_GB2312"/>
          <w:color w:val="auto"/>
          <w:sz w:val="24"/>
          <w:highlight w:val="none"/>
        </w:rPr>
        <w:t>评标委员会</w:t>
      </w:r>
      <w:r>
        <w:rPr>
          <w:rFonts w:hint="eastAsia" w:ascii="仿宋_GB2312" w:hAnsi="宋体" w:eastAsia="仿宋_GB2312"/>
          <w:color w:val="auto"/>
          <w:kern w:val="0"/>
          <w:sz w:val="24"/>
          <w:highlight w:val="none"/>
        </w:rPr>
        <w:t>的任何活动，都将导致投标被拒绝，并由其承担相应的法律责任。</w:t>
      </w:r>
    </w:p>
    <w:p>
      <w:pPr>
        <w:pStyle w:val="22"/>
        <w:spacing w:line="800" w:lineRule="exact"/>
        <w:ind w:firstLine="726"/>
        <w:jc w:val="center"/>
        <w:rPr>
          <w:rFonts w:ascii="仿宋_GB2312" w:hAnsi="宋体" w:eastAsia="仿宋_GB2312"/>
          <w:b/>
          <w:color w:val="auto"/>
          <w:sz w:val="36"/>
          <w:szCs w:val="36"/>
          <w:highlight w:val="none"/>
        </w:rPr>
      </w:pPr>
      <w:bookmarkStart w:id="4" w:name="_Toc81372776"/>
      <w:bookmarkStart w:id="5" w:name="_Toc84325929"/>
      <w:bookmarkStart w:id="6" w:name="_Toc81372953"/>
      <w:r>
        <w:rPr>
          <w:rFonts w:hint="eastAsia" w:ascii="仿宋_GB2312" w:hAnsi="宋体" w:eastAsia="仿宋_GB2312"/>
          <w:b/>
          <w:color w:val="auto"/>
          <w:sz w:val="36"/>
          <w:szCs w:val="36"/>
          <w:highlight w:val="none"/>
        </w:rPr>
        <w:t>五、授予合同</w:t>
      </w:r>
    </w:p>
    <w:p>
      <w:pPr>
        <w:pStyle w:val="13"/>
        <w:tabs>
          <w:tab w:val="clear" w:pos="454"/>
        </w:tabs>
        <w:spacing w:afterLines="0" w:line="440" w:lineRule="exact"/>
        <w:ind w:left="0" w:firstLine="0"/>
        <w:rPr>
          <w:rFonts w:ascii="仿宋_GB2312" w:hAnsi="宋体" w:eastAsia="仿宋_GB2312"/>
          <w:b/>
          <w:color w:val="auto"/>
          <w:szCs w:val="24"/>
          <w:highlight w:val="none"/>
        </w:rPr>
      </w:pPr>
      <w:r>
        <w:rPr>
          <w:rFonts w:hint="eastAsia" w:ascii="仿宋_GB2312" w:hAnsi="宋体" w:eastAsia="仿宋_GB2312"/>
          <w:b/>
          <w:color w:val="auto"/>
          <w:szCs w:val="24"/>
          <w:highlight w:val="none"/>
        </w:rPr>
        <w:t>1.中标条件</w:t>
      </w:r>
    </w:p>
    <w:p>
      <w:pPr>
        <w:pStyle w:val="13"/>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1.1投标文件基本符合招标文件要求；</w:t>
      </w:r>
    </w:p>
    <w:p>
      <w:pPr>
        <w:pStyle w:val="13"/>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1.2投标人有很好的执行合同的能力；</w:t>
      </w:r>
    </w:p>
    <w:p>
      <w:pPr>
        <w:pStyle w:val="13"/>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1.3实施方案最合理并对招标人最为有利，最大限度满足招标文件的要求；</w:t>
      </w:r>
    </w:p>
    <w:p>
      <w:pPr>
        <w:pStyle w:val="13"/>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1.4投标人能够提供质量技术、商务经济占综合优势的系统及服务。</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1.5招标人将把中标通知书授予最佳投标者，但最低价不是中标的绝对保证。</w:t>
      </w:r>
    </w:p>
    <w:bookmarkEnd w:id="4"/>
    <w:bookmarkEnd w:id="5"/>
    <w:bookmarkEnd w:id="6"/>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2.中标确认</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2.1采购人应当自收到评标报告之日起５个工作日内，在评标报告确定的中标候选人名单中按顺序确定中标人。</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2.2采购人在收到评标报告5个工作日内未按评标报告推荐的中标候选人顺序确定中标人，视同按评标报告推荐的顺序确定的中标候选人为中标人。</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2.3采购人应在确认中标人前再次对资格条件和相关证件材料进一步查验核实。</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3．中标通知</w:t>
      </w:r>
    </w:p>
    <w:p>
      <w:pPr>
        <w:pStyle w:val="151"/>
        <w:tabs>
          <w:tab w:val="left" w:pos="0"/>
        </w:tabs>
        <w:spacing w:before="0" w:line="440" w:lineRule="exact"/>
        <w:ind w:firstLine="0" w:firstLineChars="0"/>
        <w:rPr>
          <w:rFonts w:ascii="仿宋_GB2312" w:hAnsi="宋体" w:eastAsia="仿宋_GB2312"/>
          <w:color w:val="auto"/>
          <w:szCs w:val="24"/>
          <w:highlight w:val="none"/>
        </w:rPr>
      </w:pPr>
      <w:r>
        <w:rPr>
          <w:rFonts w:hint="eastAsia" w:ascii="仿宋_GB2312" w:hAnsi="宋体" w:eastAsia="仿宋_GB2312"/>
          <w:color w:val="auto"/>
          <w:szCs w:val="24"/>
          <w:highlight w:val="none"/>
        </w:rPr>
        <w:t>3.1</w:t>
      </w:r>
      <w:r>
        <w:rPr>
          <w:rFonts w:hint="eastAsia" w:ascii="仿宋_GB2312" w:hAnsi="Helvetica" w:eastAsia="仿宋_GB2312" w:cs="Helvetica"/>
          <w:color w:val="auto"/>
          <w:kern w:val="0"/>
          <w:highlight w:val="none"/>
        </w:rPr>
        <w:t>采购代理机构</w:t>
      </w:r>
      <w:r>
        <w:rPr>
          <w:rFonts w:hint="eastAsia" w:ascii="仿宋_GB2312" w:hAnsi="宋体" w:eastAsia="仿宋_GB2312"/>
          <w:color w:val="auto"/>
          <w:highlight w:val="none"/>
        </w:rPr>
        <w:t>对中标结果在指定媒体</w:t>
      </w:r>
      <w:r>
        <w:rPr>
          <w:rFonts w:hint="eastAsia" w:ascii="仿宋_GB2312" w:hAnsi="Helvetica" w:eastAsia="仿宋_GB2312" w:cs="Helvetica"/>
          <w:color w:val="auto"/>
          <w:kern w:val="0"/>
          <w:highlight w:val="none"/>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48"/>
          <w:rFonts w:hint="eastAsia" w:ascii="仿宋_GB2312" w:hAnsi="Helvetica" w:eastAsia="仿宋_GB2312" w:cs="Helvetica"/>
          <w:color w:val="auto"/>
          <w:kern w:val="0"/>
          <w:highlight w:val="none"/>
        </w:rPr>
        <w:t>http://zfcg.czt.zj.gov.cn/</w:t>
      </w:r>
      <w:r>
        <w:rPr>
          <w:rStyle w:val="48"/>
          <w:rFonts w:hint="eastAsia" w:ascii="仿宋_GB2312" w:hAnsi="Helvetica" w:eastAsia="仿宋_GB2312" w:cs="Helvetica"/>
          <w:color w:val="auto"/>
          <w:kern w:val="0"/>
          <w:highlight w:val="none"/>
        </w:rPr>
        <w:fldChar w:fldCharType="end"/>
      </w:r>
      <w:r>
        <w:rPr>
          <w:rFonts w:hint="eastAsia" w:ascii="仿宋_GB2312" w:hAnsi="Helvetica" w:eastAsia="仿宋_GB2312" w:cs="Helvetica"/>
          <w:color w:val="auto"/>
          <w:kern w:val="0"/>
          <w:highlight w:val="none"/>
        </w:rPr>
        <w:t>、绍兴公共资源交易网</w:t>
      </w:r>
      <w:r>
        <w:rPr>
          <w:color w:val="auto"/>
          <w:highlight w:val="none"/>
        </w:rPr>
        <w:fldChar w:fldCharType="begin"/>
      </w:r>
      <w:r>
        <w:rPr>
          <w:color w:val="auto"/>
          <w:highlight w:val="none"/>
        </w:rPr>
        <w:instrText xml:space="preserve"> HYPERLINK "http://ggb.sx.gov.cn" </w:instrText>
      </w:r>
      <w:r>
        <w:rPr>
          <w:color w:val="auto"/>
          <w:highlight w:val="none"/>
        </w:rPr>
        <w:fldChar w:fldCharType="separate"/>
      </w:r>
      <w:r>
        <w:rPr>
          <w:rStyle w:val="48"/>
          <w:rFonts w:hint="eastAsia" w:ascii="仿宋_GB2312"/>
          <w:color w:val="auto"/>
          <w:highlight w:val="none"/>
        </w:rPr>
        <w:t>http://ggb.sx.gov.cn</w:t>
      </w:r>
      <w:r>
        <w:rPr>
          <w:rStyle w:val="48"/>
          <w:rFonts w:hint="eastAsia" w:ascii="仿宋_GB2312"/>
          <w:color w:val="auto"/>
          <w:highlight w:val="none"/>
        </w:rPr>
        <w:fldChar w:fldCharType="end"/>
      </w:r>
      <w:r>
        <w:rPr>
          <w:rFonts w:hint="eastAsia" w:ascii="仿宋_GB2312" w:hAnsi="Helvetica" w:eastAsia="仿宋_GB2312" w:cs="Helvetica"/>
          <w:color w:val="auto"/>
          <w:kern w:val="0"/>
          <w:highlight w:val="none"/>
        </w:rPr>
        <w:t>）发布中标公告，中标公告期限为1个工作日。</w:t>
      </w:r>
    </w:p>
    <w:p>
      <w:pPr>
        <w:tabs>
          <w:tab w:val="left" w:pos="0"/>
        </w:tabs>
        <w:spacing w:line="440" w:lineRule="exact"/>
        <w:rPr>
          <w:rFonts w:ascii="仿宋_GB2312" w:eastAsia="仿宋_GB2312" w:cs="仿宋_GB2312"/>
          <w:color w:val="auto"/>
          <w:kern w:val="0"/>
          <w:sz w:val="24"/>
          <w:highlight w:val="none"/>
          <w:lang w:val="zh-CN"/>
        </w:rPr>
      </w:pPr>
      <w:r>
        <w:rPr>
          <w:rFonts w:hint="eastAsia" w:ascii="仿宋_GB2312" w:hAnsi="宋体" w:eastAsia="仿宋_GB2312"/>
          <w:color w:val="auto"/>
          <w:sz w:val="24"/>
          <w:highlight w:val="none"/>
        </w:rPr>
        <w:t>3.2采购机构通过政采云平台向中标供应商签发中标通知书。请中标供应商自行登录政采云平台下载并打印中标通知书。在</w:t>
      </w:r>
      <w:r>
        <w:rPr>
          <w:rFonts w:hint="eastAsia" w:ascii="仿宋_GB2312" w:eastAsia="仿宋_GB2312"/>
          <w:color w:val="auto"/>
          <w:sz w:val="24"/>
          <w:highlight w:val="none"/>
        </w:rPr>
        <w:t>采购代理机构</w:t>
      </w:r>
      <w:r>
        <w:rPr>
          <w:rFonts w:hint="eastAsia" w:ascii="仿宋_GB2312" w:hAnsi="宋体" w:eastAsia="仿宋_GB2312"/>
          <w:color w:val="auto"/>
          <w:sz w:val="24"/>
          <w:highlight w:val="none"/>
        </w:rPr>
        <w:t>发出中标通知书前，中标供应商如有违反有关法律法规和本项目要求行为的，则取消该投标人的中标资格</w:t>
      </w:r>
      <w:r>
        <w:rPr>
          <w:rFonts w:hint="eastAsia" w:ascii="仿宋_GB2312" w:eastAsia="仿宋_GB2312" w:cs="仿宋_GB2312"/>
          <w:color w:val="auto"/>
          <w:kern w:val="0"/>
          <w:sz w:val="24"/>
          <w:highlight w:val="none"/>
          <w:lang w:val="zh-CN"/>
        </w:rPr>
        <w:t>。</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3.3采购代理机构对中标结果不作任何说明和解释，也不回答任何提问。</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4．履约保证金</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4.1采购人在签订合同时，按规定可向中标人收取不高于中标额的2.5％的履约保证金，采购人不得以供应商事先提交履约保证金作为签订合同的条件。鼓励采购人根据项目特点、供应商诚信等情况免收履约保证金或降低缴纳比例。</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4.2</w:t>
      </w:r>
      <w:r>
        <w:rPr>
          <w:rFonts w:ascii="仿宋_GB2312" w:hAnsi="宋体" w:eastAsia="仿宋_GB2312"/>
          <w:color w:val="auto"/>
          <w:sz w:val="24"/>
          <w:highlight w:val="none"/>
        </w:rPr>
        <w:t>项目验收结束</w:t>
      </w:r>
      <w:r>
        <w:rPr>
          <w:rFonts w:hint="eastAsia" w:ascii="仿宋_GB2312" w:hAnsi="宋体" w:eastAsia="仿宋_GB2312"/>
          <w:color w:val="auto"/>
          <w:sz w:val="24"/>
          <w:highlight w:val="none"/>
        </w:rPr>
        <w:t>后，采购人应及时退还履约保证金。</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4.3供应商以银行、保险公司出具保函形式提交履约保证金的，采购人不得拒收。</w:t>
      </w:r>
    </w:p>
    <w:p>
      <w:pPr>
        <w:spacing w:line="440" w:lineRule="exact"/>
        <w:jc w:val="left"/>
        <w:rPr>
          <w:rFonts w:ascii="仿宋_GB2312" w:hAnsi="宋体" w:eastAsia="仿宋_GB2312"/>
          <w:color w:val="auto"/>
          <w:sz w:val="24"/>
          <w:highlight w:val="none"/>
        </w:rPr>
      </w:pPr>
      <w:r>
        <w:rPr>
          <w:rFonts w:ascii="仿宋_GB2312" w:hAnsi="宋体" w:eastAsia="仿宋_GB2312"/>
          <w:color w:val="auto"/>
          <w:sz w:val="24"/>
          <w:highlight w:val="none"/>
        </w:rPr>
        <w:t>4.4政府采购货物和服务项目不得收取质量保证金。</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5．合同签订及备案</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5.1中标人应当在中标通知书发出之日起30天内与采购人签订合同，自采购合同签订之日起</w:t>
      </w:r>
      <w:r>
        <w:rPr>
          <w:rFonts w:hint="eastAsia" w:ascii="仿宋_GB2312" w:hAnsi="宋体" w:eastAsia="仿宋_GB2312"/>
          <w:b/>
          <w:color w:val="auto"/>
          <w:sz w:val="24"/>
          <w:highlight w:val="none"/>
        </w:rPr>
        <w:t>3个工作日内</w:t>
      </w:r>
      <w:r>
        <w:rPr>
          <w:rFonts w:hint="eastAsia" w:ascii="仿宋_GB2312" w:hAnsi="宋体" w:eastAsia="仿宋_GB2312"/>
          <w:color w:val="auto"/>
          <w:sz w:val="24"/>
          <w:highlight w:val="none"/>
        </w:rPr>
        <w:t>，通过电子交易平台进行备案。</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5.2如中标人为联合体的，由联合体成员各方法定代表人或其授权代表与采购人代表签订合同。</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6.验收</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6.2采购人可以邀请参加本项目的其他投标人或者第三方机构参与验收。参与验收的投标人或者第三方机构的意见作为验收书的参考资料一并存档。</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6.3 采购人负责加强对中标人的履约管理，并按照采购合同约定，及时向中标人支付采购资金。对于中标人违反采购合同约定的行为，采购人应当及时处理，依法追究其违约责任。</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7. 售后服务考核</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snapToGrid w:val="0"/>
        <w:spacing w:line="800" w:lineRule="exact"/>
        <w:jc w:val="center"/>
        <w:outlineLvl w:val="0"/>
        <w:rPr>
          <w:rFonts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六、质疑与投诉</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360" w:lineRule="auto"/>
        <w:ind w:firstLine="472" w:firstLineChars="196"/>
        <w:jc w:val="left"/>
        <w:rPr>
          <w:rFonts w:ascii="仿宋_GB2312" w:eastAsia="仿宋_GB2312" w:cs="微软雅黑"/>
          <w:b/>
          <w:color w:val="auto"/>
          <w:kern w:val="0"/>
          <w:sz w:val="24"/>
          <w:highlight w:val="none"/>
          <w:lang w:val="zh-CN"/>
        </w:rPr>
      </w:pPr>
      <w:r>
        <w:rPr>
          <w:rFonts w:hint="eastAsia" w:ascii="仿宋_GB2312" w:eastAsia="仿宋_GB2312" w:cs="微软雅黑"/>
          <w:b/>
          <w:color w:val="auto"/>
          <w:kern w:val="0"/>
          <w:sz w:val="24"/>
          <w:highlight w:val="none"/>
          <w:lang w:val="zh-CN"/>
        </w:rPr>
        <w:t>1.供应商询问</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2" w:firstLineChars="196"/>
        <w:jc w:val="left"/>
        <w:rPr>
          <w:rFonts w:ascii="仿宋_GB2312" w:eastAsia="仿宋_GB2312" w:cs="微软雅黑"/>
          <w:b/>
          <w:color w:val="auto"/>
          <w:kern w:val="0"/>
          <w:sz w:val="24"/>
          <w:highlight w:val="none"/>
          <w:lang w:val="zh-CN"/>
        </w:rPr>
      </w:pPr>
      <w:r>
        <w:rPr>
          <w:rFonts w:hint="eastAsia" w:ascii="仿宋_GB2312" w:eastAsia="仿宋_GB2312" w:cs="微软雅黑"/>
          <w:b/>
          <w:color w:val="auto"/>
          <w:kern w:val="0"/>
          <w:sz w:val="24"/>
          <w:highlight w:val="none"/>
          <w:lang w:val="zh-CN"/>
        </w:rPr>
        <w:t>2.供应商质疑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2.1供应商认为采购文件、采购过程和成交结果使自己的权益受到损害的，可以在知道或者应知其权益受到损害之日起七个工作日内，可以以书面邮寄的方式向采购机构提出质疑，否则，采购机构不予受理：</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（2）对采购过程提出质疑的，质疑期限为各采购程序环节结束之日起计算。</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（3）对采购结果提出质疑的，质疑期限自采购结果公告（包括公示、预公告、结果变更公告等）期限届满之日起计算。</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（4）供应商应在法定质疑期内一次性提出针对同一采购程序环节的质疑。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3.供应商提交提出质疑应当提交质疑书和必要的证明材料，质疑书需一式三份，质疑书至少应包括下列主要内容：</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（1）质疑人的名称、地址、邮政编码、联系人、联系电话，以及被质疑人名称及联系方式；</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（2）被质疑采购项目名称、编号及采购内容；</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（3）具体、明确的质疑事项和与质疑事项相关的请求</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（4）事实依据；</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（5）必要的法律依据；</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（6）认为自己合法权益受到损害或可能受到损害的相关证据材料；</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（7）提出质疑的日期。</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（8） 质疑书应当署名。质疑人为自然人的，应当由本人签字并附有效身份证明；质疑人为法人或其他组织的，应当由法定代表人或主要负责人签字（或盖章）并加盖单位公章。</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（9） 质疑人因故不能自行办理质疑事项的，可以委托代理人办理质疑事宜，但应当向被质疑人提交授权委托书，并载明委托代理的具体权限和事项。</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（10）质疑人提供的相关材料中有外文资料的，应当将与质疑相关的外文资料完整、客观、真实地翻译为中文，并注明翻译人员姓名、工作单位、联系方式等信息。</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hint="eastAsia" w:ascii="仿宋_GB2312" w:hAnsi="仿宋" w:eastAsia="仿宋_GB2312"/>
          <w:color w:val="auto"/>
          <w:sz w:val="24"/>
          <w:highlight w:val="none"/>
        </w:rPr>
        <w:tab/>
      </w:r>
      <w:r>
        <w:rPr>
          <w:rFonts w:hint="eastAsia" w:ascii="仿宋_GB2312" w:hAnsi="仿宋" w:eastAsia="仿宋_GB2312"/>
          <w:color w:val="auto"/>
          <w:sz w:val="24"/>
          <w:highlight w:val="none"/>
        </w:rPr>
        <w:t>原则上由采购人回复的质疑：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（1）对采购文件中特定资格条件、采购需求、评分办法提出的质疑；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（2）对采购过程中有关现场考察或开标前答疑会事项提出的质疑。</w:t>
      </w:r>
    </w:p>
    <w:p>
      <w:pPr>
        <w:pStyle w:val="22"/>
        <w:spacing w:line="360" w:lineRule="auto"/>
        <w:ind w:firstLine="720" w:firstLineChars="300"/>
        <w:rPr>
          <w:rFonts w:ascii="仿宋_GB2312" w:hAnsi="仿宋" w:eastAsia="仿宋_GB2312"/>
          <w:color w:val="auto"/>
          <w:sz w:val="24"/>
          <w:highlight w:val="none"/>
        </w:rPr>
      </w:pPr>
      <w:r>
        <w:rPr>
          <w:rFonts w:hint="eastAsia" w:ascii="仿宋_GB2312" w:hAnsi="仿宋" w:eastAsia="仿宋_GB2312"/>
          <w:color w:val="auto"/>
          <w:sz w:val="24"/>
          <w:highlight w:val="none"/>
        </w:rPr>
        <w:t>原则上由采购代理机构回复的质疑：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（1）除特定资格条件、采购需求、评分办法外，对采购文件中其他内容提出的质疑；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（2）除有关现场考察或开标前答疑会事项外，对采购过程中其它事项提出的质疑；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（3）对采购结果提出的质疑。</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5.采购机构应当在收到供应商的书面质疑后七个工作日内作出答复，并以书面形式通知质疑供应商和其他与质疑处理结果有利害关系的政府采购当事人，但答复的内容不得涉及商业秘密。</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6.询问或者质疑事项可能影响采购结果的，采购人应当暂停签订合同，已经签订合同的，应当中止履行合同。</w:t>
      </w:r>
    </w:p>
    <w:p>
      <w:pPr>
        <w:pStyle w:val="22"/>
        <w:spacing w:line="360" w:lineRule="auto"/>
        <w:ind w:firstLine="480" w:firstLineChars="200"/>
        <w:rPr>
          <w:rFonts w:ascii="仿宋_GB2312" w:hAnsi="仿宋" w:eastAsia="仿宋_GB2312"/>
          <w:color w:val="auto"/>
          <w:sz w:val="24"/>
          <w:highlight w:val="none"/>
        </w:rPr>
      </w:pPr>
      <w:r>
        <w:rPr>
          <w:rFonts w:hint="eastAsia" w:ascii="仿宋_GB2312" w:hAnsi="宋体" w:eastAsia="仿宋_GB2312" w:cs="宋体"/>
          <w:color w:val="auto"/>
          <w:kern w:val="0"/>
          <w:sz w:val="24"/>
          <w:highlight w:val="none"/>
        </w:rPr>
        <w:t>7.质疑函范本、投诉书范本请到浙江政府采购网下载专区下载。</w:t>
      </w:r>
    </w:p>
    <w:p>
      <w:pPr>
        <w:pageBreakBefore/>
        <w:snapToGrid w:val="0"/>
        <w:spacing w:line="800" w:lineRule="exact"/>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第三部分 招标项目范围及要求</w:t>
      </w:r>
    </w:p>
    <w:p>
      <w:pPr>
        <w:snapToGrid w:val="0"/>
        <w:spacing w:line="8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u w:val="wave"/>
        </w:rPr>
        <w:t>相关声明</w:t>
      </w:r>
      <w:r>
        <w:rPr>
          <w:rFonts w:hint="eastAsia" w:ascii="仿宋_GB2312" w:hAnsi="宋体" w:eastAsia="仿宋_GB2312"/>
          <w:b/>
          <w:color w:val="auto"/>
          <w:sz w:val="24"/>
          <w:highlight w:val="none"/>
        </w:rPr>
        <w:t>：</w:t>
      </w:r>
      <w:r>
        <w:rPr>
          <w:rFonts w:hint="eastAsia" w:ascii="仿宋_GB2312" w:hAnsi="宋体" w:eastAsia="仿宋_GB2312"/>
          <w:b/>
          <w:color w:val="auto"/>
          <w:sz w:val="24"/>
          <w:highlight w:val="none"/>
          <w:u w:val="wave"/>
        </w:rPr>
        <w:t>以下1-7条款如标段内另有说明的</w:t>
      </w:r>
      <w:r>
        <w:rPr>
          <w:rFonts w:hint="eastAsia" w:ascii="仿宋_GB2312" w:hAnsi="宋体" w:eastAsia="仿宋_GB2312"/>
          <w:b/>
          <w:color w:val="auto"/>
          <w:sz w:val="24"/>
          <w:highlight w:val="none"/>
        </w:rPr>
        <w:t>，</w:t>
      </w:r>
      <w:r>
        <w:rPr>
          <w:rFonts w:hint="eastAsia" w:ascii="仿宋_GB2312" w:hAnsi="宋体" w:eastAsia="仿宋_GB2312"/>
          <w:b/>
          <w:color w:val="auto"/>
          <w:sz w:val="24"/>
          <w:highlight w:val="none"/>
          <w:u w:val="wave"/>
        </w:rPr>
        <w:t>则按标内要求执行</w:t>
      </w:r>
      <w:r>
        <w:rPr>
          <w:rFonts w:hint="eastAsia" w:ascii="仿宋_GB2312" w:hAnsi="宋体" w:eastAsia="仿宋_GB2312"/>
          <w:b/>
          <w:color w:val="auto"/>
          <w:sz w:val="24"/>
          <w:highlight w:val="none"/>
        </w:rPr>
        <w:t>。</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1.设备（材料）要求</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1.1投标人投标提供的设备必须是厂商原装的、全新的，型号、性能及指标符合国家及招标文件提出的有关技术、质量、安全标准。</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1.2所有设备在开箱检验时必须完好，无破损，配置与装箱单相符。数量、质量及性能不低于本需求书中提出的要求。</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1.3设备外观清洁，标记编号以及盘面显示等字体清晰，明确。铭牌、使用指示、警告指示应以中文或英文及易懂的通用符号来表示；应准确无误地表明设备之型号、规格、制造厂及生产或出厂日期。</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1.4对于影响设备正常工作的必要组成部分，无论在技术规范中指出与否，投标人都应提供并在投标文件中明确列出。</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1.5所有货物提供出厂合格证等质量证明文件，国外生产的必须有合法的进货渠道证明，如海关报关单、原产地证明、商检证明等。</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1.6所有货物到现场安装使用前，招标人将进行抽样检验或试验。</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2.数量调整</w:t>
      </w:r>
    </w:p>
    <w:p>
      <w:pPr>
        <w:pStyle w:val="67"/>
        <w:widowControl w:val="0"/>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招标人保留在签约时调整部分方案及定购设备数量和服务的权力，投标人应对系统方案中设备和服务明细报价，按投标单价不变的前提下进行调整，双方不得拒绝。</w:t>
      </w:r>
    </w:p>
    <w:p>
      <w:pPr>
        <w:pStyle w:val="67"/>
        <w:widowControl w:val="0"/>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如遇本次招标没有涉及的设备或服务时，由中标人提供申请，招标人确认后实施。</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3.安装及调试、验收</w:t>
      </w:r>
    </w:p>
    <w:p>
      <w:pPr>
        <w:pStyle w:val="67"/>
        <w:widowControl w:val="0"/>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中标人应派经招标人认可的有经验和能力、具有相应资质的技术人员，负责系统设备安装工作，在设备安装期间应充分了解设备安装进度要求，解决安装中出现的技术问题。</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3.1中标人负责设备的安装、调试。</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3.2调试所需专用工具设施物料由中标人自备、自费运到现场，完工后自费搬走。</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3.3安装完成后，进行调试、验收按国家有关规范标准（国家无验收规范标准的按双方合同规定的要求）进行。</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3.4设备的拆箱、通电、调试等各项工作由中标人负责，但必须在招标人指定人员的参与下进行。在实际实施前必须先经招标人同意方可进行。调试的原始记录须经各方签字后作为验收的文件之一。</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3.5所有的招标设备应按照国家有关技术标准在制造厂检查和试验合格，以表明其运行性能、安全性能以及设备材料和结构在电气、机械上的完整性。</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4.技术培训</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4.1中标人须对招标人的技术人员培训。投标人须在投标文件中提供详细的培训计划，包括培训内容、培训时间、培训费用等。</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4.2中标人提供的负责培训的人员应具备同类设备五年以上的经验。</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4.3技术培训费用应包含在投标总价中。    </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4.4技术培训至少应包括下列内容：</w:t>
      </w:r>
    </w:p>
    <w:p>
      <w:pPr>
        <w:pStyle w:val="19"/>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4.4.1原理、构成和功能的描述。</w:t>
      </w:r>
    </w:p>
    <w:p>
      <w:pPr>
        <w:pStyle w:val="19"/>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4.4.2常见故障的处理或排除。</w:t>
      </w:r>
    </w:p>
    <w:p>
      <w:pPr>
        <w:pStyle w:val="19"/>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4.4.3各系统部件（设备）的检查、调整和维护。</w:t>
      </w:r>
    </w:p>
    <w:p>
      <w:pPr>
        <w:pStyle w:val="19"/>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4.4.4对使用者关于设备基本操作技能的培训。</w:t>
      </w:r>
    </w:p>
    <w:p>
      <w:pPr>
        <w:pStyle w:val="19"/>
        <w:widowControl w:val="0"/>
        <w:tabs>
          <w:tab w:val="clear" w:pos="482"/>
        </w:tabs>
        <w:spacing w:afterLines="0" w:line="440" w:lineRule="exact"/>
        <w:ind w:left="0" w:firstLine="0"/>
        <w:rPr>
          <w:rFonts w:ascii="仿宋_GB2312" w:hAnsi="宋体" w:eastAsia="仿宋_GB2312"/>
          <w:b/>
          <w:color w:val="auto"/>
          <w:szCs w:val="24"/>
          <w:highlight w:val="none"/>
        </w:rPr>
      </w:pPr>
      <w:r>
        <w:rPr>
          <w:rFonts w:hint="eastAsia" w:ascii="仿宋_GB2312" w:hAnsi="宋体" w:eastAsia="仿宋_GB2312"/>
          <w:b/>
          <w:color w:val="auto"/>
          <w:szCs w:val="24"/>
          <w:highlight w:val="none"/>
        </w:rPr>
        <w:t>5.售后服务</w:t>
      </w:r>
    </w:p>
    <w:p>
      <w:pPr>
        <w:pStyle w:val="5"/>
        <w:spacing w:line="440" w:lineRule="exact"/>
        <w:ind w:firstLine="0" w:firstLineChars="0"/>
        <w:rPr>
          <w:rFonts w:ascii="仿宋_GB2312" w:hAnsi="宋体" w:eastAsia="仿宋_GB2312"/>
          <w:color w:val="auto"/>
          <w:sz w:val="24"/>
          <w:highlight w:val="none"/>
        </w:rPr>
      </w:pPr>
      <w:r>
        <w:rPr>
          <w:rFonts w:hint="eastAsia" w:ascii="仿宋_GB2312" w:hAnsi="宋体" w:eastAsia="仿宋_GB2312"/>
          <w:color w:val="auto"/>
          <w:sz w:val="24"/>
          <w:highlight w:val="none"/>
        </w:rPr>
        <w:t>5.1</w:t>
      </w:r>
      <w:r>
        <w:rPr>
          <w:rFonts w:hint="eastAsia" w:ascii="仿宋_GB2312" w:hAnsi="宋体" w:eastAsia="仿宋_GB2312"/>
          <w:color w:val="auto"/>
          <w:sz w:val="24"/>
          <w:highlight w:val="none"/>
        </w:rPr>
        <w:t>投标人须提供经调试、试运行、验收合格后至少</w:t>
      </w:r>
      <w:r>
        <w:rPr>
          <w:rFonts w:hint="eastAsia" w:ascii="仿宋_GB2312" w:hAnsi="宋体" w:eastAsia="仿宋_GB2312"/>
          <w:color w:val="auto"/>
          <w:sz w:val="24"/>
          <w:highlight w:val="none"/>
          <w:lang w:val="en-US" w:eastAsia="zh-CN"/>
        </w:rPr>
        <w:t>1</w:t>
      </w:r>
      <w:r>
        <w:rPr>
          <w:rFonts w:hint="eastAsia" w:ascii="仿宋_GB2312" w:hAnsi="宋体" w:eastAsia="仿宋_GB2312"/>
          <w:color w:val="auto"/>
          <w:sz w:val="24"/>
          <w:highlight w:val="none"/>
        </w:rPr>
        <w:t>年的质保期(投标人可根据自身实力作出更长时间的质保承诺)。在此期间，投标人应免费处理因质量发生的故障，并进行正常保养。</w:t>
      </w:r>
    </w:p>
    <w:p>
      <w:pPr>
        <w:tabs>
          <w:tab w:val="left" w:pos="3870"/>
          <w:tab w:val="left" w:pos="4085"/>
        </w:tabs>
        <w:snapToGrid w:val="0"/>
        <w:spacing w:line="440" w:lineRule="exact"/>
        <w:jc w:val="left"/>
        <w:rPr>
          <w:color w:val="auto"/>
          <w:highlight w:val="none"/>
        </w:rPr>
      </w:pPr>
      <w:r>
        <w:rPr>
          <w:rFonts w:hint="eastAsia" w:ascii="仿宋_GB2312" w:hAnsi="宋体" w:eastAsia="仿宋_GB2312"/>
          <w:color w:val="auto"/>
          <w:sz w:val="24"/>
          <w:highlight w:val="none"/>
        </w:rPr>
        <w:t>5.2中标人必须有可靠的售后服务保障包括但不限于在</w:t>
      </w:r>
      <w:r>
        <w:rPr>
          <w:rFonts w:hint="eastAsia" w:ascii="仿宋_GB2312" w:hAnsi="宋体" w:eastAsia="仿宋_GB2312"/>
          <w:b/>
          <w:color w:val="auto"/>
          <w:sz w:val="24"/>
          <w:highlight w:val="none"/>
          <w:u w:val="single"/>
        </w:rPr>
        <w:t>绍兴附近</w:t>
      </w:r>
      <w:r>
        <w:rPr>
          <w:rFonts w:hint="eastAsia" w:ascii="仿宋_GB2312" w:hAnsi="宋体" w:eastAsia="仿宋_GB2312"/>
          <w:color w:val="auto"/>
          <w:sz w:val="24"/>
          <w:highlight w:val="none"/>
        </w:rPr>
        <w:t>有固定的维修服务点，能提供正常的技术、备品备件服务。</w:t>
      </w:r>
    </w:p>
    <w:p>
      <w:pPr>
        <w:snapToGrid w:val="0"/>
        <w:spacing w:line="440" w:lineRule="exact"/>
        <w:jc w:val="left"/>
        <w:rPr>
          <w:rFonts w:ascii="仿宋_GB2312" w:hAnsi="宋体" w:eastAsia="仿宋_GB2312"/>
          <w:b/>
          <w:color w:val="auto"/>
          <w:kern w:val="0"/>
          <w:sz w:val="24"/>
          <w:highlight w:val="none"/>
          <w:u w:val="wave"/>
        </w:rPr>
      </w:pPr>
      <w:r>
        <w:rPr>
          <w:rFonts w:hint="eastAsia" w:ascii="仿宋_GB2312" w:hAnsi="宋体" w:eastAsia="仿宋_GB2312"/>
          <w:b/>
          <w:color w:val="auto"/>
          <w:sz w:val="24"/>
          <w:highlight w:val="none"/>
        </w:rPr>
        <w:t>6. 服务要求</w:t>
      </w:r>
    </w:p>
    <w:p>
      <w:pPr>
        <w:tabs>
          <w:tab w:val="left" w:pos="3870"/>
          <w:tab w:val="left" w:pos="4085"/>
        </w:tabs>
        <w:snapToGrid w:val="0"/>
        <w:spacing w:line="440" w:lineRule="exact"/>
        <w:jc w:val="left"/>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6.1保修响应时间：要求对项目提供7*24小时技术支持服务，在系统出现故障1小时内给予电话支持，如不能解决，在故障发生的4小时内，派技术人员到现场处理。</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6.2 中标人提供的设备，必须符合招标文件及其投标文件规定的要求，如有不符，采购人可以无条件退货，造成的损失由中标人承担。</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7. 项目实施人员费用</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color w:val="auto"/>
          <w:sz w:val="24"/>
          <w:highlight w:val="none"/>
        </w:rPr>
        <w:t xml:space="preserve">   中标人应自行承担选派专业人员的住宿、就餐和交通等费用。</w:t>
      </w:r>
    </w:p>
    <w:p>
      <w:pPr>
        <w:snapToGrid w:val="0"/>
        <w:spacing w:line="440" w:lineRule="exact"/>
        <w:jc w:val="left"/>
        <w:rPr>
          <w:rFonts w:ascii="仿宋_GB2312" w:hAnsi="宋体" w:eastAsia="仿宋_GB2312"/>
          <w:b/>
          <w:color w:val="auto"/>
          <w:sz w:val="24"/>
          <w:highlight w:val="none"/>
        </w:rPr>
      </w:pPr>
      <w:bookmarkStart w:id="7" w:name="_Toc151354173"/>
      <w:bookmarkStart w:id="8" w:name="_Toc81372964"/>
      <w:bookmarkStart w:id="9" w:name="_Toc80157775"/>
      <w:bookmarkStart w:id="10" w:name="_Toc84325981"/>
      <w:bookmarkStart w:id="11" w:name="_Toc81372787"/>
      <w:r>
        <w:rPr>
          <w:rFonts w:hint="eastAsia" w:ascii="仿宋_GB2312" w:hAnsi="宋体" w:eastAsia="仿宋_GB2312"/>
          <w:b/>
          <w:color w:val="auto"/>
          <w:sz w:val="24"/>
          <w:highlight w:val="none"/>
        </w:rPr>
        <w:t>8.招标项目设备名称及数量：</w:t>
      </w:r>
    </w:p>
    <w:p>
      <w:pPr>
        <w:spacing w:line="440" w:lineRule="exact"/>
        <w:ind w:right="420"/>
        <w:rPr>
          <w:rFonts w:hint="eastAsia" w:eastAsia="仿宋_GB2312"/>
          <w:color w:val="auto"/>
          <w:highlight w:val="none"/>
          <w:lang w:eastAsia="zh-CN"/>
        </w:rPr>
      </w:pPr>
      <w:r>
        <w:rPr>
          <w:rFonts w:hint="eastAsia" w:ascii="仿宋_GB2312" w:hAnsi="新宋体" w:eastAsia="仿宋_GB2312" w:cs="Arial"/>
          <w:b/>
          <w:bCs/>
          <w:color w:val="auto"/>
          <w:sz w:val="24"/>
          <w:highlight w:val="none"/>
          <w:bdr w:val="single" w:color="auto" w:sz="4" w:space="0"/>
        </w:rPr>
        <w:t>01标</w:t>
      </w:r>
      <w:r>
        <w:rPr>
          <w:rFonts w:hint="eastAsia" w:ascii="仿宋_GB2312" w:hAnsi="宋体" w:eastAsia="仿宋_GB2312"/>
          <w:color w:val="auto"/>
          <w:sz w:val="24"/>
          <w:highlight w:val="none"/>
          <w:lang w:eastAsia="zh-CN"/>
        </w:rPr>
        <w:t>曹娥江流域预报调度一体化项目</w:t>
      </w:r>
    </w:p>
    <w:p>
      <w:pPr>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一、项目需求</w:t>
      </w:r>
    </w:p>
    <w:p>
      <w:pPr>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（一）项目背景</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浙江省水利数字化改革实施方案》《绍兴市水利数字化改革实施方案》，开展曹娥江数字流域试点建设，按照“党建统领、业务为本、数字赋能”三位一体统筹发展要求，以解决问题、取得实效为衡量标准，加快形成一批具有面上推广价值的数字化改革试点项目。2021年6月，浙江省水利厅办公室发布了第一批全省水利数字化改革试点项目需求的通知，并在7月发布了第一批全省水利数字化改革试点项目和试点单位，曹娥江流域预报调度一体化列入其中。2021年8月，绍兴市水利局印发了《绍兴市水利数字化改革实施方案》（绍市水利〔2021〕63号），明确绍兴市水利数字化改革的主要任务和组织保障，其中包括曹娥江流域水智平台建设（曹娥江流域预报调度一体化），开展曹娥江数字流域试点建设、打造曹娥江流域水利治理体系和治理能力现代化标杆。</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在国家和水利信息化发展趋势和政府数字化改革的号召下，开展</w:t>
      </w:r>
      <w:r>
        <w:rPr>
          <w:rFonts w:hint="eastAsia" w:ascii="仿宋" w:hAnsi="仿宋" w:eastAsia="仿宋" w:cs="仿宋"/>
          <w:color w:val="auto"/>
          <w:sz w:val="24"/>
          <w:szCs w:val="24"/>
          <w:highlight w:val="none"/>
          <w:lang w:eastAsia="zh-CN"/>
        </w:rPr>
        <w:t>曹娥江流域预报调度一体化项目</w:t>
      </w:r>
      <w:r>
        <w:rPr>
          <w:rFonts w:hint="eastAsia" w:ascii="仿宋" w:hAnsi="仿宋" w:eastAsia="仿宋" w:cs="仿宋"/>
          <w:color w:val="auto"/>
          <w:sz w:val="24"/>
          <w:szCs w:val="24"/>
          <w:highlight w:val="none"/>
        </w:rPr>
        <w:t>，实现曹娥江流域水利治理体系和治理能力现代化是十分迫切的。</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（二）建设内容</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本项目主要工作内容包括：曹娥江流域预报调度一体化模型构建和曹娥江数字流域（预报调度一体化平台）开发等。</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（三）项目技术要求</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流域预报调度一体化模型构建</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流域水文气象、自然地理等特点，收集流域下垫面变化资料、历史水文长系列及场次洪水数据、河道断面、水利工程调度等，建立流域水文产汇流模型、大中型水库预报调度模型、曹娥江干流河道演进及平原河网水动力学模型，对模型参数率定验证并进行精度评定。具体工作内容包括：</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（1）基础资料收集分析和处理</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历史水文长系列及场次洪水数据：收集流域站点长系列及典型场次洪水数据，包括降雨、径流、洪水、潮位等水文要素，分析资料成果的可靠性、一致性、代表性，并进行质量控制和预处理。收集流域较大洪水的暴雨特征、调度情况、受灾情况等资料。要求收集流域代表站的长系列逐日及场次逐时降雨、水位、流量等资料，系列长度满足规范要求，不足的要求收集所有相关资料。</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②河道断面、水利工程调度等资料：收集并分析流域内水库、河道、堤防、滞洪区、水闸等水利工程资料，补充测量主要河道、堤防等重点数据。 要求收集流域曹娥江干流及主要支流澄潭江、长乐江、新昌江、小舜江等断面资料及堤线、堤顶高程数据，不足部分进行补充测量。</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③流域地形DEM、堤防保护区、地形图等地理信息数据。要求收集的DEM和地形图资料时间不早于2019年，并划分堤防保护区，为洪水淹没、影响评估等空间分析提供基础支撑。</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（2）水文产汇流模型建立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①水文分区划定，站点权重分析：对流域进行水文分区，包括非库山区、水库、平原河网集雨分区等，采用泰森多边形等对各水文分区进行雨量站点权重分析计算。</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②面雨量计算，典型洪水选择：计算分区面雨量，确定出代表不同降雨时空分布的典型洪水。</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③水文产汇流模型构建：对每一个水文分区单独建立水文产汇流模型。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（3）水动力模型建立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①模型概化：结合流域现状和规划工况下的水系及水利工程情况，对水动力模型进行概化，确定模型的计算边界。</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②结构物和调度处理：根据流域洪水调度方案和超标准洪水预案，确定水库、河道、滞洪区等水利工程之间的联系，确定闸站的调度运行方式。</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水动力模型构建：采用一维非恒定流计算方法，建立一维河网非恒定流数学模型，根据河道断面尺寸、坡降等几何特征、上游及支流洪水过程、流域降雨过程和下游河道水位变化过程，逐时逐段计算河道水位、流量及区域的水位变化过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（4）水利工程调度模型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①水库调度：建设重要大中型水库的指令调度模型、规则调度、自定义调度模型等。</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②闸站调度：对流域清风水库枢纽、上浦闸、新三江闸、曹娥江大闸建立调度模型；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②联合调度：耦合曹娥江水库、蓄滞洪区（包括湛头滞洪区、大浸畈滞洪区等）及沿线主要闸站（包括清风水利枢纽、上浦闸、曹娥江大闸等）调度模型，形成联合调度。</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（5）耦合预报模型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文水动力耦合模型：耦合水文产汇流模型、水动力模型、工程调度模型、风险研判分析模型，对大中型水库、干流主要断面及平原河网代表站进行洪水预报，根据预报成果进行风险研判，分析淹没范围、水深及影响损失等，实现点、线、面预报要素结合。</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②边界潮位预报：在海洋部门发布的风暴潮增水和风浪增水预报结果的基础上，再将天文潮预报水位和风暴潮增水迭加，对预见期潮水位过程线进行预报，并对预报成果实时修正处理。</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③网格化降雨数值预报：根据气象网格化降雨预报，实时生成流域各水文分区预报面雨量时间序列，接入耦合预警模型。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（6）洪水预报方案编制</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库预报方案。编制长诏水库、钦寸水库、巧英水库、门溪水库、南山水库、坂头水库、剡源水库、辽湾水库、丰潭水库、前岩水库、平水江水库和汤浦水库12个大中型水库入库洪水预报方案。预报方案必须包括新安江模型预报方案。</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②重要预报断面预报方案。新昌、嵊州新市、孟爱、黄泽、嵊州（三）、百官、东沙埠、东山、百官和绍兴等重要断面预报方案。预报方案必须包括水文、水动力学预报方案。</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（7）模型参数率定及精度评定</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①根据流域典型历史洪水进行模型参数率定和验证，并依据《水文情报预报规范》（GB/T 22482-2008）对流域主要防洪控制断面和大中型水库站进行精度评定。</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②对于历史洪水资料满足规范要求且质量较好的大型水库、重点中型水库和东山站以上防洪控制断面洪水预报精度应达到甲级；上浦闸及以下站点（绍兴站除外），相对难度较大，验收标准可适当放宽，但水位误差均值最大不得超过20cm，绍兴站水位预报精度不得超过10cm。</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（8）研究适用于曹娥江流域的概率预报、集合预报、数理统计洪水位预报等模型算法。</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分析流域站点资料的丰富程度以及站点地理位置等综合因素，研究研究适用于曹娥江流域的概率预报、集合预报算法。选取百官站、东山站、嵊州站和新昌站等作为主要特征断面，分别构建基于大数据驱动的洪水预报模型运用在单点实时预报工作中。</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水文产汇流模型、水动力模型及耦合模型须采用标准化、统一服务接口，模型与数据可分离，模型可随用随调，具备实时计算能力。模型均不接受第三方商业软件模型，采购人在使用中无其他授权约束和要求，项目完成后知识产权归采购人与承担方双方共有。</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曹娥江数字流域（预报调度一体化平台）业务应用</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集成曹娥江数字流域和预报调度一体化模型，实现数字化场景、智慧化模拟、精准化决策。主要建设预报调度一体化、多跨联动治水、场景大屏和应用管理等功能模块。具体工作内容包括：</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（1）预报调度一体化模块：集成预报调度及风险研判一体化模型，通过计算、模拟和仿真，实现“四预”（预报、预警、预演、预案）核心功能。</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预报：包括洪水自动预报、人工交互预报等功能。其中，洪水自动预报能够实现无人值守预报和提前预警；人工交互预报要求包含一键分析和专家模式两种方式，专家模式能够对初始状态与边界、各类输入进行灵活设置。</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提供可配置基于不同预报调度模型方案功能，以灵活适应不同来水断面-区间-水库调度组合的预报要求。预留镜岭水库洪水预报模型接口，洪水预报成果通过接口形式上传至省水情平台。</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预警：根据实时监测和预报成果及预警指标等进行预警提示，包括洪水专业预警发布、洪水公众预警发布、历史预警发布信息查询等功能。其中，洪水专业预警应向各级水利防汛机构或相关部门发布；洪水公众预警应向社会公众发布；历史预警发布信息查询可根据分类字段检索。</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③预演：集成耦合流域预报信息与工程调度运用等运行信息和其他边界条件，分析流域洪水风险形势，并实现综合集成与动态展示，包括降雨变化过程、水面线变化过程、保护区淹没过程等。</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预案：结合流域形势变化对预演结果进行分析评估，动态生成工程调度方案和风险管控措施、多方案比选等功能。其中，方案系统生成应结合洪水预报成果和各类防洪方案、调度规则及专家经验，生成全流域联合调度方案；多方案比选要求能够对各个方案的指标进行对比，为选择合理有效的防洪调度方案和决策提供支撑。</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（2）场景大屏模块：将重要数据及主要业务成果进行系统汇聚，流域防洪场景及多跨联动治水场景大屏。与绍兴水管理平台场景大屏、汇报大屏无缝衔接，做好与“浙里九龙联动治水应用”相衔接。</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（3）应用管理模块：实现系统中用户权限分配，包括提供关于该系统的设置功能，如用户管理、角色管理、菜单管理、数字字典等功能。</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（3）系统部署及国产化适配</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根据省政府数字化改革要求，曹娥江数字流域（预报调度一体化平台）统一部署在政务专有云上。平台需适配国产终端及基础软硬件，实现现有终端环境和国产终端环境双兼容。平台需基于信创环境进行开发测试，支持国产化及信创云部署要求，支持信创终端访问。</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2" w:firstLineChars="20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（四）任务清单</w:t>
      </w:r>
    </w:p>
    <w:tbl>
      <w:tblPr>
        <w:tblStyle w:val="41"/>
        <w:tblW w:w="9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
        <w:gridCol w:w="3750"/>
        <w:gridCol w:w="692"/>
        <w:gridCol w:w="4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编号</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主要事项</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单位</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主要技术要求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一</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曹娥江流域预报调度一体化模型构建</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（一）</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基础资料收集分析和处理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历史水文长系列及场次洪水数据</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要求收集流域代表站的长系列逐日及场次逐时降雨、水位、流量等资料，系列长度满足规范要求，不足的要求收集所有相关资料。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河道断面、水利工程调度等资料</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要求收集流域曹娥江干流及主要支流澄潭江、长乐江、新昌江、小舜江等断面资料及堤线、堤顶高程数据，不足部分进行补充测量。收集并分析流域内水库、河道、堤防、滞洪区、水闸等水利工程及调度资料。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流域地形DEM、地形图等地理信息数据</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spacing w:before="156" w:after="156"/>
              <w:jc w:val="left"/>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要求收集的DEM和地形图资料时间不早于2019年，并划分堤防保护区，为洪水淹没、影响评估等空间分析提供基础支撑。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（二）</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水文产汇流模型建立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水文分区划定，站点权重分析</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color w:val="auto"/>
                <w:szCs w:val="24"/>
                <w:highlight w:val="none"/>
              </w:rPr>
              <w:t>利用DEM及河流水系等资料，对流域进行水文分区，包括非库山区、水库、平原河网集雨分区等，对每一个水文分区单独建立水文产汇流模型。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面雨量计算，典型洪水选择</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水文产汇流模型构建</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（三）</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水动力模型建立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模型概化</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color w:val="auto"/>
                <w:szCs w:val="24"/>
                <w:highlight w:val="none"/>
              </w:rPr>
              <w:t>结合流域现状和规划工况下的水系及水利工程情况，采用一维非恒定流计算方法，建立干流及主要支流、平原河网一维河网非恒定流数学模型，逐时逐段计算河道水位、流量及区域的水位变化过程，并考虑溃漫堤、闸门调度与滞洪区、保护区的水量交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结构物和调度处理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水动力模型构建</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（四）</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流域水利工程调度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水库调度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对流域大中型水库、重要闸站及蓄滞洪区按工程调度原则及流域洪水调度方案建立的相应的规则调度、指令调度模型、自定义调度及联合调度模型等。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闸站调度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联合调度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（五）</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耦合预报模型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耦合洪水预报模型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要求无缝耦合水文水动力模型、洪水淹没分析模型，实现预报调度和风险研判一体化，所有模型需自主研发，不接受第三方商业模型软件。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边界潮位预报接入及处理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接入曹娥江大闸外边界潮位预报过程数据，为水动力模型提供边界条件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气象降雨数值预报接入及处理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接入气象网格化降雨数值预报，生成各水文分区预报需要的时空序列数值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（七）</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洪水预报方案编制</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水库预报方案</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编制长诏水库、钦寸水库、巧英水库、门溪水库、南山水库、坂头水库、剡源水库、辽湾水库、丰潭水库、前岩水库、平水江水库和汤浦水库12个大中型水库入库洪水预报方案。预报方案必须包括新安江模型预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szCs w:val="24"/>
                <w:highlight w:val="none"/>
              </w:rPr>
            </w:pPr>
            <w:r>
              <w:rPr>
                <w:rFonts w:hint="eastAsia" w:ascii="仿宋" w:hAnsi="仿宋" w:eastAsia="仿宋" w:cs="仿宋"/>
                <w:bCs/>
                <w:color w:val="auto"/>
                <w:kern w:val="0"/>
                <w:szCs w:val="24"/>
                <w:highlight w:val="none"/>
              </w:rPr>
              <w:t>重要预报断面预报方案</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新昌、嵊州新市、孟爱、黄泽、嵊州（三）、百官、东沙埠、东山、百官和绍兴等重要断面预报方案。预报方案必须包括水文、水动力学预报方案。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w:t>
            </w:r>
            <w:r>
              <w:rPr>
                <w:rFonts w:hint="eastAsia" w:ascii="仿宋" w:hAnsi="仿宋" w:eastAsia="仿宋" w:cs="仿宋"/>
                <w:b/>
                <w:color w:val="auto"/>
                <w:kern w:val="0"/>
                <w:szCs w:val="24"/>
                <w:highlight w:val="none"/>
                <w:lang w:val="en-US" w:eastAsia="zh-CN"/>
              </w:rPr>
              <w:t>八</w:t>
            </w:r>
            <w:r>
              <w:rPr>
                <w:rFonts w:hint="eastAsia" w:ascii="仿宋" w:hAnsi="仿宋" w:eastAsia="仿宋" w:cs="仿宋"/>
                <w:b/>
                <w:color w:val="auto"/>
                <w:kern w:val="0"/>
                <w:szCs w:val="24"/>
                <w:highlight w:val="none"/>
              </w:rPr>
              <w:t>）</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模型参数率定及精度评定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模型参数率定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color w:val="auto"/>
                <w:sz w:val="22"/>
                <w:szCs w:val="22"/>
                <w:highlight w:val="none"/>
              </w:rPr>
              <w:t>对于历史洪水资料满足规范要求且质量较好的</w:t>
            </w:r>
            <w:r>
              <w:rPr>
                <w:rFonts w:hint="eastAsia" w:ascii="仿宋" w:hAnsi="仿宋" w:eastAsia="仿宋" w:cs="仿宋"/>
                <w:color w:val="auto"/>
                <w:szCs w:val="24"/>
                <w:highlight w:val="none"/>
              </w:rPr>
              <w:t>大型水库、重点中型水库和东山站以上断面洪水预报精度应达到甲级；上浦闸及以下站点（绍兴站除外），相对难度较大，验收标准可适当放宽，但水位误差均值最大不得超过20cm，绍兴站水位预报精度不得超过10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大中型水库预报精度评定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干流防洪控制断面精度评定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w:t>
            </w:r>
            <w:r>
              <w:rPr>
                <w:rFonts w:hint="eastAsia" w:ascii="仿宋" w:hAnsi="仿宋" w:eastAsia="仿宋" w:cs="仿宋"/>
                <w:b/>
                <w:color w:val="auto"/>
                <w:kern w:val="0"/>
                <w:szCs w:val="24"/>
                <w:highlight w:val="none"/>
                <w:lang w:eastAsia="zh-CN"/>
              </w:rPr>
              <w:t>九</w:t>
            </w:r>
            <w:r>
              <w:rPr>
                <w:rFonts w:hint="eastAsia" w:ascii="仿宋" w:hAnsi="仿宋" w:eastAsia="仿宋" w:cs="仿宋"/>
                <w:b/>
                <w:color w:val="auto"/>
                <w:kern w:val="0"/>
                <w:szCs w:val="24"/>
                <w:highlight w:val="none"/>
              </w:rPr>
              <w:t>）</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研究适用于曹娥江流域的概率预报、集合预报、数理统计洪水位预报模型算法</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综合分析流域站点资料的丰富程度以及站点地理位置等综合因素，研究研究适用于曹娥江流域的概率预报、集合预报算法。选取百官站、东山站、嵊州站和新昌站等作为主要特征断面，分别构建基于大数据驱动的洪水预报模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二</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曹娥江数字流域（预报调度一体化平台）</w:t>
            </w:r>
            <w:r>
              <w:rPr>
                <w:rFonts w:hint="eastAsia" w:ascii="仿宋" w:hAnsi="仿宋" w:eastAsia="仿宋" w:cs="仿宋"/>
                <w:b/>
                <w:bCs/>
                <w:color w:val="auto"/>
                <w:highlight w:val="none"/>
              </w:rPr>
              <w:t>业务应用</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（一）</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预报调度一体化模块</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预报</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spacing w:line="360" w:lineRule="auto"/>
              <w:ind w:firstLine="482"/>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集成预报调度及风险研判一体化模型，按水利部《水利业务“四预”功能基本技术要求》，实现防洪“四预”（预报、预警、预演、预案）核心功能</w:t>
            </w:r>
            <w:r>
              <w:rPr>
                <w:rFonts w:hint="eastAsia" w:ascii="仿宋" w:hAnsi="仿宋" w:eastAsia="仿宋" w:cs="仿宋"/>
                <w:color w:val="auto"/>
                <w:szCs w:val="24"/>
                <w:highlight w:val="none"/>
              </w:rPr>
              <w:t>。</w:t>
            </w:r>
            <w:r>
              <w:rPr>
                <w:rFonts w:hint="eastAsia" w:ascii="仿宋" w:hAnsi="仿宋" w:eastAsia="仿宋" w:cs="仿宋"/>
                <w:bCs/>
                <w:color w:val="auto"/>
                <w:kern w:val="0"/>
                <w:szCs w:val="24"/>
                <w:highlight w:val="none"/>
              </w:rPr>
              <w:t>预留镜岭水库洪水预报模型接口，</w:t>
            </w:r>
            <w:r>
              <w:rPr>
                <w:rFonts w:hint="eastAsia" w:ascii="仿宋" w:hAnsi="仿宋" w:eastAsia="仿宋" w:cs="仿宋"/>
                <w:color w:val="auto"/>
                <w:szCs w:val="24"/>
                <w:highlight w:val="none"/>
              </w:rPr>
              <w:t>洪水预报成果通过接口形式上传至省水情平台。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预警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预演</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4</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预案</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（二）</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场景大屏模块</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流域防洪场景及多跨联动治水场景大屏</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与绍兴水管理平台场景大屏、汇报大屏无缝衔接，做好与“浙里九龙联动治水应用”相衔接。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（三）</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应用管理模块</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用户权限分配和系统设置功能</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根据省、市、县水利部门及各级洪水预报人员、水利工程管理单位相关用户需求和职责进行权限分配和系统功能设置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移动应用</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越水情迭代升级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第三方软件测试</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提供第三方软件测试报告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4</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系统部署及国产化适配</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系统部署满足政务云上云要求，</w:t>
            </w:r>
            <w:r>
              <w:rPr>
                <w:rFonts w:hint="eastAsia" w:ascii="仿宋" w:hAnsi="仿宋" w:eastAsia="仿宋" w:cs="仿宋"/>
                <w:color w:val="auto"/>
                <w:highlight w:val="none"/>
              </w:rPr>
              <w:t>要求适配国产终端及基础软硬件，实现现有终端环境和国产终端环境双兼容。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三</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其他</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1年售后服务</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r>
    </w:tbl>
    <w:p>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jc w:val="left"/>
        <w:textAlignment w:val="auto"/>
        <w:rPr>
          <w:rFonts w:hint="eastAsia" w:ascii="仿宋" w:hAnsi="仿宋" w:eastAsia="仿宋" w:cs="仿宋"/>
          <w:color w:val="auto"/>
          <w:sz w:val="24"/>
          <w:szCs w:val="24"/>
          <w:highlight w:val="none"/>
          <w:shd w:val="clear" w:color="auto" w:fill="FBFDFE"/>
        </w:rPr>
      </w:pPr>
      <w:r>
        <w:rPr>
          <w:rFonts w:hint="eastAsia" w:ascii="仿宋" w:hAnsi="仿宋" w:eastAsia="仿宋" w:cs="仿宋"/>
          <w:color w:val="auto"/>
          <w:sz w:val="24"/>
          <w:szCs w:val="24"/>
          <w:highlight w:val="none"/>
          <w:shd w:val="clear" w:color="auto" w:fill="FBFDFE"/>
          <w:lang w:eastAsia="zh-CN"/>
        </w:rPr>
        <w:t>二</w:t>
      </w:r>
      <w:r>
        <w:rPr>
          <w:rFonts w:hint="eastAsia" w:ascii="仿宋" w:hAnsi="仿宋" w:eastAsia="仿宋" w:cs="仿宋"/>
          <w:color w:val="auto"/>
          <w:sz w:val="24"/>
          <w:szCs w:val="24"/>
          <w:highlight w:val="none"/>
          <w:shd w:val="clear" w:color="auto" w:fill="FBFDFE"/>
        </w:rPr>
        <w:t>、进度要求</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本项目建设期为2022年至2025年，共4年；</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2022年年底前完成曹娥江流域预报调度一体化模块功能最小化上线；</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2023年完成流域防洪和多跨应用场景建设，年底前进行项目完工验收，系统投入试运行；</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2024-2025年试运行期间对洪水预报调度模型进行检验和完善；</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2025年底前完成项目竣工验收，并进入壹年质保期。</w:t>
      </w:r>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rPr>
      </w:pPr>
      <w:r>
        <w:rPr>
          <w:rFonts w:hint="eastAsia" w:ascii="仿宋" w:hAnsi="仿宋" w:eastAsia="仿宋" w:cs="仿宋"/>
          <w:color w:val="auto"/>
          <w:sz w:val="24"/>
          <w:szCs w:val="24"/>
          <w:highlight w:val="none"/>
          <w:shd w:val="clear" w:color="auto" w:fill="FBFDFE"/>
          <w:lang w:eastAsia="zh-CN"/>
        </w:rPr>
        <w:t>三</w:t>
      </w:r>
      <w:r>
        <w:rPr>
          <w:rFonts w:hint="eastAsia" w:ascii="仿宋" w:hAnsi="仿宋" w:eastAsia="仿宋" w:cs="仿宋"/>
          <w:color w:val="auto"/>
          <w:sz w:val="24"/>
          <w:szCs w:val="24"/>
          <w:highlight w:val="none"/>
          <w:shd w:val="clear" w:color="auto" w:fill="FBFDFE"/>
        </w:rPr>
        <w:t>、售后及培训要求</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（1）保修响应时间：要求对项目提供7*24小时技术支持服务，在系统出现故障1小时内给予电话支持，如不能解决，在故障发生的4小时内，派技术人员到现场处理。</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（2）中标人在系统开发完成后，应编制培训材料，组织相关人员进行培训，使其尽快熟悉系统操作，促进系统更快更好的投入使用，提高工作效率。</w:t>
      </w:r>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lang w:eastAsia="zh-CN"/>
        </w:rPr>
      </w:pPr>
      <w:r>
        <w:rPr>
          <w:rFonts w:hint="eastAsia" w:ascii="仿宋" w:hAnsi="仿宋" w:eastAsia="仿宋" w:cs="仿宋"/>
          <w:color w:val="auto"/>
          <w:sz w:val="24"/>
          <w:szCs w:val="24"/>
          <w:highlight w:val="none"/>
          <w:shd w:val="clear" w:color="auto" w:fill="FBFDFE"/>
          <w:lang w:eastAsia="zh-CN"/>
        </w:rPr>
        <w:t>四、验收标准</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完成招标文件所要求的全部建设项目、系统运行稳定、功能满足采购人工作需求，并完成采购人培训工作后，通过采购人组织的验收小组进行验收。</w:t>
      </w:r>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rPr>
      </w:pPr>
      <w:r>
        <w:rPr>
          <w:rFonts w:hint="eastAsia" w:ascii="仿宋" w:hAnsi="仿宋" w:eastAsia="仿宋" w:cs="仿宋"/>
          <w:color w:val="auto"/>
          <w:sz w:val="24"/>
          <w:szCs w:val="24"/>
          <w:highlight w:val="none"/>
          <w:shd w:val="clear" w:color="auto" w:fill="FBFDFE"/>
          <w:lang w:eastAsia="zh-CN"/>
        </w:rPr>
        <w:t>五</w:t>
      </w:r>
      <w:r>
        <w:rPr>
          <w:rFonts w:hint="eastAsia" w:ascii="仿宋" w:hAnsi="仿宋" w:eastAsia="仿宋" w:cs="仿宋"/>
          <w:color w:val="auto"/>
          <w:sz w:val="24"/>
          <w:szCs w:val="24"/>
          <w:highlight w:val="none"/>
          <w:shd w:val="clear" w:color="auto" w:fill="FBFDFE"/>
        </w:rPr>
        <w:t>、成果提交</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项目建设完成后，需提交以下成果：</w:t>
      </w:r>
    </w:p>
    <w:p>
      <w:pPr>
        <w:pageBreakBefore w:val="0"/>
        <w:widowControl/>
        <w:numPr>
          <w:ilvl w:val="0"/>
          <w:numId w:val="6"/>
        </w:numPr>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项目建设实施方案一份；</w:t>
      </w:r>
    </w:p>
    <w:p>
      <w:pPr>
        <w:pageBreakBefore w:val="0"/>
        <w:widowControl/>
        <w:numPr>
          <w:ilvl w:val="0"/>
          <w:numId w:val="6"/>
        </w:numPr>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流域洪水预报方案（包括大中型水库和河道预报断面站点）1份；</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（3）项目软件一套、第三方软件测试报告一份；</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（4）项目用户手册文档一份；</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（5）项目培训不少于3次</w:t>
      </w:r>
    </w:p>
    <w:p>
      <w:pPr>
        <w:pStyle w:val="2"/>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lang w:eastAsia="zh-CN"/>
        </w:rPr>
      </w:pPr>
      <w:r>
        <w:rPr>
          <w:rFonts w:hint="eastAsia" w:ascii="仿宋" w:hAnsi="仿宋" w:eastAsia="仿宋" w:cs="仿宋"/>
          <w:color w:val="auto"/>
          <w:sz w:val="24"/>
          <w:szCs w:val="24"/>
          <w:highlight w:val="none"/>
          <w:shd w:val="clear" w:color="auto" w:fill="FBFDFE"/>
          <w:lang w:eastAsia="zh-CN"/>
        </w:rPr>
        <w:t>六、付款方式</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rPr>
        <w:t>签订合同之日起15日内支付合同价的20%；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（2）2022年11月30日前，预报调度一体化模块功能最小化上线后15日内支付合同价的40%（合计支付至合同价的60%）；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（3）2023年11月30日前，完成多跨应用场景并通过完工验收投入试运行后15日内支付合同价的20%（合计支付至合同价的80%）；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（4）2024年11月30日前完成当年对洪水预报调度模型的检验和完善后15日内支付合同价的10%（合计支付至合同价的90%）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（5）2025年11月30日前，通过竣工验收后15日内支付合同价的10%（合计支付至合同价的100%）；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（6）2026年，质保期满后15日内退还履约保证金。</w:t>
      </w:r>
    </w:p>
    <w:p>
      <w:pPr>
        <w:pStyle w:val="5"/>
        <w:pageBreakBefore w:val="0"/>
        <w:kinsoku/>
        <w:wordWrap/>
        <w:overflowPunct/>
        <w:topLinePunct w:val="0"/>
        <w:autoSpaceDE/>
        <w:autoSpaceDN/>
        <w:bidi w:val="0"/>
        <w:adjustRightInd/>
        <w:spacing w:line="440" w:lineRule="exact"/>
        <w:ind w:left="0"/>
        <w:textAlignment w:val="auto"/>
        <w:rPr>
          <w:rFonts w:ascii="仿宋_GB2312" w:hAnsi="宋体" w:eastAsia="仿宋_GB2312"/>
          <w:color w:val="auto"/>
          <w:sz w:val="24"/>
          <w:highlight w:val="none"/>
        </w:rPr>
      </w:pPr>
      <w:r>
        <w:rPr>
          <w:rFonts w:hint="eastAsia" w:ascii="仿宋" w:hAnsi="仿宋" w:eastAsia="仿宋" w:cs="仿宋"/>
          <w:b/>
          <w:color w:val="auto"/>
          <w:sz w:val="24"/>
          <w:szCs w:val="24"/>
          <w:highlight w:val="none"/>
        </w:rPr>
        <w:t>具体以财政资金到位为准，若当年年底拨付资金不足，不足部分在下一次支付款项时补足。</w:t>
      </w:r>
    </w:p>
    <w:bookmarkEnd w:id="7"/>
    <w:p>
      <w:pPr>
        <w:pageBreakBefore/>
        <w:spacing w:beforeLines="50" w:line="440" w:lineRule="exact"/>
        <w:jc w:val="center"/>
        <w:rPr>
          <w:rFonts w:ascii="仿宋_GB2312" w:hAnsi="宋体" w:eastAsia="仿宋_GB2312"/>
          <w:b/>
          <w:color w:val="auto"/>
          <w:sz w:val="36"/>
          <w:szCs w:val="36"/>
          <w:highlight w:val="none"/>
        </w:rPr>
      </w:pPr>
      <w:r>
        <w:rPr>
          <w:rFonts w:hint="eastAsia" w:ascii="仿宋_GB2312" w:hAnsi="仿宋" w:eastAsia="仿宋_GB2312" w:cs="仿宋_GB2312"/>
          <w:b/>
          <w:color w:val="auto"/>
          <w:sz w:val="36"/>
          <w:szCs w:val="36"/>
          <w:highlight w:val="none"/>
        </w:rPr>
        <w:t>政府采购合同参考范本</w:t>
      </w:r>
    </w:p>
    <w:p>
      <w:pPr>
        <w:rPr>
          <w:rFonts w:ascii="楷体" w:hAnsi="楷体" w:eastAsia="楷体"/>
          <w:color w:val="auto"/>
          <w:sz w:val="24"/>
          <w:highlight w:val="none"/>
        </w:rPr>
      </w:pPr>
    </w:p>
    <w:p>
      <w:pPr>
        <w:rPr>
          <w:rFonts w:ascii="楷体" w:hAnsi="楷体" w:eastAsia="楷体"/>
          <w:color w:val="auto"/>
          <w:sz w:val="24"/>
          <w:highlight w:val="none"/>
          <w:u w:val="single"/>
        </w:rPr>
      </w:pPr>
      <w:r>
        <w:rPr>
          <w:rFonts w:hint="eastAsia" w:ascii="楷体" w:hAnsi="楷体" w:eastAsia="楷体"/>
          <w:color w:val="auto"/>
          <w:sz w:val="24"/>
          <w:highlight w:val="none"/>
        </w:rPr>
        <w:t>合同编号：</w:t>
      </w:r>
      <w:r>
        <w:rPr>
          <w:rFonts w:ascii="楷体" w:hAnsi="楷体" w:eastAsia="楷体"/>
          <w:color w:val="auto"/>
          <w:sz w:val="24"/>
          <w:highlight w:val="none"/>
          <w:u w:val="single"/>
        </w:rPr>
        <w:t xml:space="preserve">           </w:t>
      </w:r>
    </w:p>
    <w:p>
      <w:pPr>
        <w:spacing w:line="480" w:lineRule="auto"/>
        <w:jc w:val="center"/>
        <w:rPr>
          <w:rFonts w:ascii="楷体" w:hAnsi="楷体" w:eastAsia="楷体"/>
          <w:b/>
          <w:color w:val="auto"/>
          <w:sz w:val="28"/>
          <w:szCs w:val="28"/>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政府采购合同参考范本</w:t>
      </w:r>
    </w:p>
    <w:p>
      <w:pPr>
        <w:spacing w:line="480" w:lineRule="auto"/>
        <w:jc w:val="center"/>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（服务类）</w:t>
      </w:r>
    </w:p>
    <w:p>
      <w:pPr>
        <w:ind w:firstLine="420"/>
        <w:rPr>
          <w:rFonts w:ascii="仿宋" w:hAnsi="仿宋" w:eastAsia="仿宋"/>
          <w:color w:val="auto"/>
          <w:highlight w:val="none"/>
        </w:rPr>
      </w:pPr>
    </w:p>
    <w:p>
      <w:pPr>
        <w:ind w:firstLine="420"/>
        <w:rPr>
          <w:rFonts w:ascii="仿宋" w:hAnsi="仿宋" w:eastAsia="仿宋"/>
          <w:color w:val="auto"/>
          <w:highlight w:val="none"/>
        </w:rPr>
      </w:pPr>
    </w:p>
    <w:p>
      <w:pPr>
        <w:jc w:val="center"/>
        <w:rPr>
          <w:rFonts w:ascii="仿宋" w:hAnsi="仿宋" w:eastAsia="仿宋"/>
          <w:b/>
          <w:color w:val="auto"/>
          <w:sz w:val="28"/>
          <w:highlight w:val="none"/>
        </w:rPr>
      </w:pPr>
      <w:r>
        <w:rPr>
          <w:rFonts w:hint="eastAsia" w:ascii="仿宋" w:hAnsi="仿宋" w:eastAsia="仿宋"/>
          <w:b/>
          <w:color w:val="auto"/>
          <w:sz w:val="28"/>
          <w:highlight w:val="none"/>
        </w:rPr>
        <w:t xml:space="preserve">第一部分  </w:t>
      </w:r>
      <w:r>
        <w:rPr>
          <w:rFonts w:ascii="仿宋" w:hAnsi="仿宋" w:eastAsia="仿宋"/>
          <w:b/>
          <w:color w:val="auto"/>
          <w:sz w:val="28"/>
          <w:highlight w:val="none"/>
        </w:rPr>
        <w:t xml:space="preserve"> </w:t>
      </w:r>
      <w:r>
        <w:rPr>
          <w:rFonts w:hint="eastAsia" w:ascii="仿宋" w:hAnsi="仿宋" w:eastAsia="仿宋"/>
          <w:b/>
          <w:color w:val="auto"/>
          <w:sz w:val="28"/>
          <w:highlight w:val="none"/>
        </w:rPr>
        <w:t>合同书</w:t>
      </w:r>
    </w:p>
    <w:p>
      <w:pPr>
        <w:ind w:firstLine="420"/>
        <w:rPr>
          <w:rFonts w:ascii="仿宋" w:hAnsi="仿宋" w:eastAsia="仿宋"/>
          <w:color w:val="auto"/>
          <w:highlight w:val="none"/>
        </w:rPr>
      </w:pPr>
    </w:p>
    <w:p>
      <w:pPr>
        <w:ind w:firstLine="420"/>
        <w:rPr>
          <w:rFonts w:ascii="仿宋" w:hAnsi="仿宋" w:eastAsia="仿宋"/>
          <w:color w:val="auto"/>
          <w:highlight w:val="none"/>
        </w:rPr>
      </w:pP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rPr>
      </w:pPr>
      <w:r>
        <w:rPr>
          <w:rFonts w:hint="eastAsia" w:ascii="仿宋" w:hAnsi="仿宋" w:eastAsia="仿宋"/>
          <w:color w:val="auto"/>
          <w:sz w:val="24"/>
          <w:highlight w:val="none"/>
        </w:rPr>
        <w:t>项目名称：</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rPr>
          <w:rFonts w:ascii="仿宋" w:hAnsi="仿宋" w:eastAsia="仿宋"/>
          <w:color w:val="auto"/>
          <w:sz w:val="24"/>
          <w:highlight w:val="none"/>
        </w:rPr>
      </w:pPr>
    </w:p>
    <w:p>
      <w:pPr>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年</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月</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日</w:t>
      </w:r>
    </w:p>
    <w:p>
      <w:pPr>
        <w:widowControl/>
        <w:jc w:val="left"/>
        <w:rPr>
          <w:rFonts w:ascii="仿宋" w:hAnsi="仿宋" w:eastAsia="仿宋"/>
          <w:color w:val="auto"/>
          <w:kern w:val="0"/>
          <w:sz w:val="24"/>
          <w:highlight w:val="none"/>
        </w:rPr>
        <w:sectPr>
          <w:headerReference r:id="rId3" w:type="default"/>
          <w:footerReference r:id="rId4" w:type="default"/>
          <w:pgSz w:w="11907" w:h="16840"/>
          <w:pgMar w:top="1474" w:right="1814" w:bottom="1474" w:left="1814" w:header="851" w:footer="851" w:gutter="0"/>
          <w:cols w:space="720" w:num="1"/>
          <w:titlePg/>
          <w:docGrid w:linePitch="286" w:charSpace="0"/>
        </w:sectPr>
      </w:pP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u w:val="single"/>
          <w:lang w:val="zh-CN"/>
        </w:rPr>
        <w:t xml:space="preserve">        </w:t>
      </w:r>
      <w:r>
        <w:rPr>
          <w:rFonts w:hint="eastAsia" w:ascii="仿宋" w:hAnsi="仿宋" w:eastAsia="仿宋"/>
          <w:color w:val="auto"/>
          <w:sz w:val="24"/>
          <w:highlight w:val="none"/>
          <w:lang w:val="zh-CN"/>
        </w:rPr>
        <w:t>年</w:t>
      </w:r>
      <w:r>
        <w:rPr>
          <w:rFonts w:ascii="仿宋" w:hAnsi="仿宋" w:eastAsia="仿宋"/>
          <w:color w:val="auto"/>
          <w:sz w:val="24"/>
          <w:highlight w:val="none"/>
          <w:u w:val="single"/>
          <w:lang w:val="zh-CN"/>
        </w:rPr>
        <w:t xml:space="preserve">    </w:t>
      </w:r>
      <w:r>
        <w:rPr>
          <w:rFonts w:hint="eastAsia" w:ascii="仿宋" w:hAnsi="仿宋" w:eastAsia="仿宋"/>
          <w:color w:val="auto"/>
          <w:sz w:val="24"/>
          <w:highlight w:val="none"/>
          <w:lang w:val="zh-CN"/>
        </w:rPr>
        <w:t>月</w:t>
      </w:r>
      <w:r>
        <w:rPr>
          <w:rFonts w:ascii="仿宋" w:hAnsi="仿宋" w:eastAsia="仿宋"/>
          <w:color w:val="auto"/>
          <w:sz w:val="24"/>
          <w:highlight w:val="none"/>
          <w:u w:val="single"/>
          <w:lang w:val="zh-CN"/>
        </w:rPr>
        <w:t xml:space="preserve">    </w:t>
      </w:r>
      <w:r>
        <w:rPr>
          <w:rFonts w:hint="eastAsia" w:ascii="仿宋" w:hAnsi="仿宋" w:eastAsia="仿宋"/>
          <w:color w:val="auto"/>
          <w:sz w:val="24"/>
          <w:highlight w:val="none"/>
          <w:lang w:val="zh-CN"/>
        </w:rPr>
        <w:t>日</w:t>
      </w:r>
      <w:r>
        <w:rPr>
          <w:rFonts w:hint="eastAsia" w:ascii="仿宋" w:hAnsi="仿宋" w:eastAsia="仿宋"/>
          <w:color w:val="auto"/>
          <w:sz w:val="24"/>
          <w:highlight w:val="none"/>
        </w:rPr>
        <w:t>，</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（采购人）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以</w:t>
      </w:r>
      <w:r>
        <w:rPr>
          <w:rFonts w:ascii="仿宋" w:hAnsi="仿宋" w:eastAsia="仿宋"/>
          <w:color w:val="auto"/>
          <w:sz w:val="24"/>
          <w:highlight w:val="none"/>
          <w:u w:val="single"/>
        </w:rPr>
        <w:t xml:space="preserve">   （政府采购方式）  </w:t>
      </w:r>
      <w:r>
        <w:rPr>
          <w:rFonts w:hint="eastAsia" w:ascii="仿宋" w:hAnsi="仿宋" w:eastAsia="仿宋"/>
          <w:color w:val="auto"/>
          <w:sz w:val="24"/>
          <w:highlight w:val="none"/>
        </w:rPr>
        <w:t>对</w:t>
      </w:r>
      <w:r>
        <w:rPr>
          <w:rFonts w:ascii="仿宋" w:hAnsi="仿宋" w:eastAsia="仿宋"/>
          <w:color w:val="auto"/>
          <w:sz w:val="24"/>
          <w:highlight w:val="none"/>
          <w:u w:val="single"/>
        </w:rPr>
        <w:t xml:space="preserve">   （同前</w:t>
      </w:r>
      <w:r>
        <w:rPr>
          <w:rFonts w:hint="eastAsia" w:ascii="仿宋" w:hAnsi="仿宋" w:eastAsia="仿宋"/>
          <w:color w:val="auto"/>
          <w:sz w:val="24"/>
          <w:highlight w:val="none"/>
          <w:u w:val="single"/>
        </w:rPr>
        <w:t>页项目名称）</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项目进行了采购。经</w:t>
      </w:r>
      <w:r>
        <w:rPr>
          <w:rFonts w:ascii="仿宋" w:hAnsi="仿宋" w:eastAsia="仿宋"/>
          <w:color w:val="auto"/>
          <w:sz w:val="24"/>
          <w:highlight w:val="none"/>
          <w:u w:val="single"/>
        </w:rPr>
        <w:t xml:space="preserve">   （相关评定主体名称）   </w:t>
      </w:r>
      <w:r>
        <w:rPr>
          <w:rFonts w:hint="eastAsia" w:ascii="仿宋" w:hAnsi="仿宋" w:eastAsia="仿宋"/>
          <w:color w:val="auto"/>
          <w:sz w:val="24"/>
          <w:highlight w:val="none"/>
        </w:rPr>
        <w:t>评定，</w:t>
      </w:r>
      <w:r>
        <w:rPr>
          <w:rFonts w:ascii="仿宋" w:hAnsi="仿宋" w:eastAsia="仿宋"/>
          <w:color w:val="auto"/>
          <w:sz w:val="24"/>
          <w:highlight w:val="none"/>
          <w:u w:val="single"/>
        </w:rPr>
        <w:t xml:space="preserve">   （中标供应商名称）</w:t>
      </w:r>
      <w:r>
        <w:rPr>
          <w:rFonts w:hint="eastAsia" w:ascii="仿宋" w:hAnsi="仿宋" w:eastAsia="仿宋"/>
          <w:color w:val="auto"/>
          <w:sz w:val="24"/>
          <w:highlight w:val="none"/>
        </w:rPr>
        <w:t>为该项目中标供应商。现于中标通知书发出之日起三十日内，按照采购文件确定的事项签订本合同。</w:t>
      </w:r>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zh-CN"/>
        </w:rPr>
        <w:t>根据《中华人民共和国民法典》、《中华人民共和国政府采购法》等相关法律法规之规定，按照平等、自愿、公平、诚实信用和绿色的原则，经</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（采购人）</w:t>
      </w:r>
      <w:r>
        <w:rPr>
          <w:rFonts w:ascii="仿宋" w:hAnsi="仿宋" w:eastAsia="仿宋"/>
          <w:color w:val="auto"/>
          <w:sz w:val="24"/>
          <w:highlight w:val="none"/>
          <w:u w:val="single"/>
        </w:rPr>
        <w:t xml:space="preserve">   </w:t>
      </w:r>
      <w:r>
        <w:rPr>
          <w:rFonts w:ascii="仿宋" w:hAnsi="仿宋" w:eastAsia="仿宋"/>
          <w:color w:val="auto"/>
          <w:sz w:val="24"/>
          <w:highlight w:val="none"/>
          <w:lang w:val="zh-CN"/>
        </w:rPr>
        <w:t>(以下简称：甲方)和</w:t>
      </w:r>
      <w:r>
        <w:rPr>
          <w:rFonts w:ascii="仿宋" w:hAnsi="仿宋" w:eastAsia="仿宋"/>
          <w:color w:val="auto"/>
          <w:sz w:val="24"/>
          <w:highlight w:val="none"/>
          <w:u w:val="single"/>
        </w:rPr>
        <w:t xml:space="preserve">   （中标供应商名称）   </w:t>
      </w:r>
      <w:r>
        <w:rPr>
          <w:rFonts w:ascii="仿宋" w:hAnsi="仿宋" w:eastAsia="仿宋"/>
          <w:color w:val="auto"/>
          <w:sz w:val="24"/>
          <w:highlight w:val="none"/>
          <w:lang w:val="zh-CN"/>
        </w:rPr>
        <w:t>(以下简称：乙方)协商一致，约定以下合同</w:t>
      </w:r>
      <w:r>
        <w:rPr>
          <w:rFonts w:hint="eastAsia" w:ascii="仿宋" w:hAnsi="仿宋" w:eastAsia="仿宋"/>
          <w:color w:val="auto"/>
          <w:sz w:val="24"/>
          <w:highlight w:val="none"/>
        </w:rPr>
        <w:t>条款，以兹共同遵守、全面履行。</w:t>
      </w:r>
    </w:p>
    <w:p>
      <w:pPr>
        <w:spacing w:line="560" w:lineRule="exact"/>
        <w:ind w:firstLine="482" w:firstLineChars="200"/>
        <w:outlineLvl w:val="0"/>
        <w:rPr>
          <w:rFonts w:ascii="仿宋" w:hAnsi="仿宋" w:eastAsia="仿宋"/>
          <w:b/>
          <w:color w:val="auto"/>
          <w:sz w:val="24"/>
          <w:highlight w:val="none"/>
        </w:rPr>
      </w:pPr>
      <w:bookmarkStart w:id="12" w:name="_Toc24059"/>
      <w:bookmarkStart w:id="13" w:name="_Toc2232"/>
      <w:bookmarkStart w:id="14" w:name="_Toc3029"/>
      <w:r>
        <w:rPr>
          <w:rFonts w:ascii="仿宋" w:hAnsi="仿宋" w:eastAsia="仿宋"/>
          <w:b/>
          <w:color w:val="auto"/>
          <w:sz w:val="24"/>
          <w:highlight w:val="none"/>
        </w:rPr>
        <w:t xml:space="preserve">1.1 </w:t>
      </w:r>
      <w:r>
        <w:rPr>
          <w:rFonts w:hint="eastAsia" w:ascii="仿宋" w:hAnsi="仿宋" w:eastAsia="仿宋"/>
          <w:b/>
          <w:color w:val="auto"/>
          <w:sz w:val="24"/>
          <w:highlight w:val="none"/>
        </w:rPr>
        <w:t>合同组成部分</w:t>
      </w:r>
      <w:bookmarkEnd w:id="12"/>
      <w:bookmarkEnd w:id="13"/>
      <w:bookmarkEnd w:id="14"/>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1.1.1 </w:t>
      </w:r>
      <w:r>
        <w:rPr>
          <w:rFonts w:hint="eastAsia" w:ascii="仿宋" w:hAnsi="仿宋" w:eastAsia="仿宋"/>
          <w:color w:val="auto"/>
          <w:sz w:val="24"/>
          <w:highlight w:val="none"/>
        </w:rPr>
        <w:t>本合同及其补充合同、变更协议；</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1.1.2 </w:t>
      </w:r>
      <w:r>
        <w:rPr>
          <w:rFonts w:hint="eastAsia" w:ascii="仿宋" w:hAnsi="仿宋" w:eastAsia="仿宋"/>
          <w:color w:val="auto"/>
          <w:sz w:val="24"/>
          <w:highlight w:val="none"/>
        </w:rPr>
        <w:t>中标通知书；</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1.1.3 </w:t>
      </w:r>
      <w:r>
        <w:rPr>
          <w:rFonts w:hint="eastAsia" w:ascii="仿宋" w:hAnsi="仿宋" w:eastAsia="仿宋"/>
          <w:color w:val="auto"/>
          <w:sz w:val="24"/>
          <w:highlight w:val="none"/>
        </w:rPr>
        <w:t>投标文件（含澄清或者说明文件）；</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1.1.4 </w:t>
      </w:r>
      <w:r>
        <w:rPr>
          <w:rFonts w:hint="eastAsia" w:ascii="仿宋" w:hAnsi="仿宋" w:eastAsia="仿宋"/>
          <w:color w:val="auto"/>
          <w:sz w:val="24"/>
          <w:highlight w:val="none"/>
        </w:rPr>
        <w:t>招标文件（含澄清或者修改文件）；</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1.1.5 </w:t>
      </w:r>
      <w:r>
        <w:rPr>
          <w:rFonts w:hint="eastAsia" w:ascii="仿宋" w:hAnsi="仿宋" w:eastAsia="仿宋"/>
          <w:color w:val="auto"/>
          <w:sz w:val="24"/>
          <w:highlight w:val="none"/>
        </w:rPr>
        <w:t>其他相关采购文件。</w:t>
      </w:r>
    </w:p>
    <w:p>
      <w:pPr>
        <w:spacing w:line="560" w:lineRule="exact"/>
        <w:ind w:firstLine="482" w:firstLineChars="200"/>
        <w:outlineLvl w:val="0"/>
        <w:rPr>
          <w:rFonts w:ascii="仿宋" w:hAnsi="仿宋" w:eastAsia="仿宋"/>
          <w:b/>
          <w:color w:val="auto"/>
          <w:sz w:val="24"/>
          <w:highlight w:val="none"/>
        </w:rPr>
      </w:pPr>
      <w:bookmarkStart w:id="15" w:name="_Toc21295"/>
      <w:bookmarkStart w:id="16" w:name="_Toc27126"/>
      <w:bookmarkStart w:id="17" w:name="_Toc24300"/>
      <w:r>
        <w:rPr>
          <w:rFonts w:ascii="仿宋" w:hAnsi="仿宋" w:eastAsia="仿宋"/>
          <w:b/>
          <w:color w:val="auto"/>
          <w:sz w:val="24"/>
          <w:highlight w:val="none"/>
        </w:rPr>
        <w:t xml:space="preserve">1.2 </w:t>
      </w:r>
      <w:bookmarkEnd w:id="15"/>
      <w:bookmarkEnd w:id="16"/>
      <w:bookmarkEnd w:id="17"/>
      <w:r>
        <w:rPr>
          <w:rFonts w:hint="eastAsia" w:ascii="仿宋" w:hAnsi="仿宋" w:eastAsia="仿宋"/>
          <w:b/>
          <w:color w:val="auto"/>
          <w:sz w:val="24"/>
          <w:highlight w:val="none"/>
        </w:rPr>
        <w:t>服务</w:t>
      </w:r>
    </w:p>
    <w:p>
      <w:pPr>
        <w:spacing w:line="56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 xml:space="preserve">1.2.1 </w:t>
      </w:r>
      <w:r>
        <w:rPr>
          <w:rFonts w:hint="eastAsia" w:ascii="仿宋" w:hAnsi="仿宋" w:eastAsia="仿宋"/>
          <w:color w:val="auto"/>
          <w:sz w:val="24"/>
          <w:highlight w:val="none"/>
        </w:rPr>
        <w:t>服务名称：</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 xml:space="preserve">1.2.2 </w:t>
      </w:r>
      <w:r>
        <w:rPr>
          <w:rFonts w:hint="eastAsia" w:ascii="仿宋" w:hAnsi="仿宋" w:eastAsia="仿宋"/>
          <w:color w:val="auto"/>
          <w:sz w:val="24"/>
          <w:highlight w:val="none"/>
        </w:rPr>
        <w:t>服务期限和内容：</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1.2.3 </w:t>
      </w:r>
      <w:r>
        <w:rPr>
          <w:rFonts w:hint="eastAsia" w:ascii="仿宋" w:hAnsi="仿宋" w:eastAsia="仿宋"/>
          <w:color w:val="auto"/>
          <w:sz w:val="24"/>
          <w:highlight w:val="none"/>
        </w:rPr>
        <w:t>服务提供地点及方式：</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18" w:name="_Toc23292"/>
      <w:bookmarkStart w:id="19" w:name="_Toc21551"/>
      <w:bookmarkStart w:id="20" w:name="_Toc21631"/>
      <w:r>
        <w:rPr>
          <w:rFonts w:ascii="仿宋" w:hAnsi="仿宋" w:eastAsia="仿宋"/>
          <w:b/>
          <w:color w:val="auto"/>
          <w:sz w:val="24"/>
          <w:highlight w:val="none"/>
        </w:rPr>
        <w:t xml:space="preserve">1.3 </w:t>
      </w:r>
      <w:r>
        <w:rPr>
          <w:rFonts w:hint="eastAsia" w:ascii="仿宋" w:hAnsi="仿宋" w:eastAsia="仿宋"/>
          <w:b/>
          <w:color w:val="auto"/>
          <w:sz w:val="24"/>
          <w:highlight w:val="none"/>
        </w:rPr>
        <w:t>价款</w:t>
      </w:r>
      <w:bookmarkEnd w:id="18"/>
      <w:bookmarkEnd w:id="19"/>
      <w:bookmarkEnd w:id="20"/>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本合同总价为：￥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元（大写：</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元人民币）。</w:t>
      </w:r>
    </w:p>
    <w:p>
      <w:pPr>
        <w:spacing w:line="560" w:lineRule="exact"/>
        <w:ind w:firstLine="480" w:firstLineChars="200"/>
        <w:rPr>
          <w:rFonts w:ascii="仿宋" w:hAnsi="仿宋" w:eastAsia="仿宋"/>
          <w:color w:val="auto"/>
          <w:sz w:val="24"/>
          <w:highlight w:val="none"/>
          <w:u w:val="single"/>
        </w:rPr>
      </w:pPr>
      <w:r>
        <w:rPr>
          <w:rFonts w:hint="eastAsia" w:ascii="仿宋" w:hAnsi="仿宋" w:eastAsia="仿宋"/>
          <w:color w:val="auto"/>
          <w:sz w:val="24"/>
          <w:highlight w:val="none"/>
        </w:rPr>
        <w:t>分项价格：</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bl>
    <w:p>
      <w:pPr>
        <w:spacing w:line="440" w:lineRule="exact"/>
        <w:ind w:firstLine="482" w:firstLineChars="200"/>
        <w:outlineLvl w:val="0"/>
        <w:rPr>
          <w:rFonts w:ascii="仿宋" w:hAnsi="仿宋" w:eastAsia="仿宋"/>
          <w:b/>
          <w:color w:val="auto"/>
          <w:sz w:val="24"/>
          <w:highlight w:val="none"/>
        </w:rPr>
      </w:pPr>
      <w:bookmarkStart w:id="21" w:name="_Toc10340"/>
      <w:bookmarkStart w:id="22" w:name="_Toc22618"/>
      <w:bookmarkStart w:id="23" w:name="_Toc1814"/>
      <w:bookmarkStart w:id="24" w:name="_Toc19304"/>
      <w:bookmarkStart w:id="25" w:name="_Toc32071"/>
      <w:bookmarkStart w:id="26" w:name="_Toc2846"/>
      <w:r>
        <w:rPr>
          <w:rFonts w:ascii="仿宋" w:hAnsi="仿宋" w:eastAsia="仿宋"/>
          <w:b/>
          <w:color w:val="auto"/>
          <w:sz w:val="24"/>
          <w:highlight w:val="none"/>
        </w:rPr>
        <w:t xml:space="preserve">1.4 </w:t>
      </w:r>
      <w:r>
        <w:rPr>
          <w:rFonts w:hint="eastAsia" w:ascii="仿宋" w:hAnsi="仿宋" w:eastAsia="仿宋"/>
          <w:b/>
          <w:color w:val="auto"/>
          <w:sz w:val="24"/>
          <w:highlight w:val="none"/>
        </w:rPr>
        <w:t>付款</w:t>
      </w:r>
      <w:bookmarkEnd w:id="21"/>
      <w:bookmarkEnd w:id="22"/>
      <w:bookmarkEnd w:id="23"/>
      <w:r>
        <w:rPr>
          <w:rFonts w:hint="eastAsia" w:ascii="仿宋" w:hAnsi="仿宋" w:eastAsia="仿宋"/>
          <w:b/>
          <w:color w:val="auto"/>
          <w:sz w:val="24"/>
          <w:highlight w:val="none"/>
        </w:rPr>
        <w:t>方式、时间和条件</w:t>
      </w:r>
    </w:p>
    <w:p>
      <w:pPr>
        <w:widowControl/>
        <w:spacing w:line="440" w:lineRule="exact"/>
        <w:ind w:firstLine="480"/>
        <w:jc w:val="left"/>
        <w:rPr>
          <w:rFonts w:ascii="仿宋" w:hAnsi="仿宋" w:eastAsia="仿宋"/>
          <w:color w:val="auto"/>
          <w:kern w:val="0"/>
          <w:sz w:val="24"/>
          <w:highlight w:val="none"/>
        </w:rPr>
      </w:pPr>
      <w:r>
        <w:rPr>
          <w:rFonts w:ascii="仿宋" w:hAnsi="仿宋" w:eastAsia="仿宋"/>
          <w:color w:val="auto"/>
          <w:kern w:val="0"/>
          <w:sz w:val="24"/>
          <w:highlight w:val="none"/>
        </w:rPr>
        <w:t>1.4.1</w:t>
      </w:r>
      <w:r>
        <w:rPr>
          <w:rFonts w:hint="eastAsia" w:ascii="仿宋" w:hAnsi="仿宋" w:eastAsia="仿宋"/>
          <w:color w:val="auto"/>
          <w:kern w:val="0"/>
          <w:sz w:val="24"/>
          <w:highlight w:val="none"/>
        </w:rPr>
        <w:t>甲方应严格履行合同，及时组织验收，验收合格后及时将合同款支付完毕。对于满足合同约定支付条件的，甲方自收到发票后</w:t>
      </w:r>
      <w:r>
        <w:rPr>
          <w:rFonts w:ascii="仿宋" w:hAnsi="仿宋" w:eastAsia="仿宋"/>
          <w:color w:val="auto"/>
          <w:kern w:val="0"/>
          <w:sz w:val="24"/>
          <w:highlight w:val="none"/>
        </w:rPr>
        <w:t>5个工作日内将资金支付到合同约定的乙方账户，有条件的甲方可以即时支付。甲方不得以机构变动、人员更替、政策调整、单位放假等为由延迟付款。</w:t>
      </w:r>
    </w:p>
    <w:p>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1.4.2</w:t>
      </w:r>
      <w:r>
        <w:rPr>
          <w:rFonts w:hint="eastAsia" w:ascii="仿宋" w:hAnsi="仿宋" w:eastAsia="仿宋"/>
          <w:color w:val="auto"/>
          <w:sz w:val="24"/>
          <w:highlight w:val="none"/>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1.4.3</w:t>
      </w:r>
      <w:r>
        <w:rPr>
          <w:rFonts w:hint="eastAsia" w:ascii="仿宋" w:hAnsi="仿宋" w:eastAsia="仿宋"/>
          <w:color w:val="auto"/>
          <w:sz w:val="24"/>
          <w:highlight w:val="none"/>
        </w:rPr>
        <w:t>甲方迟延支付乙方款项的，向乙方支付逾期利息。双方可以在合同专用条款中约定逾期利率，约定利率不得低于合同订立时</w:t>
      </w:r>
      <w:r>
        <w:rPr>
          <w:rFonts w:ascii="仿宋" w:hAnsi="仿宋" w:eastAsia="仿宋"/>
          <w:color w:val="auto"/>
          <w:sz w:val="24"/>
          <w:highlight w:val="none"/>
        </w:rPr>
        <w:t>1年</w:t>
      </w:r>
      <w:r>
        <w:rPr>
          <w:rFonts w:hint="eastAsia" w:ascii="仿宋" w:hAnsi="仿宋" w:eastAsia="仿宋"/>
          <w:color w:val="auto"/>
          <w:sz w:val="24"/>
          <w:highlight w:val="none"/>
        </w:rPr>
        <w:t>期贷款市场报价利率；未作约定的，按照每日利率万分之五支付逾期利息。</w:t>
      </w:r>
    </w:p>
    <w:p>
      <w:pPr>
        <w:spacing w:line="440" w:lineRule="exact"/>
        <w:ind w:firstLine="480" w:firstLineChars="200"/>
        <w:outlineLvl w:val="0"/>
        <w:rPr>
          <w:rFonts w:ascii="仿宋" w:hAnsi="仿宋" w:eastAsia="仿宋"/>
          <w:color w:val="auto"/>
          <w:sz w:val="24"/>
          <w:highlight w:val="none"/>
        </w:rPr>
      </w:pPr>
      <w:r>
        <w:rPr>
          <w:rFonts w:ascii="仿宋" w:hAnsi="仿宋" w:eastAsia="仿宋"/>
          <w:color w:val="auto"/>
          <w:sz w:val="24"/>
          <w:highlight w:val="none"/>
        </w:rPr>
        <w:t>1.4.4资金支付的方式、时间和条件详见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r>
        <w:rPr>
          <w:rFonts w:ascii="仿宋" w:hAnsi="仿宋" w:eastAsia="仿宋"/>
          <w:b/>
          <w:color w:val="auto"/>
          <w:sz w:val="24"/>
          <w:highlight w:val="none"/>
        </w:rPr>
        <w:t>1.5</w:t>
      </w:r>
      <w:bookmarkEnd w:id="24"/>
      <w:bookmarkEnd w:id="25"/>
      <w:bookmarkEnd w:id="26"/>
      <w:bookmarkStart w:id="27" w:name="_Toc19554"/>
      <w:bookmarkStart w:id="28" w:name="_Toc21423"/>
      <w:bookmarkStart w:id="29" w:name="_Toc27250"/>
      <w:r>
        <w:rPr>
          <w:rFonts w:hint="eastAsia" w:ascii="仿宋" w:hAnsi="仿宋" w:eastAsia="仿宋"/>
          <w:b/>
          <w:color w:val="auto"/>
          <w:sz w:val="24"/>
          <w:highlight w:val="none"/>
        </w:rPr>
        <w:t>违约责任</w:t>
      </w:r>
      <w:bookmarkEnd w:id="27"/>
      <w:bookmarkEnd w:id="28"/>
      <w:bookmarkEnd w:id="29"/>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.1 </w:t>
      </w:r>
      <w:r>
        <w:rPr>
          <w:rFonts w:hint="eastAsia" w:ascii="仿宋" w:hAnsi="仿宋" w:eastAsia="仿宋"/>
          <w:color w:val="auto"/>
          <w:sz w:val="24"/>
          <w:highlight w:val="none"/>
        </w:rPr>
        <w:t>除不可抗力外，如果乙方没有按照本合同约定的期限、地点和方式提供服务，那么甲方可要求乙方支付违约金，违约金按</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元</w:t>
      </w:r>
      <w:r>
        <w:rPr>
          <w:rFonts w:hint="eastAsia" w:ascii="仿宋" w:hAnsi="仿宋" w:eastAsia="仿宋"/>
          <w:color w:val="auto"/>
          <w:sz w:val="24"/>
          <w:highlight w:val="none"/>
        </w:rPr>
        <w:t>/次</w:t>
      </w:r>
      <w:r>
        <w:rPr>
          <w:rFonts w:ascii="仿宋" w:hAnsi="仿宋" w:eastAsia="仿宋"/>
          <w:color w:val="auto"/>
          <w:sz w:val="24"/>
          <w:highlight w:val="none"/>
        </w:rPr>
        <w:t>计算，最高限额为本合同总价的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rPr>
        <w:t>%；未按要求提供服务的违约金计算数额达到前述最高限额之日起，甲方有权在要求乙方支付违约金的同时，书面通知乙方解除本合同；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.2 </w:t>
      </w:r>
      <w:r>
        <w:rPr>
          <w:rFonts w:hint="eastAsia" w:ascii="仿宋" w:hAnsi="仿宋" w:eastAsia="仿宋"/>
          <w:color w:val="auto"/>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%计算，最高限额为本合同总价的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.3 </w:t>
      </w:r>
      <w:r>
        <w:rPr>
          <w:rFonts w:hint="eastAsia" w:ascii="仿宋" w:hAnsi="仿宋" w:eastAsia="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.4 </w:t>
      </w:r>
      <w:r>
        <w:rPr>
          <w:rFonts w:hint="eastAsia" w:ascii="仿宋" w:hAnsi="仿宋" w:eastAsia="仿宋"/>
          <w:color w:val="auto"/>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.5 </w:t>
      </w:r>
      <w:r>
        <w:rPr>
          <w:rFonts w:hint="eastAsia" w:ascii="仿宋" w:hAnsi="仿宋" w:eastAsia="仿宋"/>
          <w:color w:val="auto"/>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.6 </w:t>
      </w:r>
      <w:r>
        <w:rPr>
          <w:rFonts w:hint="eastAsia" w:ascii="仿宋" w:hAnsi="仿宋" w:eastAsia="仿宋"/>
          <w:color w:val="auto"/>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color w:val="auto"/>
          <w:highlight w:val="none"/>
        </w:rPr>
      </w:pPr>
      <w:r>
        <w:rPr>
          <w:rFonts w:hint="eastAsia" w:ascii="仿宋" w:hAnsi="仿宋" w:eastAsia="仿宋"/>
          <w:color w:val="auto"/>
          <w:sz w:val="24"/>
          <w:highlight w:val="none"/>
        </w:rPr>
        <w:t>1.5.7违约责任</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另有约定的，从其约定。</w:t>
      </w:r>
    </w:p>
    <w:p>
      <w:pPr>
        <w:spacing w:line="560" w:lineRule="exact"/>
        <w:ind w:firstLine="482" w:firstLineChars="200"/>
        <w:outlineLvl w:val="0"/>
        <w:rPr>
          <w:rFonts w:ascii="仿宋" w:hAnsi="仿宋" w:eastAsia="仿宋"/>
          <w:b/>
          <w:color w:val="auto"/>
          <w:sz w:val="24"/>
          <w:highlight w:val="none"/>
        </w:rPr>
      </w:pPr>
      <w:bookmarkStart w:id="30" w:name="_Toc15583"/>
      <w:bookmarkStart w:id="31" w:name="_Toc28375"/>
      <w:bookmarkStart w:id="32" w:name="_Toc16021"/>
      <w:r>
        <w:rPr>
          <w:rFonts w:ascii="仿宋" w:hAnsi="仿宋" w:eastAsia="仿宋"/>
          <w:b/>
          <w:color w:val="auto"/>
          <w:sz w:val="24"/>
          <w:highlight w:val="none"/>
        </w:rPr>
        <w:t>1.</w:t>
      </w:r>
      <w:r>
        <w:rPr>
          <w:rFonts w:hint="eastAsia" w:ascii="仿宋" w:hAnsi="仿宋" w:eastAsia="仿宋"/>
          <w:b/>
          <w:color w:val="auto"/>
          <w:sz w:val="24"/>
          <w:highlight w:val="none"/>
        </w:rPr>
        <w:t>6</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合同争议的解决</w:t>
      </w:r>
      <w:bookmarkEnd w:id="30"/>
      <w:bookmarkEnd w:id="31"/>
      <w:bookmarkEnd w:id="32"/>
    </w:p>
    <w:p>
      <w:pPr>
        <w:spacing w:line="560" w:lineRule="exact"/>
        <w:ind w:left="-61" w:leftChars="-29" w:right="-420" w:rightChars="-200" w:firstLine="240" w:firstLineChars="100"/>
        <w:rPr>
          <w:rFonts w:ascii="仿宋" w:hAnsi="仿宋" w:eastAsia="仿宋"/>
          <w:color w:val="auto"/>
          <w:sz w:val="24"/>
          <w:highlight w:val="none"/>
        </w:rPr>
      </w:pPr>
      <w:r>
        <w:rPr>
          <w:rFonts w:hint="eastAsia" w:ascii="仿宋" w:hAnsi="仿宋" w:eastAsia="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b/>
          <w:i/>
          <w:color w:val="auto"/>
          <w:sz w:val="24"/>
          <w:highlight w:val="none"/>
          <w:u w:val="single"/>
        </w:rPr>
        <w:t xml:space="preserve"> 合同专用条款  </w:t>
      </w:r>
      <w:r>
        <w:rPr>
          <w:rFonts w:hint="eastAsia" w:ascii="仿宋" w:hAnsi="仿宋" w:eastAsia="仿宋"/>
          <w:color w:val="auto"/>
          <w:sz w:val="24"/>
          <w:highlight w:val="none"/>
        </w:rPr>
        <w:t>条款规定的方式解决：</w:t>
      </w:r>
    </w:p>
    <w:p>
      <w:pPr>
        <w:spacing w:line="560" w:lineRule="exact"/>
        <w:ind w:left="-420" w:leftChars="-200" w:right="-420" w:rightChars="-200" w:firstLine="600" w:firstLineChars="25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6</w:t>
      </w:r>
      <w:r>
        <w:rPr>
          <w:rFonts w:ascii="仿宋" w:hAnsi="仿宋" w:eastAsia="仿宋"/>
          <w:color w:val="auto"/>
          <w:sz w:val="24"/>
          <w:highlight w:val="none"/>
        </w:rPr>
        <w:t xml:space="preserve">.1 </w:t>
      </w:r>
      <w:r>
        <w:rPr>
          <w:rFonts w:hint="eastAsia" w:ascii="仿宋" w:hAnsi="仿宋" w:eastAsia="仿宋"/>
          <w:color w:val="auto"/>
          <w:sz w:val="24"/>
          <w:highlight w:val="none"/>
        </w:rPr>
        <w:t>将争议提交</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仲裁委员会依申请仲裁时其现行有效的仲裁规则裁决；</w:t>
      </w:r>
    </w:p>
    <w:p>
      <w:pPr>
        <w:spacing w:line="560" w:lineRule="exact"/>
        <w:ind w:left="-420" w:leftChars="-200" w:right="-420" w:rightChars="-200" w:firstLine="600" w:firstLineChars="25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6</w:t>
      </w:r>
      <w:r>
        <w:rPr>
          <w:rFonts w:ascii="仿宋" w:hAnsi="仿宋" w:eastAsia="仿宋"/>
          <w:color w:val="auto"/>
          <w:sz w:val="24"/>
          <w:highlight w:val="none"/>
        </w:rPr>
        <w:t xml:space="preserve">.2 </w:t>
      </w:r>
      <w:r>
        <w:rPr>
          <w:rFonts w:hint="eastAsia" w:ascii="仿宋" w:hAnsi="仿宋" w:eastAsia="仿宋"/>
          <w:color w:val="auto"/>
          <w:sz w:val="24"/>
          <w:highlight w:val="none"/>
        </w:rPr>
        <w:t>向</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人民法院起诉。</w:t>
      </w:r>
    </w:p>
    <w:p>
      <w:pPr>
        <w:spacing w:line="560" w:lineRule="exact"/>
        <w:ind w:firstLine="482" w:firstLineChars="200"/>
        <w:outlineLvl w:val="0"/>
        <w:rPr>
          <w:rFonts w:ascii="仿宋" w:hAnsi="仿宋" w:eastAsia="仿宋"/>
          <w:b/>
          <w:color w:val="auto"/>
          <w:sz w:val="24"/>
          <w:highlight w:val="none"/>
        </w:rPr>
      </w:pPr>
      <w:bookmarkStart w:id="33" w:name="_Toc11173"/>
      <w:bookmarkStart w:id="34" w:name="_Toc15322"/>
      <w:bookmarkStart w:id="35" w:name="_Toc7245"/>
      <w:r>
        <w:rPr>
          <w:rFonts w:ascii="仿宋" w:hAnsi="仿宋" w:eastAsia="仿宋"/>
          <w:b/>
          <w:color w:val="auto"/>
          <w:sz w:val="24"/>
          <w:highlight w:val="none"/>
        </w:rPr>
        <w:t>1.</w:t>
      </w:r>
      <w:r>
        <w:rPr>
          <w:rFonts w:hint="eastAsia" w:ascii="仿宋" w:hAnsi="仿宋" w:eastAsia="仿宋"/>
          <w:b/>
          <w:color w:val="auto"/>
          <w:sz w:val="24"/>
          <w:highlight w:val="none"/>
        </w:rPr>
        <w:t>7</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合同生效</w:t>
      </w:r>
      <w:bookmarkEnd w:id="33"/>
      <w:bookmarkEnd w:id="34"/>
      <w:bookmarkEnd w:id="35"/>
    </w:p>
    <w:p>
      <w:pPr>
        <w:spacing w:line="560" w:lineRule="exact"/>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本合同自双方当事人盖章或者签字时生效。</w:t>
      </w:r>
    </w:p>
    <w:p>
      <w:pPr>
        <w:autoSpaceDE w:val="0"/>
        <w:autoSpaceDN w:val="0"/>
        <w:spacing w:line="560" w:lineRule="exact"/>
        <w:rPr>
          <w:rFonts w:ascii="仿宋" w:hAnsi="仿宋" w:eastAsia="仿宋"/>
          <w:color w:val="auto"/>
          <w:sz w:val="24"/>
          <w:highlight w:val="none"/>
          <w:lang w:val="zh-CN"/>
        </w:rPr>
      </w:pP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b/>
          <w:color w:val="auto"/>
          <w:sz w:val="24"/>
          <w:highlight w:val="none"/>
          <w:lang w:val="zh-CN"/>
        </w:rPr>
        <w:t>甲方</w:t>
      </w:r>
      <w:r>
        <w:rPr>
          <w:rFonts w:hint="eastAsia" w:ascii="仿宋" w:hAnsi="仿宋" w:eastAsia="仿宋"/>
          <w:color w:val="auto"/>
          <w:sz w:val="24"/>
          <w:highlight w:val="none"/>
          <w:lang w:val="zh-CN"/>
        </w:rPr>
        <w:t>：</w:t>
      </w:r>
      <w:r>
        <w:rPr>
          <w:rFonts w:ascii="仿宋" w:hAnsi="仿宋" w:eastAsia="仿宋"/>
          <w:color w:val="auto"/>
          <w:sz w:val="24"/>
          <w:highlight w:val="none"/>
          <w:lang w:val="zh-CN"/>
        </w:rPr>
        <w:t xml:space="preserve">                             </w:t>
      </w:r>
      <w:r>
        <w:rPr>
          <w:rFonts w:ascii="仿宋" w:hAnsi="仿宋" w:eastAsia="仿宋"/>
          <w:b/>
          <w:color w:val="auto"/>
          <w:sz w:val="24"/>
          <w:highlight w:val="none"/>
          <w:lang w:val="zh-CN"/>
        </w:rPr>
        <w:t xml:space="preserve">      乙方</w:t>
      </w:r>
      <w:r>
        <w:rPr>
          <w:rFonts w:hint="eastAsia" w:ascii="仿宋" w:hAnsi="仿宋" w:eastAsia="仿宋"/>
          <w:color w:val="auto"/>
          <w:sz w:val="24"/>
          <w:highlight w:val="none"/>
          <w:lang w:val="zh-CN"/>
        </w:rPr>
        <w:t>：</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统一社会信用代码：</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统一社会信用代码或身份证号码：</w:t>
      </w:r>
    </w:p>
    <w:p>
      <w:pPr>
        <w:autoSpaceDE w:val="0"/>
        <w:autoSpaceDN w:val="0"/>
        <w:spacing w:line="560" w:lineRule="exact"/>
        <w:rPr>
          <w:rFonts w:ascii="仿宋" w:hAnsi="仿宋" w:eastAsia="仿宋"/>
          <w:color w:val="auto"/>
          <w:sz w:val="24"/>
          <w:highlight w:val="none"/>
          <w:lang w:val="zh-CN"/>
        </w:rPr>
      </w:pP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住所：</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住所：</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法定代表人或</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法定代表人</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授权代表（签字）：</w:t>
      </w:r>
      <w:r>
        <w:rPr>
          <w:rFonts w:ascii="仿宋" w:hAnsi="仿宋" w:eastAsia="仿宋"/>
          <w:color w:val="auto"/>
          <w:sz w:val="24"/>
          <w:highlight w:val="none"/>
          <w:lang w:val="zh-CN"/>
        </w:rPr>
        <w:t xml:space="preserve">                        或授权代表（签字）: </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联系人：</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联系人：</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约定送达地址：</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约定送达地址：</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邮政编码：</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邮政编码：</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电话</w:t>
      </w:r>
      <w:r>
        <w:rPr>
          <w:rFonts w:ascii="仿宋" w:hAnsi="仿宋" w:eastAsia="仿宋"/>
          <w:color w:val="auto"/>
          <w:sz w:val="24"/>
          <w:highlight w:val="none"/>
          <w:lang w:val="zh-CN"/>
        </w:rPr>
        <w:t xml:space="preserve">:                                    电话: </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传真</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传真</w:t>
      </w:r>
      <w:r>
        <w:rPr>
          <w:rFonts w:ascii="仿宋" w:hAnsi="仿宋" w:eastAsia="仿宋"/>
          <w:color w:val="auto"/>
          <w:sz w:val="24"/>
          <w:highlight w:val="none"/>
          <w:lang w:val="zh-CN"/>
        </w:rPr>
        <w:t>:</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lang w:val="zh-CN"/>
        </w:rPr>
        <w:t>电子邮箱：</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电子邮箱：</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开户银行：</w:t>
      </w:r>
      <w:r>
        <w:rPr>
          <w:rFonts w:ascii="仿宋" w:hAnsi="仿宋" w:eastAsia="仿宋"/>
          <w:color w:val="auto"/>
          <w:sz w:val="24"/>
          <w:highlight w:val="none"/>
        </w:rPr>
        <w:t xml:space="preserve">                               开户银行： </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开户名称：</w:t>
      </w:r>
      <w:r>
        <w:rPr>
          <w:rFonts w:ascii="仿宋" w:hAnsi="仿宋" w:eastAsia="仿宋"/>
          <w:color w:val="auto"/>
          <w:sz w:val="24"/>
          <w:highlight w:val="none"/>
        </w:rPr>
        <w:t xml:space="preserve">                               开户名称： </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开户账号：</w:t>
      </w:r>
      <w:r>
        <w:rPr>
          <w:rFonts w:ascii="仿宋" w:hAnsi="仿宋" w:eastAsia="仿宋"/>
          <w:color w:val="auto"/>
          <w:sz w:val="24"/>
          <w:highlight w:val="none"/>
          <w:lang w:val="zh-CN"/>
        </w:rPr>
        <w:t xml:space="preserve">                               </w:t>
      </w:r>
      <w:r>
        <w:rPr>
          <w:rFonts w:hint="eastAsia" w:ascii="仿宋" w:hAnsi="仿宋" w:eastAsia="仿宋"/>
          <w:color w:val="auto"/>
          <w:sz w:val="24"/>
          <w:highlight w:val="none"/>
        </w:rPr>
        <w:t>开户账号：</w:t>
      </w:r>
    </w:p>
    <w:p>
      <w:pPr>
        <w:widowControl/>
        <w:spacing w:line="560" w:lineRule="exact"/>
        <w:jc w:val="left"/>
        <w:rPr>
          <w:rFonts w:ascii="仿宋" w:hAnsi="仿宋" w:eastAsia="仿宋"/>
          <w:b/>
          <w:color w:val="auto"/>
          <w:sz w:val="24"/>
          <w:highlight w:val="none"/>
        </w:rPr>
      </w:pPr>
      <w:bookmarkStart w:id="36" w:name="_Toc331685783"/>
    </w:p>
    <w:p>
      <w:pPr>
        <w:spacing w:line="560" w:lineRule="exact"/>
        <w:ind w:firstLine="482"/>
        <w:jc w:val="center"/>
        <w:rPr>
          <w:rFonts w:ascii="仿宋" w:hAnsi="仿宋" w:eastAsia="仿宋"/>
          <w:b/>
          <w:color w:val="auto"/>
          <w:highlight w:val="none"/>
        </w:rPr>
      </w:pPr>
    </w:p>
    <w:p>
      <w:pPr>
        <w:spacing w:line="560" w:lineRule="exact"/>
        <w:ind w:firstLine="482"/>
        <w:jc w:val="center"/>
        <w:rPr>
          <w:rFonts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ascii="仿宋" w:hAnsi="仿宋" w:eastAsia="仿宋"/>
          <w:b/>
          <w:color w:val="auto"/>
          <w:highlight w:val="none"/>
        </w:rPr>
      </w:pPr>
      <w:r>
        <w:rPr>
          <w:rFonts w:hint="eastAsia" w:ascii="仿宋" w:hAnsi="仿宋" w:eastAsia="仿宋"/>
          <w:b/>
          <w:color w:val="auto"/>
          <w:highlight w:val="none"/>
        </w:rPr>
        <w:t>第二部分</w:t>
      </w:r>
      <w:r>
        <w:rPr>
          <w:rFonts w:ascii="仿宋" w:hAnsi="仿宋" w:eastAsia="仿宋"/>
          <w:b/>
          <w:color w:val="auto"/>
          <w:highlight w:val="none"/>
        </w:rPr>
        <w:t xml:space="preserve"> </w:t>
      </w:r>
      <w:r>
        <w:rPr>
          <w:rFonts w:hint="eastAsia" w:ascii="仿宋" w:hAnsi="仿宋" w:eastAsia="仿宋"/>
          <w:b/>
          <w:color w:val="auto"/>
          <w:highlight w:val="none"/>
        </w:rPr>
        <w:t>合同一般条款</w:t>
      </w:r>
      <w:bookmarkEnd w:id="36"/>
    </w:p>
    <w:p>
      <w:pPr>
        <w:spacing w:line="560" w:lineRule="exact"/>
        <w:ind w:firstLine="482" w:firstLineChars="200"/>
        <w:outlineLvl w:val="0"/>
        <w:rPr>
          <w:rFonts w:ascii="仿宋" w:hAnsi="仿宋" w:eastAsia="仿宋"/>
          <w:b/>
          <w:color w:val="auto"/>
          <w:sz w:val="24"/>
          <w:highlight w:val="none"/>
        </w:rPr>
      </w:pPr>
      <w:bookmarkStart w:id="37" w:name="_Ref467378404"/>
      <w:bookmarkStart w:id="38" w:name="_Ref467379214"/>
      <w:bookmarkStart w:id="39" w:name="_Toc19614"/>
      <w:bookmarkStart w:id="40" w:name="_Ref467379205"/>
      <w:bookmarkStart w:id="41" w:name="_Toc16917"/>
      <w:bookmarkStart w:id="42" w:name="_Toc28763"/>
      <w:bookmarkStart w:id="43" w:name="_Ref467379225"/>
      <w:bookmarkStart w:id="44" w:name="_Ref467379109"/>
      <w:bookmarkStart w:id="45" w:name="_Toc259093669"/>
      <w:bookmarkStart w:id="46" w:name="_Ref467379101"/>
      <w:bookmarkStart w:id="47" w:name="_Ref467379195"/>
      <w:bookmarkStart w:id="48" w:name="_Ref467378499"/>
      <w:bookmarkStart w:id="49" w:name="_Toc279701240"/>
      <w:bookmarkStart w:id="50" w:name="_Toc487900349"/>
      <w:bookmarkStart w:id="51" w:name="_Ref467378463"/>
      <w:bookmarkStart w:id="52" w:name="_Ref467379094"/>
      <w:r>
        <w:rPr>
          <w:rFonts w:ascii="仿宋" w:hAnsi="仿宋" w:eastAsia="仿宋"/>
          <w:b/>
          <w:color w:val="auto"/>
          <w:sz w:val="24"/>
          <w:highlight w:val="none"/>
        </w:rPr>
        <w:t xml:space="preserve">2.1 </w:t>
      </w:r>
      <w:r>
        <w:rPr>
          <w:rFonts w:hint="eastAsia" w:ascii="仿宋" w:hAnsi="仿宋" w:eastAsia="仿宋"/>
          <w:b/>
          <w:color w:val="auto"/>
          <w:sz w:val="24"/>
          <w:highlight w:val="none"/>
        </w:rPr>
        <w:t>定义</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本合同中的下列词语应按以下内容进行解释：</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2.1.1 </w:t>
      </w:r>
      <w:r>
        <w:rPr>
          <w:rFonts w:hint="eastAsia" w:ascii="仿宋" w:hAnsi="仿宋" w:eastAsia="仿宋"/>
          <w:color w:val="auto"/>
          <w:sz w:val="24"/>
          <w:highlight w:val="none"/>
        </w:rPr>
        <w:t>“合同”系指采购人和中标供应商签订的载明双方当事人所达成的协议，并包括所有的附件、附录和构成合同的其他文件。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2.1.2 </w:t>
      </w:r>
      <w:r>
        <w:rPr>
          <w:rFonts w:hint="eastAsia" w:ascii="仿宋" w:hAnsi="仿宋" w:eastAsia="仿宋"/>
          <w:color w:val="auto"/>
          <w:sz w:val="24"/>
          <w:highlight w:val="none"/>
        </w:rPr>
        <w:t>“合同价”系指根据合同约定，中标供应商在完全履行合同义务后，采购人应支付给中标供应商的价格。</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2.1.3 </w:t>
      </w:r>
      <w:r>
        <w:rPr>
          <w:rFonts w:hint="eastAsia" w:ascii="仿宋" w:hAnsi="仿宋" w:eastAsia="仿宋"/>
          <w:color w:val="auto"/>
          <w:sz w:val="24"/>
          <w:highlight w:val="none"/>
        </w:rPr>
        <w:t>“服务”系指中标供应商根据合同约定应向采购人提供的服务。</w:t>
      </w:r>
    </w:p>
    <w:p>
      <w:pPr>
        <w:spacing w:line="560" w:lineRule="exact"/>
        <w:ind w:firstLine="480" w:firstLineChars="200"/>
        <w:rPr>
          <w:rFonts w:ascii="仿宋" w:hAnsi="仿宋" w:eastAsia="仿宋"/>
          <w:color w:val="auto"/>
          <w:sz w:val="24"/>
          <w:highlight w:val="none"/>
        </w:rPr>
      </w:pPr>
      <w:bookmarkStart w:id="53" w:name="_Ref467378840"/>
      <w:r>
        <w:rPr>
          <w:rFonts w:ascii="仿宋" w:hAnsi="仿宋" w:eastAsia="仿宋"/>
          <w:color w:val="auto"/>
          <w:sz w:val="24"/>
          <w:highlight w:val="none"/>
        </w:rPr>
        <w:t xml:space="preserve">2.1.4 </w:t>
      </w:r>
      <w:r>
        <w:rPr>
          <w:rFonts w:hint="eastAsia" w:ascii="仿宋" w:hAnsi="仿宋" w:eastAsia="仿宋"/>
          <w:color w:val="auto"/>
          <w:sz w:val="24"/>
          <w:highlight w:val="none"/>
        </w:rPr>
        <w:t>“甲方”系指与中标供应商签署合同的采购人</w:t>
      </w:r>
      <w:bookmarkEnd w:id="53"/>
      <w:r>
        <w:rPr>
          <w:rFonts w:hint="eastAsia" w:ascii="仿宋" w:hAnsi="仿宋" w:eastAsia="仿宋"/>
          <w:color w:val="auto"/>
          <w:sz w:val="24"/>
          <w:highlight w:val="none"/>
        </w:rPr>
        <w:t>。</w:t>
      </w:r>
    </w:p>
    <w:p>
      <w:pPr>
        <w:spacing w:line="560" w:lineRule="exact"/>
        <w:ind w:firstLine="480" w:firstLineChars="200"/>
        <w:rPr>
          <w:rFonts w:ascii="仿宋" w:hAnsi="仿宋" w:eastAsia="仿宋"/>
          <w:color w:val="auto"/>
          <w:sz w:val="24"/>
          <w:highlight w:val="none"/>
        </w:rPr>
      </w:pPr>
      <w:bookmarkStart w:id="54" w:name="_Ref467379400"/>
      <w:r>
        <w:rPr>
          <w:rFonts w:ascii="仿宋" w:hAnsi="仿宋" w:eastAsia="仿宋"/>
          <w:color w:val="auto"/>
          <w:sz w:val="24"/>
          <w:highlight w:val="none"/>
        </w:rPr>
        <w:t xml:space="preserve">2.1.5 </w:t>
      </w:r>
      <w:r>
        <w:rPr>
          <w:rFonts w:hint="eastAsia" w:ascii="仿宋" w:hAnsi="仿宋" w:eastAsia="仿宋"/>
          <w:color w:val="auto"/>
          <w:sz w:val="24"/>
          <w:highlight w:val="none"/>
        </w:rPr>
        <w:t>“乙方”系指根据合同约定提供服务的中标供应商</w:t>
      </w:r>
      <w:bookmarkEnd w:id="54"/>
      <w:r>
        <w:rPr>
          <w:rFonts w:hint="eastAsia" w:ascii="仿宋" w:hAnsi="仿宋" w:eastAsia="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olor w:val="auto"/>
          <w:sz w:val="24"/>
          <w:highlight w:val="none"/>
        </w:rPr>
      </w:pPr>
      <w:bookmarkStart w:id="55" w:name="_Ref467379436"/>
      <w:r>
        <w:rPr>
          <w:rFonts w:ascii="仿宋" w:hAnsi="仿宋" w:eastAsia="仿宋"/>
          <w:color w:val="auto"/>
          <w:sz w:val="24"/>
          <w:highlight w:val="none"/>
        </w:rPr>
        <w:t xml:space="preserve">2.1.6 </w:t>
      </w:r>
      <w:r>
        <w:rPr>
          <w:rFonts w:hint="eastAsia" w:ascii="仿宋" w:hAnsi="仿宋" w:eastAsia="仿宋"/>
          <w:color w:val="auto"/>
          <w:sz w:val="24"/>
          <w:highlight w:val="none"/>
        </w:rPr>
        <w:t>“现场”系指合同约定服务提供地点。</w:t>
      </w:r>
      <w:bookmarkEnd w:id="55"/>
    </w:p>
    <w:p>
      <w:pPr>
        <w:spacing w:line="560" w:lineRule="exact"/>
        <w:ind w:firstLine="482" w:firstLineChars="200"/>
        <w:outlineLvl w:val="0"/>
        <w:rPr>
          <w:rFonts w:ascii="仿宋" w:hAnsi="仿宋" w:eastAsia="仿宋"/>
          <w:b/>
          <w:color w:val="auto"/>
          <w:sz w:val="24"/>
          <w:highlight w:val="none"/>
        </w:rPr>
      </w:pPr>
      <w:bookmarkStart w:id="56" w:name="_Toc13336"/>
      <w:bookmarkStart w:id="57" w:name="_Toc32504"/>
      <w:bookmarkStart w:id="58" w:name="_Toc487900350"/>
      <w:bookmarkStart w:id="59" w:name="_Toc27635"/>
      <w:bookmarkStart w:id="60" w:name="_Toc259093670"/>
      <w:bookmarkStart w:id="61" w:name="_Toc279701241"/>
      <w:r>
        <w:rPr>
          <w:rFonts w:ascii="仿宋" w:hAnsi="仿宋" w:eastAsia="仿宋"/>
          <w:b/>
          <w:color w:val="auto"/>
          <w:sz w:val="24"/>
          <w:highlight w:val="none"/>
        </w:rPr>
        <w:t xml:space="preserve">2.2 </w:t>
      </w:r>
      <w:r>
        <w:rPr>
          <w:rFonts w:hint="eastAsia" w:ascii="仿宋" w:hAnsi="仿宋" w:eastAsia="仿宋"/>
          <w:b/>
          <w:color w:val="auto"/>
          <w:sz w:val="24"/>
          <w:highlight w:val="none"/>
        </w:rPr>
        <w:t>技术规范</w:t>
      </w:r>
      <w:bookmarkEnd w:id="56"/>
      <w:bookmarkEnd w:id="57"/>
      <w:bookmarkEnd w:id="58"/>
      <w:bookmarkEnd w:id="59"/>
      <w:bookmarkEnd w:id="60"/>
      <w:bookmarkEnd w:id="61"/>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服务所应遵守的相关要求应与采购文件规定的相关要求</w:t>
      </w:r>
      <w:r>
        <w:rPr>
          <w:rFonts w:ascii="仿宋" w:hAnsi="仿宋" w:eastAsia="仿宋"/>
          <w:color w:val="auto"/>
          <w:sz w:val="24"/>
          <w:highlight w:val="none"/>
        </w:rPr>
        <w:t>及其偏差表(如果被甲方接受的话)相一致；如果采购文件中没有相应说明，那么应以国家有关部门最新颁布的相应标准和规范为准。</w:t>
      </w:r>
    </w:p>
    <w:p>
      <w:pPr>
        <w:spacing w:line="560" w:lineRule="exact"/>
        <w:ind w:firstLine="482" w:firstLineChars="200"/>
        <w:outlineLvl w:val="0"/>
        <w:rPr>
          <w:rFonts w:ascii="仿宋" w:hAnsi="仿宋" w:eastAsia="仿宋"/>
          <w:b/>
          <w:color w:val="auto"/>
          <w:sz w:val="24"/>
          <w:highlight w:val="none"/>
        </w:rPr>
      </w:pPr>
      <w:bookmarkStart w:id="62" w:name="_Toc27853"/>
      <w:bookmarkStart w:id="63" w:name="_Toc259093671"/>
      <w:bookmarkStart w:id="64" w:name="_Toc487900351"/>
      <w:bookmarkStart w:id="65" w:name="_Toc9829"/>
      <w:bookmarkStart w:id="66" w:name="_Toc279701242"/>
      <w:bookmarkStart w:id="67" w:name="_Toc31634"/>
      <w:r>
        <w:rPr>
          <w:rFonts w:ascii="仿宋" w:hAnsi="仿宋" w:eastAsia="仿宋"/>
          <w:b/>
          <w:color w:val="auto"/>
          <w:sz w:val="24"/>
          <w:highlight w:val="none"/>
        </w:rPr>
        <w:t xml:space="preserve">2.3 </w:t>
      </w:r>
      <w:r>
        <w:rPr>
          <w:rFonts w:hint="eastAsia" w:ascii="仿宋" w:hAnsi="仿宋" w:eastAsia="仿宋"/>
          <w:b/>
          <w:color w:val="auto"/>
          <w:sz w:val="24"/>
          <w:highlight w:val="none"/>
        </w:rPr>
        <w:t>知识产权</w:t>
      </w:r>
      <w:bookmarkEnd w:id="62"/>
      <w:bookmarkEnd w:id="63"/>
      <w:bookmarkEnd w:id="64"/>
      <w:bookmarkEnd w:id="65"/>
      <w:bookmarkEnd w:id="66"/>
      <w:bookmarkEnd w:id="67"/>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2.3.1 </w:t>
      </w:r>
      <w:r>
        <w:rPr>
          <w:rFonts w:hint="eastAsia" w:ascii="仿宋" w:hAnsi="仿宋" w:eastAsia="仿宋"/>
          <w:color w:val="auto"/>
          <w:sz w:val="24"/>
          <w:highlight w:val="none"/>
        </w:rPr>
        <w:t>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2.3.</w:t>
      </w:r>
      <w:r>
        <w:rPr>
          <w:rFonts w:hint="eastAsia" w:ascii="仿宋" w:hAnsi="仿宋" w:eastAsia="仿宋"/>
          <w:color w:val="auto"/>
          <w:sz w:val="24"/>
          <w:highlight w:val="none"/>
        </w:rPr>
        <w:t>2</w:t>
      </w:r>
      <w:r>
        <w:rPr>
          <w:rFonts w:ascii="仿宋" w:hAnsi="仿宋" w:eastAsia="仿宋"/>
          <w:color w:val="auto"/>
          <w:sz w:val="24"/>
          <w:highlight w:val="none"/>
        </w:rPr>
        <w:t>具有知识产权的计算机软件等开发</w:t>
      </w:r>
      <w:r>
        <w:rPr>
          <w:rFonts w:hint="eastAsia" w:ascii="仿宋" w:hAnsi="仿宋" w:eastAsia="仿宋"/>
          <w:color w:val="auto"/>
          <w:sz w:val="24"/>
          <w:highlight w:val="none"/>
        </w:rPr>
        <w:t>服务</w:t>
      </w:r>
      <w:r>
        <w:rPr>
          <w:rFonts w:ascii="仿宋" w:hAnsi="仿宋" w:eastAsia="仿宋"/>
          <w:color w:val="auto"/>
          <w:sz w:val="24"/>
          <w:highlight w:val="none"/>
        </w:rPr>
        <w:t>的知识产权归属，详见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68" w:name="_Toc4194"/>
      <w:bookmarkStart w:id="69" w:name="_Toc29149"/>
      <w:bookmarkStart w:id="70" w:name="_Toc11932"/>
      <w:r>
        <w:rPr>
          <w:rFonts w:ascii="仿宋" w:hAnsi="仿宋" w:eastAsia="仿宋"/>
          <w:b/>
          <w:color w:val="auto"/>
          <w:sz w:val="24"/>
          <w:highlight w:val="none"/>
        </w:rPr>
        <w:t xml:space="preserve">2.4 </w:t>
      </w:r>
      <w:r>
        <w:rPr>
          <w:rFonts w:hint="eastAsia" w:ascii="仿宋" w:hAnsi="仿宋" w:eastAsia="仿宋"/>
          <w:b/>
          <w:color w:val="auto"/>
          <w:sz w:val="24"/>
          <w:highlight w:val="none"/>
        </w:rPr>
        <w:t>包装和装运</w:t>
      </w:r>
      <w:bookmarkEnd w:id="68"/>
      <w:bookmarkEnd w:id="69"/>
      <w:bookmarkEnd w:id="70"/>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2.4.</w:t>
      </w:r>
      <w:r>
        <w:rPr>
          <w:rFonts w:hint="eastAsia" w:ascii="仿宋" w:hAnsi="仿宋" w:eastAsia="仿宋"/>
          <w:color w:val="auto"/>
          <w:sz w:val="24"/>
          <w:highlight w:val="none"/>
        </w:rPr>
        <w:t>1</w:t>
      </w:r>
      <w:r>
        <w:rPr>
          <w:rFonts w:ascii="仿宋" w:hAnsi="仿宋" w:eastAsia="仿宋"/>
          <w:color w:val="auto"/>
          <w:sz w:val="24"/>
          <w:highlight w:val="none"/>
        </w:rPr>
        <w:t xml:space="preserve">乙方提供的服务过程中如涉及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2.4.2 </w:t>
      </w:r>
      <w:r>
        <w:rPr>
          <w:rFonts w:hint="eastAsia" w:ascii="仿宋" w:hAnsi="仿宋" w:eastAsia="仿宋"/>
          <w:color w:val="auto"/>
          <w:sz w:val="24"/>
          <w:highlight w:val="none"/>
        </w:rPr>
        <w:t>涉及服务的要求和通知，详见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71" w:name="_Toc487900354"/>
      <w:bookmarkStart w:id="72" w:name="_Ref467379527"/>
      <w:bookmarkStart w:id="73" w:name="_Ref467379536"/>
      <w:bookmarkStart w:id="74" w:name="_Toc279701245"/>
      <w:bookmarkStart w:id="75" w:name="_Ref467378591"/>
      <w:bookmarkStart w:id="76" w:name="_Toc259093674"/>
      <w:bookmarkStart w:id="77" w:name="_Ref467378541"/>
      <w:bookmarkStart w:id="78" w:name="_Ref467379542"/>
      <w:bookmarkStart w:id="79" w:name="_Toc30272"/>
      <w:bookmarkStart w:id="80" w:name="_Toc26182"/>
      <w:bookmarkStart w:id="81" w:name="_Toc19074"/>
      <w:r>
        <w:rPr>
          <w:rFonts w:ascii="仿宋" w:hAnsi="仿宋" w:eastAsia="仿宋"/>
          <w:b/>
          <w:color w:val="auto"/>
          <w:sz w:val="24"/>
          <w:highlight w:val="none"/>
        </w:rPr>
        <w:t>2.</w:t>
      </w:r>
      <w:bookmarkEnd w:id="71"/>
      <w:bookmarkEnd w:id="72"/>
      <w:bookmarkEnd w:id="73"/>
      <w:bookmarkEnd w:id="74"/>
      <w:bookmarkEnd w:id="75"/>
      <w:bookmarkEnd w:id="76"/>
      <w:bookmarkEnd w:id="77"/>
      <w:bookmarkEnd w:id="78"/>
      <w:r>
        <w:rPr>
          <w:rFonts w:ascii="仿宋" w:hAnsi="仿宋" w:eastAsia="仿宋"/>
          <w:b/>
          <w:color w:val="auto"/>
          <w:sz w:val="24"/>
          <w:highlight w:val="none"/>
        </w:rPr>
        <w:t xml:space="preserve">5 </w:t>
      </w:r>
      <w:r>
        <w:rPr>
          <w:rFonts w:hint="eastAsia" w:ascii="仿宋" w:hAnsi="仿宋" w:eastAsia="仿宋"/>
          <w:b/>
          <w:color w:val="auto"/>
          <w:sz w:val="24"/>
          <w:highlight w:val="none"/>
        </w:rPr>
        <w:t>履约检查和问题反馈</w:t>
      </w:r>
      <w:bookmarkEnd w:id="79"/>
      <w:bookmarkEnd w:id="80"/>
      <w:bookmarkEnd w:id="81"/>
    </w:p>
    <w:p>
      <w:pPr>
        <w:spacing w:line="560" w:lineRule="exact"/>
        <w:ind w:firstLine="480" w:firstLineChars="200"/>
        <w:rPr>
          <w:rFonts w:ascii="仿宋" w:hAnsi="仿宋" w:eastAsia="仿宋"/>
          <w:color w:val="auto"/>
          <w:sz w:val="24"/>
          <w:highlight w:val="none"/>
        </w:rPr>
      </w:pPr>
      <w:bookmarkStart w:id="82" w:name="_Ref467379657"/>
      <w:r>
        <w:rPr>
          <w:rFonts w:ascii="仿宋" w:hAnsi="仿宋" w:eastAsia="仿宋"/>
          <w:color w:val="auto"/>
          <w:sz w:val="24"/>
          <w:highlight w:val="none"/>
        </w:rPr>
        <w:t>2.5.1</w:t>
      </w:r>
      <w:bookmarkEnd w:id="82"/>
      <w:bookmarkStart w:id="83" w:name="_Toc186431854"/>
      <w:bookmarkStart w:id="84" w:name="_Toc259093676"/>
      <w:bookmarkStart w:id="85" w:name="_Toc279701247"/>
      <w:bookmarkStart w:id="86" w:name="_Ref467379807"/>
      <w:bookmarkStart w:id="87" w:name="_Toc487900357"/>
      <w:bookmarkStart w:id="88" w:name="_Ref467379793"/>
      <w:r>
        <w:rPr>
          <w:rFonts w:hint="eastAsia" w:ascii="仿宋" w:hAnsi="仿宋" w:eastAsia="仿宋"/>
          <w:color w:val="auto"/>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2.5.2 </w:t>
      </w:r>
      <w:r>
        <w:rPr>
          <w:rFonts w:hint="eastAsia" w:ascii="仿宋" w:hAnsi="仿宋" w:eastAsia="仿宋"/>
          <w:color w:val="auto"/>
          <w:sz w:val="24"/>
          <w:highlight w:val="none"/>
        </w:rPr>
        <w:t>合同履行期间，甲方有权将履行过程中出现的问题反馈给乙方，双方当事人应以书面形式约定需要完善和改进的内容</w:t>
      </w:r>
      <w:bookmarkEnd w:id="83"/>
      <w:bookmarkStart w:id="89" w:name="_Toc186431855"/>
      <w:r>
        <w:rPr>
          <w:rFonts w:hint="eastAsia" w:ascii="仿宋" w:hAnsi="仿宋" w:eastAsia="仿宋"/>
          <w:color w:val="auto"/>
          <w:sz w:val="24"/>
          <w:highlight w:val="none"/>
        </w:rPr>
        <w:t>。</w:t>
      </w:r>
    </w:p>
    <w:bookmarkEnd w:id="84"/>
    <w:bookmarkEnd w:id="85"/>
    <w:bookmarkEnd w:id="86"/>
    <w:bookmarkEnd w:id="87"/>
    <w:bookmarkEnd w:id="88"/>
    <w:bookmarkEnd w:id="89"/>
    <w:p>
      <w:pPr>
        <w:spacing w:line="560" w:lineRule="exact"/>
        <w:ind w:firstLine="482" w:firstLineChars="200"/>
        <w:outlineLvl w:val="0"/>
        <w:rPr>
          <w:rFonts w:ascii="仿宋" w:hAnsi="仿宋" w:eastAsia="仿宋"/>
          <w:b/>
          <w:color w:val="auto"/>
          <w:sz w:val="24"/>
          <w:highlight w:val="none"/>
        </w:rPr>
      </w:pPr>
      <w:bookmarkStart w:id="90" w:name="_Ref467379923"/>
      <w:bookmarkStart w:id="91" w:name="_Toc279701248"/>
      <w:bookmarkStart w:id="92" w:name="_Toc259093677"/>
      <w:bookmarkStart w:id="93" w:name="_Toc487900358"/>
      <w:bookmarkStart w:id="94" w:name="_Ref467379863"/>
      <w:bookmarkStart w:id="95" w:name="_Ref467379852"/>
      <w:bookmarkStart w:id="96" w:name="_Toc774"/>
      <w:bookmarkStart w:id="97" w:name="_Toc3225"/>
      <w:bookmarkStart w:id="98" w:name="_Toc16110"/>
      <w:r>
        <w:rPr>
          <w:rFonts w:ascii="仿宋" w:hAnsi="仿宋" w:eastAsia="仿宋"/>
          <w:b/>
          <w:color w:val="auto"/>
          <w:sz w:val="24"/>
          <w:highlight w:val="none"/>
        </w:rPr>
        <w:t xml:space="preserve">2.6 </w:t>
      </w:r>
      <w:r>
        <w:rPr>
          <w:rFonts w:hint="eastAsia" w:ascii="仿宋" w:hAnsi="仿宋" w:eastAsia="仿宋"/>
          <w:b/>
          <w:color w:val="auto"/>
          <w:sz w:val="24"/>
          <w:highlight w:val="none"/>
        </w:rPr>
        <w:t>技术资料</w:t>
      </w:r>
      <w:bookmarkEnd w:id="90"/>
      <w:bookmarkEnd w:id="91"/>
      <w:bookmarkEnd w:id="92"/>
      <w:bookmarkEnd w:id="93"/>
      <w:bookmarkEnd w:id="94"/>
      <w:bookmarkEnd w:id="95"/>
      <w:r>
        <w:rPr>
          <w:rFonts w:hint="eastAsia" w:ascii="仿宋" w:hAnsi="仿宋" w:eastAsia="仿宋"/>
          <w:b/>
          <w:color w:val="auto"/>
          <w:sz w:val="24"/>
          <w:highlight w:val="none"/>
        </w:rPr>
        <w:t>和保密义务</w:t>
      </w:r>
      <w:bookmarkEnd w:id="96"/>
      <w:bookmarkEnd w:id="97"/>
      <w:bookmarkEnd w:id="98"/>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2.6.1 </w:t>
      </w:r>
      <w:r>
        <w:rPr>
          <w:rFonts w:hint="eastAsia" w:ascii="仿宋" w:hAnsi="仿宋" w:eastAsia="仿宋"/>
          <w:color w:val="auto"/>
          <w:sz w:val="24"/>
          <w:highlight w:val="none"/>
        </w:rPr>
        <w:t>乙方有权依据合同约定和项目需要，向甲方了解有关情况，调阅有关资料等，甲方应予积极配合；</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2.6.2 </w:t>
      </w:r>
      <w:r>
        <w:rPr>
          <w:rFonts w:hint="eastAsia" w:ascii="仿宋" w:hAnsi="仿宋" w:eastAsia="仿宋"/>
          <w:color w:val="auto"/>
          <w:sz w:val="24"/>
          <w:highlight w:val="none"/>
        </w:rPr>
        <w:t>乙方有义务妥善保管和保护由甲方提供的前款信息和资料等；</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2.6.3 </w:t>
      </w:r>
      <w:r>
        <w:rPr>
          <w:rFonts w:hint="eastAsia" w:ascii="仿宋" w:hAnsi="仿宋" w:eastAsia="仿宋"/>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仿宋" w:hAnsi="仿宋" w:eastAsia="仿宋"/>
          <w:b/>
          <w:color w:val="auto"/>
          <w:sz w:val="24"/>
          <w:highlight w:val="none"/>
        </w:rPr>
      </w:pPr>
      <w:bookmarkStart w:id="99" w:name="_Toc7860"/>
      <w:r>
        <w:rPr>
          <w:rFonts w:ascii="仿宋" w:hAnsi="仿宋" w:eastAsia="仿宋"/>
          <w:b/>
          <w:color w:val="auto"/>
          <w:sz w:val="24"/>
          <w:highlight w:val="none"/>
        </w:rPr>
        <w:t xml:space="preserve">2.7 </w:t>
      </w:r>
      <w:r>
        <w:rPr>
          <w:rFonts w:hint="eastAsia" w:ascii="仿宋" w:hAnsi="仿宋" w:eastAsia="仿宋"/>
          <w:b/>
          <w:color w:val="auto"/>
          <w:sz w:val="24"/>
          <w:highlight w:val="none"/>
        </w:rPr>
        <w:t>质量保证</w:t>
      </w:r>
      <w:bookmarkEnd w:id="99"/>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2.7.1 </w:t>
      </w:r>
      <w:r>
        <w:rPr>
          <w:rFonts w:hint="eastAsia" w:ascii="仿宋" w:hAnsi="仿宋" w:eastAsia="仿宋"/>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2.7.2 </w:t>
      </w:r>
      <w:r>
        <w:rPr>
          <w:rFonts w:hint="eastAsia" w:ascii="仿宋" w:hAnsi="仿宋" w:eastAsia="仿宋"/>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仿宋" w:hAnsi="仿宋" w:eastAsia="仿宋"/>
          <w:b/>
          <w:color w:val="auto"/>
          <w:sz w:val="24"/>
          <w:highlight w:val="none"/>
        </w:rPr>
      </w:pPr>
      <w:bookmarkStart w:id="100" w:name="_Toc17244"/>
      <w:bookmarkStart w:id="101" w:name="_Toc279701252"/>
      <w:bookmarkStart w:id="102" w:name="_Toc259093681"/>
      <w:bookmarkStart w:id="103" w:name="_Toc487900362"/>
      <w:r>
        <w:rPr>
          <w:rFonts w:ascii="仿宋" w:hAnsi="仿宋" w:eastAsia="仿宋"/>
          <w:b/>
          <w:color w:val="auto"/>
          <w:sz w:val="24"/>
          <w:highlight w:val="none"/>
        </w:rPr>
        <w:t>2.8 服务</w:t>
      </w:r>
      <w:r>
        <w:rPr>
          <w:rFonts w:hint="eastAsia" w:ascii="仿宋" w:hAnsi="仿宋" w:eastAsia="仿宋"/>
          <w:b/>
          <w:color w:val="auto"/>
          <w:sz w:val="24"/>
          <w:highlight w:val="none"/>
        </w:rPr>
        <w:t>的风险负担</w:t>
      </w:r>
      <w:bookmarkEnd w:id="100"/>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服务过程中涉及的风险负担详见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104" w:name="_Toc14055"/>
      <w:r>
        <w:rPr>
          <w:rFonts w:ascii="仿宋" w:hAnsi="仿宋" w:eastAsia="仿宋"/>
          <w:b/>
          <w:color w:val="auto"/>
          <w:sz w:val="24"/>
          <w:highlight w:val="none"/>
        </w:rPr>
        <w:t xml:space="preserve">2.9 </w:t>
      </w:r>
      <w:r>
        <w:rPr>
          <w:rFonts w:hint="eastAsia" w:ascii="仿宋" w:hAnsi="仿宋" w:eastAsia="仿宋"/>
          <w:b/>
          <w:color w:val="auto"/>
          <w:sz w:val="24"/>
          <w:highlight w:val="none"/>
        </w:rPr>
        <w:t>延迟</w:t>
      </w:r>
      <w:bookmarkEnd w:id="101"/>
      <w:bookmarkEnd w:id="102"/>
      <w:bookmarkEnd w:id="103"/>
      <w:bookmarkEnd w:id="104"/>
      <w:r>
        <w:rPr>
          <w:rFonts w:hint="eastAsia" w:ascii="仿宋" w:hAnsi="仿宋" w:eastAsia="仿宋"/>
          <w:b/>
          <w:color w:val="auto"/>
          <w:sz w:val="24"/>
          <w:highlight w:val="none"/>
        </w:rPr>
        <w:t>交付</w:t>
      </w:r>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在合同履行过程中，如果乙方遇到不能按时交付的情况，应及时以书面形式将不能按时交付的理由、预期延误时间通知甲方；甲方收到乙方通知后，认为其理由正当的，可以书面形式酌情同意乙方可以延长交付的具体时间。</w:t>
      </w:r>
    </w:p>
    <w:p>
      <w:pPr>
        <w:spacing w:line="560" w:lineRule="exact"/>
        <w:ind w:firstLine="482" w:firstLineChars="200"/>
        <w:outlineLvl w:val="0"/>
        <w:rPr>
          <w:rFonts w:ascii="仿宋" w:hAnsi="仿宋" w:eastAsia="仿宋"/>
          <w:b/>
          <w:color w:val="auto"/>
          <w:sz w:val="24"/>
          <w:highlight w:val="none"/>
        </w:rPr>
      </w:pPr>
      <w:bookmarkStart w:id="105" w:name="_Toc7502"/>
      <w:bookmarkStart w:id="106" w:name="_Toc259093683"/>
      <w:bookmarkStart w:id="107" w:name="_Toc487900364"/>
      <w:bookmarkStart w:id="108" w:name="_Toc279701254"/>
      <w:bookmarkStart w:id="109" w:name="_Ref467378121"/>
      <w:r>
        <w:rPr>
          <w:rFonts w:ascii="仿宋" w:hAnsi="仿宋" w:eastAsia="仿宋"/>
          <w:b/>
          <w:color w:val="auto"/>
          <w:sz w:val="24"/>
          <w:highlight w:val="none"/>
        </w:rPr>
        <w:t>2.</w:t>
      </w:r>
      <w:r>
        <w:rPr>
          <w:rFonts w:hint="eastAsia" w:ascii="仿宋" w:hAnsi="仿宋" w:eastAsia="仿宋"/>
          <w:b/>
          <w:color w:val="auto"/>
          <w:sz w:val="24"/>
          <w:highlight w:val="none"/>
        </w:rPr>
        <w:t>10合同变更</w:t>
      </w:r>
      <w:bookmarkEnd w:id="105"/>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110" w:name="_Toc487900369"/>
      <w:bookmarkStart w:id="111" w:name="_Toc259093688"/>
      <w:bookmarkStart w:id="112" w:name="_Toc279701259"/>
    </w:p>
    <w:p>
      <w:pPr>
        <w:spacing w:line="560" w:lineRule="exact"/>
        <w:ind w:firstLine="482" w:firstLineChars="200"/>
        <w:outlineLvl w:val="0"/>
        <w:rPr>
          <w:rFonts w:ascii="仿宋" w:hAnsi="仿宋" w:eastAsia="仿宋"/>
          <w:b/>
          <w:color w:val="auto"/>
          <w:sz w:val="24"/>
          <w:highlight w:val="none"/>
        </w:rPr>
      </w:pPr>
      <w:bookmarkStart w:id="113" w:name="_Toc22955"/>
      <w:bookmarkStart w:id="114" w:name="_Toc15237"/>
      <w:bookmarkStart w:id="115" w:name="_Toc10366"/>
      <w:r>
        <w:rPr>
          <w:rFonts w:ascii="仿宋" w:hAnsi="仿宋" w:eastAsia="仿宋"/>
          <w:b/>
          <w:color w:val="auto"/>
          <w:sz w:val="24"/>
          <w:highlight w:val="none"/>
        </w:rPr>
        <w:t>2.</w:t>
      </w:r>
      <w:r>
        <w:rPr>
          <w:rFonts w:hint="eastAsia" w:ascii="仿宋" w:hAnsi="仿宋" w:eastAsia="仿宋"/>
          <w:b/>
          <w:color w:val="auto"/>
          <w:sz w:val="24"/>
          <w:highlight w:val="none"/>
        </w:rPr>
        <w:t>11合同转让</w:t>
      </w:r>
      <w:bookmarkEnd w:id="110"/>
      <w:bookmarkEnd w:id="111"/>
      <w:bookmarkEnd w:id="112"/>
      <w:r>
        <w:rPr>
          <w:rFonts w:hint="eastAsia" w:ascii="仿宋" w:hAnsi="仿宋" w:eastAsia="仿宋"/>
          <w:b/>
          <w:color w:val="auto"/>
          <w:sz w:val="24"/>
          <w:highlight w:val="none"/>
        </w:rPr>
        <w:t>和分包</w:t>
      </w:r>
      <w:bookmarkEnd w:id="113"/>
      <w:bookmarkEnd w:id="114"/>
      <w:bookmarkEnd w:id="115"/>
      <w:r>
        <w:rPr>
          <w:rFonts w:hint="eastAsia" w:ascii="仿宋" w:hAnsi="仿宋" w:eastAsia="仿宋"/>
          <w:b/>
          <w:color w:val="auto"/>
          <w:sz w:val="24"/>
          <w:highlight w:val="none"/>
        </w:rPr>
        <w:t>（如有）</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11</w:t>
      </w:r>
      <w:r>
        <w:rPr>
          <w:rFonts w:ascii="仿宋" w:hAnsi="仿宋" w:eastAsia="仿宋"/>
          <w:color w:val="auto"/>
          <w:sz w:val="24"/>
          <w:highlight w:val="none"/>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11</w:t>
      </w:r>
      <w:r>
        <w:rPr>
          <w:rFonts w:ascii="仿宋" w:hAnsi="仿宋" w:eastAsia="仿宋"/>
          <w:color w:val="auto"/>
          <w:sz w:val="24"/>
          <w:highlight w:val="none"/>
        </w:rPr>
        <w:t>.2乙方采取分包方式履行合同的，甲方可直接向分包供应商支付款项。</w:t>
      </w:r>
    </w:p>
    <w:p>
      <w:pPr>
        <w:spacing w:line="560" w:lineRule="exact"/>
        <w:ind w:firstLine="482" w:firstLineChars="200"/>
        <w:outlineLvl w:val="0"/>
        <w:rPr>
          <w:rFonts w:ascii="仿宋" w:hAnsi="仿宋" w:eastAsia="仿宋"/>
          <w:b/>
          <w:color w:val="auto"/>
          <w:sz w:val="24"/>
          <w:highlight w:val="none"/>
        </w:rPr>
      </w:pPr>
      <w:bookmarkStart w:id="116" w:name="_Toc16508"/>
      <w:bookmarkStart w:id="117" w:name="_Toc13566"/>
      <w:bookmarkStart w:id="118" w:name="_Toc14066"/>
      <w:r>
        <w:rPr>
          <w:rFonts w:ascii="仿宋" w:hAnsi="仿宋" w:eastAsia="仿宋"/>
          <w:b/>
          <w:color w:val="auto"/>
          <w:sz w:val="24"/>
          <w:highlight w:val="none"/>
        </w:rPr>
        <w:t>2.1</w:t>
      </w:r>
      <w:r>
        <w:rPr>
          <w:rFonts w:hint="eastAsia" w:ascii="仿宋" w:hAnsi="仿宋" w:eastAsia="仿宋"/>
          <w:b/>
          <w:color w:val="auto"/>
          <w:sz w:val="24"/>
          <w:highlight w:val="none"/>
        </w:rPr>
        <w:t>2不可抗力</w:t>
      </w:r>
      <w:bookmarkEnd w:id="116"/>
      <w:bookmarkEnd w:id="117"/>
      <w:bookmarkEnd w:id="118"/>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.1如果任何一方遭遇法律规定的不可抗力，致使合同履行受阻时，履行合同的期限应予延长，延长的期限应相当于不可抗力所影响的时间；</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2</w:t>
      </w:r>
      <w:r>
        <w:rPr>
          <w:rFonts w:ascii="仿宋" w:hAnsi="仿宋" w:eastAsia="仿宋"/>
          <w:color w:val="auto"/>
          <w:sz w:val="24"/>
          <w:highlight w:val="none"/>
        </w:rPr>
        <w:t xml:space="preserve">.2 </w:t>
      </w:r>
      <w:r>
        <w:rPr>
          <w:rFonts w:hint="eastAsia" w:ascii="仿宋" w:hAnsi="仿宋" w:eastAsia="仿宋"/>
          <w:color w:val="auto"/>
          <w:sz w:val="24"/>
          <w:highlight w:val="none"/>
        </w:rPr>
        <w:t>因不可抗力致使不能实现合同目的的，当事人可以解除合同；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 xml:space="preserve">.3 </w:t>
      </w:r>
      <w:r>
        <w:rPr>
          <w:rFonts w:hint="eastAsia" w:ascii="仿宋" w:hAnsi="仿宋" w:eastAsia="仿宋"/>
          <w:color w:val="auto"/>
          <w:sz w:val="24"/>
          <w:highlight w:val="none"/>
        </w:rPr>
        <w:t>因不可抗力致使合同有变更必要的，双方当事人应在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约定时间内以书面形式变更合同；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.4受不可抗力影响的一方在不可抗力发生后，应在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约定时间内以书面形式通知对方当事人，并在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约定时间内，将有关部门出具的证明文件送达对方当事人。</w:t>
      </w:r>
    </w:p>
    <w:p>
      <w:pPr>
        <w:spacing w:line="560" w:lineRule="exact"/>
        <w:ind w:firstLine="482" w:firstLineChars="200"/>
        <w:outlineLvl w:val="0"/>
        <w:rPr>
          <w:rFonts w:ascii="仿宋" w:hAnsi="仿宋" w:eastAsia="仿宋"/>
          <w:b/>
          <w:color w:val="auto"/>
          <w:sz w:val="24"/>
          <w:highlight w:val="none"/>
        </w:rPr>
      </w:pPr>
      <w:bookmarkStart w:id="119" w:name="_Toc259093684"/>
      <w:bookmarkStart w:id="120" w:name="_Toc30676"/>
      <w:bookmarkStart w:id="121" w:name="_Toc689"/>
      <w:bookmarkStart w:id="122" w:name="_Toc279701255"/>
      <w:bookmarkStart w:id="123" w:name="_Toc6969"/>
      <w:bookmarkStart w:id="124" w:name="_Toc487900365"/>
      <w:r>
        <w:rPr>
          <w:rFonts w:ascii="仿宋" w:hAnsi="仿宋" w:eastAsia="仿宋"/>
          <w:b/>
          <w:color w:val="auto"/>
          <w:sz w:val="24"/>
          <w:highlight w:val="none"/>
        </w:rPr>
        <w:t>2.</w:t>
      </w:r>
      <w:r>
        <w:rPr>
          <w:rFonts w:hint="eastAsia" w:ascii="仿宋" w:hAnsi="仿宋" w:eastAsia="仿宋"/>
          <w:b/>
          <w:color w:val="auto"/>
          <w:sz w:val="24"/>
          <w:highlight w:val="none"/>
        </w:rPr>
        <w:t>13</w:t>
      </w:r>
      <w:r>
        <w:rPr>
          <w:rFonts w:ascii="仿宋" w:hAnsi="仿宋" w:eastAsia="仿宋"/>
          <w:b/>
          <w:color w:val="auto"/>
          <w:sz w:val="24"/>
          <w:highlight w:val="none"/>
        </w:rPr>
        <w:t xml:space="preserve"> </w:t>
      </w:r>
      <w:r>
        <w:rPr>
          <w:rFonts w:hint="eastAsia" w:ascii="仿宋" w:hAnsi="仿宋" w:eastAsia="仿宋"/>
          <w:b/>
          <w:color w:val="auto"/>
          <w:sz w:val="24"/>
          <w:highlight w:val="none"/>
        </w:rPr>
        <w:t>税费</w:t>
      </w:r>
      <w:bookmarkEnd w:id="119"/>
      <w:bookmarkEnd w:id="120"/>
      <w:bookmarkEnd w:id="121"/>
      <w:bookmarkEnd w:id="122"/>
      <w:bookmarkEnd w:id="123"/>
      <w:bookmarkEnd w:id="124"/>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与合同有关的一切税费，均按照中华人民共和国法律的相关规定。</w:t>
      </w:r>
    </w:p>
    <w:p>
      <w:pPr>
        <w:spacing w:line="560" w:lineRule="exact"/>
        <w:ind w:firstLine="482" w:firstLineChars="200"/>
        <w:outlineLvl w:val="0"/>
        <w:rPr>
          <w:rFonts w:ascii="仿宋" w:hAnsi="仿宋" w:eastAsia="仿宋"/>
          <w:b/>
          <w:color w:val="auto"/>
          <w:sz w:val="24"/>
          <w:highlight w:val="none"/>
        </w:rPr>
      </w:pPr>
      <w:bookmarkStart w:id="125" w:name="_Toc16959"/>
      <w:bookmarkStart w:id="126" w:name="_Toc487900368"/>
      <w:bookmarkStart w:id="127" w:name="_Toc8298"/>
      <w:bookmarkStart w:id="128" w:name="_Toc279701258"/>
      <w:bookmarkStart w:id="129" w:name="_Toc259093687"/>
      <w:bookmarkStart w:id="130" w:name="_Toc7102"/>
      <w:r>
        <w:rPr>
          <w:rFonts w:ascii="仿宋" w:hAnsi="仿宋" w:eastAsia="仿宋"/>
          <w:b/>
          <w:color w:val="auto"/>
          <w:sz w:val="24"/>
          <w:highlight w:val="none"/>
        </w:rPr>
        <w:t>2.</w:t>
      </w:r>
      <w:r>
        <w:rPr>
          <w:rFonts w:hint="eastAsia" w:ascii="仿宋" w:hAnsi="仿宋" w:eastAsia="仿宋"/>
          <w:b/>
          <w:color w:val="auto"/>
          <w:sz w:val="24"/>
          <w:highlight w:val="none"/>
        </w:rPr>
        <w:t>14</w:t>
      </w:r>
      <w:r>
        <w:rPr>
          <w:rFonts w:ascii="仿宋" w:hAnsi="仿宋" w:eastAsia="仿宋"/>
          <w:b/>
          <w:color w:val="auto"/>
          <w:sz w:val="24"/>
          <w:highlight w:val="none"/>
        </w:rPr>
        <w:t>乙方破产</w:t>
      </w:r>
      <w:bookmarkEnd w:id="125"/>
      <w:bookmarkEnd w:id="126"/>
      <w:bookmarkEnd w:id="127"/>
      <w:bookmarkEnd w:id="128"/>
      <w:bookmarkEnd w:id="129"/>
      <w:bookmarkEnd w:id="130"/>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仿宋" w:hAnsi="仿宋" w:eastAsia="仿宋"/>
          <w:b/>
          <w:color w:val="auto"/>
          <w:sz w:val="24"/>
          <w:highlight w:val="none"/>
        </w:rPr>
      </w:pPr>
      <w:bookmarkStart w:id="131" w:name="_Toc15387"/>
      <w:bookmarkStart w:id="132" w:name="_Toc29333"/>
      <w:bookmarkStart w:id="133" w:name="_Toc6134"/>
      <w:r>
        <w:rPr>
          <w:rFonts w:ascii="仿宋" w:hAnsi="仿宋" w:eastAsia="仿宋"/>
          <w:b/>
          <w:color w:val="auto"/>
          <w:sz w:val="24"/>
          <w:highlight w:val="none"/>
        </w:rPr>
        <w:t>2.1</w:t>
      </w:r>
      <w:r>
        <w:rPr>
          <w:rFonts w:hint="eastAsia" w:ascii="仿宋" w:hAnsi="仿宋" w:eastAsia="仿宋"/>
          <w:b/>
          <w:color w:val="auto"/>
          <w:sz w:val="24"/>
          <w:highlight w:val="none"/>
        </w:rPr>
        <w:t>5合同中止、终止</w:t>
      </w:r>
      <w:bookmarkEnd w:id="131"/>
      <w:bookmarkEnd w:id="132"/>
      <w:bookmarkEnd w:id="133"/>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5</w:t>
      </w:r>
      <w:r>
        <w:rPr>
          <w:rFonts w:ascii="仿宋" w:hAnsi="仿宋" w:eastAsia="仿宋"/>
          <w:color w:val="auto"/>
          <w:sz w:val="24"/>
          <w:highlight w:val="none"/>
        </w:rPr>
        <w:t xml:space="preserve">.1 </w:t>
      </w:r>
      <w:r>
        <w:rPr>
          <w:rFonts w:hint="eastAsia" w:ascii="仿宋" w:hAnsi="仿宋" w:eastAsia="仿宋"/>
          <w:color w:val="auto"/>
          <w:sz w:val="24"/>
          <w:highlight w:val="none"/>
        </w:rPr>
        <w:t>双方当事人不得擅自中止或者终止合同；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5</w:t>
      </w:r>
      <w:r>
        <w:rPr>
          <w:rFonts w:ascii="仿宋" w:hAnsi="仿宋" w:eastAsia="仿宋"/>
          <w:color w:val="auto"/>
          <w:sz w:val="24"/>
          <w:highlight w:val="none"/>
        </w:rPr>
        <w:t>.2合同继续履行将损害国家利益和社会公共利益的，双方当事人应当中止或者终止合同。有过错的一方应当承担赔偿责任，双方当事人都有过错的，各自承担相应的责任。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仿宋" w:hAnsi="仿宋" w:eastAsia="仿宋"/>
          <w:b/>
          <w:color w:val="auto"/>
          <w:sz w:val="24"/>
          <w:highlight w:val="none"/>
        </w:rPr>
      </w:pPr>
      <w:bookmarkStart w:id="134" w:name="_Toc14563"/>
      <w:bookmarkStart w:id="135" w:name="_Toc6596"/>
      <w:bookmarkStart w:id="136" w:name="_Toc1125"/>
      <w:r>
        <w:rPr>
          <w:rFonts w:ascii="仿宋" w:hAnsi="仿宋" w:eastAsia="仿宋"/>
          <w:b/>
          <w:color w:val="auto"/>
          <w:sz w:val="24"/>
          <w:highlight w:val="none"/>
        </w:rPr>
        <w:t>2.1</w:t>
      </w:r>
      <w:r>
        <w:rPr>
          <w:rFonts w:hint="eastAsia" w:ascii="仿宋" w:hAnsi="仿宋" w:eastAsia="仿宋"/>
          <w:b/>
          <w:color w:val="auto"/>
          <w:sz w:val="24"/>
          <w:highlight w:val="none"/>
        </w:rPr>
        <w:t>6</w:t>
      </w:r>
      <w:r>
        <w:rPr>
          <w:rFonts w:ascii="仿宋" w:hAnsi="仿宋" w:eastAsia="仿宋"/>
          <w:b/>
          <w:color w:val="auto"/>
          <w:sz w:val="24"/>
          <w:highlight w:val="none"/>
        </w:rPr>
        <w:t>检验和验收</w:t>
      </w:r>
      <w:bookmarkEnd w:id="134"/>
      <w:bookmarkEnd w:id="135"/>
      <w:bookmarkEnd w:id="136"/>
    </w:p>
    <w:p>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6</w:t>
      </w:r>
      <w:r>
        <w:rPr>
          <w:rFonts w:ascii="仿宋" w:hAnsi="仿宋" w:eastAsia="仿宋"/>
          <w:color w:val="auto"/>
          <w:sz w:val="24"/>
          <w:highlight w:val="none"/>
        </w:rPr>
        <w:t>.1</w:t>
      </w:r>
      <w:r>
        <w:rPr>
          <w:rFonts w:hint="eastAsia" w:ascii="仿宋" w:hAnsi="仿宋" w:eastAsia="仿宋"/>
          <w:color w:val="auto"/>
          <w:sz w:val="24"/>
          <w:highlight w:val="none"/>
        </w:rPr>
        <w:t>服务</w:t>
      </w:r>
      <w:r>
        <w:rPr>
          <w:rFonts w:ascii="仿宋" w:hAnsi="仿宋" w:eastAsia="仿宋"/>
          <w:color w:val="auto"/>
          <w:sz w:val="24"/>
          <w:highlight w:val="none"/>
        </w:rPr>
        <w:t>交付前，乙方应对</w:t>
      </w:r>
      <w:r>
        <w:rPr>
          <w:rFonts w:hint="eastAsia" w:ascii="仿宋" w:hAnsi="仿宋" w:eastAsia="仿宋"/>
          <w:color w:val="auto"/>
          <w:sz w:val="24"/>
          <w:highlight w:val="none"/>
        </w:rPr>
        <w:t>服务</w:t>
      </w:r>
      <w:r>
        <w:rPr>
          <w:rFonts w:ascii="仿宋" w:hAnsi="仿宋" w:eastAsia="仿宋"/>
          <w:color w:val="auto"/>
          <w:sz w:val="24"/>
          <w:highlight w:val="none"/>
        </w:rPr>
        <w:t>的质量、数量等方面进行详细、全面的检验，并向甲方出具证明</w:t>
      </w:r>
      <w:r>
        <w:rPr>
          <w:rFonts w:hint="eastAsia" w:ascii="仿宋" w:hAnsi="仿宋" w:eastAsia="仿宋"/>
          <w:color w:val="auto"/>
          <w:sz w:val="24"/>
          <w:highlight w:val="none"/>
        </w:rPr>
        <w:t>服务</w:t>
      </w:r>
      <w:r>
        <w:rPr>
          <w:rFonts w:ascii="仿宋" w:hAnsi="仿宋" w:eastAsia="仿宋"/>
          <w:color w:val="auto"/>
          <w:sz w:val="24"/>
          <w:highlight w:val="none"/>
        </w:rPr>
        <w:t>符合合同约定的文件；</w:t>
      </w:r>
      <w:r>
        <w:rPr>
          <w:rFonts w:hint="eastAsia" w:ascii="仿宋" w:hAnsi="仿宋" w:eastAsia="仿宋"/>
          <w:color w:val="auto"/>
          <w:sz w:val="24"/>
          <w:highlight w:val="none"/>
        </w:rPr>
        <w:t>服务</w:t>
      </w:r>
      <w:r>
        <w:rPr>
          <w:rFonts w:ascii="仿宋" w:hAnsi="仿宋" w:eastAsia="仿宋"/>
          <w:color w:val="auto"/>
          <w:sz w:val="24"/>
          <w:highlight w:val="none"/>
        </w:rPr>
        <w:t>交付时，乙方在</w:t>
      </w:r>
      <w:r>
        <w:rPr>
          <w:rFonts w:hint="eastAsia" w:ascii="仿宋" w:hAnsi="仿宋" w:eastAsia="仿宋"/>
          <w:color w:val="auto"/>
          <w:sz w:val="24"/>
          <w:highlight w:val="none"/>
        </w:rPr>
        <w:t>合同专用条款约定时间内组织验收，并可依法邀请相关方参加，验收应出具验收书。</w:t>
      </w:r>
    </w:p>
    <w:p>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6.2</w:t>
      </w:r>
      <w:r>
        <w:rPr>
          <w:rFonts w:ascii="仿宋" w:hAnsi="仿宋" w:eastAsia="仿宋"/>
          <w:color w:val="auto"/>
          <w:sz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6</w:t>
      </w:r>
      <w:r>
        <w:rPr>
          <w:rFonts w:ascii="仿宋" w:hAnsi="仿宋" w:eastAsia="仿宋"/>
          <w:color w:val="auto"/>
          <w:sz w:val="24"/>
          <w:highlight w:val="none"/>
        </w:rPr>
        <w:t>.</w:t>
      </w:r>
      <w:r>
        <w:rPr>
          <w:rFonts w:hint="eastAsia" w:ascii="仿宋" w:hAnsi="仿宋" w:eastAsia="仿宋"/>
          <w:color w:val="auto"/>
          <w:sz w:val="24"/>
          <w:highlight w:val="none"/>
        </w:rPr>
        <w:t>3</w:t>
      </w:r>
      <w:r>
        <w:rPr>
          <w:rFonts w:ascii="仿宋" w:hAnsi="仿宋" w:eastAsia="仿宋"/>
          <w:color w:val="auto"/>
          <w:sz w:val="24"/>
          <w:highlight w:val="none"/>
        </w:rPr>
        <w:t xml:space="preserve"> </w:t>
      </w:r>
      <w:r>
        <w:rPr>
          <w:rFonts w:hint="eastAsia" w:ascii="仿宋" w:hAnsi="仿宋" w:eastAsia="仿宋"/>
          <w:color w:val="auto"/>
          <w:sz w:val="24"/>
          <w:highlight w:val="none"/>
        </w:rPr>
        <w:t>检验和验收标准、程序等具体内容以及前述验收书的效力详见</w:t>
      </w:r>
      <w:r>
        <w:rPr>
          <w:rFonts w:hint="eastAsia" w:ascii="仿宋" w:hAnsi="仿宋" w:eastAsia="仿宋"/>
          <w:b/>
          <w:i/>
          <w:color w:val="auto"/>
          <w:sz w:val="24"/>
          <w:highlight w:val="none"/>
          <w:u w:val="single"/>
        </w:rPr>
        <w:t>合同专用条款</w:t>
      </w:r>
      <w:r>
        <w:rPr>
          <w:rFonts w:hint="eastAsia" w:ascii="仿宋" w:hAnsi="仿宋" w:eastAsia="仿宋"/>
          <w:i/>
          <w:color w:val="auto"/>
          <w:sz w:val="24"/>
          <w:highlight w:val="none"/>
        </w:rPr>
        <w:t>。</w:t>
      </w:r>
    </w:p>
    <w:bookmarkEnd w:id="106"/>
    <w:bookmarkEnd w:id="107"/>
    <w:bookmarkEnd w:id="108"/>
    <w:bookmarkEnd w:id="109"/>
    <w:p>
      <w:pPr>
        <w:spacing w:line="560" w:lineRule="exact"/>
        <w:ind w:firstLine="482" w:firstLineChars="200"/>
        <w:outlineLvl w:val="0"/>
        <w:rPr>
          <w:rFonts w:ascii="仿宋" w:hAnsi="仿宋" w:eastAsia="仿宋"/>
          <w:b/>
          <w:color w:val="auto"/>
          <w:sz w:val="24"/>
          <w:highlight w:val="none"/>
        </w:rPr>
      </w:pPr>
      <w:bookmarkStart w:id="137" w:name="_Toc279701261"/>
      <w:bookmarkStart w:id="138" w:name="_Toc487900371"/>
      <w:bookmarkStart w:id="139" w:name="_Toc259093690"/>
      <w:bookmarkStart w:id="140" w:name="_Toc25182"/>
      <w:bookmarkStart w:id="141" w:name="_Toc19604"/>
      <w:bookmarkStart w:id="142" w:name="_Toc11284"/>
      <w:r>
        <w:rPr>
          <w:rFonts w:ascii="仿宋" w:hAnsi="仿宋" w:eastAsia="仿宋"/>
          <w:b/>
          <w:color w:val="auto"/>
          <w:sz w:val="24"/>
          <w:highlight w:val="none"/>
        </w:rPr>
        <w:t>2.1</w:t>
      </w:r>
      <w:r>
        <w:rPr>
          <w:rFonts w:hint="eastAsia" w:ascii="仿宋" w:hAnsi="仿宋" w:eastAsia="仿宋"/>
          <w:b/>
          <w:color w:val="auto"/>
          <w:sz w:val="24"/>
          <w:highlight w:val="none"/>
        </w:rPr>
        <w:t>7通知</w:t>
      </w:r>
      <w:bookmarkEnd w:id="137"/>
      <w:bookmarkEnd w:id="138"/>
      <w:bookmarkEnd w:id="139"/>
      <w:r>
        <w:rPr>
          <w:rFonts w:hint="eastAsia" w:ascii="仿宋" w:hAnsi="仿宋" w:eastAsia="仿宋"/>
          <w:b/>
          <w:color w:val="auto"/>
          <w:sz w:val="24"/>
          <w:highlight w:val="none"/>
        </w:rPr>
        <w:t>和送达</w:t>
      </w:r>
      <w:bookmarkEnd w:id="140"/>
      <w:bookmarkEnd w:id="141"/>
      <w:bookmarkEnd w:id="142"/>
    </w:p>
    <w:p>
      <w:pPr>
        <w:spacing w:line="560" w:lineRule="exact"/>
        <w:ind w:firstLine="480" w:firstLineChars="200"/>
        <w:rPr>
          <w:rFonts w:ascii="仿宋" w:hAnsi="仿宋" w:eastAsia="仿宋"/>
          <w:color w:val="auto"/>
          <w:sz w:val="24"/>
          <w:highlight w:val="none"/>
        </w:rPr>
      </w:pPr>
      <w:bookmarkStart w:id="143" w:name="_Toc6698"/>
      <w:bookmarkStart w:id="144" w:name="_Toc3135"/>
      <w:bookmarkStart w:id="145" w:name="_Toc487900372"/>
      <w:bookmarkStart w:id="146" w:name="_Toc279701262"/>
      <w:bookmarkStart w:id="147" w:name="_Toc259093691"/>
      <w:r>
        <w:rPr>
          <w:rFonts w:ascii="仿宋" w:hAnsi="仿宋" w:eastAsia="仿宋"/>
          <w:color w:val="auto"/>
          <w:sz w:val="24"/>
          <w:highlight w:val="none"/>
        </w:rPr>
        <w:t>2.1</w:t>
      </w:r>
      <w:r>
        <w:rPr>
          <w:rFonts w:hint="eastAsia" w:ascii="仿宋" w:hAnsi="仿宋" w:eastAsia="仿宋"/>
          <w:color w:val="auto"/>
          <w:sz w:val="24"/>
          <w:highlight w:val="none"/>
        </w:rPr>
        <w:t>7</w:t>
      </w:r>
      <w:r>
        <w:rPr>
          <w:rFonts w:ascii="仿宋" w:hAnsi="仿宋" w:eastAsia="仿宋"/>
          <w:color w:val="auto"/>
          <w:sz w:val="24"/>
          <w:highlight w:val="none"/>
        </w:rPr>
        <w:t>.1</w:t>
      </w:r>
      <w:r>
        <w:rPr>
          <w:rFonts w:hint="eastAsia" w:ascii="仿宋" w:hAnsi="仿宋" w:eastAsia="仿宋"/>
          <w:color w:val="auto"/>
          <w:sz w:val="24"/>
          <w:highlight w:val="none"/>
        </w:rPr>
        <w:t>任何一方因履行合同而以合同第一部分尾部所列明的传真或电子邮件</w:t>
      </w:r>
      <w:r>
        <w:rPr>
          <w:rFonts w:ascii="仿宋" w:hAnsi="仿宋" w:eastAsia="仿宋"/>
          <w:color w:val="auto"/>
          <w:sz w:val="24"/>
          <w:highlight w:val="non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发出的所有通知、文件、材料，均视为已向对方当事人送达；任何一方变更上述送达方式或者地址的，应于</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个工作日内书面通知对方当事人，在对方当事人收到有关变更通知之前，变更前的约定送达方式或者地址仍视为有效。</w:t>
      </w:r>
      <w:bookmarkEnd w:id="143"/>
      <w:bookmarkEnd w:id="144"/>
    </w:p>
    <w:p>
      <w:pPr>
        <w:spacing w:line="560" w:lineRule="exact"/>
        <w:ind w:firstLine="480" w:firstLineChars="200"/>
        <w:rPr>
          <w:rFonts w:ascii="仿宋" w:hAnsi="仿宋" w:eastAsia="仿宋"/>
          <w:color w:val="auto"/>
          <w:sz w:val="24"/>
          <w:highlight w:val="none"/>
        </w:rPr>
      </w:pPr>
      <w:bookmarkStart w:id="148" w:name="_Toc23128"/>
      <w:bookmarkStart w:id="149" w:name="_Toc23294"/>
      <w:r>
        <w:rPr>
          <w:rFonts w:ascii="仿宋" w:hAnsi="仿宋" w:eastAsia="仿宋"/>
          <w:color w:val="auto"/>
          <w:sz w:val="24"/>
          <w:highlight w:val="none"/>
        </w:rPr>
        <w:t>2.1</w:t>
      </w:r>
      <w:r>
        <w:rPr>
          <w:rFonts w:hint="eastAsia" w:ascii="仿宋" w:hAnsi="仿宋" w:eastAsia="仿宋"/>
          <w:color w:val="auto"/>
          <w:sz w:val="24"/>
          <w:highlight w:val="none"/>
        </w:rPr>
        <w:t>7</w:t>
      </w:r>
      <w:r>
        <w:rPr>
          <w:rFonts w:ascii="仿宋" w:hAnsi="仿宋" w:eastAsia="仿宋"/>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auto"/>
          <w:sz w:val="24"/>
          <w:highlight w:val="none"/>
        </w:rPr>
        <w:t>的，邮件挂号寄出或者交邮之日之次日视为送达。</w:t>
      </w:r>
      <w:bookmarkEnd w:id="148"/>
      <w:bookmarkEnd w:id="149"/>
    </w:p>
    <w:p>
      <w:pPr>
        <w:spacing w:line="560" w:lineRule="exact"/>
        <w:ind w:firstLine="482" w:firstLineChars="200"/>
        <w:outlineLvl w:val="0"/>
        <w:rPr>
          <w:rFonts w:ascii="仿宋" w:hAnsi="仿宋" w:eastAsia="仿宋"/>
          <w:b/>
          <w:color w:val="auto"/>
          <w:sz w:val="24"/>
          <w:highlight w:val="none"/>
        </w:rPr>
      </w:pPr>
      <w:bookmarkStart w:id="150" w:name="_Toc18540"/>
      <w:bookmarkStart w:id="151" w:name="_Toc4355"/>
      <w:bookmarkStart w:id="152" w:name="_Toc30599"/>
      <w:r>
        <w:rPr>
          <w:rFonts w:ascii="仿宋" w:hAnsi="仿宋" w:eastAsia="仿宋"/>
          <w:b/>
          <w:color w:val="auto"/>
          <w:sz w:val="24"/>
          <w:highlight w:val="none"/>
        </w:rPr>
        <w:t>2.1</w:t>
      </w:r>
      <w:r>
        <w:rPr>
          <w:rFonts w:hint="eastAsia" w:ascii="仿宋" w:hAnsi="仿宋" w:eastAsia="仿宋"/>
          <w:b/>
          <w:color w:val="auto"/>
          <w:sz w:val="24"/>
          <w:highlight w:val="none"/>
        </w:rPr>
        <w:t>8</w:t>
      </w:r>
      <w:r>
        <w:rPr>
          <w:rFonts w:ascii="仿宋" w:hAnsi="仿宋" w:eastAsia="仿宋"/>
          <w:b/>
          <w:color w:val="auto"/>
          <w:sz w:val="24"/>
          <w:highlight w:val="none"/>
        </w:rPr>
        <w:t xml:space="preserve"> </w:t>
      </w:r>
      <w:r>
        <w:rPr>
          <w:rFonts w:hint="eastAsia" w:ascii="仿宋" w:hAnsi="仿宋" w:eastAsia="仿宋"/>
          <w:b/>
          <w:color w:val="auto"/>
          <w:sz w:val="24"/>
          <w:highlight w:val="none"/>
        </w:rPr>
        <w:t>计量单位</w:t>
      </w:r>
      <w:bookmarkEnd w:id="145"/>
      <w:bookmarkEnd w:id="146"/>
      <w:bookmarkEnd w:id="147"/>
      <w:bookmarkEnd w:id="150"/>
      <w:bookmarkEnd w:id="151"/>
      <w:bookmarkEnd w:id="152"/>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除技术规范中另有规定外</w:t>
      </w:r>
      <w:r>
        <w:rPr>
          <w:rFonts w:ascii="仿宋" w:hAnsi="仿宋" w:eastAsia="仿宋"/>
          <w:color w:val="auto"/>
          <w:sz w:val="24"/>
          <w:highlight w:val="none"/>
        </w:rPr>
        <w:t>,合同的计量单位均使用国家法定计量单位。</w:t>
      </w:r>
    </w:p>
    <w:p>
      <w:pPr>
        <w:spacing w:line="560" w:lineRule="exact"/>
        <w:ind w:firstLine="482" w:firstLineChars="200"/>
        <w:outlineLvl w:val="0"/>
        <w:rPr>
          <w:rFonts w:ascii="仿宋" w:hAnsi="仿宋" w:eastAsia="仿宋"/>
          <w:b/>
          <w:color w:val="auto"/>
          <w:sz w:val="24"/>
          <w:highlight w:val="none"/>
        </w:rPr>
      </w:pPr>
      <w:bookmarkStart w:id="153" w:name="_Toc12773"/>
      <w:bookmarkStart w:id="154" w:name="_Toc10330"/>
      <w:bookmarkStart w:id="155" w:name="_Toc487900373"/>
      <w:bookmarkStart w:id="156" w:name="_Toc18567"/>
      <w:bookmarkStart w:id="157" w:name="_Toc279701263"/>
      <w:bookmarkStart w:id="158" w:name="_Toc259093692"/>
      <w:r>
        <w:rPr>
          <w:rFonts w:ascii="仿宋" w:hAnsi="仿宋" w:eastAsia="仿宋"/>
          <w:b/>
          <w:color w:val="auto"/>
          <w:sz w:val="24"/>
          <w:highlight w:val="none"/>
        </w:rPr>
        <w:t>2.1</w:t>
      </w:r>
      <w:r>
        <w:rPr>
          <w:rFonts w:hint="eastAsia" w:ascii="仿宋" w:hAnsi="仿宋" w:eastAsia="仿宋"/>
          <w:b/>
          <w:color w:val="auto"/>
          <w:sz w:val="24"/>
          <w:highlight w:val="none"/>
        </w:rPr>
        <w:t>9</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合同使用的文字和适用的法律</w:t>
      </w:r>
      <w:bookmarkEnd w:id="153"/>
      <w:bookmarkEnd w:id="154"/>
      <w:bookmarkEnd w:id="155"/>
      <w:bookmarkEnd w:id="156"/>
      <w:bookmarkEnd w:id="157"/>
      <w:bookmarkEnd w:id="158"/>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9</w:t>
      </w:r>
      <w:r>
        <w:rPr>
          <w:rFonts w:ascii="仿宋" w:hAnsi="仿宋" w:eastAsia="仿宋"/>
          <w:color w:val="auto"/>
          <w:sz w:val="24"/>
          <w:highlight w:val="none"/>
        </w:rPr>
        <w:t xml:space="preserve">.1 </w:t>
      </w:r>
      <w:r>
        <w:rPr>
          <w:rFonts w:hint="eastAsia" w:ascii="仿宋" w:hAnsi="仿宋" w:eastAsia="仿宋"/>
          <w:color w:val="auto"/>
          <w:sz w:val="24"/>
          <w:highlight w:val="none"/>
        </w:rPr>
        <w:t>合同使用汉语书就、变更和解释；</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9</w:t>
      </w:r>
      <w:r>
        <w:rPr>
          <w:rFonts w:ascii="仿宋" w:hAnsi="仿宋" w:eastAsia="仿宋"/>
          <w:color w:val="auto"/>
          <w:sz w:val="24"/>
          <w:highlight w:val="none"/>
        </w:rPr>
        <w:t xml:space="preserve">.2 </w:t>
      </w:r>
      <w:r>
        <w:rPr>
          <w:rFonts w:hint="eastAsia" w:ascii="仿宋" w:hAnsi="仿宋" w:eastAsia="仿宋"/>
          <w:color w:val="auto"/>
          <w:sz w:val="24"/>
          <w:highlight w:val="none"/>
        </w:rPr>
        <w:t>合同适用中华人民共和国法律。</w:t>
      </w:r>
    </w:p>
    <w:p>
      <w:pPr>
        <w:spacing w:line="560" w:lineRule="exact"/>
        <w:ind w:firstLine="482" w:firstLineChars="200"/>
        <w:outlineLvl w:val="0"/>
        <w:rPr>
          <w:rFonts w:ascii="仿宋" w:hAnsi="仿宋" w:eastAsia="仿宋"/>
          <w:b/>
          <w:color w:val="auto"/>
          <w:sz w:val="24"/>
          <w:highlight w:val="none"/>
        </w:rPr>
      </w:pPr>
      <w:bookmarkStart w:id="159" w:name="_Toc279701264"/>
      <w:bookmarkStart w:id="160" w:name="_Toc12004"/>
      <w:bookmarkStart w:id="161" w:name="_Toc3148"/>
      <w:bookmarkStart w:id="162" w:name="_Toc259093693"/>
      <w:bookmarkStart w:id="163" w:name="_Toc16673"/>
      <w:bookmarkStart w:id="164" w:name="_Toc487900374"/>
      <w:r>
        <w:rPr>
          <w:rFonts w:ascii="仿宋" w:hAnsi="仿宋" w:eastAsia="仿宋"/>
          <w:b/>
          <w:color w:val="auto"/>
          <w:sz w:val="24"/>
          <w:highlight w:val="none"/>
        </w:rPr>
        <w:t>2.</w:t>
      </w:r>
      <w:r>
        <w:rPr>
          <w:rFonts w:hint="eastAsia" w:ascii="仿宋" w:hAnsi="仿宋" w:eastAsia="仿宋"/>
          <w:b/>
          <w:color w:val="auto"/>
          <w:sz w:val="24"/>
          <w:highlight w:val="none"/>
        </w:rPr>
        <w:t>20</w:t>
      </w:r>
      <w:r>
        <w:rPr>
          <w:rFonts w:ascii="仿宋" w:hAnsi="仿宋" w:eastAsia="仿宋"/>
          <w:b/>
          <w:color w:val="auto"/>
          <w:sz w:val="24"/>
          <w:highlight w:val="none"/>
        </w:rPr>
        <w:t xml:space="preserve"> </w:t>
      </w:r>
      <w:r>
        <w:rPr>
          <w:rFonts w:hint="eastAsia" w:ascii="仿宋" w:hAnsi="仿宋" w:eastAsia="仿宋"/>
          <w:b/>
          <w:color w:val="auto"/>
          <w:sz w:val="24"/>
          <w:highlight w:val="none"/>
        </w:rPr>
        <w:t>履约保证金</w:t>
      </w:r>
      <w:bookmarkEnd w:id="159"/>
      <w:bookmarkEnd w:id="160"/>
      <w:bookmarkEnd w:id="161"/>
      <w:bookmarkEnd w:id="162"/>
      <w:bookmarkEnd w:id="163"/>
    </w:p>
    <w:p>
      <w:pPr>
        <w:spacing w:line="560" w:lineRule="exact"/>
        <w:ind w:firstLine="480" w:firstLineChars="200"/>
        <w:outlineLvl w:val="0"/>
        <w:rPr>
          <w:rFonts w:ascii="仿宋" w:hAnsi="仿宋" w:eastAsia="仿宋"/>
          <w:color w:val="auto"/>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 xml:space="preserve">.1 </w:t>
      </w:r>
      <w:r>
        <w:rPr>
          <w:rFonts w:hint="eastAsia" w:ascii="仿宋" w:hAnsi="仿宋" w:eastAsia="仿宋"/>
          <w:color w:val="auto"/>
          <w:sz w:val="24"/>
          <w:highlight w:val="none"/>
        </w:rPr>
        <w:t>采购文件要求乙方提交履约保证金的，乙方应按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约定的方式，以支票、汇票、本票或者金融机构、担保机构出具的保函等非现金形式，提交不超过合同金额2.</w:t>
      </w:r>
      <w:r>
        <w:rPr>
          <w:rFonts w:ascii="仿宋" w:hAnsi="仿宋" w:eastAsia="仿宋"/>
          <w:color w:val="auto"/>
          <w:sz w:val="24"/>
          <w:highlight w:val="none"/>
        </w:rPr>
        <w:t>5%的履约保证金；鼓励和支持乙方以银行、保险公司出具的保函形式提供履约保证。</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 xml:space="preserve">.2 </w:t>
      </w:r>
      <w:r>
        <w:rPr>
          <w:rFonts w:hint="eastAsia" w:ascii="仿宋" w:hAnsi="仿宋" w:eastAsia="仿宋"/>
          <w:color w:val="auto"/>
          <w:sz w:val="24"/>
          <w:highlight w:val="none"/>
        </w:rPr>
        <w:t>履约保证金在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约定期间内不予退还。乙方在前述约定期间届满前能履行完合同约定义务事项的，甲方在前述约定期间届满之日起</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个工作日内，按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约定的方式将履约保证金退还乙方，逾期退还的，乙方可要求甲方支付违约金，违约金按每迟延退还一日的应退还而未退还金额的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%计算，最高限额为本合同履约保证金的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 xml:space="preserve">%； </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 xml:space="preserve">.3 </w:t>
      </w:r>
      <w:r>
        <w:rPr>
          <w:rFonts w:hint="eastAsia" w:ascii="仿宋" w:hAnsi="仿宋" w:eastAsia="仿宋"/>
          <w:color w:val="auto"/>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color w:val="auto"/>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.4</w:t>
      </w:r>
      <w:r>
        <w:rPr>
          <w:rFonts w:hint="eastAsia" w:ascii="仿宋" w:hAnsi="仿宋" w:eastAsia="仿宋"/>
          <w:color w:val="auto"/>
          <w:sz w:val="24"/>
          <w:highlight w:val="none"/>
        </w:rPr>
        <w:t>甲方</w:t>
      </w:r>
      <w:r>
        <w:rPr>
          <w:rFonts w:ascii="仿宋" w:hAnsi="仿宋" w:eastAsia="仿宋"/>
          <w:color w:val="auto"/>
          <w:sz w:val="24"/>
          <w:highlight w:val="none"/>
        </w:rPr>
        <w:t>在</w:t>
      </w:r>
      <w:r>
        <w:rPr>
          <w:rFonts w:hint="eastAsia" w:ascii="仿宋" w:hAnsi="仿宋" w:eastAsia="仿宋"/>
          <w:color w:val="auto"/>
          <w:sz w:val="24"/>
          <w:highlight w:val="none"/>
        </w:rPr>
        <w:t>乙方</w:t>
      </w:r>
      <w:r>
        <w:rPr>
          <w:rFonts w:ascii="仿宋" w:hAnsi="仿宋" w:eastAsia="仿宋"/>
          <w:color w:val="auto"/>
          <w:sz w:val="24"/>
          <w:highlight w:val="none"/>
        </w:rPr>
        <w:t>履行完合同约定义务事项后及时退还，延迟退还的，应当按照合同约定和法律规定承担相应的赔偿责任。</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21</w:t>
      </w:r>
      <w:r>
        <w:rPr>
          <w:rFonts w:ascii="仿宋" w:hAnsi="仿宋" w:eastAsia="仿宋"/>
          <w:color w:val="auto"/>
          <w:sz w:val="24"/>
          <w:highlight w:val="none"/>
        </w:rPr>
        <w:t>对于因甲方原因导致变更、中止或者终止政府采购合同的，甲方应当依照合同约定对供应商受到的损失予以赔偿或者补偿。</w:t>
      </w:r>
    </w:p>
    <w:bookmarkEnd w:id="164"/>
    <w:p>
      <w:pPr>
        <w:spacing w:line="560" w:lineRule="exact"/>
        <w:ind w:firstLine="482" w:firstLineChars="200"/>
        <w:outlineLvl w:val="0"/>
        <w:rPr>
          <w:rFonts w:ascii="仿宋" w:hAnsi="仿宋" w:eastAsia="仿宋"/>
          <w:b/>
          <w:color w:val="auto"/>
          <w:sz w:val="24"/>
          <w:highlight w:val="none"/>
        </w:rPr>
      </w:pPr>
      <w:bookmarkStart w:id="165" w:name="_Toc14001"/>
      <w:bookmarkStart w:id="166" w:name="_Toc6885"/>
      <w:bookmarkStart w:id="167" w:name="_Toc19890"/>
      <w:r>
        <w:rPr>
          <w:rFonts w:ascii="仿宋" w:hAnsi="仿宋" w:eastAsia="仿宋"/>
          <w:b/>
          <w:color w:val="auto"/>
          <w:sz w:val="24"/>
          <w:highlight w:val="none"/>
        </w:rPr>
        <w:t>2.</w:t>
      </w:r>
      <w:r>
        <w:rPr>
          <w:rFonts w:hint="eastAsia" w:ascii="仿宋" w:hAnsi="仿宋" w:eastAsia="仿宋"/>
          <w:b/>
          <w:color w:val="auto"/>
          <w:sz w:val="24"/>
          <w:highlight w:val="none"/>
        </w:rPr>
        <w:t>22合同份数</w:t>
      </w:r>
      <w:bookmarkEnd w:id="165"/>
      <w:bookmarkEnd w:id="166"/>
      <w:bookmarkEnd w:id="167"/>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合同份数按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规定，每份均具有同等法律效力。</w:t>
      </w:r>
    </w:p>
    <w:p>
      <w:pPr>
        <w:spacing w:line="560" w:lineRule="exact"/>
        <w:ind w:firstLine="420"/>
        <w:jc w:val="center"/>
        <w:rPr>
          <w:rFonts w:ascii="仿宋" w:hAnsi="仿宋" w:eastAsia="仿宋"/>
          <w:b/>
          <w:color w:val="auto"/>
          <w:highlight w:val="none"/>
        </w:rPr>
      </w:pPr>
      <w:r>
        <w:rPr>
          <w:rFonts w:ascii="仿宋" w:hAnsi="仿宋" w:eastAsia="仿宋" w:cstheme="minorBidi"/>
          <w:color w:val="auto"/>
          <w:kern w:val="0"/>
          <w:highlight w:val="none"/>
        </w:rPr>
        <w:br w:type="page"/>
      </w:r>
      <w:bookmarkStart w:id="168" w:name="_Toc331685784"/>
      <w:r>
        <w:rPr>
          <w:rFonts w:hint="eastAsia" w:ascii="仿宋" w:hAnsi="仿宋" w:eastAsia="仿宋"/>
          <w:b/>
          <w:color w:val="auto"/>
          <w:highlight w:val="none"/>
        </w:rPr>
        <w:t xml:space="preserve"> </w:t>
      </w:r>
      <w:bookmarkEnd w:id="168"/>
      <w:r>
        <w:rPr>
          <w:rFonts w:hint="eastAsia" w:ascii="仿宋" w:hAnsi="仿宋" w:eastAsia="仿宋"/>
          <w:b/>
          <w:color w:val="auto"/>
          <w:highlight w:val="none"/>
        </w:rPr>
        <w:t>第三部分</w:t>
      </w:r>
      <w:r>
        <w:rPr>
          <w:rFonts w:ascii="仿宋" w:hAnsi="仿宋" w:eastAsia="仿宋"/>
          <w:b/>
          <w:color w:val="auto"/>
          <w:highlight w:val="none"/>
        </w:rPr>
        <w:t xml:space="preserve">  </w:t>
      </w:r>
      <w:r>
        <w:rPr>
          <w:rFonts w:hint="eastAsia" w:ascii="仿宋" w:hAnsi="仿宋" w:eastAsia="仿宋"/>
          <w:b/>
          <w:color w:val="auto"/>
          <w:highlight w:val="none"/>
        </w:rPr>
        <w:t>合同专用条款</w:t>
      </w:r>
    </w:p>
    <w:p>
      <w:pPr>
        <w:spacing w:line="560" w:lineRule="exact"/>
        <w:ind w:left="-420" w:leftChars="-200" w:right="-420" w:rightChars="-200" w:firstLine="480" w:firstLineChars="200"/>
        <w:rPr>
          <w:color w:val="auto"/>
          <w:highlight w:val="none"/>
        </w:rPr>
      </w:pPr>
      <w:r>
        <w:rPr>
          <w:rFonts w:hint="eastAsia" w:ascii="仿宋" w:hAnsi="仿宋" w:eastAsia="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1"/>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ascii="仿宋_GB2312" w:hAnsi="楷体" w:eastAsia="仿宋_GB2312"/>
                <w:b/>
                <w:color w:val="auto"/>
                <w:sz w:val="24"/>
                <w:highlight w:val="none"/>
              </w:rPr>
            </w:pPr>
            <w:r>
              <w:rPr>
                <w:rFonts w:hint="eastAsia" w:ascii="仿宋_GB2312" w:hAnsi="楷体" w:eastAsia="仿宋_GB2312"/>
                <w:b/>
                <w:color w:val="auto"/>
                <w:sz w:val="24"/>
                <w:highlight w:val="none"/>
              </w:rPr>
              <w:t>条款号</w:t>
            </w:r>
          </w:p>
        </w:tc>
        <w:tc>
          <w:tcPr>
            <w:tcW w:w="4534" w:type="pct"/>
            <w:vAlign w:val="center"/>
          </w:tcPr>
          <w:p>
            <w:pPr>
              <w:spacing w:line="360" w:lineRule="auto"/>
              <w:jc w:val="center"/>
              <w:rPr>
                <w:rFonts w:ascii="仿宋_GB2312" w:hAnsi="楷体" w:eastAsia="仿宋_GB2312"/>
                <w:b/>
                <w:color w:val="auto"/>
                <w:sz w:val="24"/>
                <w:highlight w:val="none"/>
              </w:rPr>
            </w:pPr>
            <w:r>
              <w:rPr>
                <w:rFonts w:hint="eastAsia" w:ascii="仿宋_GB2312" w:hAnsi="楷体" w:eastAsia="仿宋_GB2312"/>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1.4.4</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1.5.</w:t>
            </w:r>
            <w:r>
              <w:rPr>
                <w:rFonts w:hint="eastAsia" w:ascii="仿宋" w:hAnsi="仿宋" w:eastAsia="仿宋"/>
                <w:color w:val="auto"/>
                <w:sz w:val="24"/>
                <w:highlight w:val="none"/>
              </w:rPr>
              <w:t>7</w:t>
            </w:r>
            <w:r>
              <w:rPr>
                <w:rFonts w:ascii="仿宋" w:hAnsi="仿宋" w:eastAsia="仿宋"/>
                <w:color w:val="auto"/>
                <w:sz w:val="24"/>
                <w:highlight w:val="none"/>
              </w:rPr>
              <w:t xml:space="preserve"> </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1.6</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1.6.1</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1.6.2</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2.3.</w:t>
            </w:r>
            <w:r>
              <w:rPr>
                <w:rFonts w:hint="eastAsia" w:ascii="仿宋" w:hAnsi="仿宋" w:eastAsia="仿宋"/>
                <w:color w:val="auto"/>
                <w:sz w:val="24"/>
                <w:highlight w:val="none"/>
              </w:rPr>
              <w:t>2</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2.4.2</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2.8</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w:t>
            </w:r>
            <w:r>
              <w:rPr>
                <w:rFonts w:hint="eastAsia" w:ascii="仿宋" w:hAnsi="仿宋" w:eastAsia="仿宋"/>
                <w:color w:val="auto"/>
                <w:sz w:val="24"/>
                <w:highlight w:val="none"/>
              </w:rPr>
              <w:t>3</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2.12.4</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 xml:space="preserve">2.16.2 </w:t>
            </w:r>
          </w:p>
        </w:tc>
        <w:tc>
          <w:tcPr>
            <w:tcW w:w="4534" w:type="pct"/>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w:t>
            </w:r>
            <w:r>
              <w:rPr>
                <w:rFonts w:hint="eastAsia" w:ascii="仿宋" w:hAnsi="仿宋" w:eastAsia="仿宋"/>
                <w:color w:val="auto"/>
                <w:sz w:val="24"/>
                <w:highlight w:val="none"/>
              </w:rPr>
              <w:t>1</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w:t>
            </w:r>
            <w:r>
              <w:rPr>
                <w:rFonts w:hint="eastAsia" w:ascii="仿宋" w:hAnsi="仿宋" w:eastAsia="仿宋"/>
                <w:color w:val="auto"/>
                <w:sz w:val="24"/>
                <w:highlight w:val="none"/>
              </w:rPr>
              <w:t>2</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color w:val="auto"/>
                <w:sz w:val="24"/>
                <w:highlight w:val="none"/>
              </w:rPr>
            </w:pPr>
            <w:r>
              <w:rPr>
                <w:rFonts w:ascii="仿宋" w:hAnsi="仿宋" w:eastAsia="仿宋"/>
                <w:color w:val="auto"/>
                <w:sz w:val="24"/>
                <w:highlight w:val="none"/>
              </w:rPr>
              <w:t>2.2</w:t>
            </w:r>
            <w:r>
              <w:rPr>
                <w:rFonts w:hint="eastAsia" w:ascii="仿宋" w:hAnsi="仿宋" w:eastAsia="仿宋"/>
                <w:color w:val="auto"/>
                <w:sz w:val="24"/>
                <w:highlight w:val="none"/>
              </w:rPr>
              <w:t>2</w:t>
            </w:r>
          </w:p>
        </w:tc>
        <w:tc>
          <w:tcPr>
            <w:tcW w:w="4534" w:type="pct"/>
            <w:vAlign w:val="center"/>
          </w:tcPr>
          <w:p>
            <w:pPr>
              <w:spacing w:line="360" w:lineRule="auto"/>
              <w:rPr>
                <w:rFonts w:ascii="仿宋" w:hAnsi="仿宋" w:eastAsia="仿宋"/>
                <w:color w:val="auto"/>
                <w:sz w:val="24"/>
                <w:highlight w:val="none"/>
              </w:rPr>
            </w:pPr>
          </w:p>
        </w:tc>
      </w:tr>
    </w:tbl>
    <w:p>
      <w:pPr>
        <w:spacing w:line="360" w:lineRule="auto"/>
        <w:ind w:left="-420" w:leftChars="-200" w:right="-420" w:rightChars="-200" w:firstLine="480" w:firstLineChars="200"/>
        <w:rPr>
          <w:rFonts w:ascii="仿宋" w:hAnsi="仿宋" w:eastAsia="仿宋"/>
          <w:color w:val="auto"/>
          <w:sz w:val="24"/>
          <w:highlight w:val="none"/>
        </w:rPr>
      </w:pPr>
    </w:p>
    <w:p>
      <w:pPr>
        <w:spacing w:line="380" w:lineRule="exact"/>
        <w:ind w:firstLine="480" w:firstLineChars="200"/>
        <w:jc w:val="left"/>
        <w:rPr>
          <w:rFonts w:ascii="仿宋_GB2312" w:hAnsi="宋体" w:eastAsia="仿宋_GB2312"/>
          <w:b/>
          <w:color w:val="auto"/>
          <w:sz w:val="36"/>
          <w:szCs w:val="36"/>
          <w:highlight w:val="none"/>
        </w:rPr>
      </w:pPr>
      <w:r>
        <w:rPr>
          <w:rFonts w:hint="eastAsia" w:ascii="仿宋_GB2312" w:hAnsi="宋体" w:eastAsia="仿宋_GB2312"/>
          <w:color w:val="auto"/>
          <w:sz w:val="24"/>
          <w:highlight w:val="none"/>
        </w:rPr>
        <w:t>（注：在正式签约时，根据上述精神应拟就更为详尽的合同书）</w:t>
      </w:r>
    </w:p>
    <w:p>
      <w:pPr>
        <w:snapToGrid w:val="0"/>
        <w:spacing w:line="440" w:lineRule="exact"/>
        <w:jc w:val="center"/>
        <w:rPr>
          <w:rFonts w:ascii="仿宋_GB2312" w:hAnsi="宋体" w:eastAsia="仿宋_GB2312"/>
          <w:b/>
          <w:color w:val="auto"/>
          <w:sz w:val="36"/>
          <w:szCs w:val="36"/>
          <w:highlight w:val="none"/>
        </w:rPr>
      </w:pPr>
    </w:p>
    <w:p>
      <w:pPr>
        <w:rPr>
          <w:color w:val="auto"/>
          <w:highlight w:val="none"/>
        </w:rPr>
      </w:pPr>
    </w:p>
    <w:p>
      <w:pPr>
        <w:pStyle w:val="22"/>
        <w:spacing w:line="800" w:lineRule="exact"/>
        <w:ind w:firstLine="723"/>
        <w:jc w:val="center"/>
        <w:rPr>
          <w:rFonts w:ascii="仿宋_GB2312" w:hAnsi="宋体" w:eastAsia="仿宋_GB2312"/>
          <w:b/>
          <w:color w:val="auto"/>
          <w:sz w:val="36"/>
          <w:szCs w:val="36"/>
          <w:highlight w:val="none"/>
        </w:rPr>
      </w:pPr>
    </w:p>
    <w:p>
      <w:pPr>
        <w:pStyle w:val="22"/>
        <w:pageBreakBefore/>
        <w:spacing w:line="800" w:lineRule="exact"/>
        <w:ind w:firstLine="726"/>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第五部分  评标方法及标准</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1、评标方法：</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pPr>
        <w:spacing w:line="440" w:lineRule="exact"/>
        <w:ind w:firstLine="472" w:firstLineChars="196"/>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ascii="仿宋_GB2312" w:hAnsi="宋体" w:eastAsia="仿宋_GB2312"/>
          <w:color w:val="auto"/>
          <w:sz w:val="24"/>
          <w:highlight w:val="none"/>
        </w:rPr>
      </w:pPr>
      <w:r>
        <w:rPr>
          <w:rFonts w:hint="eastAsia" w:ascii="仿宋_GB2312" w:hAnsi="宋体" w:eastAsia="仿宋_GB2312"/>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pPr>
        <w:spacing w:line="440" w:lineRule="exact"/>
        <w:jc w:val="left"/>
        <w:rPr>
          <w:rFonts w:ascii="仿宋_GB2312" w:hAnsi="宋体" w:eastAsia="仿宋_GB2312"/>
          <w:color w:val="auto"/>
          <w:sz w:val="24"/>
          <w:highlight w:val="none"/>
        </w:rPr>
      </w:pPr>
      <w:r>
        <w:rPr>
          <w:rFonts w:hint="eastAsia" w:ascii="仿宋_GB2312" w:hAnsi="宋体" w:eastAsia="仿宋_GB2312"/>
          <w:b/>
          <w:color w:val="auto"/>
          <w:sz w:val="24"/>
          <w:highlight w:val="none"/>
        </w:rPr>
        <w:t>2.评分标准：</w:t>
      </w:r>
      <w:r>
        <w:rPr>
          <w:rFonts w:hint="eastAsia" w:ascii="仿宋_GB2312" w:hAnsi="宋体" w:eastAsia="仿宋_GB2312"/>
          <w:color w:val="auto"/>
          <w:sz w:val="24"/>
          <w:highlight w:val="none"/>
        </w:rPr>
        <w:t>共100分，其中商务技术分</w:t>
      </w:r>
      <w:r>
        <w:rPr>
          <w:rFonts w:hint="eastAsia" w:ascii="仿宋_GB2312" w:hAnsi="宋体" w:eastAsia="仿宋_GB2312"/>
          <w:color w:val="auto"/>
          <w:sz w:val="24"/>
          <w:highlight w:val="none"/>
          <w:lang w:val="en-US" w:eastAsia="zh-CN"/>
        </w:rPr>
        <w:t>90</w:t>
      </w:r>
      <w:r>
        <w:rPr>
          <w:rFonts w:hint="eastAsia" w:ascii="仿宋_GB2312" w:hAnsi="宋体" w:eastAsia="仿宋_GB2312"/>
          <w:color w:val="auto"/>
          <w:sz w:val="24"/>
          <w:highlight w:val="none"/>
        </w:rPr>
        <w:t>分，价格分</w:t>
      </w:r>
      <w:r>
        <w:rPr>
          <w:rFonts w:hint="eastAsia" w:ascii="仿宋_GB2312" w:hAnsi="宋体" w:eastAsia="仿宋_GB2312"/>
          <w:color w:val="auto"/>
          <w:sz w:val="24"/>
          <w:highlight w:val="none"/>
          <w:lang w:val="en-US" w:eastAsia="zh-CN"/>
        </w:rPr>
        <w:t>10</w:t>
      </w:r>
      <w:r>
        <w:rPr>
          <w:rFonts w:hint="eastAsia" w:ascii="仿宋_GB2312" w:hAnsi="宋体" w:eastAsia="仿宋_GB2312"/>
          <w:color w:val="auto"/>
          <w:sz w:val="24"/>
          <w:highlight w:val="none"/>
        </w:rPr>
        <w:t>分。评分依下述所列为评标打分依据，分值如下（计算分值时，按其算术平均值保留小数2位）。</w:t>
      </w:r>
    </w:p>
    <w:p>
      <w:pPr>
        <w:spacing w:line="440" w:lineRule="exact"/>
        <w:rPr>
          <w:rFonts w:hint="eastAsia" w:ascii="仿宋_GB2312" w:hAnsi="宋体" w:eastAsia="仿宋_GB2312"/>
          <w:b/>
          <w:bCs/>
          <w:iCs/>
          <w:color w:val="auto"/>
          <w:sz w:val="24"/>
          <w:highlight w:val="none"/>
        </w:rPr>
      </w:pPr>
      <w:r>
        <w:rPr>
          <w:rFonts w:hint="eastAsia" w:ascii="仿宋_GB2312" w:hAnsi="宋体" w:eastAsia="仿宋_GB2312"/>
          <w:b/>
          <w:bCs/>
          <w:iCs/>
          <w:color w:val="auto"/>
          <w:sz w:val="24"/>
          <w:highlight w:val="none"/>
        </w:rPr>
        <w:t>2.1.商务技术分（</w:t>
      </w:r>
      <w:r>
        <w:rPr>
          <w:rFonts w:hint="eastAsia" w:ascii="仿宋_GB2312" w:hAnsi="宋体" w:eastAsia="仿宋_GB2312"/>
          <w:b/>
          <w:bCs/>
          <w:iCs/>
          <w:color w:val="auto"/>
          <w:sz w:val="24"/>
          <w:highlight w:val="none"/>
          <w:lang w:val="en-US" w:eastAsia="zh-CN"/>
        </w:rPr>
        <w:t>9</w:t>
      </w:r>
      <w:r>
        <w:rPr>
          <w:rFonts w:ascii="仿宋_GB2312" w:hAnsi="宋体" w:eastAsia="仿宋_GB2312"/>
          <w:b/>
          <w:bCs/>
          <w:iCs/>
          <w:color w:val="auto"/>
          <w:sz w:val="24"/>
          <w:highlight w:val="none"/>
        </w:rPr>
        <w:t>0</w:t>
      </w:r>
      <w:r>
        <w:rPr>
          <w:rFonts w:hint="eastAsia" w:ascii="仿宋_GB2312" w:hAnsi="宋体" w:eastAsia="仿宋_GB2312"/>
          <w:b/>
          <w:bCs/>
          <w:iCs/>
          <w:color w:val="auto"/>
          <w:sz w:val="24"/>
          <w:highlight w:val="none"/>
        </w:rPr>
        <w:t>分）</w:t>
      </w:r>
    </w:p>
    <w:p>
      <w:pPr>
        <w:pStyle w:val="5"/>
        <w:rPr>
          <w:rFonts w:hint="eastAsia" w:ascii="仿宋_GB2312" w:hAnsi="宋体" w:eastAsia="仿宋_GB2312"/>
          <w:b/>
          <w:bCs/>
          <w:iCs/>
          <w:color w:val="auto"/>
          <w:sz w:val="24"/>
          <w:highlight w:val="none"/>
        </w:rPr>
      </w:pPr>
    </w:p>
    <w:tbl>
      <w:tblPr>
        <w:tblStyle w:val="41"/>
        <w:tblW w:w="90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6499"/>
        <w:gridCol w:w="1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276" w:type="dxa"/>
            <w:vAlign w:val="center"/>
          </w:tcPr>
          <w:p>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评审项目</w:t>
            </w:r>
          </w:p>
        </w:tc>
        <w:tc>
          <w:tcPr>
            <w:tcW w:w="6499" w:type="dxa"/>
            <w:vAlign w:val="center"/>
          </w:tcPr>
          <w:p>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评分标准</w:t>
            </w:r>
          </w:p>
        </w:tc>
        <w:tc>
          <w:tcPr>
            <w:tcW w:w="1295" w:type="dxa"/>
            <w:vAlign w:val="center"/>
          </w:tcPr>
          <w:p>
            <w:pPr>
              <w:snapToGrid w:val="0"/>
              <w:spacing w:line="240" w:lineRule="atLeast"/>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restart"/>
            <w:vAlign w:val="center"/>
          </w:tcPr>
          <w:p>
            <w:pPr>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投标人业绩</w:t>
            </w:r>
          </w:p>
        </w:tc>
        <w:tc>
          <w:tcPr>
            <w:tcW w:w="6499" w:type="dxa"/>
            <w:vAlign w:val="center"/>
          </w:tcPr>
          <w:p>
            <w:pPr>
              <w:pStyle w:val="284"/>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自2019年1月1日以来（以合同签订时间为准），投标人具有以下业绩：</w:t>
            </w:r>
          </w:p>
          <w:p>
            <w:pPr>
              <w:pStyle w:val="284"/>
              <w:numPr>
                <w:ilvl w:val="0"/>
                <w:numId w:val="7"/>
              </w:numPr>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lang w:val="en-US" w:eastAsia="zh-CN"/>
              </w:rPr>
              <w:t>具有流域或区域预报调度类似业绩</w:t>
            </w:r>
            <w:r>
              <w:rPr>
                <w:rFonts w:hint="eastAsia" w:ascii="仿宋" w:hAnsi="仿宋" w:eastAsia="仿宋" w:cs="仿宋"/>
                <w:color w:val="auto"/>
                <w:spacing w:val="4"/>
                <w:sz w:val="24"/>
                <w:szCs w:val="24"/>
                <w:highlight w:val="none"/>
              </w:rPr>
              <w:t>，每项得</w:t>
            </w:r>
            <w:r>
              <w:rPr>
                <w:rFonts w:hint="eastAsia" w:ascii="仿宋" w:hAnsi="仿宋" w:eastAsia="仿宋" w:cs="仿宋"/>
                <w:color w:val="auto"/>
                <w:spacing w:val="4"/>
                <w:sz w:val="24"/>
                <w:szCs w:val="24"/>
                <w:highlight w:val="none"/>
                <w:lang w:val="en-US" w:eastAsia="zh-CN"/>
              </w:rPr>
              <w:t>0.25</w:t>
            </w:r>
            <w:r>
              <w:rPr>
                <w:rFonts w:hint="eastAsia" w:ascii="仿宋" w:hAnsi="仿宋" w:eastAsia="仿宋" w:cs="仿宋"/>
                <w:color w:val="auto"/>
                <w:spacing w:val="4"/>
                <w:sz w:val="24"/>
                <w:szCs w:val="24"/>
                <w:highlight w:val="none"/>
              </w:rPr>
              <w:t>分</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lang w:val="en-US" w:eastAsia="zh-CN"/>
              </w:rPr>
              <w:t>最多0.5分</w:t>
            </w:r>
            <w:r>
              <w:rPr>
                <w:rFonts w:hint="eastAsia" w:ascii="仿宋" w:hAnsi="仿宋" w:eastAsia="仿宋" w:cs="仿宋"/>
                <w:color w:val="auto"/>
                <w:spacing w:val="4"/>
                <w:sz w:val="24"/>
                <w:szCs w:val="24"/>
                <w:highlight w:val="none"/>
              </w:rPr>
              <w:t>。</w:t>
            </w:r>
          </w:p>
          <w:p>
            <w:pPr>
              <w:pStyle w:val="284"/>
              <w:numPr>
                <w:ilvl w:val="0"/>
                <w:numId w:val="7"/>
              </w:numPr>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lang w:eastAsia="zh-CN"/>
              </w:rPr>
              <w:t>具有实时绘制功能的洪水风险图编制项目业绩，</w:t>
            </w:r>
            <w:r>
              <w:rPr>
                <w:rFonts w:hint="eastAsia" w:ascii="仿宋" w:hAnsi="仿宋" w:eastAsia="仿宋" w:cs="仿宋"/>
                <w:color w:val="auto"/>
                <w:spacing w:val="4"/>
                <w:sz w:val="24"/>
                <w:szCs w:val="24"/>
                <w:highlight w:val="none"/>
              </w:rPr>
              <w:t>每项得</w:t>
            </w:r>
            <w:r>
              <w:rPr>
                <w:rFonts w:hint="eastAsia" w:ascii="仿宋" w:hAnsi="仿宋" w:eastAsia="仿宋" w:cs="仿宋"/>
                <w:color w:val="auto"/>
                <w:spacing w:val="4"/>
                <w:sz w:val="24"/>
                <w:szCs w:val="24"/>
                <w:highlight w:val="none"/>
                <w:lang w:val="en-US" w:eastAsia="zh-CN"/>
              </w:rPr>
              <w:t>0.25</w:t>
            </w:r>
            <w:r>
              <w:rPr>
                <w:rFonts w:hint="eastAsia" w:ascii="仿宋" w:hAnsi="仿宋" w:eastAsia="仿宋" w:cs="仿宋"/>
                <w:color w:val="auto"/>
                <w:spacing w:val="4"/>
                <w:sz w:val="24"/>
                <w:szCs w:val="24"/>
                <w:highlight w:val="none"/>
              </w:rPr>
              <w:t>分</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lang w:val="en-US" w:eastAsia="zh-CN"/>
              </w:rPr>
              <w:t>最多0.5分</w:t>
            </w:r>
            <w:r>
              <w:rPr>
                <w:rFonts w:hint="eastAsia" w:ascii="仿宋" w:hAnsi="仿宋" w:eastAsia="仿宋" w:cs="仿宋"/>
                <w:color w:val="auto"/>
                <w:spacing w:val="4"/>
                <w:sz w:val="24"/>
                <w:szCs w:val="24"/>
                <w:highlight w:val="none"/>
              </w:rPr>
              <w:t>。</w:t>
            </w:r>
          </w:p>
          <w:p>
            <w:pPr>
              <w:pStyle w:val="284"/>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（业绩证明材料以签订的合同为准，提供扫描件并加盖单位公章。）</w:t>
            </w:r>
          </w:p>
        </w:tc>
        <w:tc>
          <w:tcPr>
            <w:tcW w:w="1295" w:type="dxa"/>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pStyle w:val="284"/>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自2019年1月1日以来，投标人获得过省级</w:t>
            </w:r>
            <w:r>
              <w:rPr>
                <w:rFonts w:hint="eastAsia" w:ascii="仿宋" w:hAnsi="仿宋" w:eastAsia="仿宋" w:cs="仿宋"/>
                <w:color w:val="auto"/>
                <w:spacing w:val="4"/>
                <w:sz w:val="24"/>
                <w:szCs w:val="24"/>
                <w:highlight w:val="none"/>
                <w:lang w:eastAsia="zh-CN"/>
              </w:rPr>
              <w:t>及以上</w:t>
            </w:r>
            <w:r>
              <w:rPr>
                <w:rFonts w:hint="eastAsia" w:ascii="仿宋" w:hAnsi="仿宋" w:eastAsia="仿宋" w:cs="仿宋"/>
                <w:color w:val="auto"/>
                <w:spacing w:val="4"/>
                <w:sz w:val="24"/>
                <w:szCs w:val="24"/>
                <w:highlight w:val="none"/>
              </w:rPr>
              <w:t>行政主管部门颁布的</w:t>
            </w:r>
            <w:r>
              <w:rPr>
                <w:rFonts w:hint="eastAsia" w:ascii="仿宋" w:hAnsi="仿宋" w:eastAsia="仿宋" w:cs="仿宋"/>
                <w:color w:val="auto"/>
                <w:spacing w:val="4"/>
                <w:sz w:val="24"/>
                <w:szCs w:val="24"/>
                <w:highlight w:val="none"/>
                <w:lang w:val="en-US" w:eastAsia="zh-CN"/>
              </w:rPr>
              <w:t>防汛减灾相关的</w:t>
            </w:r>
            <w:r>
              <w:rPr>
                <w:rFonts w:hint="eastAsia" w:ascii="仿宋" w:hAnsi="仿宋" w:eastAsia="仿宋" w:cs="仿宋"/>
                <w:color w:val="auto"/>
                <w:spacing w:val="4"/>
                <w:sz w:val="24"/>
                <w:szCs w:val="24"/>
                <w:highlight w:val="none"/>
              </w:rPr>
              <w:t>数字化改革“优秀应用”的，得</w:t>
            </w:r>
            <w:r>
              <w:rPr>
                <w:rFonts w:hint="eastAsia" w:ascii="仿宋" w:hAnsi="仿宋" w:eastAsia="仿宋" w:cs="仿宋"/>
                <w:color w:val="auto"/>
                <w:spacing w:val="4"/>
                <w:sz w:val="24"/>
                <w:szCs w:val="24"/>
                <w:highlight w:val="none"/>
                <w:lang w:val="en-US" w:eastAsia="zh-CN"/>
              </w:rPr>
              <w:t>3</w:t>
            </w:r>
            <w:r>
              <w:rPr>
                <w:rFonts w:hint="eastAsia" w:ascii="仿宋" w:hAnsi="仿宋" w:eastAsia="仿宋" w:cs="仿宋"/>
                <w:color w:val="auto"/>
                <w:spacing w:val="4"/>
                <w:sz w:val="24"/>
                <w:szCs w:val="24"/>
                <w:highlight w:val="none"/>
              </w:rPr>
              <w:t>分，没有不得分。</w:t>
            </w:r>
          </w:p>
          <w:p>
            <w:pPr>
              <w:pStyle w:val="284"/>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注；提供相关证明扫描件并加盖公章，否则不得分。</w:t>
            </w:r>
          </w:p>
        </w:tc>
        <w:tc>
          <w:tcPr>
            <w:tcW w:w="1295" w:type="dxa"/>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restart"/>
            <w:vAlign w:val="center"/>
          </w:tcPr>
          <w:p>
            <w:pPr>
              <w:widowControl/>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投标人资信</w:t>
            </w:r>
          </w:p>
        </w:tc>
        <w:tc>
          <w:tcPr>
            <w:tcW w:w="6499" w:type="dxa"/>
            <w:vAlign w:val="center"/>
          </w:tcPr>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1、投标人具有国家测绘地理信息局核发的地理信息系统工程乙级及以上资质得</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分，没有不得分；</w:t>
            </w:r>
          </w:p>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2、具有水利水电专业工程咨询单位资信能力评价甲级得</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分，乙级资质的得1分，其他不得分。</w:t>
            </w:r>
          </w:p>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3、能在全国水利建设市场信用信息平台上查询的，同时获得设计、咨询AAA级的得3分，同时获得AA级得1分，同时获得A级不得分；若获得的设计和咨询为不同等级的</w:t>
            </w:r>
            <w:r>
              <w:rPr>
                <w:rFonts w:hint="eastAsia" w:ascii="仿宋" w:hAnsi="仿宋" w:eastAsia="仿宋" w:cs="仿宋"/>
                <w:color w:val="auto"/>
                <w:spacing w:val="4"/>
                <w:sz w:val="24"/>
                <w:szCs w:val="24"/>
                <w:highlight w:val="none"/>
              </w:rPr>
              <w:t>，则不得分。（提供信用等级证书原件扫描件并加盖投标单位公章）</w:t>
            </w:r>
          </w:p>
          <w:p>
            <w:pPr>
              <w:widowControl/>
              <w:snapToGrid w:val="0"/>
              <w:spacing w:line="240" w:lineRule="atLeast"/>
              <w:ind w:firstLine="248" w:firstLineChars="100"/>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注；提供证书扫描件并加盖公章，否则不得分。</w:t>
            </w:r>
          </w:p>
        </w:tc>
        <w:tc>
          <w:tcPr>
            <w:tcW w:w="1295" w:type="dxa"/>
            <w:vMerge w:val="restart"/>
            <w:vAlign w:val="center"/>
          </w:tcPr>
          <w:p>
            <w:pPr>
              <w:snapToGrid w:val="0"/>
              <w:spacing w:line="240" w:lineRule="atLeas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1、投标人具有水管理平台软件著作权的得1分；没有不得分；</w:t>
            </w:r>
          </w:p>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2、投标人具有流域实时洪水概率预报</w:t>
            </w:r>
            <w:r>
              <w:rPr>
                <w:rFonts w:hint="eastAsia" w:ascii="仿宋" w:hAnsi="仿宋" w:eastAsia="仿宋" w:cs="仿宋"/>
                <w:bCs/>
                <w:color w:val="auto"/>
                <w:spacing w:val="4"/>
                <w:sz w:val="24"/>
                <w:szCs w:val="24"/>
                <w:highlight w:val="none"/>
                <w:lang w:val="en-US" w:eastAsia="zh-CN"/>
              </w:rPr>
              <w:t>相关</w:t>
            </w:r>
            <w:r>
              <w:rPr>
                <w:rFonts w:hint="eastAsia" w:ascii="仿宋" w:hAnsi="仿宋" w:eastAsia="仿宋" w:cs="仿宋"/>
                <w:bCs/>
                <w:color w:val="auto"/>
                <w:spacing w:val="4"/>
                <w:sz w:val="24"/>
                <w:szCs w:val="24"/>
                <w:highlight w:val="none"/>
              </w:rPr>
              <w:t>软件著作权的得1分；没有不得分；</w:t>
            </w:r>
          </w:p>
          <w:p>
            <w:pPr>
              <w:widowControl/>
              <w:snapToGrid w:val="0"/>
              <w:spacing w:line="240" w:lineRule="atLeast"/>
              <w:rPr>
                <w:rFonts w:hint="eastAsia" w:ascii="仿宋" w:hAnsi="仿宋" w:eastAsia="仿宋" w:cs="仿宋"/>
                <w:bCs/>
                <w:color w:val="auto"/>
                <w:spacing w:val="4"/>
                <w:sz w:val="24"/>
                <w:szCs w:val="24"/>
                <w:highlight w:val="none"/>
                <w:lang w:val="en-US" w:eastAsia="zh-CN"/>
              </w:rPr>
            </w:pPr>
            <w:r>
              <w:rPr>
                <w:rFonts w:hint="eastAsia" w:ascii="仿宋" w:hAnsi="仿宋" w:eastAsia="仿宋" w:cs="仿宋"/>
                <w:bCs/>
                <w:color w:val="auto"/>
                <w:spacing w:val="4"/>
                <w:sz w:val="24"/>
                <w:szCs w:val="24"/>
                <w:highlight w:val="none"/>
                <w:lang w:val="en-US" w:eastAsia="zh-CN"/>
              </w:rPr>
              <w:t>3、投标人具有</w:t>
            </w:r>
            <w:r>
              <w:rPr>
                <w:rFonts w:hint="eastAsia" w:ascii="仿宋" w:hAnsi="仿宋" w:eastAsia="仿宋" w:cs="仿宋"/>
                <w:bCs/>
                <w:color w:val="auto"/>
                <w:spacing w:val="4"/>
                <w:sz w:val="24"/>
                <w:szCs w:val="24"/>
                <w:highlight w:val="none"/>
              </w:rPr>
              <w:t>流域</w:t>
            </w:r>
            <w:r>
              <w:rPr>
                <w:rFonts w:hint="eastAsia" w:ascii="仿宋" w:hAnsi="仿宋" w:eastAsia="仿宋" w:cs="仿宋"/>
                <w:bCs/>
                <w:color w:val="auto"/>
                <w:spacing w:val="4"/>
                <w:sz w:val="24"/>
                <w:szCs w:val="24"/>
                <w:highlight w:val="none"/>
                <w:lang w:val="en-US" w:eastAsia="zh-CN"/>
              </w:rPr>
              <w:t>区域降水时空分析计算相关</w:t>
            </w:r>
            <w:r>
              <w:rPr>
                <w:rFonts w:hint="eastAsia" w:ascii="仿宋" w:hAnsi="仿宋" w:eastAsia="仿宋" w:cs="仿宋"/>
                <w:bCs/>
                <w:color w:val="auto"/>
                <w:spacing w:val="4"/>
                <w:sz w:val="24"/>
                <w:szCs w:val="24"/>
                <w:highlight w:val="none"/>
              </w:rPr>
              <w:t>软件著作权的得1分；没有不得分</w:t>
            </w:r>
            <w:r>
              <w:rPr>
                <w:rFonts w:hint="eastAsia" w:ascii="仿宋" w:hAnsi="仿宋" w:eastAsia="仿宋" w:cs="仿宋"/>
                <w:bCs/>
                <w:color w:val="auto"/>
                <w:spacing w:val="4"/>
                <w:sz w:val="24"/>
                <w:szCs w:val="24"/>
                <w:highlight w:val="none"/>
                <w:lang w:eastAsia="zh-CN"/>
              </w:rPr>
              <w:t>。</w:t>
            </w:r>
          </w:p>
          <w:p>
            <w:pPr>
              <w:widowControl/>
              <w:snapToGrid w:val="0"/>
              <w:spacing w:line="240" w:lineRule="atLeast"/>
              <w:rPr>
                <w:rFonts w:hint="eastAsia" w:ascii="仿宋" w:hAnsi="仿宋" w:eastAsia="仿宋" w:cs="仿宋"/>
                <w:b/>
                <w:color w:val="auto"/>
                <w:sz w:val="24"/>
                <w:szCs w:val="24"/>
                <w:highlight w:val="none"/>
              </w:rPr>
            </w:pPr>
            <w:r>
              <w:rPr>
                <w:rFonts w:hint="eastAsia" w:ascii="仿宋" w:hAnsi="仿宋" w:eastAsia="仿宋" w:cs="仿宋"/>
                <w:bCs/>
                <w:color w:val="auto"/>
                <w:spacing w:val="4"/>
                <w:sz w:val="24"/>
                <w:szCs w:val="24"/>
                <w:highlight w:val="none"/>
              </w:rPr>
              <w:t>注；提供证书扫描件并加盖公章，否则不得分。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restart"/>
            <w:vAlign w:val="center"/>
          </w:tcPr>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center"/>
              <w:textAlignment w:val="auto"/>
              <w:rPr>
                <w:rFonts w:hint="eastAsia" w:ascii="仿宋" w:hAnsi="仿宋" w:eastAsia="仿宋" w:cs="仿宋"/>
                <w:b w:val="0"/>
                <w:bCs/>
                <w:color w:val="auto"/>
                <w:spacing w:val="4"/>
                <w:sz w:val="24"/>
                <w:szCs w:val="24"/>
                <w:highlight w:val="none"/>
              </w:rPr>
            </w:pPr>
            <w:r>
              <w:rPr>
                <w:rFonts w:hint="eastAsia" w:ascii="仿宋" w:hAnsi="仿宋" w:eastAsia="仿宋" w:cs="仿宋"/>
                <w:b w:val="0"/>
                <w:bCs/>
                <w:color w:val="auto"/>
                <w:spacing w:val="4"/>
                <w:sz w:val="24"/>
                <w:szCs w:val="24"/>
                <w:highlight w:val="none"/>
                <w:lang w:eastAsia="zh-CN"/>
              </w:rPr>
              <w:t>项</w:t>
            </w:r>
            <w:r>
              <w:rPr>
                <w:rFonts w:hint="eastAsia" w:ascii="仿宋" w:hAnsi="仿宋" w:eastAsia="仿宋" w:cs="仿宋"/>
                <w:b w:val="0"/>
                <w:bCs/>
                <w:color w:val="auto"/>
                <w:spacing w:val="4"/>
                <w:sz w:val="24"/>
                <w:szCs w:val="24"/>
                <w:highlight w:val="none"/>
              </w:rPr>
              <w:t>目设计方案</w:t>
            </w: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对流域、区域相关水利规划、工程布局、存在问题及水利数字化建设现状相关情况的熟悉了解程度。好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对项目总体要求的理解、重难点的分析及其对策，对项目总体要求、工作重点与难点理解透彻、把握精准，提出合理性、针对性的对策。好5分，较好3分，一般1分，差0分。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流域地理信息、水利工程、水文气象、河道断面、重要设施、社会经济等基础资料收集全面、处理方案合理可行。好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pStyle w:val="35"/>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流域预报调度一体化模型构建思路清晰、范围合理、水文水动力及风险研判模型耦合性好。好5分，较好3分，一般1分，差0分。</w:t>
            </w:r>
          </w:p>
        </w:tc>
        <w:tc>
          <w:tcPr>
            <w:tcW w:w="1295" w:type="dxa"/>
            <w:vAlign w:val="center"/>
          </w:tcPr>
          <w:p>
            <w:pPr>
              <w:pStyle w:val="35"/>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大中型水库及流域主要防洪控制断面洪水预报方案与参数率定验证选择的历史洪水合适，参数优选方法的科学性、合理性等。好5分，较好3分，一般1分，差0分。</w:t>
            </w:r>
          </w:p>
        </w:tc>
        <w:tc>
          <w:tcPr>
            <w:tcW w:w="1295" w:type="dxa"/>
            <w:vAlign w:val="center"/>
          </w:tcPr>
          <w:p>
            <w:pPr>
              <w:pStyle w:val="35"/>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预报调度一体化功能模块设计方案合理，功能实用，符合流域防洪“四预”要求，具有可扩展性和可移植性。好5分，较好3分，一般1分，差0分。</w:t>
            </w:r>
          </w:p>
        </w:tc>
        <w:tc>
          <w:tcPr>
            <w:tcW w:w="1295" w:type="dxa"/>
            <w:vAlign w:val="center"/>
          </w:tcPr>
          <w:p>
            <w:pPr>
              <w:pStyle w:val="35"/>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多跨联动治水、场景大屏等功能模块设计方案，需求清晰，符合浙江省水利数字化改革要求，与“浙里九龙联动治水应用”相衔接。好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5"/>
              <w:snapToGrid w:val="0"/>
              <w:spacing w:before="0" w:beforeAutospacing="0" w:after="0" w:afterAutospacing="0" w:line="240" w:lineRule="atLeast"/>
              <w:rPr>
                <w:rStyle w:val="285"/>
                <w:rFonts w:hint="eastAsia" w:ascii="仿宋" w:hAnsi="仿宋" w:eastAsia="仿宋" w:cs="仿宋"/>
                <w:color w:val="auto"/>
                <w:sz w:val="24"/>
                <w:szCs w:val="24"/>
                <w:highlight w:val="none"/>
              </w:rPr>
            </w:pPr>
            <w:r>
              <w:rPr>
                <w:rFonts w:hint="eastAsia" w:ascii="仿宋" w:hAnsi="仿宋" w:eastAsia="仿宋" w:cs="仿宋"/>
                <w:bCs/>
                <w:color w:val="auto"/>
                <w:spacing w:val="4"/>
                <w:sz w:val="24"/>
                <w:szCs w:val="24"/>
                <w:highlight w:val="none"/>
              </w:rPr>
              <w:t>所提供的系统建设方案与绍兴市水管理平台（水旱灾害防御应用）、绍兴市洪水风险图项目成果无缝集成的合理性。好5分，较好3分，一般1分，差0分。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center"/>
              <w:textAlignment w:val="auto"/>
              <w:rPr>
                <w:rFonts w:hint="eastAsia" w:ascii="仿宋" w:hAnsi="仿宋" w:eastAsia="仿宋" w:cs="仿宋"/>
                <w:b w:val="0"/>
                <w:bCs/>
                <w:color w:val="auto"/>
                <w:spacing w:val="4"/>
                <w:sz w:val="24"/>
                <w:szCs w:val="24"/>
                <w:highlight w:val="none"/>
              </w:rPr>
            </w:pPr>
            <w:r>
              <w:rPr>
                <w:rFonts w:hint="eastAsia" w:ascii="仿宋" w:hAnsi="仿宋" w:eastAsia="仿宋" w:cs="仿宋"/>
                <w:b w:val="0"/>
                <w:bCs/>
                <w:color w:val="auto"/>
                <w:spacing w:val="4"/>
                <w:sz w:val="24"/>
                <w:szCs w:val="24"/>
                <w:highlight w:val="none"/>
              </w:rPr>
              <w:t>系统现场讲解及演示</w:t>
            </w:r>
          </w:p>
        </w:tc>
        <w:tc>
          <w:tcPr>
            <w:tcW w:w="6499" w:type="dxa"/>
            <w:vAlign w:val="center"/>
          </w:tcPr>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default" w:ascii="仿宋" w:hAnsi="仿宋" w:eastAsia="仿宋" w:cs="仿宋"/>
                <w:b w:val="0"/>
                <w:bCs/>
                <w:color w:val="auto"/>
                <w:spacing w:val="4"/>
                <w:sz w:val="24"/>
                <w:szCs w:val="24"/>
                <w:highlight w:val="none"/>
                <w:lang w:val="en-US"/>
              </w:rPr>
            </w:pPr>
            <w:r>
              <w:rPr>
                <w:rFonts w:hint="eastAsia" w:ascii="仿宋_GB2312" w:hAnsi="仿宋" w:eastAsia="仿宋_GB2312"/>
                <w:color w:val="auto"/>
                <w:sz w:val="24"/>
                <w:highlight w:val="none"/>
              </w:rPr>
              <w:t>演示内容通过录制视频以U盘存储形式</w:t>
            </w:r>
            <w:r>
              <w:rPr>
                <w:rFonts w:hint="eastAsia" w:ascii="仿宋_GB2312" w:hAnsi="仿宋" w:eastAsia="仿宋_GB2312"/>
                <w:color w:val="auto"/>
                <w:sz w:val="24"/>
                <w:highlight w:val="none"/>
                <w:lang w:val="en-US" w:eastAsia="zh-CN"/>
              </w:rPr>
              <w:t>提交，提交时间及地点详见前附表，采用PPT演示或视频演示无讲解的最多计5分，不演示的对应项不得分。</w:t>
            </w:r>
          </w:p>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eastAsia" w:ascii="仿宋" w:hAnsi="仿宋" w:eastAsia="仿宋" w:cs="仿宋"/>
                <w:b w:val="0"/>
                <w:bCs/>
                <w:color w:val="auto"/>
                <w:spacing w:val="4"/>
                <w:sz w:val="24"/>
                <w:szCs w:val="24"/>
                <w:highlight w:val="none"/>
                <w:lang w:eastAsia="zh-CN"/>
              </w:rPr>
            </w:pPr>
            <w:r>
              <w:rPr>
                <w:rFonts w:hint="eastAsia" w:ascii="仿宋" w:hAnsi="仿宋" w:eastAsia="仿宋" w:cs="仿宋"/>
                <w:b w:val="0"/>
                <w:bCs/>
                <w:color w:val="auto"/>
                <w:spacing w:val="4"/>
                <w:sz w:val="24"/>
                <w:szCs w:val="24"/>
                <w:highlight w:val="none"/>
              </w:rPr>
              <w:t>①演示洪水预报-水库调度-河道洪水演进-风险分析全链条式过程，展示流域三张图：概化图、剖面图、风险图，好4分，一般2分，差</w:t>
            </w:r>
            <w:r>
              <w:rPr>
                <w:rFonts w:hint="eastAsia" w:ascii="仿宋" w:hAnsi="仿宋" w:eastAsia="仿宋" w:cs="仿宋"/>
                <w:b w:val="0"/>
                <w:bCs/>
                <w:color w:val="auto"/>
                <w:spacing w:val="4"/>
                <w:sz w:val="24"/>
                <w:szCs w:val="24"/>
                <w:highlight w:val="none"/>
                <w:lang w:val="en-US" w:eastAsia="zh-CN"/>
              </w:rPr>
              <w:t>1</w:t>
            </w:r>
            <w:r>
              <w:rPr>
                <w:rFonts w:hint="eastAsia" w:ascii="仿宋" w:hAnsi="仿宋" w:eastAsia="仿宋" w:cs="仿宋"/>
                <w:b w:val="0"/>
                <w:bCs/>
                <w:color w:val="auto"/>
                <w:spacing w:val="4"/>
                <w:sz w:val="24"/>
                <w:szCs w:val="24"/>
                <w:highlight w:val="none"/>
              </w:rPr>
              <w:t>分</w:t>
            </w:r>
            <w:r>
              <w:rPr>
                <w:rFonts w:hint="eastAsia" w:ascii="仿宋" w:hAnsi="仿宋" w:eastAsia="仿宋" w:cs="仿宋"/>
                <w:b w:val="0"/>
                <w:bCs/>
                <w:color w:val="auto"/>
                <w:spacing w:val="4"/>
                <w:sz w:val="24"/>
                <w:szCs w:val="24"/>
                <w:highlight w:val="none"/>
                <w:lang w:eastAsia="zh-CN"/>
              </w:rPr>
              <w:t>。</w:t>
            </w:r>
          </w:p>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eastAsia" w:ascii="仿宋" w:hAnsi="仿宋" w:eastAsia="仿宋" w:cs="仿宋"/>
                <w:b w:val="0"/>
                <w:bCs/>
                <w:color w:val="auto"/>
                <w:spacing w:val="4"/>
                <w:sz w:val="24"/>
                <w:szCs w:val="24"/>
                <w:highlight w:val="none"/>
                <w:lang w:eastAsia="zh-CN"/>
              </w:rPr>
            </w:pPr>
            <w:r>
              <w:rPr>
                <w:rFonts w:hint="eastAsia" w:ascii="仿宋" w:hAnsi="仿宋" w:eastAsia="仿宋" w:cs="仿宋"/>
                <w:b w:val="0"/>
                <w:bCs/>
                <w:color w:val="auto"/>
                <w:spacing w:val="4"/>
                <w:sz w:val="24"/>
                <w:szCs w:val="24"/>
                <w:highlight w:val="none"/>
              </w:rPr>
              <w:t>②针对不同用户需求提供“一键调度”和“专家模式”，并可满足实际操作运用，好</w:t>
            </w:r>
            <w:r>
              <w:rPr>
                <w:rFonts w:hint="eastAsia" w:ascii="仿宋" w:hAnsi="仿宋" w:eastAsia="仿宋" w:cs="仿宋"/>
                <w:b w:val="0"/>
                <w:bCs/>
                <w:color w:val="auto"/>
                <w:spacing w:val="4"/>
                <w:sz w:val="24"/>
                <w:szCs w:val="24"/>
                <w:highlight w:val="none"/>
                <w:lang w:val="en-US" w:eastAsia="zh-CN"/>
              </w:rPr>
              <w:t>4</w:t>
            </w:r>
            <w:r>
              <w:rPr>
                <w:rFonts w:hint="eastAsia" w:ascii="仿宋" w:hAnsi="仿宋" w:eastAsia="仿宋" w:cs="仿宋"/>
                <w:b w:val="0"/>
                <w:bCs/>
                <w:color w:val="auto"/>
                <w:spacing w:val="4"/>
                <w:sz w:val="24"/>
                <w:szCs w:val="24"/>
                <w:highlight w:val="none"/>
              </w:rPr>
              <w:t>分，一般</w:t>
            </w:r>
            <w:r>
              <w:rPr>
                <w:rFonts w:hint="eastAsia" w:ascii="仿宋" w:hAnsi="仿宋" w:eastAsia="仿宋" w:cs="仿宋"/>
                <w:b w:val="0"/>
                <w:bCs/>
                <w:color w:val="auto"/>
                <w:spacing w:val="4"/>
                <w:sz w:val="24"/>
                <w:szCs w:val="24"/>
                <w:highlight w:val="none"/>
                <w:lang w:val="en-US" w:eastAsia="zh-CN"/>
              </w:rPr>
              <w:t>2</w:t>
            </w:r>
            <w:r>
              <w:rPr>
                <w:rFonts w:hint="eastAsia" w:ascii="仿宋" w:hAnsi="仿宋" w:eastAsia="仿宋" w:cs="仿宋"/>
                <w:b w:val="0"/>
                <w:bCs/>
                <w:color w:val="auto"/>
                <w:spacing w:val="4"/>
                <w:sz w:val="24"/>
                <w:szCs w:val="24"/>
                <w:highlight w:val="none"/>
              </w:rPr>
              <w:t>分，差</w:t>
            </w:r>
            <w:r>
              <w:rPr>
                <w:rFonts w:hint="eastAsia" w:ascii="仿宋" w:hAnsi="仿宋" w:eastAsia="仿宋" w:cs="仿宋"/>
                <w:b w:val="0"/>
                <w:bCs/>
                <w:color w:val="auto"/>
                <w:spacing w:val="4"/>
                <w:sz w:val="24"/>
                <w:szCs w:val="24"/>
                <w:highlight w:val="none"/>
                <w:lang w:val="en-US" w:eastAsia="zh-CN"/>
              </w:rPr>
              <w:t>1</w:t>
            </w:r>
            <w:r>
              <w:rPr>
                <w:rFonts w:hint="eastAsia" w:ascii="仿宋" w:hAnsi="仿宋" w:eastAsia="仿宋" w:cs="仿宋"/>
                <w:b w:val="0"/>
                <w:bCs/>
                <w:color w:val="auto"/>
                <w:spacing w:val="4"/>
                <w:sz w:val="24"/>
                <w:szCs w:val="24"/>
                <w:highlight w:val="none"/>
              </w:rPr>
              <w:t>分</w:t>
            </w:r>
            <w:r>
              <w:rPr>
                <w:rFonts w:hint="eastAsia" w:ascii="仿宋" w:hAnsi="仿宋" w:eastAsia="仿宋" w:cs="仿宋"/>
                <w:b w:val="0"/>
                <w:bCs/>
                <w:color w:val="auto"/>
                <w:spacing w:val="4"/>
                <w:sz w:val="24"/>
                <w:szCs w:val="24"/>
                <w:highlight w:val="none"/>
                <w:lang w:eastAsia="zh-CN"/>
              </w:rPr>
              <w:t>。</w:t>
            </w:r>
          </w:p>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eastAsia" w:ascii="仿宋" w:hAnsi="仿宋" w:eastAsia="仿宋" w:cs="仿宋"/>
                <w:b w:val="0"/>
                <w:bCs/>
                <w:color w:val="auto"/>
                <w:spacing w:val="4"/>
                <w:sz w:val="24"/>
                <w:szCs w:val="24"/>
                <w:highlight w:val="none"/>
              </w:rPr>
            </w:pPr>
            <w:r>
              <w:rPr>
                <w:rFonts w:hint="eastAsia" w:ascii="仿宋" w:hAnsi="仿宋" w:eastAsia="仿宋" w:cs="仿宋"/>
                <w:b w:val="0"/>
                <w:bCs/>
                <w:color w:val="auto"/>
                <w:spacing w:val="4"/>
                <w:sz w:val="24"/>
                <w:szCs w:val="24"/>
                <w:highlight w:val="none"/>
              </w:rPr>
              <w:t>③</w:t>
            </w:r>
            <w:r>
              <w:rPr>
                <w:rFonts w:hint="eastAsia" w:ascii="仿宋" w:hAnsi="仿宋" w:eastAsia="仿宋" w:cs="仿宋"/>
                <w:b w:val="0"/>
                <w:bCs/>
                <w:color w:val="auto"/>
                <w:spacing w:val="4"/>
                <w:sz w:val="24"/>
                <w:szCs w:val="24"/>
                <w:highlight w:val="none"/>
                <w:lang w:val="en-US" w:eastAsia="zh-CN"/>
              </w:rPr>
              <w:t>基于曹娥江流域三维数据底板的防洪数据驾驶舱，包括流域防汛态势和防洪“四预”（预报、预警、预演、预案）等功能，好4分，一般2分，差1分。</w:t>
            </w:r>
          </w:p>
          <w:p>
            <w:pPr>
              <w:pStyle w:val="2"/>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default" w:eastAsia="宋体"/>
                <w:color w:val="auto"/>
                <w:highlight w:val="none"/>
                <w:lang w:val="en-US" w:eastAsia="zh-CN"/>
              </w:rPr>
            </w:pPr>
            <w:r>
              <w:rPr>
                <w:rFonts w:hint="eastAsia" w:ascii="仿宋" w:hAnsi="仿宋" w:eastAsia="仿宋" w:cs="仿宋"/>
                <w:b w:val="0"/>
                <w:bCs/>
                <w:color w:val="auto"/>
                <w:spacing w:val="4"/>
                <w:sz w:val="24"/>
                <w:szCs w:val="24"/>
                <w:highlight w:val="none"/>
                <w:lang w:val="en-US" w:eastAsia="zh-CN"/>
              </w:rPr>
              <w:t>④</w:t>
            </w:r>
            <w:r>
              <w:rPr>
                <w:rFonts w:hint="eastAsia" w:ascii="仿宋" w:hAnsi="仿宋" w:eastAsia="仿宋" w:cs="仿宋"/>
                <w:b w:val="0"/>
                <w:bCs/>
                <w:color w:val="auto"/>
                <w:spacing w:val="4"/>
                <w:sz w:val="24"/>
                <w:szCs w:val="24"/>
                <w:highlight w:val="none"/>
              </w:rPr>
              <w:t>可交互式基于概化图和地图设置的水库、闸站、蓄滞洪区调度功能，并直观展示水库、闸站、蓄滞洪区计算成果数据，好3分，一般1分，差0分。</w:t>
            </w:r>
          </w:p>
        </w:tc>
        <w:tc>
          <w:tcPr>
            <w:tcW w:w="1295" w:type="dxa"/>
            <w:vAlign w:val="center"/>
          </w:tcPr>
          <w:p>
            <w:pPr>
              <w:pStyle w:val="2"/>
              <w:numPr>
                <w:ilvl w:val="0"/>
                <w:numId w:val="0"/>
              </w:numPr>
              <w:snapToGrid w:val="0"/>
              <w:spacing w:before="0" w:after="0" w:line="240" w:lineRule="atLeast"/>
              <w:ind w:left="425" w:leftChars="0"/>
              <w:rPr>
                <w:rFonts w:hint="default" w:ascii="仿宋" w:hAnsi="仿宋" w:eastAsia="仿宋" w:cs="仿宋"/>
                <w:b w:val="0"/>
                <w:bCs/>
                <w:color w:val="auto"/>
                <w:spacing w:val="4"/>
                <w:kern w:val="2"/>
                <w:sz w:val="24"/>
                <w:szCs w:val="24"/>
                <w:highlight w:val="none"/>
                <w:lang w:val="en-US" w:eastAsia="zh-CN" w:bidi="ar-SA"/>
              </w:rPr>
            </w:pPr>
            <w:r>
              <w:rPr>
                <w:rFonts w:hint="eastAsia" w:ascii="仿宋" w:hAnsi="仿宋" w:eastAsia="仿宋" w:cs="仿宋"/>
                <w:b w:val="0"/>
                <w:bCs/>
                <w:color w:val="auto"/>
                <w:spacing w:val="4"/>
                <w:sz w:val="24"/>
                <w:szCs w:val="24"/>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restart"/>
            <w:vAlign w:val="center"/>
          </w:tcPr>
          <w:p>
            <w:pPr>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项目组配备</w:t>
            </w:r>
          </w:p>
        </w:tc>
        <w:tc>
          <w:tcPr>
            <w:tcW w:w="6499" w:type="dxa"/>
            <w:vAlign w:val="center"/>
          </w:tcPr>
          <w:p>
            <w:pPr>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投标人项目负责人</w:t>
            </w:r>
            <w:r>
              <w:rPr>
                <w:rFonts w:hint="eastAsia" w:ascii="仿宋" w:hAnsi="仿宋" w:eastAsia="仿宋" w:cs="仿宋"/>
                <w:bCs/>
                <w:color w:val="auto"/>
                <w:spacing w:val="4"/>
                <w:sz w:val="24"/>
                <w:szCs w:val="24"/>
                <w:highlight w:val="none"/>
                <w:lang w:val="en-US" w:eastAsia="zh-CN"/>
              </w:rPr>
              <w:t>同时</w:t>
            </w:r>
            <w:r>
              <w:rPr>
                <w:rFonts w:hint="eastAsia" w:ascii="仿宋" w:hAnsi="仿宋" w:eastAsia="仿宋" w:cs="仿宋"/>
                <w:bCs/>
                <w:color w:val="auto"/>
                <w:spacing w:val="4"/>
                <w:sz w:val="24"/>
                <w:szCs w:val="24"/>
                <w:highlight w:val="none"/>
              </w:rPr>
              <w:t>具</w:t>
            </w:r>
            <w:r>
              <w:rPr>
                <w:rFonts w:hint="eastAsia" w:ascii="仿宋" w:hAnsi="仿宋" w:eastAsia="仿宋" w:cs="仿宋"/>
                <w:bCs/>
                <w:color w:val="auto"/>
                <w:spacing w:val="4"/>
                <w:sz w:val="24"/>
                <w:szCs w:val="24"/>
                <w:highlight w:val="none"/>
                <w:lang w:val="en-US" w:eastAsia="zh-CN"/>
              </w:rPr>
              <w:t>有</w:t>
            </w:r>
            <w:r>
              <w:rPr>
                <w:rFonts w:hint="eastAsia" w:ascii="仿宋" w:hAnsi="仿宋" w:eastAsia="仿宋" w:cs="仿宋"/>
                <w:bCs/>
                <w:color w:val="auto"/>
                <w:spacing w:val="4"/>
                <w:sz w:val="24"/>
                <w:szCs w:val="24"/>
                <w:highlight w:val="none"/>
              </w:rPr>
              <w:t>水利规划设计副高级及以上职称、信息化副高级及以上职称证书的</w:t>
            </w:r>
            <w:r>
              <w:rPr>
                <w:rFonts w:hint="eastAsia" w:ascii="仿宋" w:hAnsi="仿宋" w:eastAsia="仿宋" w:cs="仿宋"/>
                <w:bCs/>
                <w:color w:val="auto"/>
                <w:spacing w:val="4"/>
                <w:sz w:val="24"/>
                <w:szCs w:val="24"/>
                <w:highlight w:val="none"/>
                <w:lang w:val="en-US" w:eastAsia="zh-CN"/>
              </w:rPr>
              <w:t>得3分，具有其中1项得1分</w:t>
            </w:r>
            <w:r>
              <w:rPr>
                <w:rFonts w:hint="eastAsia" w:ascii="仿宋" w:hAnsi="仿宋" w:eastAsia="仿宋" w:cs="仿宋"/>
                <w:bCs/>
                <w:color w:val="auto"/>
                <w:spacing w:val="4"/>
                <w:sz w:val="24"/>
                <w:szCs w:val="24"/>
                <w:highlight w:val="none"/>
              </w:rPr>
              <w:t>，没有不得分。</w:t>
            </w:r>
          </w:p>
          <w:p>
            <w:pPr>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（须提供最近6个月社保缴纳证明材料及人员证书扫描件并加盖单位公章，否则不得分）。</w:t>
            </w:r>
          </w:p>
        </w:tc>
        <w:tc>
          <w:tcPr>
            <w:tcW w:w="1295" w:type="dxa"/>
            <w:vMerge w:val="restart"/>
            <w:vAlign w:val="center"/>
          </w:tcPr>
          <w:p>
            <w:pPr>
              <w:snapToGrid w:val="0"/>
              <w:spacing w:line="240" w:lineRule="atLeas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adjustRightInd w:val="0"/>
              <w:snapToGrid w:val="0"/>
              <w:spacing w:line="240" w:lineRule="atLeast"/>
              <w:jc w:val="left"/>
              <w:textAlignment w:val="center"/>
              <w:rPr>
                <w:rFonts w:hint="eastAsia" w:ascii="仿宋" w:hAnsi="仿宋" w:eastAsia="仿宋" w:cs="仿宋"/>
                <w:bCs/>
                <w:color w:val="auto"/>
                <w:spacing w:val="4"/>
                <w:sz w:val="24"/>
                <w:szCs w:val="24"/>
                <w:highlight w:val="none"/>
                <w:lang w:val="en-US" w:eastAsia="zh-CN"/>
              </w:rPr>
            </w:pPr>
            <w:r>
              <w:rPr>
                <w:rFonts w:hint="eastAsia" w:ascii="仿宋" w:hAnsi="仿宋" w:eastAsia="仿宋" w:cs="仿宋"/>
                <w:bCs/>
                <w:color w:val="auto"/>
                <w:spacing w:val="4"/>
                <w:sz w:val="24"/>
                <w:szCs w:val="24"/>
                <w:highlight w:val="none"/>
                <w:lang w:val="en-US" w:eastAsia="zh-CN"/>
              </w:rPr>
              <w:t>投标人技术负责人同时具有水利工程信息化正高级职称及注册咨询工程师（投资）证书得3分，</w:t>
            </w:r>
            <w:r>
              <w:rPr>
                <w:rFonts w:hint="eastAsia" w:ascii="仿宋" w:hAnsi="仿宋" w:eastAsia="仿宋" w:cs="仿宋"/>
                <w:bCs/>
                <w:color w:val="auto"/>
                <w:spacing w:val="4"/>
                <w:sz w:val="24"/>
                <w:szCs w:val="24"/>
                <w:highlight w:val="none"/>
              </w:rPr>
              <w:t>没有不得分。</w:t>
            </w:r>
          </w:p>
          <w:p>
            <w:pPr>
              <w:adjustRightInd w:val="0"/>
              <w:snapToGrid w:val="0"/>
              <w:spacing w:line="240" w:lineRule="atLeast"/>
              <w:jc w:val="left"/>
              <w:textAlignment w:val="center"/>
              <w:rPr>
                <w:rFonts w:hint="default"/>
                <w:color w:val="auto"/>
                <w:highlight w:val="none"/>
                <w:lang w:val="en-US" w:eastAsia="zh-CN"/>
              </w:rPr>
            </w:pPr>
            <w:r>
              <w:rPr>
                <w:rFonts w:hint="eastAsia" w:ascii="仿宋" w:hAnsi="仿宋" w:eastAsia="仿宋" w:cs="仿宋"/>
                <w:bCs/>
                <w:color w:val="auto"/>
                <w:spacing w:val="4"/>
                <w:sz w:val="24"/>
                <w:szCs w:val="24"/>
                <w:highlight w:val="none"/>
                <w:lang w:val="en-US" w:eastAsia="zh-CN"/>
              </w:rPr>
              <w:t>（须提供最近6个月社保缴纳证明材料及人员证书扫描件并加盖单位公章，否则不得分）。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配置软件开发相关技术人员：</w:t>
            </w:r>
          </w:p>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1、配置了软件设计师的得1分；</w:t>
            </w:r>
          </w:p>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2、配置了系统架构设计师的得1分；</w:t>
            </w:r>
          </w:p>
          <w:p>
            <w:pPr>
              <w:widowControl/>
              <w:adjustRightInd w:val="0"/>
              <w:snapToGrid w:val="0"/>
              <w:spacing w:line="240" w:lineRule="atLeast"/>
              <w:jc w:val="left"/>
              <w:textAlignment w:val="center"/>
              <w:rPr>
                <w:rFonts w:hint="eastAsia" w:ascii="仿宋" w:hAnsi="仿宋" w:eastAsia="仿宋" w:cs="仿宋"/>
                <w:b/>
                <w:color w:val="auto"/>
                <w:sz w:val="24"/>
                <w:szCs w:val="24"/>
                <w:highlight w:val="none"/>
              </w:rPr>
            </w:pPr>
            <w:r>
              <w:rPr>
                <w:rFonts w:hint="eastAsia" w:ascii="仿宋" w:hAnsi="仿宋" w:eastAsia="仿宋" w:cs="仿宋"/>
                <w:bCs/>
                <w:color w:val="auto"/>
                <w:spacing w:val="4"/>
                <w:sz w:val="24"/>
                <w:szCs w:val="24"/>
                <w:highlight w:val="none"/>
              </w:rPr>
              <w:t>（以上人员不含项目负责人及水利相关专业技术人员。须提供最近6个月社保缴纳证明材料及人员证书扫描件并加盖单位公章，否则不得分）。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配置水利相关专业技术人员：</w:t>
            </w:r>
          </w:p>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1、配置了水利水电规划设计专业正高级职称人员的</w:t>
            </w:r>
            <w:r>
              <w:rPr>
                <w:rFonts w:hint="eastAsia" w:ascii="仿宋" w:hAnsi="仿宋" w:eastAsia="仿宋" w:cs="仿宋"/>
                <w:bCs/>
                <w:color w:val="auto"/>
                <w:spacing w:val="4"/>
                <w:sz w:val="24"/>
                <w:szCs w:val="24"/>
                <w:highlight w:val="none"/>
                <w:lang w:val="en-US" w:eastAsia="zh-CN"/>
              </w:rPr>
              <w:t>每位</w:t>
            </w:r>
            <w:r>
              <w:rPr>
                <w:rFonts w:hint="eastAsia" w:ascii="仿宋" w:hAnsi="仿宋" w:eastAsia="仿宋" w:cs="仿宋"/>
                <w:bCs/>
                <w:color w:val="auto"/>
                <w:spacing w:val="4"/>
                <w:sz w:val="24"/>
                <w:szCs w:val="24"/>
                <w:highlight w:val="none"/>
              </w:rPr>
              <w:t>得</w:t>
            </w:r>
            <w:r>
              <w:rPr>
                <w:rFonts w:hint="eastAsia" w:ascii="仿宋" w:hAnsi="仿宋" w:eastAsia="仿宋" w:cs="仿宋"/>
                <w:bCs/>
                <w:color w:val="auto"/>
                <w:spacing w:val="4"/>
                <w:sz w:val="24"/>
                <w:szCs w:val="24"/>
                <w:highlight w:val="none"/>
                <w:lang w:val="en-US" w:eastAsia="zh-CN"/>
              </w:rPr>
              <w:t>1分，</w:t>
            </w:r>
            <w:r>
              <w:rPr>
                <w:rFonts w:hint="eastAsia" w:ascii="仿宋" w:hAnsi="仿宋" w:eastAsia="仿宋" w:cs="仿宋"/>
                <w:bCs/>
                <w:color w:val="auto"/>
                <w:spacing w:val="4"/>
                <w:sz w:val="24"/>
                <w:szCs w:val="24"/>
                <w:highlight w:val="none"/>
              </w:rPr>
              <w:t>2分，副高级职称人员的得1分，没有不得分；</w:t>
            </w:r>
          </w:p>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2、配置了</w:t>
            </w:r>
            <w:r>
              <w:rPr>
                <w:rFonts w:hint="eastAsia" w:ascii="仿宋" w:hAnsi="仿宋" w:eastAsia="仿宋" w:cs="仿宋"/>
                <w:bCs/>
                <w:color w:val="auto"/>
                <w:spacing w:val="4"/>
                <w:sz w:val="24"/>
                <w:szCs w:val="24"/>
                <w:highlight w:val="none"/>
                <w:lang w:val="en-US" w:eastAsia="zh-CN"/>
              </w:rPr>
              <w:t>水利工程管理</w:t>
            </w:r>
            <w:r>
              <w:rPr>
                <w:rFonts w:hint="eastAsia" w:ascii="仿宋" w:hAnsi="仿宋" w:eastAsia="仿宋" w:cs="仿宋"/>
                <w:bCs/>
                <w:color w:val="auto"/>
                <w:spacing w:val="4"/>
                <w:sz w:val="24"/>
                <w:szCs w:val="24"/>
                <w:highlight w:val="none"/>
              </w:rPr>
              <w:t>专业正高级职称人员的得2分，副高级职称人员的得1分，没有不得分；</w:t>
            </w:r>
          </w:p>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（以上人员不含项目负责人</w:t>
            </w:r>
            <w:r>
              <w:rPr>
                <w:rFonts w:hint="eastAsia" w:ascii="仿宋" w:hAnsi="仿宋" w:eastAsia="仿宋" w:cs="仿宋"/>
                <w:bCs/>
                <w:color w:val="auto"/>
                <w:spacing w:val="4"/>
                <w:sz w:val="24"/>
                <w:szCs w:val="24"/>
                <w:highlight w:val="none"/>
                <w:lang w:eastAsia="zh-CN"/>
              </w:rPr>
              <w:t>、</w:t>
            </w:r>
            <w:r>
              <w:rPr>
                <w:rFonts w:hint="eastAsia" w:ascii="仿宋" w:hAnsi="仿宋" w:eastAsia="仿宋" w:cs="仿宋"/>
                <w:bCs/>
                <w:color w:val="auto"/>
                <w:spacing w:val="4"/>
                <w:sz w:val="24"/>
                <w:szCs w:val="24"/>
                <w:highlight w:val="none"/>
                <w:lang w:val="en-US" w:eastAsia="zh-CN"/>
              </w:rPr>
              <w:t>技术负责任人</w:t>
            </w:r>
            <w:r>
              <w:rPr>
                <w:rFonts w:hint="eastAsia" w:ascii="仿宋" w:hAnsi="仿宋" w:eastAsia="仿宋" w:cs="仿宋"/>
                <w:bCs/>
                <w:color w:val="auto"/>
                <w:spacing w:val="4"/>
                <w:sz w:val="24"/>
                <w:szCs w:val="24"/>
                <w:highlight w:val="none"/>
              </w:rPr>
              <w:t>及系统开发相关技术人员。须提供最近6个月社保缴纳证明材料及人员证书扫描件并加盖单位公章，否则不得分）。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restart"/>
            <w:vAlign w:val="center"/>
          </w:tcPr>
          <w:p>
            <w:pPr>
              <w:widowControl/>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项目组织实施</w:t>
            </w: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投标人按照招标人的要求，提供详实的进度计划。根据进度阶段的划分以及工作量及工期安排的合理性综合评分。0-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Merge w:val="restart"/>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根据投标人为了保证项目进度计划的顺利实施，提供项目实施沟通管理、变更管理、风险管理等方面的计划进行综合评分。0-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Merge w:val="continue"/>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napToGrid w:val="0"/>
              <w:spacing w:line="240" w:lineRule="atLeast"/>
              <w:jc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质量保证措施</w:t>
            </w:r>
          </w:p>
        </w:tc>
        <w:tc>
          <w:tcPr>
            <w:tcW w:w="6499" w:type="dxa"/>
            <w:vAlign w:val="center"/>
          </w:tcPr>
          <w:p>
            <w:pPr>
              <w:pStyle w:val="35"/>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投标人按招标人要求有明确的质量保证目标，质量保证措施和体系合理先进并具有详细的实施内容等，有明确的ISO质量管理体系和二级校审制度等，进行综合评分。0-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Align w:val="center"/>
          </w:tcPr>
          <w:p>
            <w:pPr>
              <w:snapToGrid w:val="0"/>
              <w:spacing w:line="240" w:lineRule="atLeas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widowControl/>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w:t>
            </w:r>
          </w:p>
        </w:tc>
        <w:tc>
          <w:tcPr>
            <w:tcW w:w="6499" w:type="dxa"/>
            <w:vAlign w:val="center"/>
          </w:tcPr>
          <w:p>
            <w:pPr>
              <w:snapToGrid w:val="0"/>
              <w:spacing w:line="240" w:lineRule="atLeast"/>
              <w:rPr>
                <w:rFonts w:hint="eastAsia" w:ascii="仿宋" w:hAnsi="仿宋" w:eastAsia="仿宋" w:cs="仿宋"/>
                <w:snapToGrid w:val="0"/>
                <w:color w:val="auto"/>
                <w:sz w:val="24"/>
                <w:szCs w:val="24"/>
                <w:highlight w:val="none"/>
              </w:rPr>
            </w:pPr>
            <w:r>
              <w:rPr>
                <w:rFonts w:hint="eastAsia" w:ascii="仿宋" w:hAnsi="仿宋" w:eastAsia="仿宋" w:cs="仿宋"/>
                <w:bCs/>
                <w:color w:val="auto"/>
                <w:spacing w:val="4"/>
                <w:sz w:val="24"/>
                <w:szCs w:val="24"/>
                <w:highlight w:val="none"/>
              </w:rPr>
              <w:t>根据投标人提供的售后服务方案、售后服务承诺的可行性、完整性以及服务承诺落实的保障措施，服务网点情况（须提供营业执照等相关证明材料复印件），服务响应能力，现场技术服务能力，维护期内外的后续技术支持等进行综合评分。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分，良：2分，一般：1分。</w:t>
            </w:r>
          </w:p>
        </w:tc>
        <w:tc>
          <w:tcPr>
            <w:tcW w:w="1295" w:type="dxa"/>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6" w:type="dxa"/>
            <w:vAlign w:val="center"/>
          </w:tcPr>
          <w:p>
            <w:pPr>
              <w:snapToGrid w:val="0"/>
              <w:spacing w:line="240" w:lineRule="atLeast"/>
              <w:jc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培训</w:t>
            </w:r>
          </w:p>
        </w:tc>
        <w:tc>
          <w:tcPr>
            <w:tcW w:w="6499" w:type="dxa"/>
            <w:vAlign w:val="center"/>
          </w:tcPr>
          <w:p>
            <w:pPr>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根据投标人培训计划方案的合理性以及与相关要求的符合性进行综合评分。0-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Align w:val="center"/>
          </w:tcPr>
          <w:p>
            <w:pPr>
              <w:snapToGrid w:val="0"/>
              <w:spacing w:line="240" w:lineRule="atLeas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2</w:t>
            </w:r>
          </w:p>
        </w:tc>
      </w:tr>
    </w:tbl>
    <w:p>
      <w:pPr>
        <w:pStyle w:val="5"/>
        <w:rPr>
          <w:rFonts w:hint="eastAsia" w:ascii="仿宋_GB2312" w:hAnsi="宋体" w:eastAsia="仿宋_GB2312"/>
          <w:b/>
          <w:bCs/>
          <w:iCs/>
          <w:color w:val="auto"/>
          <w:sz w:val="24"/>
          <w:highlight w:val="none"/>
        </w:rPr>
      </w:pPr>
    </w:p>
    <w:p>
      <w:pPr>
        <w:spacing w:line="440" w:lineRule="exact"/>
        <w:rPr>
          <w:rFonts w:ascii="仿宋_GB2312" w:hAnsi="宋体" w:eastAsia="仿宋_GB2312"/>
          <w:b/>
          <w:bCs/>
          <w:iCs/>
          <w:color w:val="auto"/>
          <w:sz w:val="24"/>
          <w:highlight w:val="none"/>
        </w:rPr>
      </w:pPr>
      <w:r>
        <w:rPr>
          <w:rFonts w:hint="eastAsia" w:ascii="仿宋_GB2312" w:hAnsi="宋体" w:eastAsia="仿宋_GB2312"/>
          <w:b/>
          <w:bCs/>
          <w:iCs/>
          <w:color w:val="auto"/>
          <w:sz w:val="24"/>
          <w:highlight w:val="none"/>
        </w:rPr>
        <w:t>2.2价格分（</w:t>
      </w:r>
      <w:r>
        <w:rPr>
          <w:rFonts w:hint="eastAsia" w:ascii="仿宋_GB2312" w:hAnsi="宋体" w:eastAsia="仿宋_GB2312"/>
          <w:b/>
          <w:bCs/>
          <w:iCs/>
          <w:color w:val="auto"/>
          <w:sz w:val="24"/>
          <w:highlight w:val="none"/>
          <w:lang w:val="en-US" w:eastAsia="zh-CN"/>
        </w:rPr>
        <w:t>1</w:t>
      </w:r>
      <w:r>
        <w:rPr>
          <w:rFonts w:ascii="仿宋_GB2312" w:hAnsi="宋体" w:eastAsia="仿宋_GB2312"/>
          <w:b/>
          <w:bCs/>
          <w:iCs/>
          <w:color w:val="auto"/>
          <w:sz w:val="24"/>
          <w:highlight w:val="none"/>
        </w:rPr>
        <w:t>0</w:t>
      </w:r>
      <w:r>
        <w:rPr>
          <w:rFonts w:hint="eastAsia" w:ascii="仿宋_GB2312" w:hAnsi="宋体" w:eastAsia="仿宋_GB2312"/>
          <w:b/>
          <w:bCs/>
          <w:iCs/>
          <w:color w:val="auto"/>
          <w:sz w:val="24"/>
          <w:highlight w:val="none"/>
        </w:rPr>
        <w:t>分）</w:t>
      </w:r>
    </w:p>
    <w:p>
      <w:pPr>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2.2.1评标基准价：即满足招标文件要求且投标价格最低的投标报价为评标基准价，其价格分为满分。</w:t>
      </w:r>
    </w:p>
    <w:p>
      <w:pPr>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即：投标报价得分=(评标基准价／投标报价)×</w:t>
      </w:r>
      <w:r>
        <w:rPr>
          <w:rFonts w:hint="eastAsia" w:ascii="仿宋_GB2312" w:hAnsi="宋体" w:eastAsia="仿宋_GB2312"/>
          <w:bCs/>
          <w:iCs/>
          <w:color w:val="auto"/>
          <w:sz w:val="24"/>
          <w:highlight w:val="none"/>
          <w:lang w:val="en-US" w:eastAsia="zh-CN"/>
        </w:rPr>
        <w:t>1</w:t>
      </w:r>
      <w:r>
        <w:rPr>
          <w:rFonts w:ascii="仿宋_GB2312" w:hAnsi="宋体" w:eastAsia="仿宋_GB2312"/>
          <w:bCs/>
          <w:iCs/>
          <w:color w:val="auto"/>
          <w:sz w:val="24"/>
          <w:highlight w:val="none"/>
        </w:rPr>
        <w:t>0</w:t>
      </w:r>
    </w:p>
    <w:bookmarkEnd w:id="8"/>
    <w:bookmarkEnd w:id="9"/>
    <w:bookmarkEnd w:id="10"/>
    <w:bookmarkEnd w:id="11"/>
    <w:p>
      <w:pPr>
        <w:snapToGrid w:val="0"/>
        <w:spacing w:line="360" w:lineRule="auto"/>
        <w:rPr>
          <w:rFonts w:ascii="仿宋_GB2312" w:hAnsi="仿宋_GB2312" w:eastAsia="仿宋_GB2312" w:cs="仿宋_GB2312"/>
          <w:b/>
          <w:color w:val="auto"/>
          <w:sz w:val="36"/>
          <w:szCs w:val="20"/>
          <w:highlight w:val="none"/>
        </w:rPr>
      </w:pPr>
    </w:p>
    <w:p>
      <w:pPr>
        <w:pageBreakBefore/>
        <w:snapToGrid w:val="0"/>
        <w:spacing w:line="360" w:lineRule="auto"/>
        <w:jc w:val="center"/>
        <w:rPr>
          <w:rFonts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第六部分</w:t>
      </w:r>
      <w:r>
        <w:rPr>
          <w:rFonts w:hint="eastAsia" w:ascii="仿宋_GB2312" w:hAnsi="宋体" w:eastAsia="仿宋_GB2312"/>
          <w:b/>
          <w:color w:val="auto"/>
          <w:sz w:val="36"/>
          <w:szCs w:val="36"/>
          <w:highlight w:val="none"/>
        </w:rPr>
        <w:t>投标文件</w:t>
      </w:r>
      <w:r>
        <w:rPr>
          <w:rFonts w:hint="eastAsia" w:ascii="仿宋_GB2312" w:hAnsi="仿宋_GB2312" w:eastAsia="仿宋_GB2312" w:cs="仿宋_GB2312"/>
          <w:b/>
          <w:color w:val="auto"/>
          <w:sz w:val="36"/>
          <w:szCs w:val="20"/>
          <w:highlight w:val="none"/>
        </w:rPr>
        <w:t>应提交的有关格式范例</w:t>
      </w:r>
    </w:p>
    <w:p>
      <w:pPr>
        <w:spacing w:line="360" w:lineRule="auto"/>
        <w:ind w:firstLine="480" w:firstLineChars="200"/>
        <w:outlineLvl w:val="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投标人按照以下格式编制投标文件，并将报价文件、商务技术（资信）文件分别编制成册。</w:t>
      </w: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napToGrid w:val="0"/>
        <w:spacing w:line="360" w:lineRule="auto"/>
        <w:jc w:val="center"/>
        <w:rPr>
          <w:rFonts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报价文件部分</w:t>
      </w:r>
    </w:p>
    <w:p>
      <w:pPr>
        <w:spacing w:line="360" w:lineRule="auto"/>
        <w:jc w:val="center"/>
        <w:outlineLvl w:val="0"/>
        <w:rPr>
          <w:rFonts w:ascii="仿宋_GB2312" w:hAnsi="仿宋_GB2312" w:eastAsia="仿宋_GB2312" w:cs="仿宋_GB2312"/>
          <w:b/>
          <w:color w:val="auto"/>
          <w:kern w:val="0"/>
          <w:sz w:val="24"/>
          <w:highlight w:val="none"/>
        </w:rPr>
      </w:pPr>
    </w:p>
    <w:p>
      <w:pPr>
        <w:spacing w:line="360" w:lineRule="auto"/>
        <w:jc w:val="center"/>
        <w:outlineLvl w:val="0"/>
        <w:rPr>
          <w:rFonts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（1）投标响应函……………………………………………………（页码）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（2）开标一览表……………………………………………………（页码）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（3）中小企业声明函………………………………………………（页码）</w:t>
      </w:r>
    </w:p>
    <w:p>
      <w:pPr>
        <w:spacing w:line="360" w:lineRule="auto"/>
        <w:outlineLvl w:val="0"/>
        <w:rPr>
          <w:rFonts w:ascii="仿宋_GB2312" w:hAnsi="宋体" w:eastAsia="仿宋_GB2312"/>
          <w:b/>
          <w:color w:val="auto"/>
          <w:sz w:val="36"/>
          <w:szCs w:val="36"/>
          <w:highlight w:val="none"/>
        </w:rPr>
      </w:pPr>
      <w:r>
        <w:rPr>
          <w:rFonts w:hint="eastAsia" w:ascii="仿宋_GB2312" w:hAnsi="仿宋_GB2312" w:eastAsia="仿宋_GB2312" w:cs="仿宋_GB2312"/>
          <w:color w:val="auto"/>
          <w:sz w:val="24"/>
          <w:highlight w:val="none"/>
        </w:rPr>
        <w:t>（4）残疾人福利性单位声明函</w:t>
      </w:r>
      <w:r>
        <w:rPr>
          <w:rFonts w:hint="eastAsia" w:ascii="仿宋_GB2312" w:hAnsi="仿宋_GB2312" w:eastAsia="仿宋_GB2312" w:cs="仿宋_GB2312"/>
          <w:color w:val="auto"/>
          <w:kern w:val="0"/>
          <w:sz w:val="24"/>
          <w:highlight w:val="none"/>
        </w:rPr>
        <w:t>……………………………………（页码）</w:t>
      </w:r>
    </w:p>
    <w:p>
      <w:pPr>
        <w:pStyle w:val="18"/>
        <w:spacing w:line="800" w:lineRule="atLeast"/>
        <w:ind w:left="0" w:leftChars="0"/>
        <w:rPr>
          <w:rFonts w:ascii="仿宋_GB2312" w:hAnsi="宋体" w:eastAsia="仿宋_GB2312"/>
          <w:b/>
          <w:color w:val="auto"/>
          <w:sz w:val="36"/>
          <w:szCs w:val="36"/>
          <w:highlight w:val="none"/>
        </w:rPr>
      </w:pPr>
    </w:p>
    <w:p>
      <w:pPr>
        <w:pStyle w:val="18"/>
        <w:spacing w:line="800" w:lineRule="atLeast"/>
        <w:ind w:left="0" w:leftChars="0"/>
        <w:rPr>
          <w:rFonts w:ascii="仿宋_GB2312" w:hAnsi="宋体" w:eastAsia="仿宋_GB2312"/>
          <w:b/>
          <w:color w:val="auto"/>
          <w:sz w:val="36"/>
          <w:szCs w:val="36"/>
          <w:highlight w:val="none"/>
        </w:rPr>
      </w:pPr>
    </w:p>
    <w:p>
      <w:pPr>
        <w:pStyle w:val="18"/>
        <w:spacing w:line="800" w:lineRule="atLeast"/>
        <w:ind w:left="0" w:leftChars="0"/>
        <w:rPr>
          <w:rFonts w:ascii="仿宋_GB2312" w:hAnsi="宋体" w:eastAsia="仿宋_GB2312"/>
          <w:b/>
          <w:color w:val="auto"/>
          <w:sz w:val="36"/>
          <w:szCs w:val="36"/>
          <w:highlight w:val="none"/>
        </w:rPr>
      </w:pPr>
    </w:p>
    <w:p>
      <w:pPr>
        <w:rPr>
          <w:rFonts w:ascii="仿宋_GB2312" w:hAnsi="宋体" w:eastAsia="仿宋_GB2312"/>
          <w:b/>
          <w:color w:val="auto"/>
          <w:sz w:val="30"/>
          <w:szCs w:val="30"/>
          <w:highlight w:val="none"/>
        </w:rPr>
      </w:pPr>
    </w:p>
    <w:p>
      <w:pPr>
        <w:rPr>
          <w:rFonts w:ascii="仿宋_GB2312" w:hAnsi="宋体" w:eastAsia="仿宋_GB2312"/>
          <w:b/>
          <w:color w:val="auto"/>
          <w:sz w:val="30"/>
          <w:szCs w:val="30"/>
          <w:highlight w:val="none"/>
        </w:rPr>
      </w:pPr>
    </w:p>
    <w:p>
      <w:pPr>
        <w:pageBreakBefore/>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1、投标响应函（格式）</w:t>
      </w:r>
    </w:p>
    <w:p>
      <w:pPr>
        <w:pStyle w:val="67"/>
        <w:spacing w:afterLines="0" w:line="440" w:lineRule="exact"/>
        <w:ind w:firstLine="0" w:firstLineChars="0"/>
        <w:rPr>
          <w:rFonts w:ascii="仿宋_GB2312" w:hAnsi="宋体" w:eastAsia="仿宋_GB2312"/>
          <w:color w:val="auto"/>
          <w:szCs w:val="24"/>
          <w:highlight w:val="none"/>
        </w:rPr>
      </w:pPr>
    </w:p>
    <w:p>
      <w:pPr>
        <w:pStyle w:val="67"/>
        <w:spacing w:afterLines="0" w:line="440" w:lineRule="exact"/>
        <w:ind w:firstLine="0" w:firstLineChars="0"/>
        <w:rPr>
          <w:rFonts w:ascii="仿宋_GB2312" w:hAnsi="宋体" w:eastAsia="仿宋_GB2312"/>
          <w:color w:val="auto"/>
          <w:szCs w:val="24"/>
          <w:highlight w:val="none"/>
        </w:rPr>
      </w:pPr>
      <w:r>
        <w:rPr>
          <w:rFonts w:hint="eastAsia" w:ascii="仿宋_GB2312" w:hAnsi="宋体" w:eastAsia="仿宋_GB2312"/>
          <w:color w:val="auto"/>
          <w:szCs w:val="24"/>
          <w:highlight w:val="none"/>
        </w:rPr>
        <w:t>致：</w:t>
      </w:r>
      <w:r>
        <w:rPr>
          <w:rFonts w:hint="eastAsia" w:ascii="仿宋_GB2312" w:hAnsi="宋体" w:eastAsia="仿宋_GB2312"/>
          <w:color w:val="auto"/>
          <w:szCs w:val="24"/>
          <w:highlight w:val="none"/>
          <w:u w:val="single"/>
          <w:lang w:eastAsia="zh-CN"/>
        </w:rPr>
        <w:t>绍兴市防汛防旱应急保障中心</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根据贵方招标文件（</w:t>
      </w:r>
      <w:r>
        <w:rPr>
          <w:rFonts w:hint="eastAsia" w:ascii="仿宋_GB2312" w:hAnsi="宋体" w:eastAsia="仿宋_GB2312"/>
          <w:b/>
          <w:color w:val="auto"/>
          <w:szCs w:val="24"/>
          <w:highlight w:val="none"/>
          <w:u w:val="single"/>
        </w:rPr>
        <w:t>填写招标编号：</w:t>
      </w:r>
      <w:r>
        <w:rPr>
          <w:rFonts w:hint="eastAsia" w:ascii="仿宋_GB2312" w:hAnsi="宋体" w:eastAsia="仿宋_GB2312"/>
          <w:color w:val="auto"/>
          <w:szCs w:val="24"/>
          <w:highlight w:val="none"/>
        </w:rPr>
        <w:t>）的要求，正式授权</w:t>
      </w:r>
      <w:r>
        <w:rPr>
          <w:rFonts w:hint="eastAsia" w:ascii="仿宋_GB2312" w:hAnsi="宋体" w:eastAsia="仿宋_GB2312"/>
          <w:b/>
          <w:color w:val="auto"/>
          <w:szCs w:val="24"/>
          <w:highlight w:val="none"/>
          <w:u w:val="single"/>
        </w:rPr>
        <w:t>（全权代表姓名    、单位    、职务   ）</w:t>
      </w:r>
      <w:r>
        <w:rPr>
          <w:rFonts w:hint="eastAsia" w:ascii="仿宋_GB2312" w:hAnsi="宋体" w:eastAsia="仿宋_GB2312"/>
          <w:color w:val="auto"/>
          <w:szCs w:val="24"/>
          <w:highlight w:val="none"/>
        </w:rPr>
        <w:t>代表投标人</w:t>
      </w:r>
      <w:r>
        <w:rPr>
          <w:rFonts w:hint="eastAsia" w:ascii="仿宋_GB2312" w:hAnsi="宋体" w:eastAsia="仿宋_GB2312"/>
          <w:color w:val="auto"/>
          <w:szCs w:val="24"/>
          <w:highlight w:val="none"/>
          <w:u w:val="single"/>
        </w:rPr>
        <w:t>（</w:t>
      </w:r>
      <w:r>
        <w:rPr>
          <w:rFonts w:hint="eastAsia" w:ascii="仿宋_GB2312" w:hAnsi="宋体" w:eastAsia="仿宋_GB2312"/>
          <w:b/>
          <w:color w:val="auto"/>
          <w:szCs w:val="24"/>
          <w:highlight w:val="none"/>
          <w:u w:val="single"/>
        </w:rPr>
        <w:t xml:space="preserve">填写单位    、地址   </w:t>
      </w:r>
      <w:r>
        <w:rPr>
          <w:rFonts w:hint="eastAsia" w:ascii="仿宋_GB2312" w:hAnsi="宋体" w:eastAsia="仿宋_GB2312"/>
          <w:color w:val="auto"/>
          <w:szCs w:val="24"/>
          <w:highlight w:val="none"/>
          <w:u w:val="single"/>
        </w:rPr>
        <w:t>）</w:t>
      </w:r>
      <w:r>
        <w:rPr>
          <w:rFonts w:hint="eastAsia" w:ascii="仿宋_GB2312" w:hAnsi="宋体" w:eastAsia="仿宋_GB2312"/>
          <w:color w:val="auto"/>
          <w:szCs w:val="24"/>
          <w:highlight w:val="none"/>
        </w:rPr>
        <w:t>提交投标文件。</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我方已完全明白招标文件的所有条款要求，兹声明同意如下：</w:t>
      </w:r>
    </w:p>
    <w:p>
      <w:pPr>
        <w:pStyle w:val="12"/>
        <w:tabs>
          <w:tab w:val="clear" w:pos="1697"/>
        </w:tabs>
        <w:spacing w:afterLines="0" w:line="440" w:lineRule="exact"/>
        <w:ind w:left="0" w:firstLine="480" w:firstLineChars="200"/>
        <w:rPr>
          <w:rFonts w:ascii="仿宋_GB2312" w:hAnsi="宋体" w:eastAsia="仿宋_GB2312"/>
          <w:color w:val="auto"/>
          <w:szCs w:val="24"/>
          <w:highlight w:val="none"/>
        </w:rPr>
      </w:pPr>
      <w:r>
        <w:rPr>
          <w:rFonts w:hint="eastAsia" w:ascii="仿宋_GB2312" w:hAnsi="宋体" w:eastAsia="仿宋_GB2312"/>
          <w:color w:val="auto"/>
          <w:szCs w:val="24"/>
          <w:highlight w:val="none"/>
        </w:rPr>
        <w:t>1.</w:t>
      </w:r>
      <w:r>
        <w:rPr>
          <w:rFonts w:hint="eastAsia" w:ascii="仿宋_GB2312" w:hAnsi="仿宋" w:eastAsia="仿宋_GB2312" w:cs="仿宋_GB2312"/>
          <w:color w:val="auto"/>
          <w:highlight w:val="none"/>
        </w:rPr>
        <w:t>我方同意在投标人</w:t>
      </w:r>
      <w:r>
        <w:rPr>
          <w:rFonts w:hint="eastAsia" w:ascii="仿宋_GB2312" w:hAnsi="仿宋" w:eastAsia="仿宋_GB2312" w:cs="仿宋_GB2312"/>
          <w:color w:val="auto"/>
          <w:kern w:val="44"/>
          <w:highlight w:val="none"/>
        </w:rPr>
        <w:t>须知</w:t>
      </w:r>
      <w:r>
        <w:rPr>
          <w:rFonts w:hint="eastAsia" w:ascii="仿宋_GB2312" w:hAnsi="仿宋" w:eastAsia="仿宋_GB2312" w:cs="仿宋_GB2312"/>
          <w:color w:val="auto"/>
          <w:highlight w:val="none"/>
        </w:rPr>
        <w:t>规定的开标日期起遵守本投标文件中的承诺且在投标有效期满之前均具有约束力</w:t>
      </w:r>
      <w:r>
        <w:rPr>
          <w:rFonts w:hint="eastAsia" w:ascii="仿宋_GB2312" w:hAnsi="宋体" w:eastAsia="仿宋_GB2312"/>
          <w:color w:val="auto"/>
          <w:szCs w:val="24"/>
          <w:highlight w:val="none"/>
        </w:rPr>
        <w:t>。</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2.我方承诺已经具备《中华人民共和国政府采购法》中规定的参加政府采购活动的供应商应当具备的条件。</w:t>
      </w:r>
    </w:p>
    <w:p>
      <w:pPr>
        <w:pStyle w:val="67"/>
        <w:spacing w:afterLines="0" w:line="440" w:lineRule="exact"/>
        <w:ind w:firstLine="480"/>
        <w:rPr>
          <w:rFonts w:ascii="仿宋_GB2312" w:eastAsia="仿宋_GB2312"/>
          <w:color w:val="auto"/>
          <w:highlight w:val="none"/>
        </w:rPr>
      </w:pPr>
      <w:r>
        <w:rPr>
          <w:rFonts w:hint="eastAsia" w:ascii="仿宋_GB2312" w:hAnsi="宋体" w:eastAsia="仿宋_GB2312"/>
          <w:color w:val="auto"/>
          <w:szCs w:val="24"/>
          <w:highlight w:val="none"/>
        </w:rPr>
        <w:t>3.</w:t>
      </w:r>
      <w:r>
        <w:rPr>
          <w:rFonts w:hint="eastAsia" w:ascii="仿宋_GB2312" w:eastAsia="仿宋_GB2312"/>
          <w:color w:val="auto"/>
          <w:highlight w:val="none"/>
        </w:rPr>
        <w:t>本公司投标文件中填列的技术参数、配置、服务、数量等相关内容都是真实、准确的。保证在本次项目中所提供的资料全部真实和合法。同意向绍兴市公共资源交易中心提供可能另外要求的与投标有关的任何数据或资料。</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4.我方理解贵方将不受你们所收到的最低报价的约束。</w:t>
      </w:r>
    </w:p>
    <w:p>
      <w:pPr>
        <w:pStyle w:val="12"/>
        <w:tabs>
          <w:tab w:val="clear" w:pos="1697"/>
        </w:tabs>
        <w:spacing w:afterLines="0" w:line="440" w:lineRule="exact"/>
        <w:ind w:left="0" w:firstLine="480" w:firstLineChars="200"/>
        <w:rPr>
          <w:rFonts w:ascii="仿宋_GB2312" w:hAnsi="宋体" w:eastAsia="仿宋_GB2312"/>
          <w:color w:val="auto"/>
          <w:szCs w:val="24"/>
          <w:highlight w:val="none"/>
        </w:rPr>
      </w:pPr>
      <w:r>
        <w:rPr>
          <w:rFonts w:hint="eastAsia" w:ascii="仿宋_GB2312" w:hAnsi="宋体" w:eastAsia="仿宋_GB2312"/>
          <w:color w:val="auto"/>
          <w:highlight w:val="none"/>
        </w:rPr>
        <w:t>5.</w:t>
      </w:r>
      <w:r>
        <w:rPr>
          <w:rFonts w:hint="eastAsia" w:ascii="仿宋_GB2312" w:hAnsi="宋体" w:eastAsia="仿宋_GB2312"/>
          <w:color w:val="auto"/>
          <w:szCs w:val="24"/>
          <w:highlight w:val="none"/>
        </w:rPr>
        <w:t>本投标自开标之日（投标截止之日）起90天内有效。</w:t>
      </w:r>
    </w:p>
    <w:p>
      <w:pPr>
        <w:pStyle w:val="67"/>
        <w:spacing w:afterLines="0" w:line="440" w:lineRule="exact"/>
        <w:ind w:firstLine="480"/>
        <w:rPr>
          <w:rFonts w:ascii="仿宋_GB2312" w:hAnsi="仿宋_GB2312" w:eastAsia="仿宋_GB2312" w:cs="仿宋_GB2312"/>
          <w:color w:val="auto"/>
          <w:highlight w:val="none"/>
        </w:rPr>
      </w:pPr>
      <w:r>
        <w:rPr>
          <w:rFonts w:hint="eastAsia" w:ascii="仿宋_GB2312" w:hAnsi="宋体" w:eastAsia="仿宋_GB2312"/>
          <w:color w:val="auto"/>
          <w:szCs w:val="24"/>
          <w:highlight w:val="none"/>
        </w:rPr>
        <w:t>6</w:t>
      </w:r>
      <w:r>
        <w:rPr>
          <w:rFonts w:hint="eastAsia" w:ascii="仿宋_GB2312" w:hAnsi="仿宋_GB2312" w:eastAsia="仿宋_GB2312" w:cs="仿宋_GB2312"/>
          <w:color w:val="auto"/>
          <w:highlight w:val="none"/>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a)提供虚假材料谋取中标、成交的；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b)采取不正当手段诋毁、排挤其他供应商的；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c)与采购人、其它供应商或者采购代理机构恶意串通的；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d)向采购人、采购代理机构行贿或者提供其他不正当利益的；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e)在招标采购过程中与采购人进行协商谈判的；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f)拒绝有关部门监督检查或提供虚假情况的。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供应商有前款第a)至e)项情形之一的，中标、成交无效。</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地址：　　　　　　　　　　　　　　　邮政编码：</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电话：                              传真：</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开户银行：                          帐号：</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法定代表人或其授权代表(签字或盖章)：</w:t>
      </w:r>
    </w:p>
    <w:p>
      <w:pPr>
        <w:pStyle w:val="67"/>
        <w:spacing w:afterLines="0" w:line="440" w:lineRule="exact"/>
        <w:ind w:firstLine="480"/>
        <w:rPr>
          <w:rFonts w:ascii="仿宋_GB2312" w:hAnsi="宋体" w:eastAsia="仿宋_GB2312"/>
          <w:b/>
          <w:color w:val="auto"/>
          <w:sz w:val="30"/>
          <w:szCs w:val="30"/>
          <w:highlight w:val="none"/>
        </w:rPr>
      </w:pPr>
      <w:r>
        <w:rPr>
          <w:rFonts w:hint="eastAsia" w:ascii="仿宋_GB2312" w:hAnsi="宋体" w:eastAsia="仿宋_GB2312"/>
          <w:color w:val="auto"/>
          <w:szCs w:val="24"/>
          <w:highlight w:val="none"/>
        </w:rPr>
        <w:t xml:space="preserve">投标人(电子签章)：　　　　　　　　　日期：   </w:t>
      </w:r>
    </w:p>
    <w:p>
      <w:pPr>
        <w:pageBreakBefore/>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2、开标一览表（格式）</w:t>
      </w:r>
    </w:p>
    <w:p>
      <w:pPr>
        <w:spacing w:line="400" w:lineRule="exact"/>
        <w:rPr>
          <w:rFonts w:ascii="仿宋_GB2312" w:hAnsi="宋体" w:eastAsia="仿宋_GB2312"/>
          <w:color w:val="auto"/>
          <w:sz w:val="24"/>
          <w:highlight w:val="none"/>
        </w:rPr>
      </w:pPr>
    </w:p>
    <w:p>
      <w:pPr>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投标人名称：</w:t>
      </w:r>
    </w:p>
    <w:p>
      <w:pPr>
        <w:snapToGrid w:val="0"/>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标    项：</w:t>
      </w:r>
    </w:p>
    <w:p>
      <w:pPr>
        <w:snapToGrid w:val="0"/>
        <w:spacing w:line="400" w:lineRule="exac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招标编号：</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单位：元</w:t>
      </w:r>
    </w:p>
    <w:tbl>
      <w:tblPr>
        <w:tblStyle w:val="41"/>
        <w:tblW w:w="8926"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7"/>
        <w:gridCol w:w="1080"/>
        <w:gridCol w:w="1261"/>
        <w:gridCol w:w="900"/>
        <w:gridCol w:w="720"/>
        <w:gridCol w:w="1440"/>
        <w:gridCol w:w="540"/>
        <w:gridCol w:w="540"/>
        <w:gridCol w:w="720"/>
        <w:gridCol w:w="107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tabs>
                <w:tab w:val="left" w:pos="540"/>
              </w:tabs>
              <w:adjustRightInd w:val="0"/>
              <w:snapToGrid w:val="0"/>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序号</w:t>
            </w:r>
          </w:p>
        </w:tc>
        <w:tc>
          <w:tcPr>
            <w:tcW w:w="1080" w:type="dxa"/>
            <w:tcBorders>
              <w:right w:val="single" w:color="auto" w:sz="4" w:space="0"/>
            </w:tcBorders>
            <w:vAlign w:val="center"/>
          </w:tcPr>
          <w:p>
            <w:pPr>
              <w:adjustRightInd w:val="0"/>
              <w:snapToGrid w:val="0"/>
              <w:ind w:left="-107" w:leftChars="-51" w:right="-107" w:rightChars="-51" w:firstLine="2"/>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名称</w:t>
            </w:r>
          </w:p>
        </w:tc>
        <w:tc>
          <w:tcPr>
            <w:tcW w:w="1261" w:type="dxa"/>
            <w:tcBorders>
              <w:left w:val="single" w:color="auto" w:sz="4" w:space="0"/>
            </w:tcBorders>
            <w:vAlign w:val="center"/>
          </w:tcPr>
          <w:p>
            <w:pPr>
              <w:adjustRightInd w:val="0"/>
              <w:snapToGrid w:val="0"/>
              <w:ind w:left="-107" w:leftChars="-51" w:right="-107" w:rightChars="-51"/>
              <w:rPr>
                <w:rFonts w:ascii="宋体" w:hAnsi="宋体"/>
                <w:color w:val="auto"/>
                <w:spacing w:val="20"/>
                <w:sz w:val="18"/>
                <w:szCs w:val="18"/>
                <w:highlight w:val="none"/>
              </w:rPr>
            </w:pPr>
            <w:r>
              <w:rPr>
                <w:rFonts w:hint="eastAsia" w:ascii="宋体" w:hAnsi="宋体"/>
                <w:color w:val="auto"/>
                <w:spacing w:val="20"/>
                <w:sz w:val="18"/>
                <w:szCs w:val="18"/>
                <w:highlight w:val="none"/>
              </w:rPr>
              <w:t>货物的制造商或服务的提供商</w:t>
            </w:r>
          </w:p>
        </w:tc>
        <w:tc>
          <w:tcPr>
            <w:tcW w:w="900" w:type="dxa"/>
            <w:vAlign w:val="center"/>
          </w:tcPr>
          <w:p>
            <w:pPr>
              <w:adjustRightInd w:val="0"/>
              <w:snapToGrid w:val="0"/>
              <w:ind w:left="-107" w:leftChars="-51" w:right="-107" w:rightChars="-51" w:firstLine="1"/>
              <w:rPr>
                <w:rFonts w:ascii="宋体" w:hAnsi="宋体"/>
                <w:color w:val="auto"/>
                <w:spacing w:val="20"/>
                <w:sz w:val="18"/>
                <w:szCs w:val="18"/>
                <w:highlight w:val="none"/>
              </w:rPr>
            </w:pPr>
            <w:r>
              <w:rPr>
                <w:rFonts w:hint="eastAsia" w:ascii="宋体" w:hAnsi="宋体"/>
                <w:color w:val="auto"/>
                <w:spacing w:val="20"/>
                <w:sz w:val="18"/>
                <w:szCs w:val="18"/>
                <w:highlight w:val="none"/>
              </w:rPr>
              <w:t>品牌（如有）</w:t>
            </w:r>
          </w:p>
        </w:tc>
        <w:tc>
          <w:tcPr>
            <w:tcW w:w="720" w:type="dxa"/>
            <w:vAlign w:val="center"/>
          </w:tcPr>
          <w:p>
            <w:pPr>
              <w:adjustRightInd w:val="0"/>
              <w:snapToGrid w:val="0"/>
              <w:ind w:left="-107" w:leftChars="-51" w:right="-107" w:rightChars="-5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数量</w:t>
            </w:r>
          </w:p>
        </w:tc>
        <w:tc>
          <w:tcPr>
            <w:tcW w:w="1440" w:type="dxa"/>
            <w:vAlign w:val="center"/>
          </w:tcPr>
          <w:p>
            <w:pPr>
              <w:adjustRightInd w:val="0"/>
              <w:snapToGrid w:val="0"/>
              <w:ind w:left="-107" w:leftChars="-51" w:right="-107" w:rightChars="-51" w:firstLine="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型号和规格</w:t>
            </w:r>
            <w:r>
              <w:rPr>
                <w:rFonts w:hint="eastAsia" w:ascii="宋体" w:hAnsi="宋体"/>
                <w:b/>
                <w:color w:val="auto"/>
                <w:sz w:val="18"/>
                <w:szCs w:val="18"/>
                <w:highlight w:val="none"/>
              </w:rPr>
              <w:t>（或具体服务）</w:t>
            </w:r>
          </w:p>
        </w:tc>
        <w:tc>
          <w:tcPr>
            <w:tcW w:w="540" w:type="dxa"/>
            <w:tcBorders>
              <w:right w:val="single" w:color="auto" w:sz="4" w:space="0"/>
            </w:tcBorders>
            <w:vAlign w:val="center"/>
          </w:tcPr>
          <w:p>
            <w:pPr>
              <w:adjustRightInd w:val="0"/>
              <w:snapToGrid w:val="0"/>
              <w:ind w:left="-107" w:leftChars="-51" w:right="-107" w:rightChars="-51" w:firstLine="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单价</w:t>
            </w:r>
          </w:p>
        </w:tc>
        <w:tc>
          <w:tcPr>
            <w:tcW w:w="540" w:type="dxa"/>
            <w:tcBorders>
              <w:left w:val="single" w:color="auto" w:sz="4" w:space="0"/>
            </w:tcBorders>
            <w:vAlign w:val="center"/>
          </w:tcPr>
          <w:p>
            <w:pPr>
              <w:adjustRightInd w:val="0"/>
              <w:snapToGrid w:val="0"/>
              <w:ind w:left="-107" w:leftChars="-51" w:right="-107" w:rightChars="-51" w:firstLine="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总价</w:t>
            </w:r>
          </w:p>
        </w:tc>
        <w:tc>
          <w:tcPr>
            <w:tcW w:w="720" w:type="dxa"/>
            <w:vAlign w:val="center"/>
          </w:tcPr>
          <w:p>
            <w:pPr>
              <w:adjustRightInd w:val="0"/>
              <w:snapToGrid w:val="0"/>
              <w:ind w:left="0" w:leftChars="-51" w:right="-107" w:rightChars="-51" w:hanging="107" w:hangingChars="49"/>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交货期</w:t>
            </w:r>
          </w:p>
        </w:tc>
        <w:tc>
          <w:tcPr>
            <w:tcW w:w="1078" w:type="dxa"/>
            <w:vAlign w:val="center"/>
          </w:tcPr>
          <w:p>
            <w:pPr>
              <w:tabs>
                <w:tab w:val="left" w:pos="1224"/>
              </w:tabs>
              <w:adjustRightInd w:val="0"/>
              <w:snapToGrid w:val="0"/>
              <w:ind w:right="-107" w:rightChars="-51"/>
              <w:rPr>
                <w:rFonts w:ascii="宋体" w:hAnsi="宋体"/>
                <w:color w:val="auto"/>
                <w:spacing w:val="20"/>
                <w:sz w:val="18"/>
                <w:szCs w:val="18"/>
                <w:highlight w:val="none"/>
              </w:rPr>
            </w:pPr>
            <w:r>
              <w:rPr>
                <w:rFonts w:hint="eastAsia" w:ascii="宋体" w:hAnsi="宋体"/>
                <w:color w:val="auto"/>
                <w:spacing w:val="20"/>
                <w:sz w:val="18"/>
                <w:szCs w:val="18"/>
                <w:highlight w:val="none"/>
              </w:rPr>
              <w:t>质保期/服务要求（年限）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1</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2</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3</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4</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1727" w:type="dxa"/>
            <w:gridSpan w:val="2"/>
            <w:vMerge w:val="restart"/>
            <w:tcBorders>
              <w:right w:val="single" w:color="auto" w:sz="4" w:space="0"/>
            </w:tcBorders>
            <w:vAlign w:val="center"/>
          </w:tcPr>
          <w:p>
            <w:pPr>
              <w:adjustRightInd w:val="0"/>
              <w:snapToGrid w:val="0"/>
              <w:ind w:right="172" w:rightChars="82" w:firstLine="444" w:firstLineChars="202"/>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投标总价</w:t>
            </w:r>
          </w:p>
        </w:tc>
        <w:tc>
          <w:tcPr>
            <w:tcW w:w="7199" w:type="dxa"/>
            <w:gridSpan w:val="8"/>
            <w:tcBorders>
              <w:left w:val="single" w:color="auto" w:sz="4" w:space="0"/>
              <w:bottom w:val="single" w:color="auto" w:sz="4" w:space="0"/>
            </w:tcBorders>
            <w:vAlign w:val="center"/>
          </w:tcPr>
          <w:p>
            <w:pPr>
              <w:adjustRightInd w:val="0"/>
              <w:snapToGrid w:val="0"/>
              <w:ind w:right="172" w:rightChars="82"/>
              <w:rPr>
                <w:rFonts w:ascii="宋体" w:hAnsi="宋体"/>
                <w:color w:val="auto"/>
                <w:spacing w:val="20"/>
                <w:sz w:val="18"/>
                <w:szCs w:val="18"/>
                <w:highlight w:val="none"/>
              </w:rPr>
            </w:pPr>
            <w:r>
              <w:rPr>
                <w:rFonts w:hint="eastAsia" w:ascii="宋体" w:hAnsi="宋体"/>
                <w:color w:val="auto"/>
                <w:spacing w:val="20"/>
                <w:sz w:val="18"/>
                <w:szCs w:val="18"/>
                <w:highlight w:val="none"/>
              </w:rPr>
              <w:t>小写：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727" w:type="dxa"/>
            <w:gridSpan w:val="2"/>
            <w:vMerge w:val="continue"/>
            <w:tcBorders>
              <w:right w:val="single" w:color="auto" w:sz="4" w:space="0"/>
            </w:tcBorders>
            <w:vAlign w:val="center"/>
          </w:tcPr>
          <w:p>
            <w:pPr>
              <w:adjustRightInd w:val="0"/>
              <w:snapToGrid w:val="0"/>
              <w:ind w:right="172" w:rightChars="82" w:firstLine="444" w:firstLineChars="202"/>
              <w:jc w:val="center"/>
              <w:rPr>
                <w:rFonts w:ascii="宋体" w:hAnsi="宋体"/>
                <w:color w:val="auto"/>
                <w:spacing w:val="20"/>
                <w:sz w:val="18"/>
                <w:szCs w:val="18"/>
                <w:highlight w:val="none"/>
              </w:rPr>
            </w:pPr>
          </w:p>
        </w:tc>
        <w:tc>
          <w:tcPr>
            <w:tcW w:w="7199" w:type="dxa"/>
            <w:gridSpan w:val="8"/>
            <w:tcBorders>
              <w:top w:val="single" w:color="auto" w:sz="4" w:space="0"/>
              <w:left w:val="single" w:color="auto" w:sz="4" w:space="0"/>
            </w:tcBorders>
            <w:vAlign w:val="center"/>
          </w:tcPr>
          <w:p>
            <w:pPr>
              <w:adjustRightInd w:val="0"/>
              <w:snapToGrid w:val="0"/>
              <w:ind w:right="172" w:rightChars="82"/>
              <w:rPr>
                <w:rFonts w:ascii="宋体" w:hAnsi="宋体"/>
                <w:color w:val="auto"/>
                <w:spacing w:val="20"/>
                <w:sz w:val="18"/>
                <w:szCs w:val="18"/>
                <w:highlight w:val="none"/>
              </w:rPr>
            </w:pPr>
            <w:r>
              <w:rPr>
                <w:rFonts w:hint="eastAsia" w:ascii="宋体" w:hAnsi="宋体"/>
                <w:color w:val="auto"/>
                <w:spacing w:val="20"/>
                <w:sz w:val="18"/>
                <w:szCs w:val="18"/>
                <w:highlight w:val="none"/>
              </w:rPr>
              <w:t>大写：</w:t>
            </w:r>
          </w:p>
        </w:tc>
      </w:tr>
    </w:tbl>
    <w:p>
      <w:pPr>
        <w:snapToGrid w:val="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注: 1.报价一经涂改，应在涂改处加盖单位电子签章或者由法定代表人或其授权代表签字或盖章，否则其投标作无效投标处理。</w:t>
      </w:r>
    </w:p>
    <w:p>
      <w:pPr>
        <w:snapToGrid w:val="0"/>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2.招标人不接受某一标项中有2个(含)以上的报价或方案，若投标人在此表中有2个（含）以上的报价或方案，其投标作无效投标处理。</w:t>
      </w:r>
    </w:p>
    <w:p>
      <w:pPr>
        <w:ind w:left="-2" w:leftChars="-1" w:firstLine="480" w:firstLineChars="20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3.投标人需按本表格式填写，如无对应内容，则填写：“无或/”。</w:t>
      </w:r>
    </w:p>
    <w:p>
      <w:pPr>
        <w:snapToGrid w:val="0"/>
        <w:ind w:left="48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4.有关本项目实施所涉及的一切费用均计入报价。</w:t>
      </w:r>
    </w:p>
    <w:p>
      <w:pPr>
        <w:snapToGrid w:val="0"/>
        <w:ind w:firstLine="480" w:firstLineChars="200"/>
        <w:jc w:val="left"/>
        <w:rPr>
          <w:rFonts w:ascii="仿宋_GB2312" w:hAnsi="宋体" w:eastAsia="仿宋_GB2312"/>
          <w:b/>
          <w:color w:val="auto"/>
          <w:sz w:val="24"/>
          <w:highlight w:val="none"/>
        </w:rPr>
      </w:pPr>
      <w:r>
        <w:rPr>
          <w:rFonts w:hint="eastAsia" w:ascii="仿宋_GB2312" w:hAnsi="仿宋_GB2312" w:eastAsia="仿宋_GB2312" w:cs="仿宋_GB2312"/>
          <w:color w:val="auto"/>
          <w:kern w:val="0"/>
          <w:sz w:val="24"/>
          <w:highlight w:val="none"/>
          <w:lang w:val="zh-CN"/>
        </w:rPr>
        <w:t>5.</w:t>
      </w:r>
      <w:r>
        <w:rPr>
          <w:rFonts w:hint="eastAsia" w:ascii="仿宋_GB2312" w:hAnsi="宋体" w:eastAsia="仿宋_GB2312"/>
          <w:color w:val="auto"/>
          <w:kern w:val="0"/>
          <w:sz w:val="24"/>
          <w:highlight w:val="none"/>
          <w:lang w:val="zh-CN"/>
        </w:rPr>
        <w:t>以上表格要求细分项目及报价，</w:t>
      </w:r>
      <w:r>
        <w:rPr>
          <w:rFonts w:hint="eastAsia" w:ascii="仿宋_GB2312" w:hAnsi="仿宋" w:eastAsia="仿宋_GB2312" w:cs="Arial"/>
          <w:b/>
          <w:color w:val="auto"/>
          <w:kern w:val="0"/>
          <w:sz w:val="24"/>
          <w:highlight w:val="none"/>
        </w:rPr>
        <w:t>在“规格型号（或具体服务）”一栏中，货物类项目填写规格型号，服务类项目填写具体服务。</w:t>
      </w:r>
      <w:r>
        <w:rPr>
          <w:rFonts w:hint="eastAsia" w:ascii="仿宋_GB2312" w:hAnsi="宋体" w:eastAsia="仿宋_GB2312"/>
          <w:b/>
          <w:color w:val="auto"/>
          <w:sz w:val="24"/>
          <w:highlight w:val="none"/>
        </w:rPr>
        <w:t>服务包含但不仅限于：服务方案、次数或人数、服务年限等，产品包含但不仅限于:名称、品牌、型号、生产厂商、数量、质保期等。</w:t>
      </w:r>
    </w:p>
    <w:p>
      <w:pPr>
        <w:ind w:firstLine="482" w:firstLineChars="200"/>
        <w:rPr>
          <w:rFonts w:ascii="仿宋_GB2312" w:hAnsi="宋体" w:eastAsia="仿宋_GB2312"/>
          <w:b/>
          <w:color w:val="auto"/>
          <w:kern w:val="0"/>
          <w:sz w:val="24"/>
          <w:highlight w:val="none"/>
          <w:lang w:val="zh-CN"/>
        </w:rPr>
      </w:pPr>
      <w:r>
        <w:rPr>
          <w:rFonts w:hint="eastAsia" w:ascii="仿宋_GB2312" w:hAnsi="宋体" w:eastAsia="仿宋_GB2312"/>
          <w:b/>
          <w:color w:val="auto"/>
          <w:sz w:val="24"/>
          <w:highlight w:val="none"/>
        </w:rPr>
        <w:t>6</w:t>
      </w:r>
      <w:r>
        <w:rPr>
          <w:rFonts w:hint="eastAsia" w:ascii="仿宋_GB2312" w:hAnsi="宋体" w:eastAsia="仿宋_GB2312"/>
          <w:b/>
          <w:color w:val="auto"/>
          <w:kern w:val="0"/>
          <w:sz w:val="24"/>
          <w:highlight w:val="none"/>
          <w:lang w:val="zh-CN"/>
        </w:rPr>
        <w:t>.特别提示：采购机构将对</w:t>
      </w:r>
      <w:r>
        <w:rPr>
          <w:rFonts w:hint="eastAsia" w:ascii="仿宋_GB2312" w:hAnsi="仿宋" w:eastAsia="仿宋_GB2312" w:cs="宋体"/>
          <w:b/>
          <w:color w:val="auto"/>
          <w:kern w:val="0"/>
          <w:sz w:val="24"/>
          <w:highlight w:val="none"/>
        </w:rPr>
        <w:t>项目名称和项目编号，中标供应商名称、地址和中标金额，主要中标标的的名称、规格型号、数量、单价、服务要求等</w:t>
      </w:r>
      <w:r>
        <w:rPr>
          <w:rFonts w:hint="eastAsia" w:ascii="仿宋_GB2312" w:hAnsi="宋体" w:eastAsia="仿宋_GB2312"/>
          <w:b/>
          <w:color w:val="auto"/>
          <w:kern w:val="0"/>
          <w:sz w:val="24"/>
          <w:highlight w:val="none"/>
          <w:lang w:val="zh-CN"/>
        </w:rPr>
        <w:t>予以公示。请把上述涉及的内容完整填写在开标一览表中。</w:t>
      </w:r>
    </w:p>
    <w:p>
      <w:pPr>
        <w:spacing w:line="360" w:lineRule="auto"/>
        <w:ind w:left="-3" w:leftChars="-72" w:right="-817" w:rightChars="-389" w:hanging="148" w:hangingChars="62"/>
        <w:rPr>
          <w:rFonts w:ascii="仿宋_GB2312" w:hAnsi="宋体" w:eastAsia="仿宋_GB2312"/>
          <w:color w:val="auto"/>
          <w:sz w:val="24"/>
          <w:highlight w:val="none"/>
        </w:rPr>
      </w:pPr>
    </w:p>
    <w:p>
      <w:pPr>
        <w:spacing w:line="360" w:lineRule="auto"/>
        <w:ind w:left="-4" w:leftChars="-2" w:right="-817" w:rightChars="-389" w:firstLine="2"/>
        <w:rPr>
          <w:rFonts w:ascii="仿宋_GB2312" w:hAnsi="宋体" w:eastAsia="仿宋_GB2312"/>
          <w:color w:val="auto"/>
          <w:sz w:val="24"/>
          <w:highlight w:val="none"/>
        </w:rPr>
      </w:pPr>
      <w:r>
        <w:rPr>
          <w:rFonts w:hint="eastAsia" w:ascii="仿宋_GB2312" w:hAnsi="宋体" w:eastAsia="仿宋_GB2312"/>
          <w:color w:val="auto"/>
          <w:sz w:val="24"/>
          <w:highlight w:val="none"/>
        </w:rPr>
        <w:t>投标人（电子签章）：</w:t>
      </w:r>
    </w:p>
    <w:p>
      <w:pPr>
        <w:spacing w:line="360" w:lineRule="auto"/>
        <w:outlineLvl w:val="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法定代表人或其授权代表（签字或盖章）：            日期：    年   月   日</w:t>
      </w:r>
    </w:p>
    <w:p>
      <w:pPr>
        <w:pageBreakBefore/>
        <w:spacing w:line="360" w:lineRule="auto"/>
        <w:jc w:val="center"/>
        <w:outlineLvl w:val="0"/>
        <w:rPr>
          <w:rFonts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商务技术（资信）文件部分</w:t>
      </w:r>
    </w:p>
    <w:p>
      <w:pPr>
        <w:spacing w:line="360" w:lineRule="auto"/>
        <w:jc w:val="center"/>
        <w:outlineLvl w:val="0"/>
        <w:rPr>
          <w:rFonts w:ascii="仿宋_GB2312" w:hAnsi="仿宋_GB2312" w:eastAsia="仿宋_GB2312" w:cs="仿宋_GB2312"/>
          <w:b/>
          <w:color w:val="auto"/>
          <w:kern w:val="0"/>
          <w:sz w:val="24"/>
          <w:highlight w:val="none"/>
        </w:rPr>
      </w:pPr>
    </w:p>
    <w:p>
      <w:pPr>
        <w:spacing w:line="360" w:lineRule="auto"/>
        <w:jc w:val="center"/>
        <w:outlineLvl w:val="0"/>
        <w:rPr>
          <w:rFonts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目录</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（1）法定代表人授权书 …………………………………………………………（页码）</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（2）授权代表社保证明（复印件）………………………………………………（页码）</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（3）法定代表人及其授权代表的身份证（复印件）……………………………（页码）</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（4）法定代表人身份证明书………………………………………………………（页码）</w:t>
      </w:r>
    </w:p>
    <w:p>
      <w:pPr>
        <w:spacing w:line="360" w:lineRule="auto"/>
        <w:outlineLvl w:val="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（5）所有与符合性审查有关的资信文件（复印件）（营业执照、2021年度财务报表、纳税和社保缴纳证明</w:t>
      </w:r>
      <w:r>
        <w:rPr>
          <w:rFonts w:hint="eastAsia" w:ascii="仿宋_GB2312" w:hAnsi="仿宋_GB2312" w:eastAsia="仿宋_GB2312" w:cs="仿宋_GB2312"/>
          <w:color w:val="auto"/>
          <w:kern w:val="0"/>
          <w:sz w:val="24"/>
          <w:highlight w:val="none"/>
        </w:rPr>
        <w:t>）</w:t>
      </w:r>
      <w:r>
        <w:rPr>
          <w:rFonts w:hint="eastAsia" w:hAnsi="仿宋_GB2312" w:cs="仿宋_GB2312"/>
          <w:color w:val="auto"/>
          <w:highlight w:val="none"/>
          <w:lang w:val="zh-CN"/>
        </w:rPr>
        <w:t>………………………………………………………</w:t>
      </w:r>
      <w:r>
        <w:rPr>
          <w:rFonts w:hint="eastAsia" w:hAnsi="仿宋_GB2312" w:cs="仿宋_GB2312"/>
          <w:color w:val="auto"/>
          <w:highlight w:val="none"/>
        </w:rPr>
        <w:t>…………</w:t>
      </w:r>
      <w:r>
        <w:rPr>
          <w:rFonts w:hint="eastAsia" w:hAnsi="仿宋_GB2312" w:cs="仿宋_GB2312"/>
          <w:color w:val="auto"/>
          <w:highlight w:val="none"/>
          <w:lang w:val="zh-CN"/>
        </w:rPr>
        <w:t>…</w:t>
      </w:r>
      <w:r>
        <w:rPr>
          <w:rFonts w:hint="eastAsia" w:ascii="仿宋_GB2312" w:hAnsi="仿宋_GB2312" w:eastAsia="仿宋_GB2312" w:cs="仿宋_GB2312"/>
          <w:color w:val="auto"/>
          <w:kern w:val="0"/>
          <w:sz w:val="24"/>
          <w:highlight w:val="none"/>
        </w:rPr>
        <w:t>（页码）</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（6）具有履</w:t>
      </w:r>
      <w:r>
        <w:rPr>
          <w:rFonts w:hint="eastAsia" w:ascii="仿宋_GB2312" w:hAnsi="仿宋_GB2312" w:eastAsia="仿宋_GB2312" w:cs="仿宋_GB2312"/>
          <w:color w:val="auto"/>
          <w:kern w:val="0"/>
          <w:sz w:val="24"/>
          <w:highlight w:val="none"/>
        </w:rPr>
        <w:t>行合同所必需的设备和专业技术能力的承诺函……………………（页码）</w:t>
      </w:r>
    </w:p>
    <w:p>
      <w:pPr>
        <w:pStyle w:val="191"/>
        <w:spacing w:line="360" w:lineRule="auto"/>
        <w:ind w:firstLine="0" w:firstLineChars="0"/>
        <w:rPr>
          <w:rFonts w:hAnsi="仿宋_GB2312" w:cs="仿宋_GB2312"/>
          <w:color w:val="auto"/>
          <w:kern w:val="0"/>
          <w:highlight w:val="none"/>
        </w:rPr>
      </w:pPr>
      <w:r>
        <w:rPr>
          <w:rFonts w:hint="eastAsia" w:hAnsi="仿宋_GB2312" w:cs="仿宋_GB2312"/>
          <w:color w:val="auto"/>
          <w:highlight w:val="none"/>
        </w:rPr>
        <w:t>（7）重大违法记录的声明</w:t>
      </w:r>
      <w:r>
        <w:rPr>
          <w:rFonts w:hint="eastAsia" w:hAnsi="仿宋_GB2312" w:cs="仿宋_GB2312"/>
          <w:color w:val="auto"/>
          <w:kern w:val="0"/>
          <w:highlight w:val="none"/>
        </w:rPr>
        <w:t xml:space="preserve"> …</w:t>
      </w:r>
      <w:r>
        <w:rPr>
          <w:rFonts w:hint="eastAsia" w:hAnsi="仿宋_GB2312" w:cs="仿宋_GB2312"/>
          <w:color w:val="auto"/>
          <w:highlight w:val="none"/>
        </w:rPr>
        <w:t>……………………………………………………</w:t>
      </w:r>
      <w:r>
        <w:rPr>
          <w:rFonts w:hint="eastAsia" w:hAnsi="仿宋_GB2312" w:cs="仿宋_GB2312"/>
          <w:color w:val="auto"/>
          <w:kern w:val="0"/>
          <w:highlight w:val="none"/>
        </w:rPr>
        <w:t>（页码）</w:t>
      </w:r>
    </w:p>
    <w:p>
      <w:pPr>
        <w:pStyle w:val="191"/>
        <w:spacing w:line="360" w:lineRule="auto"/>
        <w:ind w:firstLine="0" w:firstLineChars="0"/>
        <w:rPr>
          <w:rFonts w:hAnsi="仿宋_GB2312" w:cs="仿宋_GB2312"/>
          <w:color w:val="auto"/>
          <w:highlight w:val="none"/>
        </w:rPr>
      </w:pPr>
      <w:r>
        <w:rPr>
          <w:rFonts w:hint="eastAsia" w:hAnsi="仿宋_GB2312" w:cs="仿宋_GB2312"/>
          <w:color w:val="auto"/>
          <w:highlight w:val="none"/>
        </w:rPr>
        <w:t>（8）符合特定资格条件（如果项目要求）的有关证明材料（复印件）………（页码）</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（9）</w:t>
      </w:r>
      <w:r>
        <w:rPr>
          <w:rFonts w:hint="eastAsia" w:hAnsi="仿宋_GB2312" w:cs="仿宋_GB2312"/>
          <w:snapToGrid w:val="0"/>
          <w:color w:val="auto"/>
          <w:highlight w:val="none"/>
        </w:rPr>
        <w:t>非本地投标人售后服务机构证明材料</w:t>
      </w:r>
      <w:r>
        <w:rPr>
          <w:rFonts w:hint="eastAsia" w:hAnsi="仿宋_GB2312" w:cs="仿宋_GB2312"/>
          <w:color w:val="auto"/>
          <w:highlight w:val="none"/>
        </w:rPr>
        <w:t>……………………………………（页码）</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（10）</w:t>
      </w:r>
      <w:r>
        <w:rPr>
          <w:rFonts w:hint="eastAsia" w:hAnsi="仿宋_GB2312" w:cs="仿宋_GB2312"/>
          <w:color w:val="auto"/>
          <w:highlight w:val="none"/>
          <w:lang w:val="zh-CN"/>
        </w:rPr>
        <w:t>主要业绩证明…………………………………………………</w:t>
      </w:r>
      <w:r>
        <w:rPr>
          <w:rFonts w:hint="eastAsia" w:hAnsi="仿宋_GB2312" w:cs="仿宋_GB2312"/>
          <w:color w:val="auto"/>
          <w:highlight w:val="none"/>
        </w:rPr>
        <w:t>…………</w:t>
      </w:r>
      <w:r>
        <w:rPr>
          <w:rFonts w:hint="eastAsia" w:hAnsi="仿宋_GB2312" w:cs="仿宋_GB2312"/>
          <w:color w:val="auto"/>
          <w:highlight w:val="none"/>
          <w:lang w:val="zh-CN"/>
        </w:rPr>
        <w:t>…</w:t>
      </w:r>
      <w:r>
        <w:rPr>
          <w:rFonts w:hint="eastAsia" w:hAnsi="仿宋_GB2312" w:cs="仿宋_GB2312"/>
          <w:color w:val="auto"/>
          <w:highlight w:val="none"/>
        </w:rPr>
        <w:t>（页码）</w:t>
      </w:r>
    </w:p>
    <w:p>
      <w:pPr>
        <w:pStyle w:val="191"/>
        <w:spacing w:line="360" w:lineRule="auto"/>
        <w:ind w:left="0" w:firstLine="0" w:firstLineChars="0"/>
        <w:rPr>
          <w:rFonts w:hAnsi="仿宋_GB2312" w:cs="仿宋_GB2312"/>
          <w:color w:val="auto"/>
          <w:highlight w:val="none"/>
        </w:rPr>
      </w:pPr>
      <w:r>
        <w:rPr>
          <w:rFonts w:hint="eastAsia" w:hAnsi="仿宋_GB2312" w:cs="仿宋_GB2312"/>
          <w:color w:val="auto"/>
          <w:highlight w:val="none"/>
        </w:rPr>
        <w:t>（11）廉政承诺书 …………………………………………………………………（页码）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（12）技术解决方案…………………………………………………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（13）技术偏离说明表………………………………………………</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（14）组织实施方案……………………………………………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（15）售后服务方案……………………………………………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（16）项目小组人员名单………………………………………</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（17）</w:t>
      </w:r>
      <w:r>
        <w:rPr>
          <w:rFonts w:hint="eastAsia" w:ascii="仿宋_GB2312" w:hAnsi="仿宋_GB2312" w:eastAsia="仿宋_GB2312" w:cs="仿宋_GB2312"/>
          <w:color w:val="auto"/>
          <w:kern w:val="0"/>
          <w:sz w:val="24"/>
          <w:highlight w:val="none"/>
          <w:lang w:val="zh-CN"/>
        </w:rPr>
        <w:t>优惠条件及特殊承诺……………………………………</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（18）</w:t>
      </w:r>
      <w:r>
        <w:rPr>
          <w:rFonts w:hint="eastAsia" w:ascii="仿宋_GB2312" w:hAnsi="仿宋_GB2312" w:eastAsia="仿宋_GB2312" w:cs="仿宋_GB2312"/>
          <w:color w:val="auto"/>
          <w:kern w:val="0"/>
          <w:sz w:val="24"/>
          <w:highlight w:val="none"/>
          <w:lang w:val="zh-CN"/>
        </w:rPr>
        <w:t>备品备件及供选择的配套零部件清单………………………</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（19）</w:t>
      </w:r>
      <w:r>
        <w:rPr>
          <w:rFonts w:hint="eastAsia" w:ascii="仿宋_GB2312" w:hAnsi="仿宋_GB2312" w:eastAsia="仿宋_GB2312" w:cs="仿宋_GB2312"/>
          <w:color w:val="auto"/>
          <w:kern w:val="0"/>
          <w:sz w:val="24"/>
          <w:highlight w:val="none"/>
          <w:lang w:val="zh-CN"/>
        </w:rPr>
        <w:t>培训计划………………………………………………………</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w:t>
      </w:r>
      <w:r>
        <w:rPr>
          <w:rFonts w:hint="eastAsia" w:ascii="仿宋_GB2312" w:hAnsi="仿宋_GB2312" w:eastAsia="仿宋_GB2312" w:cs="仿宋_GB2312"/>
          <w:color w:val="auto"/>
          <w:kern w:val="0"/>
          <w:sz w:val="24"/>
          <w:highlight w:val="none"/>
          <w:lang w:val="zh-CN"/>
        </w:rPr>
        <w:t>验收方案…………………………………………………………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1</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认为需要的其他商务技术（资信）文件或说明………………</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联合协议（如有）……………………………………………………</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3</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分包意向协议（如有）…………………………………………</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4</w:t>
      </w:r>
      <w:r>
        <w:rPr>
          <w:rFonts w:hint="eastAsia" w:ascii="仿宋_GB2312" w:hAnsi="仿宋_GB2312" w:eastAsia="仿宋_GB2312" w:cs="仿宋_GB2312"/>
          <w:color w:val="auto"/>
          <w:kern w:val="0"/>
          <w:sz w:val="24"/>
          <w:highlight w:val="none"/>
        </w:rPr>
        <w:t>）中小企业声明函</w:t>
      </w:r>
      <w:r>
        <w:rPr>
          <w:rFonts w:hint="eastAsia" w:ascii="仿宋_GB2312" w:hAnsi="仿宋_GB2312" w:eastAsia="仿宋_GB2312" w:cs="仿宋_GB2312"/>
          <w:color w:val="auto"/>
          <w:kern w:val="0"/>
          <w:sz w:val="24"/>
          <w:highlight w:val="none"/>
          <w:lang w:val="zh-CN"/>
        </w:rPr>
        <w:t>（如有）</w:t>
      </w:r>
      <w:r>
        <w:rPr>
          <w:rFonts w:hint="eastAsia" w:ascii="仿宋_GB2312" w:hAnsi="仿宋_GB2312" w:eastAsia="仿宋_GB2312" w:cs="仿宋_GB2312"/>
          <w:color w:val="auto"/>
          <w:kern w:val="0"/>
          <w:sz w:val="24"/>
          <w:highlight w:val="none"/>
        </w:rPr>
        <w:t>……………………………………………………（页码）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注：以上目录是基本格式要求，各投标人可根据自身情况和评分标准进一步细化。</w:t>
      </w:r>
    </w:p>
    <w:p>
      <w:pPr>
        <w:pageBreakBefore/>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 xml:space="preserve">1、法定代表人授权委托书（格式） </w:t>
      </w:r>
      <w:r>
        <w:rPr>
          <w:rFonts w:hint="eastAsia" w:ascii="仿宋_GB2312" w:hAnsi="仿宋" w:eastAsia="仿宋_GB2312" w:cs="仿宋_GB2312"/>
          <w:b/>
          <w:color w:val="auto"/>
          <w:kern w:val="0"/>
          <w:sz w:val="32"/>
          <w:szCs w:val="32"/>
          <w:highlight w:val="none"/>
          <w:lang w:val="zh-CN"/>
        </w:rPr>
        <w:t>（适用于非联合体投标）</w:t>
      </w:r>
    </w:p>
    <w:p>
      <w:pPr>
        <w:jc w:val="center"/>
        <w:rPr>
          <w:rFonts w:ascii="仿宋_GB2312" w:hAnsi="宋体" w:eastAsia="仿宋_GB2312"/>
          <w:b/>
          <w:color w:val="auto"/>
          <w:sz w:val="24"/>
          <w:highlight w:val="none"/>
        </w:rPr>
      </w:pPr>
    </w:p>
    <w:p>
      <w:pPr>
        <w:snapToGrid w:val="0"/>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本授权委托书声明：我</w:t>
      </w:r>
      <w:r>
        <w:rPr>
          <w:rFonts w:hint="eastAsia" w:ascii="仿宋_GB2312" w:hAnsi="宋体" w:eastAsia="仿宋_GB2312"/>
          <w:color w:val="auto"/>
          <w:sz w:val="24"/>
          <w:highlight w:val="none"/>
          <w:u w:val="single"/>
        </w:rPr>
        <w:t xml:space="preserve">         (填写姓名)</w:t>
      </w:r>
      <w:r>
        <w:rPr>
          <w:rFonts w:hint="eastAsia" w:ascii="仿宋_GB2312" w:hAnsi="宋体" w:eastAsia="仿宋_GB2312"/>
          <w:color w:val="auto"/>
          <w:sz w:val="24"/>
          <w:highlight w:val="none"/>
        </w:rPr>
        <w:t>系</w:t>
      </w:r>
      <w:r>
        <w:rPr>
          <w:rFonts w:hint="eastAsia" w:ascii="仿宋_GB2312" w:hAnsi="宋体" w:eastAsia="仿宋_GB2312"/>
          <w:color w:val="auto"/>
          <w:sz w:val="24"/>
          <w:highlight w:val="none"/>
          <w:u w:val="single"/>
        </w:rPr>
        <w:t xml:space="preserve">                   （填写投标人单位全称）</w:t>
      </w:r>
      <w:r>
        <w:rPr>
          <w:rFonts w:hint="eastAsia" w:ascii="仿宋_GB2312" w:hAnsi="宋体" w:eastAsia="仿宋_GB2312"/>
          <w:color w:val="auto"/>
          <w:sz w:val="24"/>
          <w:highlight w:val="none"/>
        </w:rPr>
        <w:t>的法定代表人，现授权委托</w:t>
      </w:r>
      <w:r>
        <w:rPr>
          <w:rFonts w:hint="eastAsia" w:ascii="仿宋_GB2312" w:hAnsi="宋体" w:eastAsia="仿宋_GB2312"/>
          <w:color w:val="auto"/>
          <w:sz w:val="24"/>
          <w:highlight w:val="none"/>
          <w:u w:val="single"/>
        </w:rPr>
        <w:t xml:space="preserve">                  （填写单位全称）</w:t>
      </w:r>
      <w:r>
        <w:rPr>
          <w:rFonts w:hint="eastAsia" w:ascii="仿宋_GB2312" w:hAnsi="宋体" w:eastAsia="仿宋_GB2312"/>
          <w:color w:val="auto"/>
          <w:sz w:val="24"/>
          <w:highlight w:val="none"/>
        </w:rPr>
        <w:t>的（填写姓名）为我公司授权代表，</w:t>
      </w:r>
      <w:r>
        <w:rPr>
          <w:rFonts w:hint="eastAsia" w:ascii="仿宋_GB2312" w:hAnsi="宋体" w:eastAsia="仿宋_GB2312"/>
          <w:color w:val="auto"/>
          <w:sz w:val="24"/>
          <w:highlight w:val="none"/>
          <w:u w:val="single"/>
        </w:rPr>
        <w:t>（填写身份证号码：                       ）</w:t>
      </w:r>
      <w:r>
        <w:rPr>
          <w:rFonts w:hint="eastAsia" w:ascii="仿宋_GB2312" w:hAnsi="宋体" w:eastAsia="仿宋_GB2312"/>
          <w:color w:val="auto"/>
          <w:sz w:val="24"/>
          <w:highlight w:val="none"/>
        </w:rPr>
        <w:t>。以本公司的名义参加</w:t>
      </w:r>
      <w:r>
        <w:rPr>
          <w:rFonts w:hint="eastAsia" w:ascii="仿宋_GB2312" w:hAnsi="宋体" w:eastAsia="仿宋_GB2312"/>
          <w:color w:val="auto"/>
          <w:sz w:val="24"/>
          <w:highlight w:val="none"/>
          <w:u w:val="single"/>
          <w:lang w:eastAsia="zh-CN"/>
        </w:rPr>
        <w:t>绍兴市防汛防旱应急保障中心</w:t>
      </w:r>
      <w:r>
        <w:rPr>
          <w:rFonts w:hint="eastAsia" w:ascii="仿宋_GB2312" w:hAnsi="宋体" w:eastAsia="仿宋_GB2312"/>
          <w:color w:val="auto"/>
          <w:sz w:val="24"/>
          <w:highlight w:val="none"/>
        </w:rPr>
        <w:t>组织的</w:t>
      </w:r>
      <w:r>
        <w:rPr>
          <w:rFonts w:hint="eastAsia" w:ascii="仿宋_GB2312" w:hAnsi="宋体" w:eastAsia="仿宋_GB2312"/>
          <w:color w:val="auto"/>
          <w:sz w:val="24"/>
          <w:highlight w:val="none"/>
          <w:u w:val="single"/>
          <w:lang w:val="en-US" w:eastAsia="zh-CN"/>
        </w:rPr>
        <w:t xml:space="preserve">               </w:t>
      </w:r>
      <w:r>
        <w:rPr>
          <w:rFonts w:hint="eastAsia" w:ascii="仿宋_GB2312" w:hAnsi="宋体" w:eastAsia="仿宋_GB2312"/>
          <w:color w:val="auto"/>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授权代表无转委托权。特此委托。</w:t>
      </w:r>
    </w:p>
    <w:p>
      <w:pPr>
        <w:snapToGrid w:val="0"/>
        <w:spacing w:line="600" w:lineRule="exact"/>
        <w:jc w:val="lef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授权代表姓名：              性别：               年龄：</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单位：                      部门：               职务：</w:t>
      </w:r>
    </w:p>
    <w:p>
      <w:pPr>
        <w:spacing w:line="360" w:lineRule="exact"/>
        <w:rPr>
          <w:rFonts w:ascii="仿宋_GB2312" w:hAnsi="宋体" w:eastAsia="仿宋_GB2312"/>
          <w:color w:val="auto"/>
          <w:sz w:val="24"/>
          <w:highlight w:val="none"/>
        </w:rPr>
      </w:pPr>
    </w:p>
    <w:p>
      <w:pPr>
        <w:widowControl/>
        <w:snapToGrid w:val="0"/>
        <w:spacing w:line="440" w:lineRule="exact"/>
        <w:rPr>
          <w:rFonts w:ascii="仿宋_GB2312" w:hAnsi="宋体" w:eastAsia="仿宋_GB2312"/>
          <w:color w:val="auto"/>
          <w:sz w:val="24"/>
          <w:highlight w:val="none"/>
        </w:rPr>
      </w:pPr>
      <w:r>
        <w:rPr>
          <w:rFonts w:hint="eastAsia" w:ascii="仿宋_GB2312" w:hAnsi="宋体" w:eastAsia="仿宋_GB2312"/>
          <w:color w:val="auto"/>
          <w:kern w:val="0"/>
          <w:sz w:val="24"/>
          <w:highlight w:val="none"/>
        </w:rPr>
        <w:t>办公地址：                  联系电话：           传真：</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投标人（电子签章）：</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法定代表人（签字或盖章）：</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ind w:firstLine="5280" w:firstLineChars="2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日期：    年   月   日</w:t>
      </w:r>
    </w:p>
    <w:p>
      <w:pPr>
        <w:ind w:firstLine="4920" w:firstLineChars="2050"/>
        <w:jc w:val="left"/>
        <w:rPr>
          <w:rFonts w:ascii="仿宋_GB2312" w:hAnsi="宋体" w:eastAsia="仿宋_GB2312"/>
          <w:color w:val="auto"/>
          <w:sz w:val="24"/>
          <w:highlight w:val="none"/>
        </w:rPr>
      </w:pPr>
    </w:p>
    <w:p>
      <w:pPr>
        <w:spacing w:line="800" w:lineRule="exact"/>
        <w:rPr>
          <w:rFonts w:ascii="仿宋_GB2312" w:hAnsi="宋体" w:eastAsia="仿宋_GB2312"/>
          <w:b/>
          <w:color w:val="auto"/>
          <w:sz w:val="24"/>
          <w:highlight w:val="none"/>
        </w:rPr>
      </w:pPr>
    </w:p>
    <w:p>
      <w:pPr>
        <w:spacing w:line="800" w:lineRule="exact"/>
        <w:rPr>
          <w:rFonts w:ascii="仿宋_GB2312" w:hAnsi="宋体" w:eastAsia="仿宋_GB2312"/>
          <w:b/>
          <w:color w:val="auto"/>
          <w:sz w:val="24"/>
          <w:highlight w:val="none"/>
        </w:rPr>
      </w:pPr>
    </w:p>
    <w:p>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 xml:space="preserve">法定代表人授权委托书（格式） </w:t>
      </w:r>
      <w:r>
        <w:rPr>
          <w:rFonts w:hint="eastAsia" w:ascii="仿宋_GB2312" w:hAnsi="仿宋" w:eastAsia="仿宋_GB2312" w:cs="仿宋_GB2312"/>
          <w:b/>
          <w:color w:val="auto"/>
          <w:kern w:val="0"/>
          <w:sz w:val="32"/>
          <w:szCs w:val="32"/>
          <w:highlight w:val="none"/>
          <w:lang w:val="zh-CN"/>
        </w:rPr>
        <w:t>（适用于联合体投标）</w:t>
      </w:r>
    </w:p>
    <w:p>
      <w:pPr>
        <w:jc w:val="center"/>
        <w:rPr>
          <w:rFonts w:ascii="仿宋_GB2312" w:hAnsi="宋体" w:eastAsia="仿宋_GB2312"/>
          <w:b/>
          <w:color w:val="auto"/>
          <w:sz w:val="24"/>
          <w:highlight w:val="none"/>
        </w:rPr>
      </w:pPr>
    </w:p>
    <w:p>
      <w:pPr>
        <w:snapToGrid w:val="0"/>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本授权委托书声明：</w:t>
      </w:r>
    </w:p>
    <w:p>
      <w:pPr>
        <w:snapToGrid w:val="0"/>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现授权委托</w:t>
      </w:r>
      <w:r>
        <w:rPr>
          <w:rFonts w:hint="eastAsia" w:ascii="仿宋_GB2312" w:hAnsi="宋体" w:eastAsia="仿宋_GB2312"/>
          <w:color w:val="auto"/>
          <w:sz w:val="24"/>
          <w:highlight w:val="none"/>
          <w:u w:val="single"/>
        </w:rPr>
        <w:t xml:space="preserve">                  （填写单位全称）</w:t>
      </w:r>
      <w:r>
        <w:rPr>
          <w:rFonts w:hint="eastAsia" w:ascii="仿宋_GB2312" w:hAnsi="宋体" w:eastAsia="仿宋_GB2312"/>
          <w:color w:val="auto"/>
          <w:sz w:val="24"/>
          <w:highlight w:val="none"/>
        </w:rPr>
        <w:t>的（填写姓名）为我方授权代表，</w:t>
      </w:r>
      <w:r>
        <w:rPr>
          <w:rFonts w:hint="eastAsia" w:ascii="仿宋_GB2312" w:hAnsi="宋体" w:eastAsia="仿宋_GB2312"/>
          <w:color w:val="auto"/>
          <w:sz w:val="24"/>
          <w:highlight w:val="none"/>
          <w:u w:val="single"/>
        </w:rPr>
        <w:t>（填写身份证号码：                       ）</w:t>
      </w:r>
      <w:r>
        <w:rPr>
          <w:rFonts w:hint="eastAsia" w:ascii="仿宋_GB2312" w:hAnsi="宋体" w:eastAsia="仿宋_GB2312"/>
          <w:color w:val="auto"/>
          <w:sz w:val="24"/>
          <w:highlight w:val="none"/>
        </w:rPr>
        <w:t>。以我方的名义参加</w:t>
      </w:r>
      <w:r>
        <w:rPr>
          <w:rFonts w:hint="eastAsia" w:ascii="仿宋_GB2312" w:hAnsi="宋体" w:eastAsia="仿宋_GB2312"/>
          <w:color w:val="auto"/>
          <w:sz w:val="24"/>
          <w:highlight w:val="none"/>
          <w:u w:val="single"/>
          <w:lang w:eastAsia="zh-CN"/>
        </w:rPr>
        <w:t>绍兴市防汛防旱应急保障中心</w:t>
      </w:r>
      <w:r>
        <w:rPr>
          <w:rFonts w:hint="eastAsia" w:ascii="仿宋_GB2312" w:hAnsi="宋体" w:eastAsia="仿宋_GB2312"/>
          <w:color w:val="auto"/>
          <w:sz w:val="24"/>
          <w:highlight w:val="none"/>
        </w:rPr>
        <w:t>组织的</w:t>
      </w:r>
      <w:r>
        <w:rPr>
          <w:rFonts w:hint="eastAsia" w:ascii="仿宋_GB2312" w:hAnsi="宋体" w:eastAsia="仿宋_GB2312"/>
          <w:color w:val="auto"/>
          <w:sz w:val="24"/>
          <w:highlight w:val="none"/>
          <w:u w:val="single"/>
          <w:lang w:val="en-US" w:eastAsia="zh-CN"/>
        </w:rPr>
        <w:t xml:space="preserve">                       </w:t>
      </w:r>
      <w:r>
        <w:rPr>
          <w:rFonts w:hint="eastAsia" w:ascii="仿宋_GB2312" w:hAnsi="宋体" w:eastAsia="仿宋_GB2312"/>
          <w:color w:val="auto"/>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授权代表无转委托权。特此委托。</w:t>
      </w:r>
    </w:p>
    <w:p>
      <w:pPr>
        <w:snapToGrid w:val="0"/>
        <w:spacing w:line="600" w:lineRule="exact"/>
        <w:jc w:val="lef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授权代表姓名：              性别：               年龄：</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单位：                      部门：               职务：</w:t>
      </w:r>
    </w:p>
    <w:p>
      <w:pPr>
        <w:spacing w:line="360" w:lineRule="exact"/>
        <w:rPr>
          <w:rFonts w:ascii="仿宋_GB2312" w:hAnsi="宋体" w:eastAsia="仿宋_GB2312"/>
          <w:color w:val="auto"/>
          <w:sz w:val="24"/>
          <w:highlight w:val="none"/>
        </w:rPr>
      </w:pPr>
    </w:p>
    <w:p>
      <w:pPr>
        <w:widowControl/>
        <w:snapToGrid w:val="0"/>
        <w:spacing w:line="440" w:lineRule="exact"/>
        <w:rPr>
          <w:rFonts w:ascii="仿宋_GB2312" w:hAnsi="宋体" w:eastAsia="仿宋_GB2312"/>
          <w:color w:val="auto"/>
          <w:sz w:val="24"/>
          <w:highlight w:val="none"/>
        </w:rPr>
      </w:pPr>
      <w:r>
        <w:rPr>
          <w:rFonts w:hint="eastAsia" w:ascii="仿宋_GB2312" w:hAnsi="宋体" w:eastAsia="仿宋_GB2312"/>
          <w:color w:val="auto"/>
          <w:kern w:val="0"/>
          <w:sz w:val="24"/>
          <w:highlight w:val="none"/>
        </w:rPr>
        <w:t>办公地址：                  联系电话：           传真：</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年  </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月   日</w:t>
      </w:r>
    </w:p>
    <w:p>
      <w:pPr>
        <w:spacing w:line="800" w:lineRule="exact"/>
        <w:rPr>
          <w:rFonts w:ascii="仿宋_GB2312" w:hAnsi="宋体" w:eastAsia="仿宋_GB2312"/>
          <w:b/>
          <w:color w:val="auto"/>
          <w:sz w:val="24"/>
          <w:highlight w:val="none"/>
        </w:rPr>
      </w:pPr>
    </w:p>
    <w:p>
      <w:pPr>
        <w:pageBreakBefore/>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2、授权代表社保证明（复印件）</w:t>
      </w:r>
    </w:p>
    <w:p>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出具距投标截止时间一个月以内的社保机构盖公章的授权代表社保缴纳证明（如授权代表为</w:t>
      </w:r>
      <w:r>
        <w:rPr>
          <w:rFonts w:ascii="仿宋_GB2312" w:hAnsi="宋体" w:eastAsia="仿宋_GB2312"/>
          <w:color w:val="auto"/>
          <w:sz w:val="24"/>
          <w:highlight w:val="none"/>
          <w:u w:val="wave"/>
        </w:rPr>
        <w:t>离退休返聘人员的，投标响应文件技术部分内</w:t>
      </w:r>
      <w:r>
        <w:rPr>
          <w:rFonts w:hint="eastAsia" w:ascii="仿宋_GB2312" w:hAnsi="宋体" w:eastAsia="仿宋_GB2312"/>
          <w:color w:val="auto"/>
          <w:sz w:val="24"/>
          <w:highlight w:val="none"/>
          <w:u w:val="wave"/>
        </w:rPr>
        <w:t>需提供</w:t>
      </w:r>
      <w:r>
        <w:rPr>
          <w:rFonts w:ascii="仿宋_GB2312" w:hAnsi="宋体" w:eastAsia="仿宋_GB2312"/>
          <w:color w:val="auto"/>
          <w:sz w:val="24"/>
          <w:highlight w:val="none"/>
          <w:u w:val="wave"/>
        </w:rPr>
        <w:t>退休证明及单位聘用证明</w:t>
      </w:r>
      <w:r>
        <w:rPr>
          <w:rFonts w:hint="eastAsia" w:ascii="仿宋_GB2312" w:hAnsi="宋体" w:eastAsia="仿宋_GB2312"/>
          <w:color w:val="auto"/>
          <w:sz w:val="24"/>
          <w:highlight w:val="none"/>
          <w:u w:val="wave"/>
        </w:rPr>
        <w:t>；如由第三方代理社保事项的，则需提供委托代理协议复印件），格式自拟。</w:t>
      </w:r>
      <w:r>
        <w:rPr>
          <w:rFonts w:ascii="仿宋_GB2312" w:hAnsi="宋体" w:eastAsia="仿宋_GB2312"/>
          <w:b/>
          <w:color w:val="auto"/>
          <w:sz w:val="24"/>
          <w:highlight w:val="none"/>
        </w:rPr>
        <w:t>未提供</w:t>
      </w:r>
      <w:r>
        <w:rPr>
          <w:rFonts w:hint="eastAsia" w:ascii="仿宋_GB2312" w:hAnsi="宋体" w:eastAsia="仿宋_GB2312"/>
          <w:b/>
          <w:color w:val="auto"/>
          <w:sz w:val="24"/>
          <w:highlight w:val="none"/>
        </w:rPr>
        <w:t>上述</w:t>
      </w:r>
      <w:r>
        <w:rPr>
          <w:rFonts w:ascii="仿宋_GB2312" w:hAnsi="宋体" w:eastAsia="仿宋_GB2312"/>
          <w:b/>
          <w:color w:val="auto"/>
          <w:sz w:val="24"/>
          <w:highlight w:val="none"/>
        </w:rPr>
        <w:t>证明的投标</w:t>
      </w:r>
      <w:r>
        <w:rPr>
          <w:rFonts w:hint="eastAsia" w:ascii="仿宋_GB2312" w:hAnsi="宋体" w:eastAsia="仿宋_GB2312"/>
          <w:b/>
          <w:color w:val="auto"/>
          <w:sz w:val="24"/>
          <w:highlight w:val="none"/>
        </w:rPr>
        <w:t>做无效投标处理</w:t>
      </w:r>
      <w:r>
        <w:rPr>
          <w:rFonts w:ascii="仿宋_GB2312" w:hAnsi="宋体" w:eastAsia="仿宋_GB2312"/>
          <w:b/>
          <w:color w:val="auto"/>
          <w:sz w:val="24"/>
          <w:highlight w:val="none"/>
        </w:rPr>
        <w:t>。</w:t>
      </w:r>
    </w:p>
    <w:p>
      <w:pPr>
        <w:spacing w:line="800" w:lineRule="exact"/>
        <w:ind w:firstLine="4320" w:firstLineChars="1800"/>
        <w:rPr>
          <w:rFonts w:ascii="仿宋_GB2312" w:hAnsi="宋体" w:eastAsia="仿宋_GB2312"/>
          <w:color w:val="auto"/>
          <w:sz w:val="24"/>
          <w:highlight w:val="none"/>
        </w:rPr>
      </w:pPr>
    </w:p>
    <w:p>
      <w:pPr>
        <w:spacing w:line="800" w:lineRule="exact"/>
        <w:ind w:firstLine="4337" w:firstLineChars="1800"/>
        <w:rPr>
          <w:rFonts w:ascii="仿宋_GB2312" w:hAnsi="宋体" w:eastAsia="仿宋_GB2312"/>
          <w:b/>
          <w:color w:val="auto"/>
          <w:sz w:val="24"/>
          <w:highlight w:val="none"/>
        </w:rPr>
      </w:pPr>
    </w:p>
    <w:p>
      <w:pPr>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3、法定代表人及其授权代表身份证复印件（正反面）</w:t>
      </w:r>
    </w:p>
    <w:p>
      <w:pPr>
        <w:spacing w:line="800" w:lineRule="exact"/>
        <w:rPr>
          <w:rFonts w:ascii="仿宋_GB2312" w:hAnsi="宋体" w:eastAsia="仿宋_GB2312"/>
          <w:b/>
          <w:color w:val="auto"/>
          <w:sz w:val="24"/>
          <w:highlight w:val="none"/>
        </w:rPr>
      </w:pPr>
    </w:p>
    <w:p>
      <w:pPr>
        <w:spacing w:line="800" w:lineRule="exact"/>
        <w:rPr>
          <w:rFonts w:ascii="仿宋_GB2312" w:hAnsi="宋体" w:eastAsia="仿宋_GB2312"/>
          <w:b/>
          <w:color w:val="auto"/>
          <w:sz w:val="24"/>
          <w:highlight w:val="none"/>
        </w:rPr>
      </w:pPr>
    </w:p>
    <w:p>
      <w:pPr>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4、法定代表人身份证明书(格式)</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 标 人：</w:t>
      </w:r>
      <w:r>
        <w:rPr>
          <w:rFonts w:hint="eastAsia" w:ascii="仿宋_GB2312" w:hAnsi="宋体" w:eastAsia="仿宋_GB2312"/>
          <w:color w:val="auto"/>
          <w:sz w:val="24"/>
          <w:highlight w:val="none"/>
          <w:u w:val="single"/>
        </w:rPr>
        <w:t xml:space="preserve">                          </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地    址：</w:t>
      </w:r>
      <w:r>
        <w:rPr>
          <w:rFonts w:hint="eastAsia" w:ascii="仿宋_GB2312" w:hAnsi="宋体" w:eastAsia="仿宋_GB2312"/>
          <w:color w:val="auto"/>
          <w:sz w:val="24"/>
          <w:highlight w:val="none"/>
          <w:u w:val="single"/>
        </w:rPr>
        <w:t xml:space="preserve">                          </w:t>
      </w:r>
    </w:p>
    <w:p>
      <w:pPr>
        <w:spacing w:line="440" w:lineRule="exact"/>
        <w:ind w:right="281" w:rightChars="134"/>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姓    名：</w:t>
      </w:r>
      <w:r>
        <w:rPr>
          <w:rFonts w:hint="eastAsia" w:ascii="仿宋_GB2312" w:hAnsi="宋体" w:eastAsia="仿宋_GB2312"/>
          <w:color w:val="auto"/>
          <w:sz w:val="24"/>
          <w:highlight w:val="none"/>
          <w:u w:val="single"/>
        </w:rPr>
        <w:t xml:space="preserve">                          </w:t>
      </w:r>
    </w:p>
    <w:p>
      <w:pPr>
        <w:spacing w:line="440" w:lineRule="exact"/>
        <w:ind w:right="281" w:rightChars="134"/>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身份证号码：</w:t>
      </w:r>
      <w:r>
        <w:rPr>
          <w:rFonts w:hint="eastAsia" w:ascii="仿宋_GB2312" w:hAnsi="宋体" w:eastAsia="仿宋_GB2312"/>
          <w:color w:val="auto"/>
          <w:sz w:val="24"/>
          <w:highlight w:val="none"/>
          <w:u w:val="single"/>
        </w:rPr>
        <w:t xml:space="preserve">                        </w:t>
      </w:r>
    </w:p>
    <w:p>
      <w:pPr>
        <w:spacing w:line="440" w:lineRule="exact"/>
        <w:ind w:right="281" w:rightChars="134"/>
        <w:rPr>
          <w:rFonts w:ascii="仿宋_GB2312" w:hAnsi="宋体" w:eastAsia="仿宋_GB2312"/>
          <w:color w:val="auto"/>
          <w:sz w:val="24"/>
          <w:highlight w:val="none"/>
        </w:rPr>
      </w:pPr>
      <w:r>
        <w:rPr>
          <w:rFonts w:hint="eastAsia" w:ascii="仿宋_GB2312" w:hAnsi="宋体" w:eastAsia="仿宋_GB2312"/>
          <w:color w:val="auto"/>
          <w:sz w:val="24"/>
          <w:highlight w:val="none"/>
        </w:rPr>
        <w:t>职   务：</w:t>
      </w:r>
      <w:r>
        <w:rPr>
          <w:rFonts w:hint="eastAsia" w:ascii="仿宋_GB2312" w:hAnsi="宋体" w:eastAsia="仿宋_GB2312"/>
          <w:color w:val="auto"/>
          <w:sz w:val="24"/>
          <w:highlight w:val="none"/>
          <w:u w:val="single"/>
        </w:rPr>
        <w:t xml:space="preserve">                           </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系</w:t>
      </w:r>
      <w:r>
        <w:rPr>
          <w:rFonts w:hint="eastAsia" w:ascii="仿宋_GB2312" w:hAnsi="宋体" w:eastAsia="仿宋_GB2312"/>
          <w:color w:val="auto"/>
          <w:sz w:val="24"/>
          <w:highlight w:val="none"/>
          <w:u w:val="single"/>
        </w:rPr>
        <w:t xml:space="preserve">                           （填写投标人名称）</w:t>
      </w:r>
      <w:r>
        <w:rPr>
          <w:rFonts w:hint="eastAsia" w:ascii="仿宋_GB2312" w:hAnsi="宋体" w:eastAsia="仿宋_GB2312"/>
          <w:color w:val="auto"/>
          <w:sz w:val="24"/>
          <w:highlight w:val="none"/>
        </w:rPr>
        <w:t>的法定代表人。</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特此证明。</w:t>
      </w:r>
    </w:p>
    <w:p>
      <w:pPr>
        <w:spacing w:line="440" w:lineRule="exact"/>
        <w:rPr>
          <w:rFonts w:ascii="仿宋_GB2312" w:hAnsi="宋体" w:eastAsia="仿宋_GB2312"/>
          <w:color w:val="auto"/>
          <w:sz w:val="24"/>
          <w:highlight w:val="none"/>
        </w:rPr>
      </w:pP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投标人：                             （电子签章）</w:t>
      </w:r>
    </w:p>
    <w:p>
      <w:pPr>
        <w:spacing w:line="440" w:lineRule="exact"/>
        <w:ind w:right="480"/>
        <w:rPr>
          <w:rFonts w:ascii="仿宋_GB2312" w:hAnsi="宋体" w:eastAsia="仿宋_GB2312"/>
          <w:color w:val="auto"/>
          <w:sz w:val="24"/>
          <w:highlight w:val="none"/>
        </w:rPr>
      </w:pPr>
    </w:p>
    <w:p>
      <w:pPr>
        <w:spacing w:line="440" w:lineRule="exact"/>
        <w:ind w:right="720"/>
        <w:jc w:val="right"/>
        <w:rPr>
          <w:rFonts w:ascii="仿宋_GB2312" w:hAnsi="宋体" w:eastAsia="仿宋_GB2312"/>
          <w:color w:val="auto"/>
          <w:sz w:val="24"/>
          <w:highlight w:val="none"/>
        </w:rPr>
      </w:pPr>
      <w:r>
        <w:rPr>
          <w:rFonts w:hint="eastAsia" w:ascii="仿宋_GB2312" w:hAnsi="宋体" w:eastAsia="仿宋_GB2312"/>
          <w:color w:val="auto"/>
          <w:sz w:val="24"/>
          <w:highlight w:val="none"/>
        </w:rPr>
        <w:t>年   月   日</w:t>
      </w:r>
    </w:p>
    <w:p>
      <w:pPr>
        <w:pageBreakBefore/>
        <w:rPr>
          <w:rFonts w:ascii="仿宋_GB2312" w:hAnsi="仿宋_GB2312" w:eastAsia="仿宋_GB2312" w:cs="仿宋_GB2312"/>
          <w:b/>
          <w:color w:val="auto"/>
          <w:sz w:val="28"/>
          <w:szCs w:val="28"/>
          <w:highlight w:val="none"/>
        </w:rPr>
      </w:pPr>
      <w:r>
        <w:rPr>
          <w:rFonts w:hint="eastAsia" w:ascii="仿宋_GB2312" w:hAnsi="宋体" w:eastAsia="仿宋_GB2312"/>
          <w:b/>
          <w:color w:val="auto"/>
          <w:sz w:val="30"/>
          <w:szCs w:val="30"/>
          <w:highlight w:val="none"/>
        </w:rPr>
        <w:t>5、与符合性审查有关的资信文件（复印件）</w:t>
      </w:r>
      <w:r>
        <w:rPr>
          <w:rFonts w:hint="eastAsia" w:ascii="仿宋_GB2312" w:hAnsi="宋体" w:eastAsia="仿宋_GB2312"/>
          <w:b/>
          <w:color w:val="auto"/>
          <w:sz w:val="28"/>
          <w:szCs w:val="28"/>
          <w:highlight w:val="none"/>
        </w:rPr>
        <w:t>（1</w:t>
      </w:r>
      <w:r>
        <w:rPr>
          <w:rFonts w:hint="eastAsia" w:ascii="仿宋_GB2312" w:hAnsi="仿宋_GB2312" w:eastAsia="仿宋_GB2312" w:cs="仿宋_GB2312"/>
          <w:b/>
          <w:color w:val="auto"/>
          <w:kern w:val="0"/>
          <w:sz w:val="28"/>
          <w:szCs w:val="28"/>
          <w:highlight w:val="none"/>
          <w:lang w:val="zh-CN"/>
        </w:rPr>
        <w:t>.</w:t>
      </w:r>
      <w:r>
        <w:rPr>
          <w:rFonts w:hint="eastAsia" w:ascii="仿宋_GB2312" w:hAnsi="仿宋_GB2312" w:eastAsia="仿宋_GB2312" w:cs="仿宋_GB2312"/>
          <w:b/>
          <w:color w:val="auto"/>
          <w:sz w:val="28"/>
          <w:szCs w:val="28"/>
          <w:highlight w:val="none"/>
        </w:rPr>
        <w:t>营业执照（或事业法人登记证或其他登记证明材料）（复印件）；2.财务报表资料文件（2021年度资产负债表等财务报表资料文件(新成立的公司，提供情况说明，格式自拟)）；</w:t>
      </w:r>
      <w:r>
        <w:rPr>
          <w:rFonts w:hint="eastAsia" w:ascii="仿宋_GB2312" w:hAnsi="宋体" w:eastAsia="仿宋_GB2312"/>
          <w:b/>
          <w:color w:val="auto"/>
          <w:sz w:val="28"/>
          <w:szCs w:val="28"/>
          <w:highlight w:val="none"/>
        </w:rPr>
        <w:t>3.提供依法缴纳税收和社会保障资金的良好记录证明，税收和社保证明打印时间不得早于投标截止时间前1个月；4.其他资料由投标人根据采购需求及招标文件要求编制。）</w:t>
      </w: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napToGrid w:val="0"/>
        <w:spacing w:line="360" w:lineRule="auto"/>
        <w:ind w:right="480"/>
        <w:jc w:val="center"/>
        <w:rPr>
          <w:rFonts w:ascii="仿宋_GB2312" w:hAnsi="仿宋_GB2312" w:eastAsia="仿宋_GB2312" w:cs="仿宋_GB2312"/>
          <w:b/>
          <w:color w:val="auto"/>
          <w:kern w:val="0"/>
          <w:sz w:val="32"/>
          <w:szCs w:val="32"/>
          <w:highlight w:val="none"/>
          <w:lang w:val="zh-CN"/>
        </w:rPr>
      </w:pPr>
    </w:p>
    <w:p>
      <w:pPr>
        <w:snapToGrid w:val="0"/>
        <w:spacing w:line="360" w:lineRule="auto"/>
        <w:ind w:right="480"/>
        <w:rPr>
          <w:rFonts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6、具有履行合同所必需的设备和专业技术能力的承诺函</w:t>
      </w:r>
    </w:p>
    <w:p>
      <w:pPr>
        <w:snapToGrid w:val="0"/>
        <w:spacing w:line="360" w:lineRule="auto"/>
        <w:rPr>
          <w:rFonts w:ascii="仿宋" w:hAnsi="仿宋" w:eastAsia="仿宋" w:cs="仿宋_GB2312"/>
          <w:color w:val="auto"/>
          <w:sz w:val="24"/>
          <w:highlight w:val="none"/>
        </w:rPr>
      </w:pP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kern w:val="0"/>
          <w:sz w:val="24"/>
          <w:highlight w:val="none"/>
          <w:lang w:val="zh-CN"/>
        </w:rPr>
        <w:t>：</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我方郑重承诺，我方具有履行</w:t>
      </w:r>
      <w:r>
        <w:rPr>
          <w:rFonts w:hint="eastAsia" w:ascii="仿宋" w:hAnsi="仿宋" w:eastAsia="仿宋" w:cs="仿宋_GB2312"/>
          <w:color w:val="auto"/>
          <w:sz w:val="24"/>
          <w:highlight w:val="none"/>
          <w:lang w:eastAsia="zh-CN"/>
        </w:rPr>
        <w:t>曹娥江流域预报调度一体化项目</w:t>
      </w:r>
      <w:r>
        <w:rPr>
          <w:rFonts w:hint="eastAsia" w:ascii="仿宋" w:hAnsi="仿宋" w:eastAsia="仿宋" w:cs="仿宋_GB2312"/>
          <w:color w:val="auto"/>
          <w:sz w:val="24"/>
          <w:highlight w:val="none"/>
        </w:rPr>
        <w:t>（招标编号:GSHZJ-2022-N000697）</w:t>
      </w:r>
      <w:r>
        <w:rPr>
          <w:rFonts w:hint="eastAsia" w:ascii="仿宋" w:hAnsi="仿宋" w:eastAsia="仿宋" w:cs="仿宋_GB2312"/>
          <w:color w:val="auto"/>
          <w:sz w:val="24"/>
          <w:highlight w:val="none"/>
        </w:rPr>
        <w:t>合同所必需的设备和专业技术能力。如中标，我方将保证合同顺利履行。</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  日</w:t>
      </w:r>
    </w:p>
    <w:p>
      <w:pPr>
        <w:spacing w:line="360" w:lineRule="auto"/>
        <w:jc w:val="center"/>
        <w:rPr>
          <w:rFonts w:ascii="仿宋_GB2312" w:hAnsi="仿宋_GB2312" w:eastAsia="仿宋_GB2312" w:cs="仿宋_GB2312"/>
          <w:b/>
          <w:color w:val="auto"/>
          <w:kern w:val="0"/>
          <w:sz w:val="32"/>
          <w:szCs w:val="32"/>
          <w:highlight w:val="none"/>
        </w:rPr>
      </w:pPr>
    </w:p>
    <w:p>
      <w:pPr>
        <w:spacing w:line="360" w:lineRule="auto"/>
        <w:jc w:val="center"/>
        <w:rPr>
          <w:rFonts w:ascii="仿宋_GB2312" w:hAnsi="仿宋_GB2312" w:eastAsia="仿宋_GB2312" w:cs="仿宋_GB2312"/>
          <w:b/>
          <w:color w:val="auto"/>
          <w:kern w:val="0"/>
          <w:sz w:val="32"/>
          <w:szCs w:val="32"/>
          <w:highlight w:val="none"/>
        </w:rPr>
      </w:pP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rPr>
        <w:t>7、重大违法记录的声明</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kern w:val="0"/>
          <w:sz w:val="24"/>
          <w:highlight w:val="none"/>
          <w:lang w:val="zh-CN"/>
        </w:rPr>
        <w:t>：</w:t>
      </w:r>
    </w:p>
    <w:p>
      <w:pPr>
        <w:spacing w:line="360" w:lineRule="auto"/>
        <w:ind w:firstLine="480" w:firstLineChars="2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kern w:val="0"/>
          <w:sz w:val="24"/>
          <w:highlight w:val="none"/>
          <w:lang w:val="zh-CN"/>
        </w:rPr>
        <w:t>我公司</w:t>
      </w:r>
      <w:r>
        <w:rPr>
          <w:rFonts w:hint="eastAsia" w:ascii="仿宋_GB2312" w:hAnsi="仿宋_GB2312" w:eastAsia="仿宋_GB2312" w:cs="仿宋_GB2312"/>
          <w:color w:val="auto"/>
          <w:sz w:val="24"/>
          <w:highlight w:val="none"/>
        </w:rPr>
        <w:t>声明参加本次政府采购活动前三年内未</w:t>
      </w:r>
      <w:r>
        <w:rPr>
          <w:rFonts w:hint="eastAsia" w:ascii="仿宋_GB2312" w:hAnsi="仿宋_GB2312" w:eastAsia="仿宋_GB2312" w:cs="仿宋_GB2312"/>
          <w:color w:val="auto"/>
          <w:sz w:val="24"/>
          <w:szCs w:val="20"/>
          <w:highlight w:val="none"/>
        </w:rPr>
        <w:t>被列入“黑名单”</w:t>
      </w:r>
      <w:r>
        <w:rPr>
          <w:rFonts w:hint="eastAsia" w:ascii="仿宋_GB2312" w:hAnsi="仿宋_GB2312" w:eastAsia="仿宋_GB2312" w:cs="仿宋_GB2312"/>
          <w:color w:val="auto"/>
          <w:sz w:val="24"/>
          <w:highlight w:val="none"/>
        </w:rPr>
        <w:t>，在</w:t>
      </w:r>
      <w:r>
        <w:rPr>
          <w:rFonts w:hint="eastAsia" w:ascii="仿宋_GB2312" w:hAnsi="仿宋_GB2312" w:eastAsia="仿宋_GB2312" w:cs="仿宋_GB2312"/>
          <w:color w:val="auto"/>
          <w:kern w:val="0"/>
          <w:sz w:val="24"/>
          <w:highlight w:val="none"/>
        </w:rPr>
        <w:t>经营活动中</w:t>
      </w:r>
      <w:r>
        <w:rPr>
          <w:rFonts w:hint="eastAsia" w:ascii="仿宋_GB2312" w:hAnsi="仿宋_GB2312" w:eastAsia="仿宋_GB2312" w:cs="仿宋_GB2312"/>
          <w:color w:val="auto"/>
          <w:sz w:val="24"/>
          <w:highlight w:val="none"/>
        </w:rPr>
        <w:t>没有重大违法记录</w:t>
      </w:r>
      <w:r>
        <w:rPr>
          <w:rFonts w:hint="eastAsia" w:ascii="仿宋_GB2312" w:hAnsi="仿宋_GB2312" w:eastAsia="仿宋_GB2312" w:cs="仿宋_GB2312"/>
          <w:color w:val="auto"/>
          <w:sz w:val="24"/>
          <w:szCs w:val="20"/>
          <w:highlight w:val="none"/>
        </w:rPr>
        <w:t>。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pPr>
        <w:spacing w:line="360" w:lineRule="auto"/>
        <w:ind w:firstLine="480" w:firstLineChars="200"/>
        <w:rPr>
          <w:rFonts w:ascii="仿宋_GB2312" w:hAnsi="仿宋_GB2312" w:eastAsia="仿宋_GB2312" w:cs="仿宋_GB2312"/>
          <w:color w:val="auto"/>
          <w:sz w:val="24"/>
          <w:szCs w:val="20"/>
          <w:highlight w:val="none"/>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napToGrid w:val="0"/>
        <w:spacing w:line="360" w:lineRule="auto"/>
        <w:rPr>
          <w:rFonts w:ascii="仿宋_GB2312" w:hAnsi="仿宋_GB2312" w:eastAsia="仿宋_GB2312" w:cs="仿宋_GB2312"/>
          <w:b/>
          <w:color w:val="auto"/>
          <w:sz w:val="30"/>
          <w:szCs w:val="30"/>
          <w:highlight w:val="none"/>
        </w:rPr>
      </w:pPr>
    </w:p>
    <w:p>
      <w:pPr>
        <w:snapToGrid w:val="0"/>
        <w:spacing w:line="360" w:lineRule="auto"/>
        <w:rPr>
          <w:rFonts w:ascii="仿宋_GB2312" w:hAnsi="仿宋_GB2312" w:eastAsia="仿宋_GB2312" w:cs="仿宋_GB2312"/>
          <w:b/>
          <w:color w:val="auto"/>
          <w:sz w:val="30"/>
          <w:szCs w:val="30"/>
          <w:highlight w:val="none"/>
        </w:rPr>
      </w:pPr>
    </w:p>
    <w:p>
      <w:pPr>
        <w:snapToGrid w:val="0"/>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8、特定资格条件要求的资质文件（复印件）</w:t>
      </w:r>
    </w:p>
    <w:p>
      <w:pPr>
        <w:widowControl/>
        <w:spacing w:line="360" w:lineRule="auto"/>
        <w:ind w:firstLine="480" w:firstLineChars="200"/>
        <w:jc w:val="left"/>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24"/>
          <w:highlight w:val="none"/>
        </w:rPr>
        <w:t>（由投标人根据招标公告合格的投标人应具备的特定资格要求编制）</w:t>
      </w: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9、非本地投标人售后服务机构证明材料</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（由非本地投标人根据采购需求及招标文件要求编制）</w:t>
      </w:r>
    </w:p>
    <w:p>
      <w:pPr>
        <w:spacing w:line="360" w:lineRule="auto"/>
        <w:jc w:val="center"/>
        <w:rPr>
          <w:rFonts w:ascii="仿宋_GB2312" w:hAnsi="仿宋_GB2312" w:eastAsia="仿宋_GB2312" w:cs="仿宋_GB2312"/>
          <w:b/>
          <w:color w:val="auto"/>
          <w:sz w:val="32"/>
          <w:szCs w:val="32"/>
          <w:highlight w:val="none"/>
        </w:rPr>
      </w:pPr>
    </w:p>
    <w:p>
      <w:pPr>
        <w:spacing w:line="360" w:lineRule="auto"/>
        <w:jc w:val="center"/>
        <w:rPr>
          <w:rFonts w:ascii="仿宋_GB2312" w:hAnsi="仿宋_GB2312" w:eastAsia="仿宋_GB2312" w:cs="仿宋_GB2312"/>
          <w:b/>
          <w:color w:val="auto"/>
          <w:sz w:val="32"/>
          <w:szCs w:val="32"/>
          <w:highlight w:val="none"/>
        </w:rPr>
      </w:pPr>
    </w:p>
    <w:p>
      <w:pPr>
        <w:spacing w:line="360" w:lineRule="auto"/>
        <w:jc w:val="center"/>
        <w:rPr>
          <w:rFonts w:ascii="仿宋_GB2312" w:hAnsi="仿宋_GB2312" w:eastAsia="仿宋_GB2312" w:cs="仿宋_GB2312"/>
          <w:b/>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10、</w:t>
      </w:r>
      <w:r>
        <w:rPr>
          <w:rFonts w:hint="eastAsia" w:ascii="仿宋_GB2312" w:hAnsi="仿宋_GB2312" w:eastAsia="仿宋_GB2312" w:cs="仿宋_GB2312"/>
          <w:b/>
          <w:color w:val="auto"/>
          <w:kern w:val="0"/>
          <w:sz w:val="32"/>
          <w:szCs w:val="32"/>
          <w:highlight w:val="none"/>
          <w:lang w:val="zh-CN"/>
        </w:rPr>
        <w:t>主要业绩证明</w:t>
      </w:r>
    </w:p>
    <w:p>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4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注：投标人可按上述的格式自行编制，须随表提交相应的合同复印件和用户单位验收证明并注明页码。</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Style w:val="192"/>
        <w:ind w:firstLine="0"/>
        <w:jc w:val="both"/>
        <w:rPr>
          <w:rFonts w:hAnsi="仿宋_GB2312" w:cs="仿宋_GB2312"/>
          <w:color w:val="auto"/>
          <w:highlight w:val="none"/>
        </w:rPr>
      </w:pPr>
    </w:p>
    <w:p>
      <w:pPr>
        <w:pStyle w:val="192"/>
        <w:pageBreakBefore/>
        <w:ind w:firstLine="0"/>
        <w:jc w:val="both"/>
        <w:rPr>
          <w:rFonts w:hAnsi="仿宋_GB2312" w:cs="仿宋_GB2312"/>
          <w:color w:val="auto"/>
          <w:highlight w:val="none"/>
        </w:rPr>
      </w:pPr>
      <w:r>
        <w:rPr>
          <w:rFonts w:hint="eastAsia" w:hAnsi="仿宋_GB2312" w:cs="仿宋_GB2312"/>
          <w:color w:val="auto"/>
          <w:highlight w:val="none"/>
        </w:rPr>
        <w:t>11、廉政承诺书</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 xml:space="preserve">项目招标要求参加投标。在这次投标过程中和中标后，我们将严格遵守国家法律法规要求，并郑重承诺：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四、不为项目有关人员及部门出国（境）、旅游等提供方便；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五、不为项目有关人员个人装修住房、婚丧嫁娶、配偶子女工作安排等提供好处；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六、严格遵守政府采购法等法律法规，诚实守信，合法经营，坚决抵制各种违法违纪行为。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12、技术解决方案</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spacing w:line="360" w:lineRule="auto"/>
        <w:jc w:val="center"/>
        <w:rPr>
          <w:rFonts w:ascii="仿宋_GB2312" w:hAnsi="仿宋_GB2312" w:eastAsia="仿宋_GB2312" w:cs="仿宋_GB2312"/>
          <w:color w:val="auto"/>
          <w:sz w:val="24"/>
          <w:highlight w:val="none"/>
        </w:rPr>
      </w:pPr>
    </w:p>
    <w:p>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4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ind w:firstLine="551" w:firstLineChars="196"/>
        <w:jc w:val="left"/>
        <w:rPr>
          <w:rFonts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2.5pt;" o:ole="t" filled="f" o:preferrelative="t" stroked="f" coordsize="21600,21600">
            <v:path/>
            <v:fill on="f" focussize="0,0"/>
            <v:stroke on="f" joinstyle="miter"/>
            <v:imagedata r:id="rId12" o:title=""/>
            <o:lock v:ext="edit" aspectratio="t"/>
            <w10:wrap type="none"/>
            <w10:anchorlock/>
          </v:shape>
          <o:OLEObject Type="Embed" ProgID="Package" ShapeID="_x0000_i1025" DrawAspect="Content" ObjectID="_1468075725" r:id="rId11">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75pt;" o:ole="t" filled="f" o:preferrelative="t" stroked="f" coordsize="21600,21600">
            <v:path/>
            <v:fill on="f" focussize="0,0"/>
            <v:stroke on="f" joinstyle="miter"/>
            <v:imagedata r:id="rId14" o:title=""/>
            <o:lock v:ext="edit" aspectratio="t"/>
            <w10:wrap type="none"/>
            <w10:anchorlock/>
          </v:shape>
          <o:OLEObject Type="Embed" ProgID="Package" ShapeID="_x0000_i1026" DrawAspect="Content" ObjectID="_1468075726" r:id="rId13">
            <o:LockedField>false</o:LockedField>
          </o:OLEObject>
        </w:objec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13、技术偏离说明表</w:t>
      </w:r>
    </w:p>
    <w:p>
      <w:pPr>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24"/>
          <w:highlight w:val="none"/>
        </w:rPr>
        <w:t>（由投标人根据采购需求及招标文件要求编制）</w:t>
      </w:r>
    </w:p>
    <w:tbl>
      <w:tblPr>
        <w:tblStyle w:val="41"/>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3818"/>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3"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序号</w:t>
            </w:r>
          </w:p>
        </w:tc>
        <w:tc>
          <w:tcPr>
            <w:tcW w:w="3087"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招标文件要求</w:t>
            </w:r>
          </w:p>
        </w:tc>
        <w:tc>
          <w:tcPr>
            <w:tcW w:w="3818"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投标响应</w:t>
            </w:r>
          </w:p>
        </w:tc>
        <w:tc>
          <w:tcPr>
            <w:tcW w:w="1201"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招标文件技术要求</w:t>
            </w:r>
          </w:p>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请填写投标产品技术指标对应详细描述</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可自行添加行</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详细参数可自行加行</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2</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请填写售后服务要求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3</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请填写保修期要求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4</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请填写安装要求(如有)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5</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请填写验收方式要求(如有)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6</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请填写付款方式要求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7</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请填写到货期要求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8</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9</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bl>
    <w:p>
      <w:pPr>
        <w:tabs>
          <w:tab w:val="left" w:pos="570"/>
        </w:tabs>
        <w:spacing w:line="440" w:lineRule="exact"/>
        <w:ind w:firstLine="120" w:firstLineChars="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注：1.此表须与</w:t>
      </w:r>
      <w:r>
        <w:rPr>
          <w:rFonts w:hint="eastAsia" w:ascii="仿宋_GB2312" w:hAnsi="宋体" w:eastAsia="仿宋_GB2312"/>
          <w:color w:val="auto"/>
          <w:kern w:val="0"/>
          <w:sz w:val="24"/>
          <w:highlight w:val="none"/>
        </w:rPr>
        <w:t>招标文件“</w:t>
      </w:r>
      <w:r>
        <w:rPr>
          <w:rFonts w:hint="eastAsia" w:ascii="仿宋_GB2312" w:hAnsi="宋体" w:eastAsia="仿宋_GB2312"/>
          <w:color w:val="auto"/>
          <w:sz w:val="24"/>
          <w:highlight w:val="none"/>
        </w:rPr>
        <w:t>招标项目说明及要求</w:t>
      </w:r>
      <w:r>
        <w:rPr>
          <w:rFonts w:hint="eastAsia" w:ascii="仿宋_GB2312" w:hAnsi="宋体" w:eastAsia="仿宋_GB2312"/>
          <w:color w:val="auto"/>
          <w:kern w:val="0"/>
          <w:sz w:val="24"/>
          <w:highlight w:val="none"/>
        </w:rPr>
        <w:t>”</w:t>
      </w:r>
      <w:r>
        <w:rPr>
          <w:rFonts w:hint="eastAsia" w:ascii="仿宋_GB2312" w:hAnsi="宋体" w:eastAsia="仿宋_GB2312"/>
          <w:color w:val="auto"/>
          <w:sz w:val="24"/>
          <w:highlight w:val="none"/>
        </w:rPr>
        <w:t>相应标项内的所有技术规格相比较且一一对应</w:t>
      </w:r>
      <w:r>
        <w:rPr>
          <w:rFonts w:hint="eastAsia" w:ascii="仿宋_GB2312" w:hAnsi="宋体" w:eastAsia="仿宋_GB2312" w:cs="宋体"/>
          <w:color w:val="auto"/>
          <w:sz w:val="24"/>
          <w:highlight w:val="none"/>
        </w:rPr>
        <w:t>真实逐条</w:t>
      </w:r>
      <w:r>
        <w:rPr>
          <w:rFonts w:hint="eastAsia" w:ascii="仿宋_GB2312" w:hAnsi="宋体" w:eastAsia="仿宋_GB2312"/>
          <w:color w:val="auto"/>
          <w:sz w:val="24"/>
          <w:highlight w:val="none"/>
        </w:rPr>
        <w:t>填列。</w:t>
      </w:r>
    </w:p>
    <w:p>
      <w:pPr>
        <w:tabs>
          <w:tab w:val="left" w:pos="570"/>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w:t>
      </w:r>
      <w:r>
        <w:rPr>
          <w:rFonts w:hint="eastAsia" w:ascii="仿宋_GB2312" w:hAnsi="宋体" w:eastAsia="仿宋_GB2312" w:cs="宋体"/>
          <w:color w:val="auto"/>
          <w:sz w:val="24"/>
          <w:highlight w:val="none"/>
        </w:rPr>
        <w:t>投标人递交的技术规格书中必须真实逐条列明，否则由投标人自行承担相关风险。</w:t>
      </w:r>
    </w:p>
    <w:p>
      <w:pPr>
        <w:autoSpaceDE w:val="0"/>
        <w:autoSpaceDN w:val="0"/>
        <w:spacing w:line="360" w:lineRule="auto"/>
        <w:ind w:firstLine="5040" w:firstLineChars="2100"/>
        <w:rPr>
          <w:rFonts w:ascii="仿宋_GB2312" w:hAnsi="仿宋_GB2312" w:eastAsia="仿宋_GB2312" w:cs="仿宋_GB2312"/>
          <w:color w:val="auto"/>
          <w:kern w:val="0"/>
          <w:sz w:val="24"/>
          <w:highlight w:val="none"/>
          <w:lang w:val="zh-CN"/>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pageBreakBefore/>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zh-CN"/>
        </w:rPr>
        <w:t>14、组织实施方案</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41"/>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15、售后服务方案</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41"/>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bl>
    <w:p>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41"/>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bl>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16、项目小组人员名单</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41"/>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41"/>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bl>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17、</w:t>
      </w:r>
      <w:r>
        <w:rPr>
          <w:rFonts w:hint="eastAsia" w:ascii="仿宋_GB2312" w:hAnsi="仿宋_GB2312" w:eastAsia="仿宋_GB2312" w:cs="仿宋_GB2312"/>
          <w:b/>
          <w:color w:val="auto"/>
          <w:kern w:val="0"/>
          <w:sz w:val="32"/>
          <w:szCs w:val="32"/>
          <w:highlight w:val="none"/>
          <w:lang w:val="zh-CN"/>
        </w:rPr>
        <w:t>优惠条件及特殊承诺</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color w:val="auto"/>
          <w:sz w:val="18"/>
          <w:szCs w:val="18"/>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rPr>
          <w:rFonts w:ascii="仿宋_GB2312" w:hAnsi="仿宋_GB2312" w:eastAsia="仿宋_GB2312" w:cs="仿宋_GB2312"/>
          <w:b/>
          <w:bCs/>
          <w:color w:val="auto"/>
          <w:sz w:val="18"/>
          <w:szCs w:val="18"/>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18、</w:t>
      </w:r>
      <w:r>
        <w:rPr>
          <w:rFonts w:hint="eastAsia" w:ascii="仿宋_GB2312" w:hAnsi="仿宋_GB2312" w:eastAsia="仿宋_GB2312" w:cs="仿宋_GB2312"/>
          <w:b/>
          <w:color w:val="auto"/>
          <w:kern w:val="0"/>
          <w:sz w:val="32"/>
          <w:szCs w:val="32"/>
          <w:highlight w:val="none"/>
          <w:lang w:val="zh-CN"/>
        </w:rPr>
        <w:t>备品备件及供选择的配套零部件清单</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napToGrid w:val="0"/>
        <w:spacing w:line="360" w:lineRule="auto"/>
        <w:ind w:right="1440"/>
        <w:jc w:val="righ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19、</w:t>
      </w:r>
      <w:r>
        <w:rPr>
          <w:rFonts w:hint="eastAsia" w:ascii="仿宋_GB2312" w:hAnsi="仿宋_GB2312" w:eastAsia="仿宋_GB2312" w:cs="仿宋_GB2312"/>
          <w:b/>
          <w:color w:val="auto"/>
          <w:kern w:val="0"/>
          <w:sz w:val="32"/>
          <w:szCs w:val="32"/>
          <w:highlight w:val="none"/>
          <w:lang w:val="zh-CN"/>
        </w:rPr>
        <w:t>培训计划</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41"/>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_GB2312" w:hAnsi="仿宋_GB2312" w:eastAsia="仿宋_GB2312" w:cs="仿宋_GB2312"/>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20、验收方案</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jc w:val="center"/>
        <w:rPr>
          <w:rFonts w:ascii="仿宋_GB2312" w:hAnsi="仿宋_GB2312" w:eastAsia="仿宋_GB2312" w:cs="仿宋_GB2312"/>
          <w:color w:val="auto"/>
          <w:sz w:val="24"/>
          <w:highlight w:val="none"/>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jc w:val="center"/>
        <w:rPr>
          <w:rFonts w:ascii="仿宋_GB2312" w:hAnsi="仿宋_GB2312" w:eastAsia="仿宋_GB2312" w:cs="仿宋_GB2312"/>
          <w:b/>
          <w:bCs/>
          <w:color w:val="auto"/>
          <w:sz w:val="30"/>
          <w:szCs w:val="30"/>
          <w:highlight w:val="none"/>
        </w:rPr>
      </w:pPr>
    </w:p>
    <w:p>
      <w:pPr>
        <w:spacing w:line="360" w:lineRule="auto"/>
        <w:jc w:val="center"/>
        <w:rPr>
          <w:rFonts w:ascii="仿宋_GB2312" w:hAnsi="仿宋_GB2312" w:eastAsia="仿宋_GB2312" w:cs="仿宋_GB2312"/>
          <w:b/>
          <w:bCs/>
          <w:color w:val="auto"/>
          <w:sz w:val="30"/>
          <w:szCs w:val="30"/>
          <w:highlight w:val="none"/>
        </w:rPr>
      </w:pPr>
    </w:p>
    <w:p>
      <w:pPr>
        <w:spacing w:line="360" w:lineRule="auto"/>
        <w:jc w:val="center"/>
        <w:rPr>
          <w:rFonts w:ascii="仿宋_GB2312" w:hAnsi="仿宋_GB2312" w:eastAsia="仿宋_GB2312" w:cs="仿宋_GB2312"/>
          <w:b/>
          <w:bCs/>
          <w:color w:val="auto"/>
          <w:sz w:val="24"/>
          <w:highlight w:val="none"/>
        </w:rPr>
      </w:pPr>
    </w:p>
    <w:p>
      <w:pPr>
        <w:spacing w:line="360" w:lineRule="auto"/>
        <w:jc w:val="center"/>
        <w:rPr>
          <w:rFonts w:ascii="仿宋_GB2312" w:hAnsi="仿宋_GB2312" w:eastAsia="仿宋_GB2312" w:cs="仿宋_GB2312"/>
          <w:b/>
          <w:bCs/>
          <w:color w:val="auto"/>
          <w:sz w:val="24"/>
          <w:highlight w:val="none"/>
        </w:r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21、认为需要的</w:t>
      </w:r>
      <w:r>
        <w:rPr>
          <w:rFonts w:hint="eastAsia" w:ascii="仿宋_GB2312" w:hAnsi="仿宋_GB2312" w:eastAsia="仿宋_GB2312" w:cs="仿宋_GB2312"/>
          <w:b/>
          <w:color w:val="auto"/>
          <w:kern w:val="0"/>
          <w:sz w:val="32"/>
          <w:szCs w:val="32"/>
          <w:highlight w:val="none"/>
          <w:lang w:val="zh-CN"/>
        </w:rPr>
        <w:t>其他商务技术（资信）文件或说明</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color w:val="auto"/>
          <w:sz w:val="24"/>
          <w:highlight w:val="none"/>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hint="eastAsia" w:ascii="仿宋_GB2312" w:hAnsi="仿宋_GB2312" w:eastAsia="仿宋_GB2312" w:cs="仿宋_GB2312"/>
          <w:b/>
          <w:color w:val="auto"/>
          <w:kern w:val="0"/>
          <w:sz w:val="32"/>
          <w:szCs w:val="32"/>
          <w:highlight w:val="none"/>
          <w:lang w:val="zh-CN"/>
        </w:r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lang w:val="zh-CN"/>
        </w:rPr>
        <w:t>22、联合协议</w:t>
      </w:r>
    </w:p>
    <w:p>
      <w:pPr>
        <w:widowControl/>
        <w:spacing w:line="360" w:lineRule="auto"/>
        <w:ind w:firstLine="482" w:firstLineChars="20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rPr>
        <w:t>提供的全部货物由小微企业制造，其合同份额占到合同总金额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，对联合体报价给予</w:t>
      </w:r>
      <w:r>
        <w:rPr>
          <w:rFonts w:ascii="仿宋_GB2312" w:hAnsi="仿宋" w:eastAsia="仿宋_GB2312" w:cs="仿宋_GB2312"/>
          <w:b/>
          <w:color w:val="auto"/>
          <w:kern w:val="0"/>
          <w:sz w:val="24"/>
          <w:highlight w:val="none"/>
          <w:lang w:val="zh-CN"/>
        </w:rPr>
        <w:t>3%的扣除</w:t>
      </w:r>
      <w:r>
        <w:rPr>
          <w:rFonts w:hint="eastAsia" w:ascii="仿宋_GB2312" w:hAnsi="仿宋" w:eastAsia="仿宋_GB2312" w:cs="仿宋_GB2312"/>
          <w:b/>
          <w:color w:val="auto"/>
          <w:kern w:val="0"/>
          <w:sz w:val="24"/>
          <w:highlight w:val="none"/>
          <w:lang w:val="zh-CN"/>
        </w:rPr>
        <w:t>，</w:t>
      </w:r>
      <w:r>
        <w:rPr>
          <w:rFonts w:ascii="仿宋_GB2312" w:hAnsi="仿宋" w:eastAsia="仿宋_GB2312" w:cs="仿宋_GB2312"/>
          <w:b/>
          <w:color w:val="auto"/>
          <w:kern w:val="0"/>
          <w:sz w:val="24"/>
          <w:highlight w:val="none"/>
          <w:lang w:val="zh-CN"/>
        </w:rPr>
        <w:t>须提供</w:t>
      </w:r>
      <w:r>
        <w:rPr>
          <w:rFonts w:hint="eastAsia" w:ascii="仿宋_GB2312" w:hAnsi="仿宋" w:eastAsia="仿宋_GB2312" w:cs="仿宋_GB2312"/>
          <w:b/>
          <w:color w:val="auto"/>
          <w:kern w:val="0"/>
          <w:sz w:val="24"/>
          <w:highlight w:val="none"/>
          <w:lang w:val="zh-CN"/>
        </w:rPr>
        <w:t>《</w:t>
      </w:r>
      <w:r>
        <w:rPr>
          <w:rFonts w:ascii="仿宋_GB2312" w:hAnsi="仿宋" w:eastAsia="仿宋_GB2312" w:cs="仿宋_GB2312"/>
          <w:b/>
          <w:color w:val="auto"/>
          <w:kern w:val="0"/>
          <w:sz w:val="24"/>
          <w:highlight w:val="none"/>
          <w:lang w:val="zh-CN"/>
        </w:rPr>
        <w:t>中小企业声明函</w:t>
      </w: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zh-CN"/>
        </w:rPr>
        <w:t>电子签章</w:t>
      </w:r>
      <w:r>
        <w:rPr>
          <w:rFonts w:ascii="仿宋_GB2312" w:hAnsi="仿宋" w:eastAsia="仿宋_GB2312" w:cs="仿宋_GB2312"/>
          <w:color w:val="auto"/>
          <w:kern w:val="0"/>
          <w:sz w:val="24"/>
          <w:highlight w:val="none"/>
          <w:lang w:val="zh-CN"/>
        </w:rPr>
        <w:t>/公章)：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napToGrid w:val="0"/>
        <w:spacing w:line="360" w:lineRule="auto"/>
        <w:ind w:right="480"/>
        <w:rPr>
          <w:rFonts w:ascii="仿宋_GB2312" w:hAnsi="仿宋" w:eastAsia="仿宋_GB2312" w:cs="仿宋_GB2312"/>
          <w:b/>
          <w:color w:val="auto"/>
          <w:kern w:val="0"/>
          <w:sz w:val="32"/>
          <w:szCs w:val="32"/>
          <w:highlight w:val="none"/>
          <w:lang w:val="zh-CN"/>
        </w:rPr>
        <w:sectPr>
          <w:headerReference r:id="rId5" w:type="first"/>
          <w:footerReference r:id="rId7" w:type="first"/>
          <w:footerReference r:id="rId6" w:type="default"/>
          <w:pgSz w:w="11906" w:h="16838"/>
          <w:pgMar w:top="1276" w:right="1418" w:bottom="1247" w:left="1418" w:header="851" w:footer="992" w:gutter="0"/>
          <w:cols w:space="720" w:num="1"/>
          <w:titlePg/>
          <w:docGrid w:linePitch="312" w:charSpace="0"/>
        </w:sect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lang w:val="zh-CN"/>
        </w:rPr>
        <w:t>23、分包意向协议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snapToGrid w:val="0"/>
        <w:spacing w:line="360" w:lineRule="auto"/>
        <w:ind w:firstLine="576"/>
        <w:rPr>
          <w:color w:val="auto"/>
          <w:highlight w:val="none"/>
        </w:rPr>
      </w:pPr>
      <w:r>
        <w:rPr>
          <w:rFonts w:hint="eastAsia" w:cs="仿宋_GB2312"/>
          <w:color w:val="auto"/>
          <w:kern w:val="0"/>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u w:val="single"/>
        </w:rPr>
        <w:t>（分包供应商名称）提供的货物全部由小微企业制造，</w:t>
      </w:r>
      <w:r>
        <w:rPr>
          <w:rFonts w:hint="eastAsia" w:ascii="仿宋_GB2312" w:hAnsi="仿宋" w:eastAsia="仿宋_GB2312" w:cs="仿宋_GB2312"/>
          <w:color w:val="auto"/>
          <w:kern w:val="0"/>
          <w:sz w:val="24"/>
          <w:highlight w:val="none"/>
        </w:rPr>
        <w:t>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olor w:val="auto"/>
          <w:highlight w:val="none"/>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的，对大中型企业的报价给予</w:t>
      </w:r>
      <w:r>
        <w:rPr>
          <w:rFonts w:ascii="仿宋_GB2312" w:hAnsi="仿宋" w:eastAsia="仿宋_GB2312" w:cs="仿宋_GB2312"/>
          <w:b/>
          <w:color w:val="auto"/>
          <w:kern w:val="0"/>
          <w:sz w:val="24"/>
          <w:highlight w:val="none"/>
          <w:lang w:val="zh-CN"/>
        </w:rPr>
        <w:t>3%的扣除</w:t>
      </w:r>
      <w:r>
        <w:rPr>
          <w:rFonts w:hint="eastAsia" w:ascii="仿宋_GB2312" w:hAnsi="仿宋" w:eastAsia="仿宋_GB2312" w:cs="仿宋_GB2312"/>
          <w:b/>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w:t>
      </w:r>
      <w:r>
        <w:rPr>
          <w:rFonts w:hint="eastAsia" w:ascii="仿宋_GB2312" w:hAnsi="仿宋_GB2312" w:eastAsia="仿宋_GB2312" w:cs="仿宋_GB2312"/>
          <w:color w:val="auto"/>
          <w:kern w:val="0"/>
          <w:sz w:val="24"/>
          <w:highlight w:val="none"/>
          <w:lang w:val="zh-CN"/>
        </w:rPr>
        <w:t>电子签章</w:t>
      </w:r>
      <w:r>
        <w:rPr>
          <w:rFonts w:ascii="仿宋_GB2312" w:hAnsi="仿宋" w:eastAsia="仿宋_GB2312" w:cs="仿宋_GB2312"/>
          <w:color w:val="auto"/>
          <w:kern w:val="0"/>
          <w:sz w:val="24"/>
          <w:highlight w:val="none"/>
          <w:lang w:val="zh-CN"/>
        </w:rPr>
        <w:t>)：</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lang w:val="zh-CN"/>
        </w:rPr>
        <w:t>24、落实政府采购政策需满足的资格要求</w:t>
      </w:r>
    </w:p>
    <w:p>
      <w:pPr>
        <w:spacing w:line="440" w:lineRule="exact"/>
        <w:rPr>
          <w:rFonts w:ascii="仿宋_GB2312" w:hAnsi="仿宋" w:eastAsia="仿宋_GB2312"/>
          <w:b/>
          <w:color w:val="auto"/>
          <w:sz w:val="24"/>
          <w:highlight w:val="none"/>
        </w:rPr>
      </w:pPr>
      <w:r>
        <w:rPr>
          <w:rFonts w:hint="eastAsia" w:ascii="仿宋_GB2312" w:hAnsi="仿宋" w:eastAsia="仿宋_GB2312" w:cs="仿宋_GB2312"/>
          <w:b/>
          <w:color w:val="auto"/>
          <w:sz w:val="24"/>
          <w:highlight w:val="none"/>
        </w:rPr>
        <w:t>（根据招标公告</w:t>
      </w:r>
      <w:r>
        <w:rPr>
          <w:rFonts w:hint="eastAsia" w:ascii="仿宋_GB2312" w:hAnsi="仿宋" w:eastAsia="仿宋_GB2312"/>
          <w:b/>
          <w:color w:val="auto"/>
          <w:sz w:val="24"/>
          <w:highlight w:val="none"/>
        </w:rPr>
        <w:t>落实政府采购政策需满足的资格要求选择提供相应的材料；未要求的，无需提供</w:t>
      </w:r>
      <w:r>
        <w:rPr>
          <w:rFonts w:hint="eastAsia" w:ascii="仿宋_GB2312" w:hAnsi="仿宋" w:eastAsia="仿宋_GB2312" w:cs="仿宋_GB2312"/>
          <w:b/>
          <w:color w:val="auto"/>
          <w:sz w:val="24"/>
          <w:highlight w:val="none"/>
        </w:rPr>
        <w:t>）</w:t>
      </w:r>
    </w:p>
    <w:p>
      <w:pPr>
        <w:snapToGrid w:val="0"/>
        <w:spacing w:line="440" w:lineRule="exact"/>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A</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专门面向中小企业，货物全部由符合政策要求的中小企业（或小微企业）制造或者服务全部由符合政策要求的中小企业（或小微企业）承接的，提供相应的</w:t>
      </w:r>
      <w:r>
        <w:rPr>
          <w:rFonts w:hint="eastAsia" w:ascii="仿宋_GB2312" w:hAnsi="仿宋" w:eastAsia="仿宋_GB2312" w:cs="仿宋_GB2312"/>
          <w:b/>
          <w:color w:val="auto"/>
          <w:sz w:val="24"/>
          <w:highlight w:val="none"/>
        </w:rPr>
        <w:t>中小企业声明函</w:t>
      </w:r>
      <w:r>
        <w:rPr>
          <w:rFonts w:hint="eastAsia" w:ascii="仿宋_GB2312" w:hAnsi="仿宋" w:eastAsia="仿宋_GB2312" w:cs="仿宋_GB2312"/>
          <w:color w:val="auto"/>
          <w:sz w:val="24"/>
          <w:highlight w:val="none"/>
        </w:rPr>
        <w:t>（附件）。</w:t>
      </w:r>
      <w:r>
        <w:rPr>
          <w:rFonts w:ascii="仿宋_GB2312" w:hAnsi="仿宋" w:eastAsia="仿宋_GB2312" w:cs="仿宋_GB2312"/>
          <w:color w:val="auto"/>
          <w:sz w:val="24"/>
          <w:highlight w:val="none"/>
        </w:rPr>
        <w:t xml:space="preserve"> </w:t>
      </w:r>
    </w:p>
    <w:p>
      <w:pPr>
        <w:widowControl/>
        <w:spacing w:line="440" w:lineRule="exact"/>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B.</w:t>
      </w:r>
      <w:r>
        <w:rPr>
          <w:rFonts w:hint="eastAsia" w:ascii="仿宋_GB2312" w:hAnsi="仿宋" w:eastAsia="仿宋_GB2312" w:cs="仿宋_GB2312"/>
          <w:color w:val="auto"/>
          <w:sz w:val="24"/>
          <w:highlight w:val="none"/>
        </w:rPr>
        <w:t>要求以联合体形式参加的，提供联合协议和</w:t>
      </w:r>
      <w:r>
        <w:rPr>
          <w:rFonts w:hint="eastAsia" w:ascii="仿宋_GB2312" w:hAnsi="仿宋" w:eastAsia="仿宋_GB2312" w:cs="仿宋_GB2312"/>
          <w:b/>
          <w:color w:val="auto"/>
          <w:sz w:val="24"/>
          <w:highlight w:val="none"/>
        </w:rPr>
        <w:t>中小企业声明函</w:t>
      </w:r>
      <w:r>
        <w:rPr>
          <w:rFonts w:hint="eastAsia" w:ascii="仿宋_GB2312" w:hAnsi="仿宋" w:eastAsia="仿宋_GB2312" w:cs="仿宋_GB2312"/>
          <w:color w:val="auto"/>
          <w:sz w:val="24"/>
          <w:highlight w:val="none"/>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adjustRightInd w:val="0"/>
        <w:snapToGrid w:val="0"/>
        <w:spacing w:before="50" w:after="50" w:line="360" w:lineRule="auto"/>
        <w:jc w:val="center"/>
        <w:rPr>
          <w:rFonts w:ascii="仿宋_GB2312" w:hAnsi="仿宋" w:eastAsia="仿宋_GB2312" w:cs="仿宋_GB2312"/>
          <w:b/>
          <w:color w:val="auto"/>
          <w:kern w:val="0"/>
          <w:sz w:val="32"/>
          <w:szCs w:val="32"/>
          <w:highlight w:val="none"/>
          <w:lang w:val="zh-CN"/>
        </w:rPr>
      </w:pPr>
    </w:p>
    <w:p>
      <w:pPr>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br w:type="page"/>
      </w:r>
    </w:p>
    <w:p>
      <w:pPr>
        <w:adjustRightInd w:val="0"/>
        <w:snapToGrid w:val="0"/>
        <w:spacing w:before="50" w:after="50" w:line="360" w:lineRule="auto"/>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联合协议</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jc w:val="center"/>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年</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月 </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日</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2" w:firstLineChars="200"/>
        <w:rPr>
          <w:rFonts w:ascii="仿宋_GB2312" w:hAnsi="仿宋" w:eastAsia="仿宋_GB2312" w:cs="仿宋_GB2312"/>
          <w:b/>
          <w:color w:val="auto"/>
          <w:sz w:val="24"/>
          <w:highlight w:val="none"/>
        </w:rPr>
      </w:pPr>
    </w:p>
    <w:p>
      <w:pPr>
        <w:spacing w:line="360" w:lineRule="auto"/>
        <w:ind w:firstLine="482" w:firstLineChars="200"/>
        <w:rPr>
          <w:rFonts w:ascii="仿宋_GB2312" w:hAnsi="仿宋" w:eastAsia="仿宋_GB2312" w:cs="仿宋_GB2312"/>
          <w:b/>
          <w:color w:val="auto"/>
          <w:sz w:val="24"/>
          <w:highlight w:val="none"/>
        </w:rPr>
      </w:pPr>
    </w:p>
    <w:p>
      <w:pPr>
        <w:spacing w:line="360" w:lineRule="auto"/>
        <w:ind w:firstLine="482" w:firstLineChars="200"/>
        <w:rPr>
          <w:rFonts w:ascii="仿宋_GB2312" w:hAnsi="仿宋" w:eastAsia="仿宋_GB2312" w:cs="仿宋_GB2312"/>
          <w:b/>
          <w:color w:val="auto"/>
          <w:sz w:val="24"/>
          <w:highlight w:val="none"/>
        </w:rPr>
      </w:pPr>
    </w:p>
    <w:p>
      <w:pPr>
        <w:pageBreakBefore/>
        <w:spacing w:line="360" w:lineRule="auto"/>
        <w:ind w:firstLine="482" w:firstLineChars="200"/>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sz w:val="24"/>
          <w:highlight w:val="none"/>
        </w:rPr>
        <w:t>C、</w:t>
      </w:r>
      <w:r>
        <w:rPr>
          <w:rFonts w:hint="eastAsia" w:ascii="仿宋_GB2312" w:hAnsi="仿宋" w:eastAsia="仿宋_GB2312" w:cs="仿宋_GB2312"/>
          <w:color w:val="auto"/>
          <w:sz w:val="24"/>
          <w:highlight w:val="none"/>
        </w:rPr>
        <w:t>要求合同分包的，提供分包意向协议和</w:t>
      </w:r>
      <w:r>
        <w:rPr>
          <w:rFonts w:hint="eastAsia" w:ascii="仿宋_GB2312" w:hAnsi="仿宋" w:eastAsia="仿宋_GB2312" w:cs="仿宋_GB2312"/>
          <w:b/>
          <w:color w:val="auto"/>
          <w:sz w:val="24"/>
          <w:highlight w:val="none"/>
        </w:rPr>
        <w:t>中小企业声明函（附件）</w:t>
      </w:r>
      <w:r>
        <w:rPr>
          <w:rFonts w:hint="eastAsia" w:ascii="仿宋_GB2312" w:hAnsi="仿宋" w:eastAsia="仿宋_GB2312" w:cs="仿宋_GB2312"/>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w:t>
      </w:r>
      <w:r>
        <w:rPr>
          <w:rFonts w:hint="eastAsia" w:ascii="仿宋_GB2312" w:hAnsi="仿宋" w:eastAsia="仿宋_GB2312" w:cs="仿宋_GB2312"/>
          <w:color w:val="auto"/>
          <w:kern w:val="0"/>
          <w:sz w:val="24"/>
          <w:highlight w:val="none"/>
          <w:lang w:val="zh-CN"/>
        </w:rPr>
        <w:t>应商名称），具备承担</w:t>
      </w:r>
      <w:r>
        <w:rPr>
          <w:rFonts w:ascii="仿宋_GB2312" w:hAnsi="仿宋" w:eastAsia="仿宋_GB2312" w:cs="仿宋_GB2312"/>
          <w:color w:val="auto"/>
          <w:kern w:val="0"/>
          <w:sz w:val="24"/>
          <w:highlight w:val="non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snapToGrid w:val="0"/>
        <w:spacing w:line="360" w:lineRule="auto"/>
        <w:ind w:firstLine="964" w:firstLineChars="4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投标人名称(电子签名)：</w:t>
      </w:r>
    </w:p>
    <w:p>
      <w:pPr>
        <w:snapToGrid w:val="0"/>
        <w:spacing w:line="360" w:lineRule="auto"/>
        <w:ind w:firstLine="5880" w:firstLineChars="24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6000" w:firstLineChars="2500"/>
        <w:rPr>
          <w:color w:val="auto"/>
          <w:highlight w:val="none"/>
        </w:rPr>
      </w:pP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月   日</w:t>
      </w:r>
    </w:p>
    <w:p>
      <w:pPr>
        <w:pageBreakBefore/>
        <w:jc w:val="center"/>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业务专用章使用说明函</w:t>
      </w:r>
    </w:p>
    <w:p>
      <w:pPr>
        <w:spacing w:line="360" w:lineRule="auto"/>
        <w:rPr>
          <w:rFonts w:ascii="仿宋" w:hAnsi="仿宋" w:eastAsia="仿宋" w:cs="仿宋_GB2312"/>
          <w:color w:val="auto"/>
          <w:sz w:val="24"/>
          <w:highlight w:val="none"/>
          <w:u w:val="single"/>
        </w:rPr>
      </w:pP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w:t>
      </w:r>
      <w:r>
        <w:rPr>
          <w:rFonts w:hint="eastAsia" w:ascii="仿宋_GB2312" w:hAnsi="仿宋" w:eastAsia="仿宋_GB2312" w:cs="仿宋_GB2312"/>
          <w:color w:val="auto"/>
          <w:sz w:val="24"/>
          <w:highlight w:val="none"/>
        </w:rPr>
        <w:t>（项目名称）项目</w:t>
      </w:r>
      <w:r>
        <w:rPr>
          <w:rFonts w:hint="eastAsia" w:ascii="仿宋" w:hAnsi="仿宋" w:eastAsia="仿宋" w:cs="仿宋_GB2312"/>
          <w:color w:val="auto"/>
          <w:sz w:val="24"/>
          <w:highlight w:val="none"/>
        </w:rPr>
        <w:t>【招标编号：（采购编号）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b/>
          <w:bCs/>
          <w:color w:val="auto"/>
          <w:sz w:val="24"/>
          <w:highlight w:val="none"/>
        </w:rPr>
        <w:pict>
          <v:rect id="Rectangle 17" o:spid="_x0000_s2052" o:spt="1" style="position:absolute;left:0pt;margin-left:238.9pt;margin-top:28.05pt;height:177.45pt;width:212.95pt;z-index:-25165721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">
            <v:path/>
            <v:fill focussize="0,0"/>
            <v:stroke miterlimit="2"/>
            <v:imagedata o:title=""/>
            <o:lock v:ext="edit"/>
          </v:rect>
        </w:pict>
      </w:r>
      <w:r>
        <w:rPr>
          <w:rFonts w:ascii="仿宋" w:hAnsi="仿宋" w:eastAsia="仿宋"/>
          <w:b/>
          <w:bCs/>
          <w:color w:val="auto"/>
          <w:sz w:val="24"/>
          <w:highlight w:val="none"/>
        </w:rPr>
        <w:pict>
          <v:rect id="Rectangle 16" o:spid="_x0000_s2051" o:spt="1" style="position:absolute;left:0pt;margin-left:-7.2pt;margin-top:30.3pt;height:177.45pt;width:208.5pt;z-index:-2516561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">
            <v:path/>
            <v:fill focussize="0,0"/>
            <v:stroke miterlimit="2"/>
            <v:imagedata o:title=""/>
            <o:lock v:ext="edit"/>
          </v:rect>
        </w:pic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pageBreakBefore/>
        <w:rPr>
          <w:rFonts w:ascii="仿宋_GB2312" w:eastAsia="仿宋_GB2312"/>
          <w:b/>
          <w:color w:val="auto"/>
          <w:sz w:val="32"/>
          <w:szCs w:val="32"/>
          <w:highlight w:val="none"/>
        </w:rPr>
      </w:pPr>
      <w:r>
        <w:rPr>
          <w:rFonts w:hint="eastAsia" w:ascii="仿宋_GB2312" w:eastAsia="仿宋_GB2312"/>
          <w:b/>
          <w:color w:val="auto"/>
          <w:sz w:val="32"/>
          <w:szCs w:val="32"/>
          <w:highlight w:val="none"/>
        </w:rPr>
        <w:t>中小企业声明函</w:t>
      </w:r>
    </w:p>
    <w:p>
      <w:pPr>
        <w:rPr>
          <w:rFonts w:ascii="仿宋_GB2312" w:eastAsia="仿宋_GB2312"/>
          <w:b/>
          <w:color w:val="auto"/>
          <w:sz w:val="32"/>
          <w:szCs w:val="32"/>
          <w:highlight w:val="none"/>
        </w:rPr>
      </w:pPr>
      <w:r>
        <w:rPr>
          <w:rFonts w:hint="eastAsia" w:ascii="仿宋_GB2312" w:hAnsi="仿宋" w:eastAsia="仿宋_GB2312" w:cs="仿宋_GB2312"/>
          <w:b/>
          <w:color w:val="auto"/>
          <w:sz w:val="24"/>
          <w:highlight w:val="none"/>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r>
        <w:rPr>
          <w:rFonts w:ascii="仿宋_GB2312" w:hAnsi="仿宋" w:eastAsia="仿宋_GB2312" w:cs="仿宋_GB2312"/>
          <w:b/>
          <w:color w:val="auto"/>
          <w:sz w:val="24"/>
          <w:highlight w:val="none"/>
        </w:rPr>
        <w:t>。</w:t>
      </w:r>
      <w:r>
        <w:rPr>
          <w:rFonts w:hint="eastAsia" w:ascii="仿宋_GB2312" w:hAnsi="仿宋" w:eastAsia="仿宋_GB2312" w:cs="仿宋_GB2312"/>
          <w:b/>
          <w:color w:val="auto"/>
          <w:sz w:val="24"/>
          <w:highlight w:val="none"/>
        </w:rPr>
        <w:t>]</w:t>
      </w:r>
    </w:p>
    <w:p>
      <w:pPr>
        <w:pageBreakBefore/>
        <w:rPr>
          <w:rFonts w:ascii="仿宋_GB2312" w:hAnsi="仿宋_GB2312" w:eastAsia="仿宋_GB2312" w:cs="仿宋_GB2312"/>
          <w:b/>
          <w:color w:val="auto"/>
          <w:sz w:val="32"/>
          <w:szCs w:val="32"/>
          <w:highlight w:val="none"/>
        </w:rPr>
      </w:pPr>
    </w:p>
    <w:p>
      <w:pPr>
        <w:jc w:val="center"/>
        <w:rPr>
          <w:rFonts w:ascii="仿宋_GB2312" w:hAnsi="仿宋_GB2312" w:eastAsia="仿宋_GB2312" w:cs="仿宋_GB2312"/>
          <w:b/>
          <w:color w:val="auto"/>
          <w:sz w:val="32"/>
          <w:highlight w:val="none"/>
        </w:rPr>
      </w:pPr>
      <w:r>
        <w:rPr>
          <w:rFonts w:hint="eastAsia" w:ascii="仿宋_GB2312" w:hAnsi="仿宋_GB2312" w:eastAsia="仿宋_GB2312" w:cs="仿宋_GB2312"/>
          <w:b/>
          <w:color w:val="auto"/>
          <w:sz w:val="32"/>
          <w:highlight w:val="none"/>
        </w:rPr>
        <w:t>中小企业声明函（货物）</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本公司（联合体）郑重声明，根据《政府采购促进中小企业发展管理办法》 （财库</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2020</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46 号）的规定，本公司（联合体）参加</w:t>
      </w:r>
      <w:r>
        <w:rPr>
          <w:rFonts w:hint="eastAsia" w:ascii="仿宋_GB2312" w:hAnsi="仿宋_GB2312" w:eastAsia="仿宋_GB2312" w:cs="仿宋_GB2312"/>
          <w:color w:val="auto"/>
          <w:sz w:val="24"/>
          <w:highlight w:val="none"/>
          <w:u w:val="single"/>
        </w:rPr>
        <w:t xml:space="preserve"> xxx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xxx项目</w:t>
      </w:r>
      <w:r>
        <w:rPr>
          <w:rFonts w:hint="eastAsia" w:ascii="仿宋_GB2312" w:hAnsi="仿宋_GB2312" w:eastAsia="仿宋_GB2312" w:cs="仿宋_GB2312"/>
          <w:color w:val="auto"/>
          <w:sz w:val="24"/>
          <w:highlight w:val="none"/>
        </w:rPr>
        <w:t>采购活动，提供的货物全部由符合政策要求的中小企业制造。相关企业（含联合体中的中小企业、签订分包意向协议的中小企业）的具体情况如下：</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w:t>
      </w:r>
      <w:r>
        <w:rPr>
          <w:rFonts w:hint="eastAsia" w:ascii="仿宋_GB2312" w:hAnsi="仿宋_GB2312" w:eastAsia="仿宋_GB2312" w:cs="仿宋_GB2312"/>
          <w:color w:val="auto"/>
          <w:sz w:val="24"/>
          <w:highlight w:val="none"/>
        </w:rPr>
        <w:t>行业 ；制造商为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w:t>
      </w:r>
      <w:r>
        <w:rPr>
          <w:rFonts w:hint="eastAsia" w:ascii="仿宋_GB2312" w:hAnsi="仿宋_GB2312" w:eastAsia="仿宋_GB2312" w:cs="仿宋_GB2312"/>
          <w:color w:val="auto"/>
          <w:sz w:val="24"/>
          <w:highlight w:val="none"/>
        </w:rPr>
        <w:t>行业 ；制造商为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ind w:right="420" w:firstLine="5880" w:firstLineChars="2450"/>
        <w:jc w:val="left"/>
        <w:rPr>
          <w:rFonts w:ascii="仿宋_GB2312" w:hAnsi="仿宋_GB2312" w:eastAsia="仿宋_GB2312" w:cs="仿宋_GB2312"/>
          <w:color w:val="auto"/>
          <w:sz w:val="24"/>
          <w:highlight w:val="none"/>
        </w:rPr>
      </w:pPr>
    </w:p>
    <w:p>
      <w:pPr>
        <w:ind w:right="420" w:firstLine="5880" w:firstLineChars="24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企业名称（盖章）： </w:t>
      </w:r>
    </w:p>
    <w:p>
      <w:pPr>
        <w:ind w:right="420" w:firstLine="5520" w:firstLineChars="2300"/>
        <w:rPr>
          <w:rFonts w:ascii="仿宋_GB2312" w:eastAsia="仿宋_GB2312"/>
          <w:color w:val="auto"/>
          <w:highlight w:val="none"/>
        </w:rPr>
      </w:pPr>
      <w:r>
        <w:rPr>
          <w:rFonts w:hint="eastAsia" w:ascii="仿宋_GB2312" w:hAnsi="仿宋_GB2312" w:eastAsia="仿宋_GB2312" w:cs="仿宋_GB2312"/>
          <w:color w:val="auto"/>
          <w:sz w:val="24"/>
          <w:highlight w:val="none"/>
        </w:rPr>
        <w:t xml:space="preserve">日期：   年   月 </w:t>
      </w:r>
      <w:r>
        <w:rPr>
          <w:rFonts w:hint="eastAsia" w:ascii="仿宋_GB2312" w:eastAsia="仿宋_GB2312"/>
          <w:color w:val="auto"/>
          <w:highlight w:val="none"/>
        </w:rPr>
        <w:t xml:space="preserve">  日</w:t>
      </w:r>
    </w:p>
    <w:p>
      <w:pPr>
        <w:jc w:val="center"/>
        <w:rPr>
          <w:rFonts w:ascii="仿宋_GB2312" w:hAnsi="仿宋_GB2312" w:eastAsia="仿宋_GB2312" w:cs="仿宋_GB2312"/>
          <w:b/>
          <w:color w:val="auto"/>
          <w:sz w:val="18"/>
          <w:highlight w:val="none"/>
        </w:rPr>
      </w:pPr>
    </w:p>
    <w:p>
      <w:pPr>
        <w:jc w:val="center"/>
        <w:rPr>
          <w:rFonts w:ascii="仿宋_GB2312" w:hAnsi="仿宋_GB2312" w:eastAsia="仿宋_GB2312" w:cs="仿宋_GB2312"/>
          <w:b/>
          <w:color w:val="auto"/>
          <w:sz w:val="32"/>
          <w:highlight w:val="none"/>
        </w:rPr>
      </w:pPr>
    </w:p>
    <w:p>
      <w:pPr>
        <w:jc w:val="center"/>
        <w:rPr>
          <w:rFonts w:ascii="仿宋_GB2312" w:hAnsi="仿宋_GB2312" w:eastAsia="仿宋_GB2312" w:cs="仿宋_GB2312"/>
          <w:b/>
          <w:color w:val="auto"/>
          <w:sz w:val="32"/>
          <w:highlight w:val="none"/>
        </w:rPr>
      </w:pPr>
    </w:p>
    <w:p>
      <w:pP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w:t>
      </w:r>
    </w:p>
    <w:p>
      <w:pPr>
        <w:rPr>
          <w:rFonts w:ascii="仿宋" w:hAnsi="仿宋" w:eastAsia="仿宋"/>
          <w:b/>
          <w:color w:val="auto"/>
          <w:sz w:val="24"/>
          <w:highlight w:val="none"/>
        </w:rPr>
      </w:pPr>
      <w:r>
        <w:rPr>
          <w:rFonts w:hint="eastAsia" w:ascii="仿宋" w:hAnsi="仿宋" w:eastAsia="仿宋"/>
          <w:b/>
          <w:color w:val="auto"/>
          <w:sz w:val="24"/>
          <w:highlight w:val="none"/>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_GB2312" w:hAnsi="仿宋_GB2312" w:eastAsia="仿宋_GB2312" w:cs="仿宋_GB2312"/>
          <w:color w:val="auto"/>
          <w:sz w:val="24"/>
          <w:highlight w:val="none"/>
        </w:rPr>
        <w:t>如国家颁布新的企业划型标准，则按最新标准执行。</w:t>
      </w:r>
      <w:r>
        <w:rPr>
          <w:rFonts w:hint="eastAsia" w:ascii="仿宋" w:hAnsi="仿宋" w:eastAsia="仿宋"/>
          <w:b/>
          <w:color w:val="auto"/>
          <w:sz w:val="24"/>
          <w:highlight w:val="none"/>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_GB2312" w:hAnsi="仿宋_GB2312" w:eastAsia="仿宋_GB2312" w:cs="仿宋_GB2312"/>
          <w:color w:val="auto"/>
          <w:sz w:val="24"/>
          <w:highlight w:val="none"/>
        </w:rPr>
      </w:pPr>
      <w:r>
        <w:rPr>
          <w:rFonts w:hint="eastAsia" w:ascii="仿宋" w:hAnsi="仿宋" w:eastAsia="仿宋"/>
          <w:color w:val="auto"/>
          <w:sz w:val="24"/>
          <w:highlight w:val="none"/>
        </w:rPr>
        <w:t>2.根据《政府采购促进中小企业发展管理办法》的通知（财库〔2020〕46号）规定，</w:t>
      </w:r>
      <w:r>
        <w:rPr>
          <w:rFonts w:hint="eastAsia" w:ascii="仿宋_GB2312" w:hAnsi="仿宋_GB2312" w:eastAsia="仿宋_GB2312" w:cs="仿宋_GB2312"/>
          <w:color w:val="auto"/>
          <w:sz w:val="24"/>
          <w:highlight w:val="none"/>
        </w:rPr>
        <w:t>中标、成交供应商享受中小企业扶持政策的，采购代理机构将随中标、成交结果公开中标、成交供应商的《中小企业声明函》。</w:t>
      </w:r>
      <w:r>
        <w:rPr>
          <w:rFonts w:ascii="仿宋_GB2312" w:hAnsi="仿宋_GB2312" w:eastAsia="仿宋_GB2312" w:cs="仿宋_GB2312"/>
          <w:color w:val="auto"/>
          <w:sz w:val="24"/>
          <w:highlight w:val="none"/>
        </w:rPr>
        <w:t xml:space="preserve"> </w:t>
      </w:r>
    </w:p>
    <w:p>
      <w:pPr>
        <w:pageBreakBefore/>
        <w:jc w:val="center"/>
        <w:rPr>
          <w:rFonts w:ascii="仿宋_GB2312" w:hAnsi="仿宋_GB2312" w:eastAsia="仿宋_GB2312" w:cs="仿宋_GB2312"/>
          <w:b/>
          <w:color w:val="auto"/>
          <w:sz w:val="32"/>
          <w:highlight w:val="none"/>
        </w:rPr>
      </w:pPr>
      <w:r>
        <w:rPr>
          <w:rFonts w:hint="eastAsia" w:ascii="仿宋_GB2312" w:hAnsi="仿宋_GB2312" w:eastAsia="仿宋_GB2312" w:cs="仿宋_GB2312"/>
          <w:b/>
          <w:color w:val="auto"/>
          <w:sz w:val="32"/>
          <w:highlight w:val="none"/>
        </w:rPr>
        <w:t>中小企业声明函（工程、服务）</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本公司（联合体）郑重声明，根据《政府采购促进中小企业发展管理办法》 （财库</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2020</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46 号）的规定，本公司（联合体）参加</w:t>
      </w:r>
      <w:r>
        <w:rPr>
          <w:rFonts w:hint="eastAsia" w:ascii="仿宋_GB2312" w:hAnsi="仿宋_GB2312" w:eastAsia="仿宋_GB2312" w:cs="仿宋_GB2312"/>
          <w:color w:val="auto"/>
          <w:sz w:val="24"/>
          <w:highlight w:val="none"/>
          <w:u w:val="single"/>
        </w:rPr>
        <w:t xml:space="preserve"> xxx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xxx项目</w:t>
      </w:r>
      <w:r>
        <w:rPr>
          <w:rFonts w:hint="eastAsia" w:ascii="仿宋_GB2312" w:hAnsi="仿宋_GB2312" w:eastAsia="仿宋_GB2312" w:cs="仿宋_GB2312"/>
          <w:color w:val="auto"/>
          <w:sz w:val="24"/>
          <w:highlight w:val="none"/>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（采购文件中明确的所属行业）行业</w:t>
      </w:r>
      <w:r>
        <w:rPr>
          <w:rFonts w:hint="eastAsia" w:ascii="仿宋_GB2312" w:hAnsi="仿宋_GB2312" w:eastAsia="仿宋_GB2312" w:cs="仿宋_GB2312"/>
          <w:color w:val="auto"/>
          <w:sz w:val="24"/>
          <w:highlight w:val="none"/>
        </w:rPr>
        <w:t>；承建（承接）企业为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（采购文件中明确的所属行业）行业</w:t>
      </w:r>
      <w:r>
        <w:rPr>
          <w:rFonts w:hint="eastAsia" w:ascii="仿宋_GB2312" w:hAnsi="仿宋_GB2312" w:eastAsia="仿宋_GB2312" w:cs="仿宋_GB2312"/>
          <w:color w:val="auto"/>
          <w:sz w:val="24"/>
          <w:highlight w:val="none"/>
        </w:rPr>
        <w:t>；承建（承接）企业为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 ，属于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ind w:right="420" w:firstLine="5880" w:firstLineChars="2450"/>
        <w:jc w:val="left"/>
        <w:rPr>
          <w:rFonts w:ascii="仿宋_GB2312" w:hAnsi="仿宋_GB2312" w:eastAsia="仿宋_GB2312" w:cs="仿宋_GB2312"/>
          <w:color w:val="auto"/>
          <w:sz w:val="24"/>
          <w:highlight w:val="none"/>
        </w:rPr>
      </w:pPr>
    </w:p>
    <w:p>
      <w:pPr>
        <w:ind w:right="420" w:firstLine="5880" w:firstLineChars="24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企业名称（盖章）： </w:t>
      </w:r>
    </w:p>
    <w:p>
      <w:pPr>
        <w:ind w:right="420" w:firstLine="5520" w:firstLineChars="2300"/>
        <w:rPr>
          <w:rFonts w:ascii="仿宋_GB2312" w:eastAsia="仿宋_GB2312"/>
          <w:color w:val="auto"/>
          <w:highlight w:val="none"/>
        </w:rPr>
      </w:pPr>
      <w:r>
        <w:rPr>
          <w:rFonts w:hint="eastAsia" w:ascii="仿宋_GB2312" w:hAnsi="仿宋_GB2312" w:eastAsia="仿宋_GB2312" w:cs="仿宋_GB2312"/>
          <w:color w:val="auto"/>
          <w:sz w:val="24"/>
          <w:highlight w:val="none"/>
        </w:rPr>
        <w:t xml:space="preserve">日期：   年   月 </w:t>
      </w:r>
      <w:r>
        <w:rPr>
          <w:rFonts w:hint="eastAsia" w:ascii="仿宋_GB2312" w:eastAsia="仿宋_GB2312"/>
          <w:color w:val="auto"/>
          <w:highlight w:val="none"/>
        </w:rPr>
        <w:t xml:space="preserve">  日</w:t>
      </w: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w:t>
      </w:r>
    </w:p>
    <w:p>
      <w:pPr>
        <w:rPr>
          <w:rFonts w:ascii="仿宋" w:hAnsi="仿宋" w:eastAsia="仿宋"/>
          <w:b/>
          <w:color w:val="auto"/>
          <w:sz w:val="24"/>
          <w:highlight w:val="none"/>
        </w:rPr>
      </w:pPr>
      <w:r>
        <w:rPr>
          <w:rFonts w:hint="eastAsia" w:ascii="仿宋" w:hAnsi="仿宋" w:eastAsia="仿宋"/>
          <w:b/>
          <w:color w:val="auto"/>
          <w:sz w:val="24"/>
          <w:highlight w:val="none"/>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_GB2312" w:hAnsi="仿宋_GB2312" w:eastAsia="仿宋_GB2312" w:cs="仿宋_GB2312"/>
          <w:color w:val="auto"/>
          <w:sz w:val="24"/>
          <w:highlight w:val="none"/>
        </w:rPr>
        <w:t>如国家颁布新的企业划型标准，则按最新标准执行。</w:t>
      </w:r>
      <w:r>
        <w:rPr>
          <w:rFonts w:hint="eastAsia" w:ascii="仿宋" w:hAnsi="仿宋" w:eastAsia="仿宋"/>
          <w:b/>
          <w:color w:val="auto"/>
          <w:sz w:val="24"/>
          <w:highlight w:val="none"/>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_GB2312" w:hAnsi="仿宋_GB2312" w:eastAsia="仿宋_GB2312" w:cs="仿宋_GB2312"/>
          <w:color w:val="auto"/>
          <w:sz w:val="24"/>
          <w:highlight w:val="none"/>
        </w:rPr>
      </w:pPr>
      <w:r>
        <w:rPr>
          <w:rFonts w:hint="eastAsia" w:ascii="仿宋" w:hAnsi="仿宋" w:eastAsia="仿宋"/>
          <w:color w:val="auto"/>
          <w:sz w:val="24"/>
          <w:highlight w:val="none"/>
        </w:rPr>
        <w:t>2.根据《政府采购促进中小企业发展管理办法》的通知（财库〔2020〕46号）规定，</w:t>
      </w:r>
      <w:r>
        <w:rPr>
          <w:rFonts w:hint="eastAsia" w:ascii="仿宋_GB2312" w:hAnsi="仿宋_GB2312" w:eastAsia="仿宋_GB2312" w:cs="仿宋_GB2312"/>
          <w:color w:val="auto"/>
          <w:sz w:val="24"/>
          <w:highlight w:val="none"/>
        </w:rPr>
        <w:t>中标、成交供应商享受中小企业扶持政策的，采购代理机构将随中标、成交结果公开中标、成交供应商的《中小企业声明函》。</w:t>
      </w:r>
    </w:p>
    <w:p>
      <w:pPr>
        <w:rPr>
          <w:rFonts w:ascii="仿宋_GB2312" w:hAnsi="仿宋_GB2312" w:eastAsia="仿宋_GB2312" w:cs="仿宋_GB2312"/>
          <w:color w:val="auto"/>
          <w:sz w:val="24"/>
          <w:highlight w:val="none"/>
        </w:rPr>
      </w:pPr>
    </w:p>
    <w:p>
      <w:pPr>
        <w:pageBreakBefore/>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残疾人福利性单位声明函</w:t>
      </w:r>
    </w:p>
    <w:p>
      <w:pPr>
        <w:spacing w:line="588" w:lineRule="exact"/>
        <w:rPr>
          <w:rFonts w:ascii="仿宋_GB2312" w:eastAsia="仿宋_GB2312"/>
          <w:b/>
          <w:color w:val="auto"/>
          <w:spacing w:val="6"/>
          <w:sz w:val="30"/>
          <w:szCs w:val="30"/>
          <w:highlight w:val="none"/>
        </w:rPr>
      </w:pPr>
    </w:p>
    <w:p>
      <w:pPr>
        <w:spacing w:line="588"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 xml:space="preserve">                 项目</w:t>
      </w:r>
      <w:r>
        <w:rPr>
          <w:rFonts w:hint="eastAsia" w:ascii="仿宋_GB2312" w:hAnsi="仿宋_GB2312" w:eastAsia="仿宋_GB2312" w:cs="仿宋_GB2312"/>
          <w:color w:val="auto"/>
          <w:sz w:val="24"/>
          <w:highlight w:val="none"/>
        </w:rPr>
        <w:t>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本单位对上述声明的真实性负责。如有虚假，将依法承担相应责任。</w:t>
      </w:r>
    </w:p>
    <w:p>
      <w:pPr>
        <w:spacing w:line="588" w:lineRule="exact"/>
        <w:ind w:firstLine="480" w:firstLineChars="200"/>
        <w:rPr>
          <w:rFonts w:ascii="仿宋_GB2312" w:hAnsi="仿宋_GB2312" w:eastAsia="仿宋_GB2312" w:cs="仿宋_GB2312"/>
          <w:color w:val="auto"/>
          <w:sz w:val="24"/>
          <w:highlight w:val="none"/>
        </w:rPr>
      </w:pPr>
    </w:p>
    <w:p>
      <w:pPr>
        <w:spacing w:line="588" w:lineRule="exact"/>
        <w:ind w:firstLine="480" w:firstLineChars="200"/>
        <w:rPr>
          <w:rFonts w:ascii="仿宋_GB2312" w:hAnsi="仿宋_GB2312" w:eastAsia="仿宋_GB2312" w:cs="仿宋_GB2312"/>
          <w:color w:val="auto"/>
          <w:sz w:val="24"/>
          <w:highlight w:val="none"/>
        </w:rPr>
      </w:pPr>
    </w:p>
    <w:p>
      <w:pPr>
        <w:ind w:right="420" w:firstLine="5880" w:firstLineChars="24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声明单位（盖章）： </w:t>
      </w:r>
    </w:p>
    <w:p>
      <w:pPr>
        <w:ind w:right="420" w:firstLine="5520" w:firstLineChars="2300"/>
        <w:rPr>
          <w:rFonts w:ascii="仿宋_GB2312" w:eastAsia="仿宋_GB2312"/>
          <w:color w:val="auto"/>
          <w:highlight w:val="none"/>
        </w:rPr>
      </w:pPr>
      <w:r>
        <w:rPr>
          <w:rFonts w:hint="eastAsia" w:ascii="仿宋_GB2312" w:hAnsi="仿宋_GB2312" w:eastAsia="仿宋_GB2312" w:cs="仿宋_GB2312"/>
          <w:color w:val="auto"/>
          <w:sz w:val="24"/>
          <w:highlight w:val="none"/>
        </w:rPr>
        <w:t xml:space="preserve">日期：   年     月 </w:t>
      </w:r>
      <w:r>
        <w:rPr>
          <w:rFonts w:hint="eastAsia" w:ascii="仿宋_GB2312" w:eastAsia="仿宋_GB2312"/>
          <w:color w:val="auto"/>
          <w:highlight w:val="none"/>
        </w:rPr>
        <w:t xml:space="preserve">    日</w:t>
      </w: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w:t>
      </w:r>
      <w:r>
        <w:rPr>
          <w:rFonts w:hint="eastAsia" w:ascii="仿宋_GB2312" w:hAnsi="仿宋" w:eastAsia="仿宋_GB2312"/>
          <w:color w:val="auto"/>
          <w:sz w:val="24"/>
          <w:highlight w:val="none"/>
        </w:rPr>
        <w:t>根据《财政部 民政部 中国残疾人联合会关于促进残疾人就业政府采购政策的通知》（财库〔2017〕141号）规定填报。</w:t>
      </w:r>
    </w:p>
    <w:p>
      <w:pPr>
        <w:rPr>
          <w:rFonts w:ascii="仿宋_GB2312" w:eastAsia="仿宋_GB2312"/>
          <w:color w:val="auto"/>
          <w:highlight w:val="none"/>
        </w:rPr>
      </w:pPr>
    </w:p>
    <w:p>
      <w:pPr>
        <w:tabs>
          <w:tab w:val="left" w:pos="4860"/>
        </w:tabs>
        <w:ind w:right="1559" w:firstLine="480" w:firstLineChars="200"/>
        <w:jc w:val="left"/>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object>
          <v:shape id="_x0000_i1027" o:spt="75" type="#_x0000_t75" style="height:42pt;width:390pt;" o:ole="t" filled="f" o:preferrelative="t" stroked="f" coordsize="21600,21600">
            <v:path/>
            <v:fill on="f" focussize="0,0"/>
            <v:stroke on="f" joinstyle="miter"/>
            <v:imagedata r:id="rId16" o:title=""/>
            <o:lock v:ext="edit" aspectratio="t"/>
            <w10:wrap type="none"/>
            <w10:anchorlock/>
          </v:shape>
          <o:OLEObject Type="Embed" ProgID="Package" ShapeID="_x0000_i1027" DrawAspect="Content" ObjectID="_1468075727" r:id="rId15">
            <o:LockedField>false</o:LockedField>
          </o:OLEObject>
        </w:object>
      </w:r>
    </w:p>
    <w:p>
      <w:pPr>
        <w:ind w:firstLine="420" w:firstLineChars="200"/>
        <w:rPr>
          <w:rFonts w:ascii="仿宋_GB2312" w:eastAsia="仿宋_GB2312"/>
          <w:color w:val="auto"/>
          <w:highlight w:val="none"/>
        </w:rPr>
      </w:pPr>
    </w:p>
    <w:p>
      <w:pPr>
        <w:ind w:firstLine="420" w:firstLineChars="200"/>
        <w:rPr>
          <w:rFonts w:ascii="仿宋_GB2312" w:eastAsia="仿宋_GB2312"/>
          <w:color w:val="auto"/>
          <w:highlight w:val="none"/>
        </w:rPr>
      </w:pPr>
    </w:p>
    <w:p>
      <w:pPr>
        <w:ind w:firstLine="420" w:firstLineChars="200"/>
        <w:rPr>
          <w:rFonts w:ascii="仿宋_GB2312" w:eastAsia="仿宋_GB2312"/>
          <w:color w:val="auto"/>
          <w:highlight w:val="none"/>
        </w:rPr>
      </w:pPr>
    </w:p>
    <w:p>
      <w:pPr>
        <w:ind w:firstLine="420" w:firstLineChars="200"/>
        <w:rPr>
          <w:rFonts w:ascii="仿宋_GB2312" w:eastAsia="仿宋_GB2312"/>
          <w:color w:val="auto"/>
          <w:highlight w:val="none"/>
        </w:rPr>
      </w:pPr>
    </w:p>
    <w:p>
      <w:pPr>
        <w:rPr>
          <w:rFonts w:ascii="仿宋_GB2312" w:hAnsi="仿宋_GB2312" w:eastAsia="仿宋_GB2312" w:cs="仿宋_GB2312"/>
          <w:b/>
          <w:color w:val="auto"/>
          <w:sz w:val="24"/>
          <w:highlight w:val="none"/>
        </w:rPr>
      </w:pPr>
    </w:p>
    <w:p>
      <w:pPr>
        <w:spacing w:line="400" w:lineRule="exact"/>
        <w:rPr>
          <w:rFonts w:ascii="仿宋_GB2312" w:hAnsi="宋体" w:eastAsia="仿宋_GB2312"/>
          <w:b/>
          <w:color w:val="auto"/>
          <w:sz w:val="24"/>
          <w:highlight w:val="none"/>
        </w:rPr>
      </w:pPr>
      <w:r>
        <w:rPr>
          <w:rFonts w:ascii="仿宋_GB2312" w:hAnsi="宋体" w:eastAsia="仿宋_GB2312"/>
          <w:b/>
          <w:color w:val="auto"/>
          <w:sz w:val="24"/>
          <w:highlight w:val="none"/>
        </w:rPr>
        <w:t>注</w:t>
      </w:r>
      <w:r>
        <w:rPr>
          <w:rFonts w:hint="eastAsia" w:ascii="仿宋_GB2312" w:hAnsi="宋体" w:eastAsia="仿宋_GB2312"/>
          <w:b/>
          <w:color w:val="auto"/>
          <w:sz w:val="24"/>
          <w:highlight w:val="none"/>
        </w:rPr>
        <w:t>：</w:t>
      </w:r>
      <w:r>
        <w:rPr>
          <w:rFonts w:hint="eastAsia" w:ascii="仿宋_GB2312" w:hAnsi="仿宋_GB2312" w:eastAsia="仿宋_GB2312" w:cs="仿宋_GB2312"/>
          <w:color w:val="auto"/>
          <w:sz w:val="24"/>
          <w:highlight w:val="none"/>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jc w:val="center"/>
        <w:rPr>
          <w:rFonts w:ascii="仿宋" w:hAnsi="仿宋" w:eastAsia="仿宋" w:cs="仿宋"/>
          <w:b/>
          <w:bCs/>
          <w:color w:val="auto"/>
          <w:sz w:val="44"/>
          <w:szCs w:val="44"/>
          <w:highlight w:val="none"/>
        </w:rPr>
      </w:pPr>
    </w:p>
    <w:p>
      <w:pPr>
        <w:pageBreakBefore/>
        <w:jc w:val="center"/>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质疑函范本</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一、质疑供应商基本信息</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质疑供应商：</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地址：</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邮编：</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联系人：</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联系电话：</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授权代表：</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联系电话：</w:t>
      </w:r>
      <w:r>
        <w:rPr>
          <w:rFonts w:hint="eastAsia" w:ascii="仿宋" w:hAnsi="仿宋" w:eastAsia="仿宋" w:cs="仿宋"/>
          <w:color w:val="auto"/>
          <w:sz w:val="32"/>
          <w:szCs w:val="32"/>
          <w:highlight w:val="none"/>
          <w:u w:val="dotted"/>
        </w:rPr>
        <w:t xml:space="preserve">                                           </w:t>
      </w:r>
      <w:r>
        <w:rPr>
          <w:rFonts w:ascii="仿宋" w:hAnsi="仿宋" w:eastAsia="仿宋" w:cs="仿宋"/>
          <w:color w:val="auto"/>
          <w:sz w:val="32"/>
          <w:szCs w:val="32"/>
          <w:highlight w:val="none"/>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地址：</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邮编：</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二、质疑项目基本情况</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质疑项目的名称：</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质疑项目的编号：</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包号：</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采购人名称：</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采购文件获取日期：</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三、质疑事项具体内容</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质疑事项1：</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事实依据：</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法律依据：</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质疑事项2</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四、与质疑事项相关的质疑请求</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请求：</w:t>
      </w:r>
      <w:r>
        <w:rPr>
          <w:rFonts w:hint="eastAsia" w:ascii="仿宋" w:hAnsi="仿宋" w:eastAsia="仿宋" w:cs="仿宋"/>
          <w:color w:val="auto"/>
          <w:sz w:val="32"/>
          <w:szCs w:val="32"/>
          <w:highlight w:val="none"/>
          <w:u w:val="dotted"/>
        </w:rPr>
        <w:t xml:space="preserve">                                               </w:t>
      </w:r>
    </w:p>
    <w:p>
      <w:pPr>
        <w:rPr>
          <w:rFonts w:ascii="仿宋_GB2312" w:eastAsia="仿宋_GB2312"/>
          <w:color w:val="auto"/>
          <w:sz w:val="30"/>
          <w:szCs w:val="30"/>
          <w:highlight w:val="none"/>
        </w:rPr>
      </w:pPr>
      <w:r>
        <w:rPr>
          <w:rFonts w:hint="eastAsia" w:ascii="仿宋_GB2312" w:eastAsia="仿宋_GB2312"/>
          <w:color w:val="auto"/>
          <w:sz w:val="30"/>
          <w:szCs w:val="30"/>
          <w:highlight w:val="none"/>
        </w:rPr>
        <w:t xml:space="preserve">签字(签章)：                   公章：                      </w:t>
      </w:r>
    </w:p>
    <w:p>
      <w:pPr>
        <w:rPr>
          <w:rFonts w:ascii="仿宋_GB2312" w:eastAsia="仿宋_GB2312"/>
          <w:color w:val="auto"/>
          <w:sz w:val="30"/>
          <w:szCs w:val="30"/>
          <w:highlight w:val="none"/>
        </w:rPr>
      </w:pPr>
      <w:r>
        <w:rPr>
          <w:rFonts w:hint="eastAsia" w:ascii="仿宋_GB2312" w:eastAsia="仿宋_GB2312"/>
          <w:color w:val="auto"/>
          <w:sz w:val="30"/>
          <w:szCs w:val="30"/>
          <w:highlight w:val="none"/>
        </w:rPr>
        <w:t xml:space="preserve">日期：    </w:t>
      </w:r>
    </w:p>
    <w:p>
      <w:pPr>
        <w:adjustRightInd w:val="0"/>
        <w:snapToGrid w:val="0"/>
        <w:spacing w:line="360" w:lineRule="auto"/>
        <w:rPr>
          <w:rFonts w:ascii="仿宋" w:hAnsi="仿宋" w:eastAsia="仿宋" w:cs="仿宋"/>
          <w:color w:val="auto"/>
          <w:sz w:val="32"/>
          <w:szCs w:val="32"/>
          <w:highlight w:val="none"/>
        </w:rPr>
      </w:pPr>
    </w:p>
    <w:p>
      <w:pPr>
        <w:adjustRightInd w:val="0"/>
        <w:snapToGrid w:val="0"/>
        <w:spacing w:line="360" w:lineRule="auto"/>
        <w:rPr>
          <w:rFonts w:ascii="仿宋" w:hAnsi="仿宋" w:eastAsia="仿宋" w:cs="仿宋"/>
          <w:color w:val="auto"/>
          <w:sz w:val="32"/>
          <w:szCs w:val="32"/>
          <w:highlight w:val="none"/>
        </w:rPr>
      </w:pPr>
    </w:p>
    <w:p>
      <w:pPr>
        <w:jc w:val="center"/>
        <w:rPr>
          <w:rFonts w:ascii="仿宋" w:hAnsi="仿宋" w:eastAsia="仿宋" w:cs="仿宋"/>
          <w:b/>
          <w:bCs/>
          <w:color w:val="auto"/>
          <w:sz w:val="32"/>
          <w:szCs w:val="32"/>
          <w:highlight w:val="none"/>
        </w:rPr>
      </w:pPr>
    </w:p>
    <w:p>
      <w:pPr>
        <w:jc w:val="center"/>
        <w:rPr>
          <w:rFonts w:ascii="仿宋" w:hAnsi="仿宋" w:eastAsia="仿宋" w:cs="仿宋"/>
          <w:b/>
          <w:bCs/>
          <w:color w:val="auto"/>
          <w:sz w:val="32"/>
          <w:szCs w:val="32"/>
          <w:highlight w:val="none"/>
        </w:rPr>
      </w:pPr>
    </w:p>
    <w:p>
      <w:pPr>
        <w:jc w:val="center"/>
        <w:rPr>
          <w:rFonts w:ascii="仿宋" w:hAnsi="仿宋" w:eastAsia="仿宋" w:cs="仿宋"/>
          <w:b/>
          <w:bCs/>
          <w:color w:val="auto"/>
          <w:sz w:val="32"/>
          <w:szCs w:val="32"/>
          <w:highlight w:val="none"/>
        </w:rPr>
      </w:pPr>
    </w:p>
    <w:p>
      <w:pPr>
        <w:rPr>
          <w:rFonts w:ascii="黑体" w:hAnsi="黑体" w:eastAsia="黑体"/>
          <w:b/>
          <w:color w:val="auto"/>
          <w:sz w:val="32"/>
          <w:szCs w:val="32"/>
          <w:highlight w:val="none"/>
        </w:rPr>
      </w:pPr>
      <w:r>
        <w:rPr>
          <w:rFonts w:hint="eastAsia" w:ascii="黑体" w:hAnsi="黑体" w:eastAsia="黑体"/>
          <w:b/>
          <w:color w:val="auto"/>
          <w:sz w:val="32"/>
          <w:szCs w:val="32"/>
          <w:highlight w:val="none"/>
        </w:rPr>
        <w:t>质疑函制作说明：</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1.供应商提出质疑时，应提交质疑函和必要的证明材料。</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2.质疑供应商若委托代理人进行质疑的，质疑函应按要求列明“授权代表”的有关内容，并在附件中提交由质疑</w:t>
      </w:r>
      <w:r>
        <w:rPr>
          <w:rFonts w:hint="eastAsia" w:ascii="仿宋_GB2312" w:hAnsi="宋体" w:eastAsia="仿宋_GB2312" w:cs="宋体"/>
          <w:color w:val="auto"/>
          <w:kern w:val="0"/>
          <w:sz w:val="32"/>
          <w:szCs w:val="32"/>
          <w:highlight w:val="none"/>
        </w:rPr>
        <w:t>供应商签署的授权委托书。授权委托书应载明代理人的姓名或者名称、代理事项、具体权限、期限和相关事项。</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3.质疑供应商若对项目的某一分包进行质疑，质疑函中应列明具体分包号。</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4.质疑函的质疑事项应具体、明确，并有必要的事实依据和法律依据。</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5.质疑函的质疑请求应与质疑事项相关。</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6.质疑供应商为自然人的，质疑函应由本人签字；质疑供应商为法人或者其他组织的，质疑函应由法定代表人、主要负责人，或者其授权代表签字或者盖章，并加盖公章。</w:t>
      </w:r>
    </w:p>
    <w:p>
      <w:pPr>
        <w:pageBreakBefore/>
        <w:shd w:val="clear" w:color="auto" w:fill="FFFFFF"/>
        <w:spacing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国家统计局关于印发《统计上</w:t>
      </w:r>
      <w:r>
        <w:rPr>
          <w:rFonts w:ascii="宋体" w:hAnsi="宋体" w:cs="宋体"/>
          <w:b/>
          <w:bCs/>
          <w:color w:val="auto"/>
          <w:kern w:val="0"/>
          <w:sz w:val="36"/>
          <w:szCs w:val="36"/>
          <w:highlight w:val="none"/>
        </w:rPr>
        <w:br w:type="textWrapping"/>
      </w:r>
      <w:r>
        <w:rPr>
          <w:rFonts w:ascii="宋体" w:hAnsi="宋体" w:cs="宋体"/>
          <w:b/>
          <w:bCs/>
          <w:color w:val="auto"/>
          <w:kern w:val="0"/>
          <w:sz w:val="36"/>
          <w:szCs w:val="36"/>
          <w:highlight w:val="none"/>
        </w:rPr>
        <w:t>大中小微型企业划分办法（2017）》的通知</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宋体" w:hAnsi="宋体" w:cs="宋体"/>
          <w:color w:val="auto"/>
          <w:kern w:val="0"/>
          <w:szCs w:val="21"/>
          <w:highlight w:val="none"/>
        </w:rPr>
      </w:pPr>
      <w:r>
        <w:rPr>
          <w:rFonts w:ascii="宋体" w:hAnsi="宋体" w:cs="宋体"/>
          <w:color w:val="auto"/>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ascii="宋体" w:hAnsi="宋体" w:cs="宋体"/>
          <w:color w:val="auto"/>
          <w:kern w:val="0"/>
          <w:szCs w:val="21"/>
          <w:highlight w:val="none"/>
        </w:rPr>
      </w:pPr>
      <w:r>
        <w:rPr>
          <w:rFonts w:ascii="宋体" w:hAnsi="宋体" w:cs="宋体"/>
          <w:color w:val="auto"/>
          <w:kern w:val="0"/>
          <w:szCs w:val="21"/>
          <w:highlight w:val="none"/>
        </w:rPr>
        <w:t>国家统计局  </w:t>
      </w:r>
    </w:p>
    <w:p>
      <w:pPr>
        <w:widowControl/>
        <w:shd w:val="clear" w:color="auto" w:fill="FFFFFF"/>
        <w:spacing w:before="150" w:line="420" w:lineRule="atLeast"/>
        <w:ind w:right="825"/>
        <w:jc w:val="right"/>
        <w:textAlignment w:val="baseline"/>
        <w:rPr>
          <w:rFonts w:ascii="宋体" w:hAnsi="宋体" w:cs="宋体"/>
          <w:color w:val="auto"/>
          <w:kern w:val="0"/>
          <w:szCs w:val="21"/>
          <w:highlight w:val="none"/>
        </w:rPr>
      </w:pPr>
      <w:r>
        <w:rPr>
          <w:rFonts w:ascii="宋体" w:hAnsi="宋体" w:cs="宋体"/>
          <w:color w:val="auto"/>
          <w:kern w:val="0"/>
          <w:szCs w:val="21"/>
          <w:highlight w:val="none"/>
        </w:rPr>
        <w:t>2017年12月28日</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w:t>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统计上大中小微型企业划分办法（2017）</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附表：统计上大中小微型企业划分标准</w:t>
      </w:r>
    </w:p>
    <w:p>
      <w:pPr>
        <w:widowControl/>
        <w:jc w:val="left"/>
        <w:rPr>
          <w:rFonts w:ascii="宋体" w:hAnsi="宋体" w:cs="宋体"/>
          <w:color w:val="auto"/>
          <w:kern w:val="0"/>
          <w:sz w:val="24"/>
          <w:highlight w:val="none"/>
        </w:rPr>
      </w:pPr>
      <w:r>
        <w:rPr>
          <w:rFonts w:ascii="宋体" w:hAnsi="宋体" w:cs="宋体"/>
          <w:color w:val="auto"/>
          <w:kern w:val="0"/>
          <w:sz w:val="18"/>
          <w:szCs w:val="18"/>
          <w:highlight w:val="none"/>
        </w:rPr>
        <w:br w:type="textWrapping"/>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统计上大中小微型企业划分标准</w:t>
      </w:r>
    </w:p>
    <w:tbl>
      <w:tblPr>
        <w:tblStyle w:val="41"/>
        <w:tblW w:w="9743" w:type="dxa"/>
        <w:jc w:val="center"/>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大型</w:t>
            </w:r>
          </w:p>
        </w:tc>
        <w:tc>
          <w:tcPr>
            <w:tcW w:w="1891"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中型</w:t>
            </w:r>
          </w:p>
        </w:tc>
        <w:tc>
          <w:tcPr>
            <w:tcW w:w="1730"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小型</w:t>
            </w:r>
          </w:p>
        </w:tc>
        <w:tc>
          <w:tcPr>
            <w:tcW w:w="1203"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微型</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农、林、牧、渔业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500≤Y＜20000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50≤Y＜500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工业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Y≥40000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2000≤Y＜40000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建筑业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Y≥80000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6000≤Y＜80000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300≤Y＜6000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资产总额(Z)</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Z≥80000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5000≤Z＜80000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300≤Z＜5000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批发业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20≤X＜200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5≤X＜20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X＜5</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Y≥40000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5000≤Y＜40000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1000≤Y＜5000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零售业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10≤X＜50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500≤Y＜20000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100≤Y＜500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交通运输业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3000≤Y＜30000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200≤Y＜3000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仓储业*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100≤X＜200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1000≤Y＜30000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邮政业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2000≤Y＜30000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住宿业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餐饮业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信息传输业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100≤X＜2000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1000≤Y＜100000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软件和信息技术服务业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房地产开发经营</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1000≤Y＜200000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资产总额(Z)</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5000≤Z＜10000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2000≤Z＜5000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Z＜2000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物业管理</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1000≤Y＜5000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租赁和商务服务业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资产总额(Z)</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Z≥120000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8000≤Z＜120000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100≤Z＜8000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其他未列明行业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bl>
    <w:p>
      <w:pPr>
        <w:widowControl/>
        <w:shd w:val="clear" w:color="auto" w:fill="FFFFFF"/>
        <w:spacing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说明： 　　</w:t>
      </w:r>
      <w:r>
        <w:rPr>
          <w:rFonts w:ascii="宋体" w:hAnsi="宋体" w:cs="宋体"/>
          <w:color w:val="auto"/>
          <w:kern w:val="0"/>
          <w:szCs w:val="21"/>
          <w:highlight w:val="none"/>
        </w:rPr>
        <w:br w:type="textWrapping"/>
      </w:r>
      <w:r>
        <w:rPr>
          <w:rFonts w:ascii="宋体" w:hAnsi="宋体" w:cs="宋体"/>
          <w:color w:val="auto"/>
          <w:kern w:val="0"/>
          <w:szCs w:val="21"/>
          <w:highlight w:val="none"/>
        </w:rPr>
        <w:t>    1.大型、中型和小型企业须同时满足所列指标的下限，否则下划一档；微型企业只须满足所列指标中的一项即可。 　　</w:t>
      </w:r>
      <w:r>
        <w:rPr>
          <w:rFonts w:ascii="宋体" w:hAnsi="宋体" w:cs="宋体"/>
          <w:color w:val="auto"/>
          <w:kern w:val="0"/>
          <w:szCs w:val="21"/>
          <w:highlight w:val="none"/>
        </w:rPr>
        <w:br w:type="textWrapping"/>
      </w:r>
      <w:r>
        <w:rPr>
          <w:rFonts w:ascii="宋体" w:hAnsi="宋体" w:cs="宋体"/>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r>
        <w:rPr>
          <w:rFonts w:ascii="宋体" w:hAnsi="宋体" w:cs="宋体"/>
          <w:color w:val="auto"/>
          <w:kern w:val="0"/>
          <w:szCs w:val="21"/>
          <w:highlight w:val="none"/>
        </w:rPr>
        <w:br w:type="textWrapping"/>
      </w:r>
      <w:r>
        <w:rPr>
          <w:rFonts w:ascii="宋体" w:hAnsi="宋体" w:cs="宋体"/>
          <w:color w:val="auto"/>
          <w:kern w:val="0"/>
          <w:szCs w:val="21"/>
          <w:highlight w:val="none"/>
        </w:rPr>
        <w:t>    3.企业划分指标以现行统计制度为准。</w:t>
      </w:r>
      <w:r>
        <w:rPr>
          <w:rFonts w:ascii="宋体" w:hAnsi="宋体" w:cs="宋体"/>
          <w:color w:val="auto"/>
          <w:kern w:val="0"/>
          <w:szCs w:val="21"/>
          <w:highlight w:val="none"/>
        </w:rPr>
        <w:br w:type="textWrapping"/>
      </w:r>
      <w:r>
        <w:rPr>
          <w:rFonts w:ascii="宋体" w:hAnsi="宋体" w:cs="宋体"/>
          <w:color w:val="auto"/>
          <w:kern w:val="0"/>
          <w:szCs w:val="21"/>
          <w:highlight w:val="none"/>
        </w:rPr>
        <w:t>    （1）从业人员，是指期末从业人员数，没有期末从业人员数的，采用全年平均人员数代替。</w:t>
      </w:r>
      <w:r>
        <w:rPr>
          <w:rFonts w:ascii="宋体" w:hAnsi="宋体" w:cs="宋体"/>
          <w:color w:val="auto"/>
          <w:kern w:val="0"/>
          <w:szCs w:val="21"/>
          <w:highlight w:val="none"/>
        </w:rPr>
        <w:br w:type="textWrapping"/>
      </w:r>
      <w:r>
        <w:rPr>
          <w:rFonts w:ascii="宋体" w:hAnsi="宋体" w:cs="宋体"/>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宋体" w:hAnsi="宋体" w:cs="宋体"/>
          <w:color w:val="auto"/>
          <w:kern w:val="0"/>
          <w:szCs w:val="21"/>
          <w:highlight w:val="none"/>
        </w:rPr>
        <w:br w:type="textWrapping"/>
      </w:r>
      <w:r>
        <w:rPr>
          <w:rFonts w:ascii="宋体" w:hAnsi="宋体" w:cs="宋体"/>
          <w:color w:val="auto"/>
          <w:kern w:val="0"/>
          <w:szCs w:val="21"/>
          <w:highlight w:val="none"/>
        </w:rPr>
        <w:t>    （3）资产总额，采用资产总计代替。</w:t>
      </w:r>
    </w:p>
    <w:p>
      <w:pPr>
        <w:widowControl/>
        <w:jc w:val="left"/>
        <w:rPr>
          <w:rFonts w:ascii="宋体" w:hAnsi="宋体" w:cs="宋体"/>
          <w:color w:val="auto"/>
          <w:kern w:val="0"/>
          <w:sz w:val="24"/>
          <w:highlight w:val="none"/>
        </w:rPr>
      </w:pPr>
      <w:r>
        <w:rPr>
          <w:rFonts w:ascii="宋体" w:hAnsi="宋体" w:cs="宋体"/>
          <w:color w:val="auto"/>
          <w:kern w:val="0"/>
          <w:sz w:val="18"/>
          <w:szCs w:val="18"/>
          <w:highlight w:val="none"/>
        </w:rPr>
        <w:br w:type="textWrapping"/>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ascii="宋体" w:hAnsi="宋体" w:cs="宋体"/>
          <w:b/>
          <w:bCs/>
          <w:color w:val="auto"/>
          <w:kern w:val="0"/>
          <w:sz w:val="27"/>
          <w:szCs w:val="27"/>
          <w:highlight w:val="none"/>
        </w:rPr>
      </w:pPr>
      <w:r>
        <w:rPr>
          <w:rFonts w:ascii="宋体" w:hAnsi="宋体" w:cs="宋体"/>
          <w:b/>
          <w:bCs/>
          <w:color w:val="auto"/>
          <w:kern w:val="0"/>
          <w:sz w:val="27"/>
          <w:szCs w:val="27"/>
          <w:highlight w:val="none"/>
        </w:rPr>
        <w:t>一、修订背景</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宋体" w:hAnsi="宋体" w:cs="宋体"/>
          <w:b/>
          <w:bCs/>
          <w:color w:val="auto"/>
          <w:kern w:val="0"/>
          <w:sz w:val="27"/>
          <w:szCs w:val="27"/>
          <w:highlight w:val="none"/>
        </w:rPr>
      </w:pPr>
      <w:r>
        <w:rPr>
          <w:rFonts w:ascii="宋体" w:hAnsi="宋体" w:cs="宋体"/>
          <w:b/>
          <w:bCs/>
          <w:color w:val="auto"/>
          <w:kern w:val="0"/>
          <w:sz w:val="27"/>
          <w:szCs w:val="27"/>
          <w:highlight w:val="none"/>
        </w:rPr>
        <w:t>二、修订主要内容</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仓储业所包括的行业中类，根据《国民经济行业分类》（GB/T4754—2017）调整为“通用仓储，低温仓储，危险品仓储，谷物、棉花等农产品仓储，中药材仓储和其他仓储业”。</w:t>
      </w:r>
    </w:p>
    <w:p>
      <w:pPr>
        <w:widowControl/>
        <w:jc w:val="left"/>
        <w:rPr>
          <w:rFonts w:ascii="宋体" w:hAnsi="宋体" w:cs="宋体"/>
          <w:color w:val="auto"/>
          <w:kern w:val="0"/>
          <w:sz w:val="24"/>
          <w:highlight w:val="none"/>
        </w:rPr>
      </w:pPr>
      <w:r>
        <w:rPr>
          <w:rFonts w:ascii="宋体" w:hAnsi="宋体" w:cs="宋体"/>
          <w:color w:val="auto"/>
          <w:kern w:val="0"/>
          <w:sz w:val="18"/>
          <w:szCs w:val="18"/>
          <w:highlight w:val="none"/>
        </w:rPr>
        <w:br w:type="textWrapping"/>
      </w:r>
      <w:r>
        <w:rPr>
          <w:rFonts w:ascii="宋体" w:hAnsi="宋体" w:cs="宋体"/>
          <w:color w:val="auto"/>
          <w:kern w:val="0"/>
          <w:sz w:val="18"/>
          <w:szCs w:val="18"/>
          <w:highlight w:val="none"/>
        </w:rPr>
        <w:br w:type="textWrapping"/>
      </w:r>
    </w:p>
    <w:p>
      <w:pPr>
        <w:widowControl/>
        <w:shd w:val="clear" w:color="auto" w:fill="FFFFFF"/>
        <w:spacing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中国人民银行中国银行业监督管理委员会</w:t>
      </w:r>
      <w:r>
        <w:rPr>
          <w:rFonts w:ascii="宋体" w:hAnsi="宋体" w:cs="宋体"/>
          <w:b/>
          <w:bCs/>
          <w:color w:val="auto"/>
          <w:kern w:val="0"/>
          <w:sz w:val="36"/>
          <w:szCs w:val="36"/>
          <w:highlight w:val="none"/>
        </w:rPr>
        <w:br w:type="textWrapping"/>
      </w:r>
      <w:r>
        <w:rPr>
          <w:rFonts w:ascii="宋体" w:hAnsi="宋体" w:cs="宋体"/>
          <w:b/>
          <w:bCs/>
          <w:color w:val="auto"/>
          <w:kern w:val="0"/>
          <w:sz w:val="36"/>
          <w:szCs w:val="36"/>
          <w:highlight w:val="none"/>
        </w:rPr>
        <w:t>中国证券监督管理委员会中国保险监督管理委员会</w:t>
      </w:r>
      <w:r>
        <w:rPr>
          <w:rFonts w:ascii="宋体" w:hAnsi="宋体" w:cs="宋体"/>
          <w:b/>
          <w:bCs/>
          <w:color w:val="auto"/>
          <w:kern w:val="0"/>
          <w:sz w:val="36"/>
          <w:szCs w:val="36"/>
          <w:highlight w:val="none"/>
        </w:rPr>
        <w:br w:type="textWrapping"/>
      </w:r>
      <w:r>
        <w:rPr>
          <w:rFonts w:ascii="宋体" w:hAnsi="宋体" w:cs="宋体"/>
          <w:b/>
          <w:bCs/>
          <w:color w:val="auto"/>
          <w:kern w:val="0"/>
          <w:sz w:val="36"/>
          <w:szCs w:val="36"/>
          <w:highlight w:val="none"/>
        </w:rPr>
        <w:t>国家统计局关于印发《金融业企业划型标准规定》的通知</w:t>
      </w:r>
    </w:p>
    <w:p>
      <w:pPr>
        <w:widowControl/>
        <w:shd w:val="clear" w:color="auto" w:fill="FFFFFF"/>
        <w:spacing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r>
        <w:rPr>
          <w:rFonts w:ascii="宋体" w:hAnsi="宋体" w:cs="宋体"/>
          <w:color w:val="auto"/>
          <w:kern w:val="0"/>
          <w:szCs w:val="21"/>
          <w:highlight w:val="none"/>
        </w:rPr>
        <w:br w:type="textWrapping"/>
      </w:r>
      <w:r>
        <w:rPr>
          <w:rFonts w:ascii="宋体" w:hAnsi="宋体" w:cs="宋体"/>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附件：金融业企业划型标准规定</w:t>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bookmarkStart w:id="169" w:name="_GoBack"/>
      <w:bookmarkEnd w:id="169"/>
      <w:r>
        <w:rPr>
          <w:rFonts w:ascii="宋体" w:hAnsi="宋体" w:cs="宋体"/>
          <w:b/>
          <w:bCs/>
          <w:color w:val="auto"/>
          <w:kern w:val="0"/>
          <w:sz w:val="36"/>
          <w:szCs w:val="36"/>
          <w:highlight w:val="none"/>
        </w:rPr>
        <w:t>金融业企业划型标准规定</w:t>
      </w:r>
    </w:p>
    <w:p>
      <w:pPr>
        <w:widowControl/>
        <w:shd w:val="clear" w:color="auto" w:fill="FFFFFF"/>
        <w:spacing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r>
        <w:rPr>
          <w:rFonts w:ascii="宋体" w:hAnsi="宋体" w:cs="宋体"/>
          <w:color w:val="auto"/>
          <w:kern w:val="0"/>
          <w:szCs w:val="21"/>
          <w:highlight w:val="none"/>
        </w:rPr>
        <w:br w:type="textWrapping"/>
      </w:r>
      <w:r>
        <w:rPr>
          <w:rFonts w:ascii="宋体" w:hAnsi="宋体" w:cs="宋体"/>
          <w:color w:val="auto"/>
          <w:kern w:val="0"/>
          <w:szCs w:val="21"/>
          <w:highlight w:val="none"/>
        </w:rPr>
        <w:t>    二、 适用范围。本规定适用于从事《国民经济行业分类》(GB/T4754-2011)中J门类（金融业）活动的企业。</w:t>
      </w:r>
      <w:r>
        <w:rPr>
          <w:rFonts w:ascii="宋体" w:hAnsi="宋体" w:cs="宋体"/>
          <w:color w:val="auto"/>
          <w:kern w:val="0"/>
          <w:szCs w:val="21"/>
          <w:highlight w:val="none"/>
        </w:rPr>
        <w:br w:type="textWrapping"/>
      </w:r>
      <w:r>
        <w:rPr>
          <w:rFonts w:ascii="宋体" w:hAnsi="宋体" w:cs="宋体"/>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r>
        <w:rPr>
          <w:rFonts w:ascii="宋体" w:hAnsi="宋体" w:cs="宋体"/>
          <w:color w:val="auto"/>
          <w:kern w:val="0"/>
          <w:szCs w:val="21"/>
          <w:highlight w:val="none"/>
        </w:rPr>
        <w:br w:type="textWrapping"/>
      </w:r>
      <w:r>
        <w:rPr>
          <w:rFonts w:ascii="宋体" w:hAnsi="宋体" w:cs="宋体"/>
          <w:color w:val="auto"/>
          <w:kern w:val="0"/>
          <w:szCs w:val="21"/>
          <w:highlight w:val="none"/>
        </w:rPr>
        <w:t>    四、划型标准指标。采用一个完整会计年度中四个季度末法人并表口径的资产总额（信托公司为信托资产）平均值作为划型指标，该指标以监管部门数据为准。</w:t>
      </w:r>
      <w:r>
        <w:rPr>
          <w:rFonts w:ascii="宋体" w:hAnsi="宋体" w:cs="宋体"/>
          <w:color w:val="auto"/>
          <w:kern w:val="0"/>
          <w:szCs w:val="21"/>
          <w:highlight w:val="none"/>
        </w:rPr>
        <w:br w:type="textWrapping"/>
      </w:r>
      <w:r>
        <w:rPr>
          <w:rFonts w:ascii="宋体" w:hAnsi="宋体" w:cs="宋体"/>
          <w:color w:val="auto"/>
          <w:kern w:val="0"/>
          <w:szCs w:val="21"/>
          <w:highlight w:val="none"/>
        </w:rPr>
        <w:t>    五、指标标准值。依据指标标准值，将各类金融业企业划分为大、中、小、微四个规模类型，中型企业标准上限及以上的为大型企业。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r>
        <w:rPr>
          <w:rFonts w:ascii="宋体" w:hAnsi="宋体" w:cs="宋体"/>
          <w:color w:val="auto"/>
          <w:kern w:val="0"/>
          <w:szCs w:val="21"/>
          <w:highlight w:val="none"/>
        </w:rPr>
        <w:br w:type="textWrapping"/>
      </w:r>
      <w:r>
        <w:rPr>
          <w:rFonts w:ascii="宋体" w:hAnsi="宋体" w:cs="宋体"/>
          <w:color w:val="auto"/>
          <w:kern w:val="0"/>
          <w:szCs w:val="21"/>
          <w:highlight w:val="none"/>
        </w:rPr>
        <w:t>    七、 标准值的评估和调整。金融业企业划型标准工作组毎五年对划型标准值受经济发展与通货膨胀等因素的响程度进行评估和调整。</w:t>
      </w:r>
      <w:r>
        <w:rPr>
          <w:rFonts w:ascii="宋体" w:hAnsi="宋体" w:cs="宋体"/>
          <w:color w:val="auto"/>
          <w:kern w:val="0"/>
          <w:szCs w:val="21"/>
          <w:highlight w:val="none"/>
        </w:rPr>
        <w:br w:type="textWrapping"/>
      </w:r>
      <w:r>
        <w:rPr>
          <w:rFonts w:ascii="宋体" w:hAnsi="宋体" w:cs="宋体"/>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r>
        <w:rPr>
          <w:rFonts w:ascii="宋体" w:hAnsi="宋体" w:cs="宋体"/>
          <w:color w:val="auto"/>
          <w:kern w:val="0"/>
          <w:szCs w:val="21"/>
          <w:highlight w:val="none"/>
        </w:rPr>
        <w:br w:type="textWrapping"/>
      </w:r>
      <w:r>
        <w:rPr>
          <w:rFonts w:ascii="宋体" w:hAnsi="宋体" w:cs="宋体"/>
          <w:color w:val="auto"/>
          <w:kern w:val="0"/>
          <w:szCs w:val="21"/>
          <w:highlight w:val="none"/>
        </w:rPr>
        <w:t>    九、 融资担保公司参照本规定中“除贷款公司、小额贷款公司、典当行以外的其他金融机构”标准划型。</w:t>
      </w:r>
      <w:r>
        <w:rPr>
          <w:rFonts w:ascii="宋体" w:hAnsi="宋体" w:cs="宋体"/>
          <w:color w:val="auto"/>
          <w:kern w:val="0"/>
          <w:szCs w:val="21"/>
          <w:highlight w:val="none"/>
        </w:rPr>
        <w:br w:type="textWrapping"/>
      </w:r>
      <w:r>
        <w:rPr>
          <w:rFonts w:ascii="宋体" w:hAnsi="宋体" w:cs="宋体"/>
          <w:color w:val="auto"/>
          <w:kern w:val="0"/>
          <w:szCs w:val="21"/>
          <w:highlight w:val="none"/>
        </w:rPr>
        <w:t>    十、本规定由人民银行会同银监会，证监会、保监会和统计局负责解释。</w:t>
      </w:r>
      <w:r>
        <w:rPr>
          <w:rFonts w:ascii="宋体" w:hAnsi="宋体" w:cs="宋体"/>
          <w:color w:val="auto"/>
          <w:kern w:val="0"/>
          <w:szCs w:val="21"/>
          <w:highlight w:val="none"/>
        </w:rPr>
        <w:br w:type="textWrapping"/>
      </w:r>
      <w:r>
        <w:rPr>
          <w:rFonts w:ascii="宋体" w:hAnsi="宋体" w:cs="宋体"/>
          <w:color w:val="auto"/>
          <w:kern w:val="0"/>
          <w:szCs w:val="21"/>
          <w:highlight w:val="none"/>
        </w:rPr>
        <w:t>    十一、本规定自发布之日起实施。</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附：金融业企业划型标准</w:t>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金融业企业划型标准</w:t>
      </w:r>
    </w:p>
    <w:tbl>
      <w:tblPr>
        <w:tblStyle w:val="41"/>
        <w:tblW w:w="852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行业</w:t>
            </w:r>
          </w:p>
        </w:tc>
        <w:tc>
          <w:tcPr>
            <w:tcW w:w="2836"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类别</w:t>
            </w:r>
          </w:p>
        </w:tc>
        <w:tc>
          <w:tcPr>
            <w:tcW w:w="606"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类型</w:t>
            </w:r>
          </w:p>
        </w:tc>
        <w:tc>
          <w:tcPr>
            <w:tcW w:w="3326"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资产总额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货币金融服务</w:t>
            </w: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货币银行服务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银行业存款类金融机构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非货币银行服务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银行业非存款类金融机构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贷款公司、小额贷款公司及典当行</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资本市场服务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证券业金融机构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10亿元（含）至100亿元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保险业</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保险业金融机构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400亿元（含）至5000亿元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其他金融业</w:t>
            </w: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金融信托与管理服务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信托公司</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400亿元（含）至1000亿元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控股公司服务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金融控股公司</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其他未包括的金融业</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除贷款公司、小额贷款公司及典当行以外的其他金融机构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bl>
    <w:p>
      <w:pPr>
        <w:rPr>
          <w:rFonts w:ascii="仿宋_GB2312" w:hAnsi="仿宋_GB2312" w:eastAsia="仿宋_GB2312" w:cs="仿宋_GB2312"/>
          <w:color w:val="auto"/>
          <w:sz w:val="24"/>
          <w:highlight w:val="none"/>
        </w:rPr>
      </w:pPr>
    </w:p>
    <w:p>
      <w:pPr>
        <w:ind w:firstLine="420" w:firstLineChars="200"/>
        <w:rPr>
          <w:rFonts w:ascii="仿宋_GB2312" w:eastAsia="仿宋_GB2312"/>
          <w:color w:val="auto"/>
          <w:highlight w:val="none"/>
        </w:rPr>
      </w:pPr>
    </w:p>
    <w:p>
      <w:pPr>
        <w:spacing w:line="360" w:lineRule="auto"/>
        <w:rPr>
          <w:rFonts w:ascii="仿宋_GB2312" w:hAnsi="仿宋_GB2312" w:eastAsia="仿宋_GB2312" w:cs="仿宋_GB2312"/>
          <w:color w:val="auto"/>
          <w:kern w:val="0"/>
          <w:sz w:val="24"/>
          <w:highlight w:val="none"/>
        </w:rPr>
      </w:pPr>
    </w:p>
    <w:sectPr>
      <w:footerReference r:id="rId8" w:type="default"/>
      <w:footerReference r:id="rId9" w:type="even"/>
      <w:pgSz w:w="11906" w:h="16838"/>
      <w:pgMar w:top="1440" w:right="1558" w:bottom="1246" w:left="1758" w:header="1021" w:footer="90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panose1 w:val="020B0604020202020204"/>
    <w:charset w:val="86"/>
    <w:family w:val="roman"/>
    <w:pitch w:val="default"/>
    <w:sig w:usb0="FFFFFFFF" w:usb1="E9FFFFFF" w:usb2="0000003F" w:usb3="00000000" w:csb0="603F01FF" w:csb1="FFFF0000"/>
  </w:font>
  <w:font w:name="Calibri Light">
    <w:altName w:val="Calibri"/>
    <w:panose1 w:val="020F0302020204030204"/>
    <w:charset w:val="00"/>
    <w:family w:val="swiss"/>
    <w:pitch w:val="default"/>
    <w:sig w:usb0="00000000" w:usb1="00000000"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Helvetica Neue">
    <w:altName w:val="Malgun Gothic"/>
    <w:panose1 w:val="00000000000000000000"/>
    <w:charset w:val="00"/>
    <w:family w:val="auto"/>
    <w:pitch w:val="default"/>
    <w:sig w:usb0="00000000" w:usb1="00000000" w:usb2="00000010" w:usb3="00000000" w:csb0="00000000" w:csb1="00000000"/>
  </w:font>
  <w:font w:name="Malgun Gothic">
    <w:panose1 w:val="020B0503020000020004"/>
    <w:charset w:val="81"/>
    <w:family w:val="auto"/>
    <w:pitch w:val="default"/>
    <w:sig w:usb0="900002AF" w:usb1="01D77CFB" w:usb2="00000012" w:usb3="00000000" w:csb0="0008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swiss"/>
    <w:pitch w:val="default"/>
    <w:sig w:usb0="80000287" w:usb1="280F3C52" w:usb2="00000016" w:usb3="00000000" w:csb0="0004001F" w:csb1="00000000"/>
  </w:font>
  <w:font w:name="MS Gothic">
    <w:panose1 w:val="020B0609070205080204"/>
    <w:charset w:val="80"/>
    <w:family w:val="modern"/>
    <w:pitch w:val="default"/>
    <w:sig w:usb0="E00002FF" w:usb1="6AC7FDFB" w:usb2="00000012" w:usb3="00000000" w:csb0="4002009F" w:csb1="DFD7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pStyle w:val="2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pStyle w:val="2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5"/>
      </w:rPr>
    </w:pPr>
    <w:r>
      <w:rPr>
        <w:rStyle w:val="45"/>
      </w:rPr>
      <w:fldChar w:fldCharType="begin"/>
    </w:r>
    <w:r>
      <w:rPr>
        <w:rStyle w:val="45"/>
      </w:rPr>
      <w:instrText xml:space="preserve">PAGE  </w:instrText>
    </w:r>
    <w:r>
      <w:rPr>
        <w:rStyle w:val="45"/>
      </w:rPr>
      <w:fldChar w:fldCharType="end"/>
    </w:r>
  </w:p>
  <w:p>
    <w:pPr>
      <w:pStyle w:val="2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left"/>
    </w:pPr>
    <w:r>
      <w:rPr>
        <w:rFonts w:hint="eastAsia"/>
        <w:lang w:eastAsia="zh-CN"/>
      </w:rPr>
      <w:t>曹娥江流域预报调度一体化项目</w:t>
    </w:r>
    <w:r>
      <w:rPr>
        <w:rFonts w:hint="eastAsia"/>
      </w:rPr>
      <w:t>招标文件</w:t>
    </w:r>
    <w:r>
      <w:rPr>
        <w:rFonts w:hint="eastAsia"/>
        <w:lang w:val="en-US" w:eastAsia="zh-CN"/>
      </w:rPr>
      <w:t xml:space="preserve">                            </w:t>
    </w:r>
    <w:r>
      <w:rPr>
        <w:rFonts w:hint="eastAsia"/>
      </w:rPr>
      <w:t>招标编号</w:t>
    </w:r>
    <w:r>
      <w:rPr>
        <w:rFonts w:hint="eastAsia"/>
        <w:lang w:val="en-US" w:eastAsia="zh-CN"/>
      </w:rPr>
      <w:t>:</w:t>
    </w:r>
    <w:r>
      <w:rPr>
        <w:rFonts w:hint="eastAsia"/>
      </w:rPr>
      <w:t>GSHZJ-2022-N000697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left"/>
      <w:rPr>
        <w:rFonts w:hint="eastAsia"/>
        <w:lang w:eastAsia="zh-CN"/>
      </w:rPr>
    </w:pPr>
    <w:r>
      <w:rPr>
        <w:rFonts w:hint="eastAsia"/>
        <w:lang w:eastAsia="zh-CN"/>
      </w:rPr>
      <w:t>曹娥江流域预报调度一体化项目</w:t>
    </w:r>
    <w:r>
      <w:rPr>
        <w:rFonts w:hint="eastAsia"/>
      </w:rPr>
      <w:t>招标文件</w:t>
    </w:r>
    <w:r>
      <w:rPr>
        <w:rFonts w:hint="eastAsia"/>
        <w:lang w:val="en-US" w:eastAsia="zh-CN"/>
      </w:rPr>
      <w:t xml:space="preserve">                                </w:t>
    </w:r>
    <w:r>
      <w:rPr>
        <w:rFonts w:hint="eastAsia"/>
      </w:rPr>
      <w:t>招标编号</w:t>
    </w:r>
    <w:r>
      <w:rPr>
        <w:rFonts w:hint="eastAsia"/>
        <w:lang w:val="en-US" w:eastAsia="zh-CN"/>
      </w:rPr>
      <w:t>:</w:t>
    </w:r>
    <w:r>
      <w:rPr>
        <w:rFonts w:hint="eastAsia"/>
      </w:rPr>
      <w:t>GSHZJ-2022-N000697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3B390A"/>
    <w:multiLevelType w:val="singleLevel"/>
    <w:tmpl w:val="E73B390A"/>
    <w:lvl w:ilvl="0" w:tentative="0">
      <w:start w:val="1"/>
      <w:numFmt w:val="decimal"/>
      <w:suff w:val="nothing"/>
      <w:lvlText w:val="（%1）"/>
      <w:lvlJc w:val="left"/>
    </w:lvl>
  </w:abstractNum>
  <w:abstractNum w:abstractNumId="1">
    <w:nsid w:val="FFFFFF7E"/>
    <w:multiLevelType w:val="singleLevel"/>
    <w:tmpl w:val="FFFFFF7E"/>
    <w:lvl w:ilvl="0" w:tentative="0">
      <w:start w:val="1"/>
      <w:numFmt w:val="decimal"/>
      <w:pStyle w:val="4"/>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2"/>
      <w:lvlText w:val="%1."/>
      <w:lvlJc w:val="left"/>
      <w:pPr>
        <w:tabs>
          <w:tab w:val="left" w:pos="360"/>
        </w:tabs>
        <w:ind w:left="360" w:hanging="360" w:hangingChars="20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5CB017FC"/>
    <w:multiLevelType w:val="multilevel"/>
    <w:tmpl w:val="5CB017FC"/>
    <w:lvl w:ilvl="0" w:tentative="0">
      <w:start w:val="1"/>
      <w:numFmt w:val="decimal"/>
      <w:pStyle w:val="3"/>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6"/>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5">
    <w:nsid w:val="60891078"/>
    <w:multiLevelType w:val="singleLevel"/>
    <w:tmpl w:val="60891078"/>
    <w:lvl w:ilvl="0" w:tentative="0">
      <w:start w:val="1"/>
      <w:numFmt w:val="decimal"/>
      <w:suff w:val="nothing"/>
      <w:lvlText w:val="%1、"/>
      <w:lvlJc w:val="left"/>
    </w:lvl>
  </w:abstractNum>
  <w:abstractNum w:abstractNumId="6">
    <w:nsid w:val="6A383B68"/>
    <w:multiLevelType w:val="singleLevel"/>
    <w:tmpl w:val="6A383B68"/>
    <w:lvl w:ilvl="0" w:tentative="0">
      <w:start w:val="1"/>
      <w:numFmt w:val="upperLetter"/>
      <w:pStyle w:val="7"/>
      <w:lvlText w:val="%1、"/>
      <w:lvlJc w:val="left"/>
      <w:pPr>
        <w:tabs>
          <w:tab w:val="left" w:pos="405"/>
        </w:tabs>
        <w:ind w:left="405" w:hanging="405"/>
      </w:pPr>
    </w:lvl>
  </w:abstractNum>
  <w:abstractNum w:abstractNumId="7">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2"/>
  </w:num>
  <w:num w:numId="3">
    <w:abstractNumId w:val="1"/>
  </w:num>
  <w:num w:numId="4">
    <w:abstractNumId w:val="6"/>
  </w:num>
  <w:num w:numId="5">
    <w:abstractNumId w:val="7"/>
  </w:num>
  <w:num w:numId="6">
    <w:abstractNumId w:val="0"/>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417C8A"/>
    <w:rsid w:val="00002EF8"/>
    <w:rsid w:val="00003B69"/>
    <w:rsid w:val="00005125"/>
    <w:rsid w:val="0000551C"/>
    <w:rsid w:val="00010C9A"/>
    <w:rsid w:val="00010FC1"/>
    <w:rsid w:val="0001278F"/>
    <w:rsid w:val="0002045E"/>
    <w:rsid w:val="00021D87"/>
    <w:rsid w:val="0002203D"/>
    <w:rsid w:val="0002468D"/>
    <w:rsid w:val="00025A9F"/>
    <w:rsid w:val="00026762"/>
    <w:rsid w:val="00031F75"/>
    <w:rsid w:val="000329A7"/>
    <w:rsid w:val="00033D7B"/>
    <w:rsid w:val="000402F5"/>
    <w:rsid w:val="00040A03"/>
    <w:rsid w:val="00047118"/>
    <w:rsid w:val="0005172F"/>
    <w:rsid w:val="000517D0"/>
    <w:rsid w:val="00051C47"/>
    <w:rsid w:val="000535F4"/>
    <w:rsid w:val="00056199"/>
    <w:rsid w:val="0005700A"/>
    <w:rsid w:val="0006049D"/>
    <w:rsid w:val="0006344A"/>
    <w:rsid w:val="0006392C"/>
    <w:rsid w:val="000643A5"/>
    <w:rsid w:val="000649B3"/>
    <w:rsid w:val="00065197"/>
    <w:rsid w:val="000657C6"/>
    <w:rsid w:val="00065EFB"/>
    <w:rsid w:val="00067FB2"/>
    <w:rsid w:val="000702AD"/>
    <w:rsid w:val="00074373"/>
    <w:rsid w:val="000751F9"/>
    <w:rsid w:val="00075850"/>
    <w:rsid w:val="0007656E"/>
    <w:rsid w:val="000812D0"/>
    <w:rsid w:val="00082DC1"/>
    <w:rsid w:val="00083E93"/>
    <w:rsid w:val="00083EB1"/>
    <w:rsid w:val="00087605"/>
    <w:rsid w:val="000933A2"/>
    <w:rsid w:val="0009629C"/>
    <w:rsid w:val="00097421"/>
    <w:rsid w:val="00097868"/>
    <w:rsid w:val="000A0868"/>
    <w:rsid w:val="000A1F26"/>
    <w:rsid w:val="000A3FC5"/>
    <w:rsid w:val="000A4017"/>
    <w:rsid w:val="000A5AC0"/>
    <w:rsid w:val="000B0284"/>
    <w:rsid w:val="000B033D"/>
    <w:rsid w:val="000B1744"/>
    <w:rsid w:val="000B1D0B"/>
    <w:rsid w:val="000B2A94"/>
    <w:rsid w:val="000B471E"/>
    <w:rsid w:val="000B625B"/>
    <w:rsid w:val="000C14CF"/>
    <w:rsid w:val="000C1F3C"/>
    <w:rsid w:val="000C2835"/>
    <w:rsid w:val="000C3344"/>
    <w:rsid w:val="000D0E6C"/>
    <w:rsid w:val="000D110F"/>
    <w:rsid w:val="000D122E"/>
    <w:rsid w:val="000D1267"/>
    <w:rsid w:val="000D1D59"/>
    <w:rsid w:val="000D4D0E"/>
    <w:rsid w:val="000E1C88"/>
    <w:rsid w:val="000E3723"/>
    <w:rsid w:val="000E4A4F"/>
    <w:rsid w:val="000E5C9B"/>
    <w:rsid w:val="000E6F8C"/>
    <w:rsid w:val="000E72A0"/>
    <w:rsid w:val="000F51A7"/>
    <w:rsid w:val="000F5EF4"/>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2C32"/>
    <w:rsid w:val="00154591"/>
    <w:rsid w:val="00154E3A"/>
    <w:rsid w:val="00156633"/>
    <w:rsid w:val="00156A4A"/>
    <w:rsid w:val="00157269"/>
    <w:rsid w:val="0015771E"/>
    <w:rsid w:val="00157914"/>
    <w:rsid w:val="00157FB7"/>
    <w:rsid w:val="00160B0A"/>
    <w:rsid w:val="00161F66"/>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B75D0"/>
    <w:rsid w:val="001C07C7"/>
    <w:rsid w:val="001C57F3"/>
    <w:rsid w:val="001C5AA3"/>
    <w:rsid w:val="001C6042"/>
    <w:rsid w:val="001C6EC1"/>
    <w:rsid w:val="001D24BB"/>
    <w:rsid w:val="001D30DD"/>
    <w:rsid w:val="001D3CEA"/>
    <w:rsid w:val="001D6ED7"/>
    <w:rsid w:val="001D76A1"/>
    <w:rsid w:val="001E3B20"/>
    <w:rsid w:val="001E4A9F"/>
    <w:rsid w:val="001F14C4"/>
    <w:rsid w:val="001F2767"/>
    <w:rsid w:val="001F429B"/>
    <w:rsid w:val="001F43C6"/>
    <w:rsid w:val="001F4B0F"/>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2062E"/>
    <w:rsid w:val="00223848"/>
    <w:rsid w:val="00223A5B"/>
    <w:rsid w:val="00224A52"/>
    <w:rsid w:val="002261D7"/>
    <w:rsid w:val="002266CD"/>
    <w:rsid w:val="0022698F"/>
    <w:rsid w:val="00230129"/>
    <w:rsid w:val="00230A8D"/>
    <w:rsid w:val="00231CB7"/>
    <w:rsid w:val="00233356"/>
    <w:rsid w:val="00235AC1"/>
    <w:rsid w:val="0023638E"/>
    <w:rsid w:val="00240411"/>
    <w:rsid w:val="00243D9A"/>
    <w:rsid w:val="002442F3"/>
    <w:rsid w:val="00244766"/>
    <w:rsid w:val="00247AB8"/>
    <w:rsid w:val="00251888"/>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83EAF"/>
    <w:rsid w:val="002857D3"/>
    <w:rsid w:val="002860D2"/>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F86"/>
    <w:rsid w:val="002D6849"/>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2020"/>
    <w:rsid w:val="00302514"/>
    <w:rsid w:val="00303064"/>
    <w:rsid w:val="00307917"/>
    <w:rsid w:val="00310479"/>
    <w:rsid w:val="00310AA4"/>
    <w:rsid w:val="0031167A"/>
    <w:rsid w:val="00314204"/>
    <w:rsid w:val="00316329"/>
    <w:rsid w:val="003214B7"/>
    <w:rsid w:val="00322583"/>
    <w:rsid w:val="00322E59"/>
    <w:rsid w:val="00323729"/>
    <w:rsid w:val="00323B52"/>
    <w:rsid w:val="00323E60"/>
    <w:rsid w:val="003250A1"/>
    <w:rsid w:val="0032789C"/>
    <w:rsid w:val="00327C7D"/>
    <w:rsid w:val="003302F0"/>
    <w:rsid w:val="00332DA4"/>
    <w:rsid w:val="00334D83"/>
    <w:rsid w:val="003371DD"/>
    <w:rsid w:val="003413F9"/>
    <w:rsid w:val="0034305B"/>
    <w:rsid w:val="00347CAD"/>
    <w:rsid w:val="00350E72"/>
    <w:rsid w:val="00351EEF"/>
    <w:rsid w:val="0035254A"/>
    <w:rsid w:val="003565A0"/>
    <w:rsid w:val="003618CE"/>
    <w:rsid w:val="00365766"/>
    <w:rsid w:val="00365F56"/>
    <w:rsid w:val="003670EB"/>
    <w:rsid w:val="00367EAB"/>
    <w:rsid w:val="0037368A"/>
    <w:rsid w:val="00375107"/>
    <w:rsid w:val="0037517D"/>
    <w:rsid w:val="003822F9"/>
    <w:rsid w:val="00384E3C"/>
    <w:rsid w:val="00385323"/>
    <w:rsid w:val="0039130B"/>
    <w:rsid w:val="00391E7C"/>
    <w:rsid w:val="00393589"/>
    <w:rsid w:val="00393A4C"/>
    <w:rsid w:val="003949AE"/>
    <w:rsid w:val="003A137B"/>
    <w:rsid w:val="003A19D2"/>
    <w:rsid w:val="003A3963"/>
    <w:rsid w:val="003A546B"/>
    <w:rsid w:val="003A74F5"/>
    <w:rsid w:val="003B1CEB"/>
    <w:rsid w:val="003B24CA"/>
    <w:rsid w:val="003B2B02"/>
    <w:rsid w:val="003B4EAE"/>
    <w:rsid w:val="003B774D"/>
    <w:rsid w:val="003B790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6C02"/>
    <w:rsid w:val="003F2982"/>
    <w:rsid w:val="003F4084"/>
    <w:rsid w:val="003F77E0"/>
    <w:rsid w:val="00400057"/>
    <w:rsid w:val="00400B4D"/>
    <w:rsid w:val="004014D1"/>
    <w:rsid w:val="00403FEC"/>
    <w:rsid w:val="00404284"/>
    <w:rsid w:val="00407D88"/>
    <w:rsid w:val="004109FD"/>
    <w:rsid w:val="0041394C"/>
    <w:rsid w:val="00413B7A"/>
    <w:rsid w:val="0041460B"/>
    <w:rsid w:val="00414F64"/>
    <w:rsid w:val="00417C8A"/>
    <w:rsid w:val="0042136D"/>
    <w:rsid w:val="004227AD"/>
    <w:rsid w:val="00424C70"/>
    <w:rsid w:val="0042557D"/>
    <w:rsid w:val="00426003"/>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14EA"/>
    <w:rsid w:val="004832BC"/>
    <w:rsid w:val="00485E04"/>
    <w:rsid w:val="00486B01"/>
    <w:rsid w:val="00487465"/>
    <w:rsid w:val="004939A7"/>
    <w:rsid w:val="00497699"/>
    <w:rsid w:val="00497DB2"/>
    <w:rsid w:val="004A0174"/>
    <w:rsid w:val="004A236E"/>
    <w:rsid w:val="004A3418"/>
    <w:rsid w:val="004A403F"/>
    <w:rsid w:val="004A51BA"/>
    <w:rsid w:val="004A5DF1"/>
    <w:rsid w:val="004A6677"/>
    <w:rsid w:val="004A7A78"/>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3DE6"/>
    <w:rsid w:val="005144B2"/>
    <w:rsid w:val="00517733"/>
    <w:rsid w:val="005215F9"/>
    <w:rsid w:val="00522169"/>
    <w:rsid w:val="005230CA"/>
    <w:rsid w:val="0052340D"/>
    <w:rsid w:val="0052376F"/>
    <w:rsid w:val="00524FD6"/>
    <w:rsid w:val="00527E1C"/>
    <w:rsid w:val="00532937"/>
    <w:rsid w:val="005351C1"/>
    <w:rsid w:val="00536FBF"/>
    <w:rsid w:val="0054018C"/>
    <w:rsid w:val="005410BB"/>
    <w:rsid w:val="00544130"/>
    <w:rsid w:val="005459FE"/>
    <w:rsid w:val="00545F40"/>
    <w:rsid w:val="00553E02"/>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680D"/>
    <w:rsid w:val="00586C3A"/>
    <w:rsid w:val="005879E7"/>
    <w:rsid w:val="00590A70"/>
    <w:rsid w:val="00591190"/>
    <w:rsid w:val="00591584"/>
    <w:rsid w:val="00594CDD"/>
    <w:rsid w:val="005A3003"/>
    <w:rsid w:val="005A32FB"/>
    <w:rsid w:val="005A3E6E"/>
    <w:rsid w:val="005A7A4A"/>
    <w:rsid w:val="005B180C"/>
    <w:rsid w:val="005B76B4"/>
    <w:rsid w:val="005C2908"/>
    <w:rsid w:val="005C30CF"/>
    <w:rsid w:val="005C3154"/>
    <w:rsid w:val="005C3A22"/>
    <w:rsid w:val="005C54A7"/>
    <w:rsid w:val="005C6EE6"/>
    <w:rsid w:val="005C6F10"/>
    <w:rsid w:val="005D0155"/>
    <w:rsid w:val="005D2F62"/>
    <w:rsid w:val="005D375C"/>
    <w:rsid w:val="005D451A"/>
    <w:rsid w:val="005D6575"/>
    <w:rsid w:val="005D70ED"/>
    <w:rsid w:val="005E282B"/>
    <w:rsid w:val="005E33BD"/>
    <w:rsid w:val="005E68E7"/>
    <w:rsid w:val="005F510E"/>
    <w:rsid w:val="005F5691"/>
    <w:rsid w:val="005F78A5"/>
    <w:rsid w:val="006029F2"/>
    <w:rsid w:val="00604458"/>
    <w:rsid w:val="00606ED5"/>
    <w:rsid w:val="006070BD"/>
    <w:rsid w:val="006073C6"/>
    <w:rsid w:val="00607E60"/>
    <w:rsid w:val="006107F3"/>
    <w:rsid w:val="006120C0"/>
    <w:rsid w:val="00615BAF"/>
    <w:rsid w:val="00617775"/>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E44"/>
    <w:rsid w:val="00651F43"/>
    <w:rsid w:val="006527F3"/>
    <w:rsid w:val="00665466"/>
    <w:rsid w:val="00665C19"/>
    <w:rsid w:val="00665CBD"/>
    <w:rsid w:val="00671A32"/>
    <w:rsid w:val="00672AC8"/>
    <w:rsid w:val="00675C4B"/>
    <w:rsid w:val="0067762D"/>
    <w:rsid w:val="00680B4E"/>
    <w:rsid w:val="006810E4"/>
    <w:rsid w:val="006839B6"/>
    <w:rsid w:val="006843E1"/>
    <w:rsid w:val="0068671B"/>
    <w:rsid w:val="00686F48"/>
    <w:rsid w:val="006872D9"/>
    <w:rsid w:val="00687DA3"/>
    <w:rsid w:val="006936A5"/>
    <w:rsid w:val="006943CE"/>
    <w:rsid w:val="006948E4"/>
    <w:rsid w:val="00694B34"/>
    <w:rsid w:val="00694B87"/>
    <w:rsid w:val="00694D00"/>
    <w:rsid w:val="006A09E3"/>
    <w:rsid w:val="006A1906"/>
    <w:rsid w:val="006A3D9E"/>
    <w:rsid w:val="006A4F05"/>
    <w:rsid w:val="006A69A8"/>
    <w:rsid w:val="006B183A"/>
    <w:rsid w:val="006B1A97"/>
    <w:rsid w:val="006B4F54"/>
    <w:rsid w:val="006B6B67"/>
    <w:rsid w:val="006C002F"/>
    <w:rsid w:val="006C02F5"/>
    <w:rsid w:val="006C5FEF"/>
    <w:rsid w:val="006C7EB3"/>
    <w:rsid w:val="006D5227"/>
    <w:rsid w:val="006D629D"/>
    <w:rsid w:val="006E51D3"/>
    <w:rsid w:val="006E64A5"/>
    <w:rsid w:val="006E6C77"/>
    <w:rsid w:val="006E772C"/>
    <w:rsid w:val="006E797A"/>
    <w:rsid w:val="006F0A0C"/>
    <w:rsid w:val="006F1D8D"/>
    <w:rsid w:val="006F2510"/>
    <w:rsid w:val="006F3A0F"/>
    <w:rsid w:val="007014C0"/>
    <w:rsid w:val="00702458"/>
    <w:rsid w:val="007047D8"/>
    <w:rsid w:val="00707395"/>
    <w:rsid w:val="007122EB"/>
    <w:rsid w:val="00715B09"/>
    <w:rsid w:val="00721BF4"/>
    <w:rsid w:val="00721CE2"/>
    <w:rsid w:val="007266EE"/>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715B9"/>
    <w:rsid w:val="00771654"/>
    <w:rsid w:val="00772AC2"/>
    <w:rsid w:val="00773A2C"/>
    <w:rsid w:val="00775269"/>
    <w:rsid w:val="0077608C"/>
    <w:rsid w:val="007774FA"/>
    <w:rsid w:val="00777C1A"/>
    <w:rsid w:val="00777F21"/>
    <w:rsid w:val="00780272"/>
    <w:rsid w:val="007804F7"/>
    <w:rsid w:val="007809BE"/>
    <w:rsid w:val="007814B9"/>
    <w:rsid w:val="0078178E"/>
    <w:rsid w:val="007822C3"/>
    <w:rsid w:val="00784810"/>
    <w:rsid w:val="00785B15"/>
    <w:rsid w:val="00787752"/>
    <w:rsid w:val="007910DD"/>
    <w:rsid w:val="0079174D"/>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5716"/>
    <w:rsid w:val="007D0823"/>
    <w:rsid w:val="007D3E95"/>
    <w:rsid w:val="007D4361"/>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70FB"/>
    <w:rsid w:val="008075BF"/>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589"/>
    <w:rsid w:val="00827791"/>
    <w:rsid w:val="00830F84"/>
    <w:rsid w:val="008310B0"/>
    <w:rsid w:val="008325F0"/>
    <w:rsid w:val="0083389D"/>
    <w:rsid w:val="00834788"/>
    <w:rsid w:val="00840AB3"/>
    <w:rsid w:val="008424CD"/>
    <w:rsid w:val="00842C80"/>
    <w:rsid w:val="00844F41"/>
    <w:rsid w:val="008457C1"/>
    <w:rsid w:val="0084613D"/>
    <w:rsid w:val="008473F0"/>
    <w:rsid w:val="00850E6B"/>
    <w:rsid w:val="00852E88"/>
    <w:rsid w:val="008557E8"/>
    <w:rsid w:val="00863478"/>
    <w:rsid w:val="00863945"/>
    <w:rsid w:val="00864E3D"/>
    <w:rsid w:val="00875064"/>
    <w:rsid w:val="00877F0F"/>
    <w:rsid w:val="008800C8"/>
    <w:rsid w:val="0088347A"/>
    <w:rsid w:val="00886234"/>
    <w:rsid w:val="008863D4"/>
    <w:rsid w:val="00886634"/>
    <w:rsid w:val="00887B85"/>
    <w:rsid w:val="00890B37"/>
    <w:rsid w:val="00890DCD"/>
    <w:rsid w:val="00896BE8"/>
    <w:rsid w:val="00896ED5"/>
    <w:rsid w:val="00897318"/>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764A"/>
    <w:rsid w:val="008D18D9"/>
    <w:rsid w:val="008D4AB1"/>
    <w:rsid w:val="008D7471"/>
    <w:rsid w:val="008D7B31"/>
    <w:rsid w:val="008E19EE"/>
    <w:rsid w:val="008E1A0D"/>
    <w:rsid w:val="008E316D"/>
    <w:rsid w:val="008E4B80"/>
    <w:rsid w:val="008E6364"/>
    <w:rsid w:val="008F03D5"/>
    <w:rsid w:val="008F07DF"/>
    <w:rsid w:val="008F1A2E"/>
    <w:rsid w:val="00900D76"/>
    <w:rsid w:val="0090286C"/>
    <w:rsid w:val="0090287D"/>
    <w:rsid w:val="009048AE"/>
    <w:rsid w:val="00906681"/>
    <w:rsid w:val="00907BAD"/>
    <w:rsid w:val="00910AEC"/>
    <w:rsid w:val="00911FE1"/>
    <w:rsid w:val="00912BD2"/>
    <w:rsid w:val="009175CE"/>
    <w:rsid w:val="0092030F"/>
    <w:rsid w:val="009215A1"/>
    <w:rsid w:val="00921A52"/>
    <w:rsid w:val="009250EF"/>
    <w:rsid w:val="00926541"/>
    <w:rsid w:val="009271D3"/>
    <w:rsid w:val="00927477"/>
    <w:rsid w:val="009309E4"/>
    <w:rsid w:val="00933465"/>
    <w:rsid w:val="00933FD9"/>
    <w:rsid w:val="00934ED5"/>
    <w:rsid w:val="0093527E"/>
    <w:rsid w:val="00935678"/>
    <w:rsid w:val="00935C1D"/>
    <w:rsid w:val="00936104"/>
    <w:rsid w:val="00936426"/>
    <w:rsid w:val="00936632"/>
    <w:rsid w:val="009379E5"/>
    <w:rsid w:val="00940FA0"/>
    <w:rsid w:val="009415ED"/>
    <w:rsid w:val="00944F1A"/>
    <w:rsid w:val="00947BAD"/>
    <w:rsid w:val="00947FE6"/>
    <w:rsid w:val="009517BF"/>
    <w:rsid w:val="00952269"/>
    <w:rsid w:val="00952CE1"/>
    <w:rsid w:val="00953507"/>
    <w:rsid w:val="009557D2"/>
    <w:rsid w:val="009568DF"/>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775A"/>
    <w:rsid w:val="00997ACE"/>
    <w:rsid w:val="009A2940"/>
    <w:rsid w:val="009A373E"/>
    <w:rsid w:val="009A5E9D"/>
    <w:rsid w:val="009A728E"/>
    <w:rsid w:val="009A74ED"/>
    <w:rsid w:val="009B0779"/>
    <w:rsid w:val="009B206E"/>
    <w:rsid w:val="009B24E0"/>
    <w:rsid w:val="009B55F5"/>
    <w:rsid w:val="009B7B41"/>
    <w:rsid w:val="009C17E3"/>
    <w:rsid w:val="009C221E"/>
    <w:rsid w:val="009C3B05"/>
    <w:rsid w:val="009C473A"/>
    <w:rsid w:val="009C4D5D"/>
    <w:rsid w:val="009C4F71"/>
    <w:rsid w:val="009C6549"/>
    <w:rsid w:val="009C725B"/>
    <w:rsid w:val="009C76D3"/>
    <w:rsid w:val="009D13D6"/>
    <w:rsid w:val="009D1860"/>
    <w:rsid w:val="009D22A1"/>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EE2"/>
    <w:rsid w:val="00A30D6F"/>
    <w:rsid w:val="00A31DAF"/>
    <w:rsid w:val="00A349EF"/>
    <w:rsid w:val="00A36348"/>
    <w:rsid w:val="00A36FB8"/>
    <w:rsid w:val="00A40FD5"/>
    <w:rsid w:val="00A41EAC"/>
    <w:rsid w:val="00A428D5"/>
    <w:rsid w:val="00A42B9E"/>
    <w:rsid w:val="00A44F6D"/>
    <w:rsid w:val="00A44FE5"/>
    <w:rsid w:val="00A4609C"/>
    <w:rsid w:val="00A472EC"/>
    <w:rsid w:val="00A5358B"/>
    <w:rsid w:val="00A53D4A"/>
    <w:rsid w:val="00A55F87"/>
    <w:rsid w:val="00A56E2E"/>
    <w:rsid w:val="00A67420"/>
    <w:rsid w:val="00A7154B"/>
    <w:rsid w:val="00A746F5"/>
    <w:rsid w:val="00A7634A"/>
    <w:rsid w:val="00A773A7"/>
    <w:rsid w:val="00A773DA"/>
    <w:rsid w:val="00A81702"/>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7A18"/>
    <w:rsid w:val="00AB01E4"/>
    <w:rsid w:val="00AB1582"/>
    <w:rsid w:val="00AB29D3"/>
    <w:rsid w:val="00AB39F3"/>
    <w:rsid w:val="00AB44CD"/>
    <w:rsid w:val="00AB454D"/>
    <w:rsid w:val="00AC1694"/>
    <w:rsid w:val="00AC2B19"/>
    <w:rsid w:val="00AC3A1C"/>
    <w:rsid w:val="00AC3D35"/>
    <w:rsid w:val="00AC4A89"/>
    <w:rsid w:val="00AC6CEC"/>
    <w:rsid w:val="00AC7411"/>
    <w:rsid w:val="00AD0DBF"/>
    <w:rsid w:val="00AD6ACB"/>
    <w:rsid w:val="00AE1B40"/>
    <w:rsid w:val="00AE2ED6"/>
    <w:rsid w:val="00AF039F"/>
    <w:rsid w:val="00AF199C"/>
    <w:rsid w:val="00AF2E75"/>
    <w:rsid w:val="00AF4A99"/>
    <w:rsid w:val="00AF58B9"/>
    <w:rsid w:val="00AF6325"/>
    <w:rsid w:val="00AF7A6A"/>
    <w:rsid w:val="00B00F7A"/>
    <w:rsid w:val="00B012D5"/>
    <w:rsid w:val="00B0332B"/>
    <w:rsid w:val="00B077EB"/>
    <w:rsid w:val="00B11F7D"/>
    <w:rsid w:val="00B1230F"/>
    <w:rsid w:val="00B127DA"/>
    <w:rsid w:val="00B12ECD"/>
    <w:rsid w:val="00B14C0B"/>
    <w:rsid w:val="00B2146D"/>
    <w:rsid w:val="00B241E3"/>
    <w:rsid w:val="00B243CC"/>
    <w:rsid w:val="00B24E36"/>
    <w:rsid w:val="00B257CC"/>
    <w:rsid w:val="00B25D56"/>
    <w:rsid w:val="00B26E26"/>
    <w:rsid w:val="00B27632"/>
    <w:rsid w:val="00B31EAF"/>
    <w:rsid w:val="00B3313A"/>
    <w:rsid w:val="00B34302"/>
    <w:rsid w:val="00B36043"/>
    <w:rsid w:val="00B37734"/>
    <w:rsid w:val="00B37BCC"/>
    <w:rsid w:val="00B41870"/>
    <w:rsid w:val="00B47039"/>
    <w:rsid w:val="00B47E7B"/>
    <w:rsid w:val="00B50095"/>
    <w:rsid w:val="00B55791"/>
    <w:rsid w:val="00B63318"/>
    <w:rsid w:val="00B665B5"/>
    <w:rsid w:val="00B66DC1"/>
    <w:rsid w:val="00B67101"/>
    <w:rsid w:val="00B73A67"/>
    <w:rsid w:val="00B8043F"/>
    <w:rsid w:val="00B8308E"/>
    <w:rsid w:val="00B85012"/>
    <w:rsid w:val="00B91124"/>
    <w:rsid w:val="00B9180C"/>
    <w:rsid w:val="00B9298C"/>
    <w:rsid w:val="00B929F6"/>
    <w:rsid w:val="00B94480"/>
    <w:rsid w:val="00B97B7B"/>
    <w:rsid w:val="00B97BD6"/>
    <w:rsid w:val="00BA0CE7"/>
    <w:rsid w:val="00BA18A9"/>
    <w:rsid w:val="00BA2C2D"/>
    <w:rsid w:val="00BA4F14"/>
    <w:rsid w:val="00BB14F8"/>
    <w:rsid w:val="00BB1D3E"/>
    <w:rsid w:val="00BB20A2"/>
    <w:rsid w:val="00BB5269"/>
    <w:rsid w:val="00BC02D7"/>
    <w:rsid w:val="00BC058F"/>
    <w:rsid w:val="00BC3D6F"/>
    <w:rsid w:val="00BC500A"/>
    <w:rsid w:val="00BC57B1"/>
    <w:rsid w:val="00BC61AC"/>
    <w:rsid w:val="00BD0EBD"/>
    <w:rsid w:val="00BD20CF"/>
    <w:rsid w:val="00BD3984"/>
    <w:rsid w:val="00BD3B87"/>
    <w:rsid w:val="00BD4C35"/>
    <w:rsid w:val="00BE4CCA"/>
    <w:rsid w:val="00BE6FA5"/>
    <w:rsid w:val="00BF28ED"/>
    <w:rsid w:val="00BF4A9B"/>
    <w:rsid w:val="00BF4D63"/>
    <w:rsid w:val="00BF55E7"/>
    <w:rsid w:val="00C013D8"/>
    <w:rsid w:val="00C0150B"/>
    <w:rsid w:val="00C036EC"/>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561D"/>
    <w:rsid w:val="00C300F2"/>
    <w:rsid w:val="00C31EB2"/>
    <w:rsid w:val="00C320DF"/>
    <w:rsid w:val="00C329C3"/>
    <w:rsid w:val="00C34C64"/>
    <w:rsid w:val="00C35B77"/>
    <w:rsid w:val="00C35D54"/>
    <w:rsid w:val="00C408A4"/>
    <w:rsid w:val="00C4126C"/>
    <w:rsid w:val="00C42C0C"/>
    <w:rsid w:val="00C42C40"/>
    <w:rsid w:val="00C523AD"/>
    <w:rsid w:val="00C55889"/>
    <w:rsid w:val="00C55E95"/>
    <w:rsid w:val="00C62563"/>
    <w:rsid w:val="00C6395F"/>
    <w:rsid w:val="00C649BC"/>
    <w:rsid w:val="00C66128"/>
    <w:rsid w:val="00C66BD5"/>
    <w:rsid w:val="00C66EE6"/>
    <w:rsid w:val="00C66FCB"/>
    <w:rsid w:val="00C670AB"/>
    <w:rsid w:val="00C71D3E"/>
    <w:rsid w:val="00C721C3"/>
    <w:rsid w:val="00C826A0"/>
    <w:rsid w:val="00C83068"/>
    <w:rsid w:val="00C83429"/>
    <w:rsid w:val="00C838EC"/>
    <w:rsid w:val="00C8410F"/>
    <w:rsid w:val="00C85A01"/>
    <w:rsid w:val="00C8637A"/>
    <w:rsid w:val="00C870A4"/>
    <w:rsid w:val="00C87C97"/>
    <w:rsid w:val="00C90ECA"/>
    <w:rsid w:val="00C93022"/>
    <w:rsid w:val="00C946D2"/>
    <w:rsid w:val="00C951D0"/>
    <w:rsid w:val="00CA4195"/>
    <w:rsid w:val="00CA45AE"/>
    <w:rsid w:val="00CA535D"/>
    <w:rsid w:val="00CA5747"/>
    <w:rsid w:val="00CA6080"/>
    <w:rsid w:val="00CA61D7"/>
    <w:rsid w:val="00CA70BF"/>
    <w:rsid w:val="00CA7348"/>
    <w:rsid w:val="00CB16E8"/>
    <w:rsid w:val="00CB2CE8"/>
    <w:rsid w:val="00CB3092"/>
    <w:rsid w:val="00CB364F"/>
    <w:rsid w:val="00CB394A"/>
    <w:rsid w:val="00CB5596"/>
    <w:rsid w:val="00CB7229"/>
    <w:rsid w:val="00CC1D36"/>
    <w:rsid w:val="00CC4095"/>
    <w:rsid w:val="00CC5BDB"/>
    <w:rsid w:val="00CC6070"/>
    <w:rsid w:val="00CC718E"/>
    <w:rsid w:val="00CD1CAB"/>
    <w:rsid w:val="00CD3770"/>
    <w:rsid w:val="00CD3E5C"/>
    <w:rsid w:val="00CD5EDD"/>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6D0"/>
    <w:rsid w:val="00D268BA"/>
    <w:rsid w:val="00D311D4"/>
    <w:rsid w:val="00D322B6"/>
    <w:rsid w:val="00D32534"/>
    <w:rsid w:val="00D32B75"/>
    <w:rsid w:val="00D32C0A"/>
    <w:rsid w:val="00D32C17"/>
    <w:rsid w:val="00D353FF"/>
    <w:rsid w:val="00D402F9"/>
    <w:rsid w:val="00D434C3"/>
    <w:rsid w:val="00D44839"/>
    <w:rsid w:val="00D47043"/>
    <w:rsid w:val="00D47915"/>
    <w:rsid w:val="00D5093A"/>
    <w:rsid w:val="00D51479"/>
    <w:rsid w:val="00D55FFA"/>
    <w:rsid w:val="00D625F8"/>
    <w:rsid w:val="00D63D29"/>
    <w:rsid w:val="00D649AA"/>
    <w:rsid w:val="00D73693"/>
    <w:rsid w:val="00D74A49"/>
    <w:rsid w:val="00D74BEC"/>
    <w:rsid w:val="00D75A07"/>
    <w:rsid w:val="00D80A4D"/>
    <w:rsid w:val="00D83294"/>
    <w:rsid w:val="00D832F2"/>
    <w:rsid w:val="00D83A4D"/>
    <w:rsid w:val="00D840D8"/>
    <w:rsid w:val="00D85827"/>
    <w:rsid w:val="00D85CAC"/>
    <w:rsid w:val="00D8604E"/>
    <w:rsid w:val="00D92EA4"/>
    <w:rsid w:val="00D93A13"/>
    <w:rsid w:val="00D941BE"/>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63C"/>
    <w:rsid w:val="00DC10A7"/>
    <w:rsid w:val="00DC168D"/>
    <w:rsid w:val="00DC33B6"/>
    <w:rsid w:val="00DC63F9"/>
    <w:rsid w:val="00DD29D3"/>
    <w:rsid w:val="00DD4B24"/>
    <w:rsid w:val="00DD5651"/>
    <w:rsid w:val="00DD6196"/>
    <w:rsid w:val="00DE0E2E"/>
    <w:rsid w:val="00DE12F4"/>
    <w:rsid w:val="00DE1DFC"/>
    <w:rsid w:val="00DE208C"/>
    <w:rsid w:val="00DE53B2"/>
    <w:rsid w:val="00DE5FCE"/>
    <w:rsid w:val="00DE6B52"/>
    <w:rsid w:val="00DF13FF"/>
    <w:rsid w:val="00DF1553"/>
    <w:rsid w:val="00DF3FB1"/>
    <w:rsid w:val="00DF4624"/>
    <w:rsid w:val="00DF46D3"/>
    <w:rsid w:val="00DF4743"/>
    <w:rsid w:val="00DF7B2B"/>
    <w:rsid w:val="00E01909"/>
    <w:rsid w:val="00E04FDF"/>
    <w:rsid w:val="00E05A53"/>
    <w:rsid w:val="00E05F15"/>
    <w:rsid w:val="00E07D2B"/>
    <w:rsid w:val="00E10531"/>
    <w:rsid w:val="00E10877"/>
    <w:rsid w:val="00E10F29"/>
    <w:rsid w:val="00E1304F"/>
    <w:rsid w:val="00E13BC1"/>
    <w:rsid w:val="00E1419F"/>
    <w:rsid w:val="00E17315"/>
    <w:rsid w:val="00E17D79"/>
    <w:rsid w:val="00E20872"/>
    <w:rsid w:val="00E20A02"/>
    <w:rsid w:val="00E238C5"/>
    <w:rsid w:val="00E261C5"/>
    <w:rsid w:val="00E34C20"/>
    <w:rsid w:val="00E35D90"/>
    <w:rsid w:val="00E3742A"/>
    <w:rsid w:val="00E4159A"/>
    <w:rsid w:val="00E42DE4"/>
    <w:rsid w:val="00E45EE2"/>
    <w:rsid w:val="00E46623"/>
    <w:rsid w:val="00E46934"/>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357D"/>
    <w:rsid w:val="00EA37AB"/>
    <w:rsid w:val="00EA4736"/>
    <w:rsid w:val="00EA5BEE"/>
    <w:rsid w:val="00EA5D3F"/>
    <w:rsid w:val="00EA60CE"/>
    <w:rsid w:val="00EA62B8"/>
    <w:rsid w:val="00EA6B0D"/>
    <w:rsid w:val="00EB0AE3"/>
    <w:rsid w:val="00EB0BD9"/>
    <w:rsid w:val="00EB3246"/>
    <w:rsid w:val="00EB4FA7"/>
    <w:rsid w:val="00EB5222"/>
    <w:rsid w:val="00EB602F"/>
    <w:rsid w:val="00EB68EE"/>
    <w:rsid w:val="00EB7174"/>
    <w:rsid w:val="00EB7E69"/>
    <w:rsid w:val="00EC155E"/>
    <w:rsid w:val="00EC2706"/>
    <w:rsid w:val="00EC287E"/>
    <w:rsid w:val="00EC3182"/>
    <w:rsid w:val="00EC35BE"/>
    <w:rsid w:val="00EC3F23"/>
    <w:rsid w:val="00EC57BD"/>
    <w:rsid w:val="00EC74CE"/>
    <w:rsid w:val="00EC7697"/>
    <w:rsid w:val="00EC77D6"/>
    <w:rsid w:val="00EC7AA0"/>
    <w:rsid w:val="00ED1F25"/>
    <w:rsid w:val="00ED23E5"/>
    <w:rsid w:val="00ED3A71"/>
    <w:rsid w:val="00ED758C"/>
    <w:rsid w:val="00EE06ED"/>
    <w:rsid w:val="00EE232E"/>
    <w:rsid w:val="00EE4212"/>
    <w:rsid w:val="00EE54FE"/>
    <w:rsid w:val="00EE55D8"/>
    <w:rsid w:val="00EE5E15"/>
    <w:rsid w:val="00EF1A94"/>
    <w:rsid w:val="00EF20FA"/>
    <w:rsid w:val="00EF52D6"/>
    <w:rsid w:val="00EF7E5B"/>
    <w:rsid w:val="00F00B43"/>
    <w:rsid w:val="00F0162F"/>
    <w:rsid w:val="00F01C96"/>
    <w:rsid w:val="00F0661F"/>
    <w:rsid w:val="00F12CBB"/>
    <w:rsid w:val="00F1355C"/>
    <w:rsid w:val="00F226E8"/>
    <w:rsid w:val="00F2566F"/>
    <w:rsid w:val="00F30E51"/>
    <w:rsid w:val="00F31980"/>
    <w:rsid w:val="00F31AD0"/>
    <w:rsid w:val="00F33527"/>
    <w:rsid w:val="00F3506F"/>
    <w:rsid w:val="00F35DF7"/>
    <w:rsid w:val="00F37F36"/>
    <w:rsid w:val="00F41632"/>
    <w:rsid w:val="00F42267"/>
    <w:rsid w:val="00F454C9"/>
    <w:rsid w:val="00F502E8"/>
    <w:rsid w:val="00F51AF2"/>
    <w:rsid w:val="00F5295B"/>
    <w:rsid w:val="00F55C7F"/>
    <w:rsid w:val="00F564F6"/>
    <w:rsid w:val="00F56AD8"/>
    <w:rsid w:val="00F57CCC"/>
    <w:rsid w:val="00F6137E"/>
    <w:rsid w:val="00F63771"/>
    <w:rsid w:val="00F63922"/>
    <w:rsid w:val="00F673BD"/>
    <w:rsid w:val="00F675E2"/>
    <w:rsid w:val="00F70C83"/>
    <w:rsid w:val="00F75E0E"/>
    <w:rsid w:val="00F76826"/>
    <w:rsid w:val="00F76A15"/>
    <w:rsid w:val="00F77A72"/>
    <w:rsid w:val="00F8143A"/>
    <w:rsid w:val="00F825E8"/>
    <w:rsid w:val="00F82E38"/>
    <w:rsid w:val="00F83C52"/>
    <w:rsid w:val="00F83D25"/>
    <w:rsid w:val="00F84A1B"/>
    <w:rsid w:val="00F85561"/>
    <w:rsid w:val="00F85A41"/>
    <w:rsid w:val="00F87DA7"/>
    <w:rsid w:val="00F90A9D"/>
    <w:rsid w:val="00F92229"/>
    <w:rsid w:val="00F942DD"/>
    <w:rsid w:val="00F94983"/>
    <w:rsid w:val="00F95111"/>
    <w:rsid w:val="00F97C8E"/>
    <w:rsid w:val="00F97E58"/>
    <w:rsid w:val="00FA0AAD"/>
    <w:rsid w:val="00FA1DC1"/>
    <w:rsid w:val="00FA791B"/>
    <w:rsid w:val="00FB0E70"/>
    <w:rsid w:val="00FB1EB6"/>
    <w:rsid w:val="00FB1F05"/>
    <w:rsid w:val="00FB3989"/>
    <w:rsid w:val="00FB5FF6"/>
    <w:rsid w:val="00FB67DD"/>
    <w:rsid w:val="00FB748E"/>
    <w:rsid w:val="00FC02C4"/>
    <w:rsid w:val="00FC066F"/>
    <w:rsid w:val="00FC33BC"/>
    <w:rsid w:val="00FC5B79"/>
    <w:rsid w:val="00FC7905"/>
    <w:rsid w:val="00FD0273"/>
    <w:rsid w:val="00FE5E89"/>
    <w:rsid w:val="00FE7260"/>
    <w:rsid w:val="00FF0866"/>
    <w:rsid w:val="00FF0CA9"/>
    <w:rsid w:val="00FF724C"/>
    <w:rsid w:val="00FF7BD2"/>
    <w:rsid w:val="026249F5"/>
    <w:rsid w:val="02D36DFE"/>
    <w:rsid w:val="07F10452"/>
    <w:rsid w:val="0E6C675A"/>
    <w:rsid w:val="0EC046DA"/>
    <w:rsid w:val="13976A0F"/>
    <w:rsid w:val="14A26A5C"/>
    <w:rsid w:val="196A7E94"/>
    <w:rsid w:val="1CE3143A"/>
    <w:rsid w:val="1D412605"/>
    <w:rsid w:val="22A546C5"/>
    <w:rsid w:val="2C6170A5"/>
    <w:rsid w:val="37082AFC"/>
    <w:rsid w:val="38431D54"/>
    <w:rsid w:val="3EB47508"/>
    <w:rsid w:val="42413489"/>
    <w:rsid w:val="428A4AAB"/>
    <w:rsid w:val="42B405B5"/>
    <w:rsid w:val="487918D8"/>
    <w:rsid w:val="4AE220AD"/>
    <w:rsid w:val="4CC16467"/>
    <w:rsid w:val="52C554E4"/>
    <w:rsid w:val="568F7664"/>
    <w:rsid w:val="59B70106"/>
    <w:rsid w:val="5A160C1F"/>
    <w:rsid w:val="5C6A1F94"/>
    <w:rsid w:val="61775040"/>
    <w:rsid w:val="628905E4"/>
    <w:rsid w:val="63D77E29"/>
    <w:rsid w:val="66155BD9"/>
    <w:rsid w:val="66456B14"/>
    <w:rsid w:val="66B15BE4"/>
    <w:rsid w:val="66F05FF5"/>
    <w:rsid w:val="6B421306"/>
    <w:rsid w:val="72E87C49"/>
    <w:rsid w:val="7AFB1A70"/>
    <w:rsid w:val="7DFBB8BB"/>
    <w:rsid w:val="7FF934C2"/>
    <w:rsid w:val="AEBA602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0"/>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2">
    <w:name w:val="heading 2"/>
    <w:basedOn w:val="1"/>
    <w:next w:val="1"/>
    <w:link w:val="53"/>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4">
    <w:name w:val="heading 3"/>
    <w:basedOn w:val="1"/>
    <w:next w:val="5"/>
    <w:link w:val="54"/>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6">
    <w:name w:val="heading 4"/>
    <w:basedOn w:val="1"/>
    <w:next w:val="5"/>
    <w:link w:val="55"/>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7">
    <w:name w:val="heading 5"/>
    <w:basedOn w:val="1"/>
    <w:next w:val="5"/>
    <w:link w:val="56"/>
    <w:qFormat/>
    <w:uiPriority w:val="0"/>
    <w:pPr>
      <w:keepNext/>
      <w:widowControl/>
      <w:numPr>
        <w:ilvl w:val="0"/>
        <w:numId w:val="4"/>
      </w:numPr>
      <w:jc w:val="left"/>
      <w:outlineLvl w:val="4"/>
    </w:pPr>
    <w:rPr>
      <w:kern w:val="0"/>
      <w:sz w:val="24"/>
      <w:szCs w:val="20"/>
    </w:rPr>
  </w:style>
  <w:style w:type="paragraph" w:styleId="8">
    <w:name w:val="heading 6"/>
    <w:basedOn w:val="1"/>
    <w:next w:val="1"/>
    <w:link w:val="57"/>
    <w:qFormat/>
    <w:uiPriority w:val="0"/>
    <w:pPr>
      <w:widowControl/>
      <w:spacing w:before="60" w:after="60" w:line="440" w:lineRule="atLeast"/>
      <w:textAlignment w:val="baseline"/>
      <w:outlineLvl w:val="5"/>
    </w:pPr>
    <w:rPr>
      <w:rFonts w:ascii="宋体" w:hAnsi="Arial"/>
      <w:kern w:val="0"/>
      <w:sz w:val="24"/>
      <w:szCs w:val="20"/>
    </w:rPr>
  </w:style>
  <w:style w:type="paragraph" w:styleId="9">
    <w:name w:val="heading 7"/>
    <w:basedOn w:val="1"/>
    <w:next w:val="1"/>
    <w:link w:val="58"/>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0">
    <w:name w:val="heading 8"/>
    <w:basedOn w:val="1"/>
    <w:next w:val="1"/>
    <w:link w:val="59"/>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1">
    <w:name w:val="heading 9"/>
    <w:basedOn w:val="1"/>
    <w:next w:val="1"/>
    <w:link w:val="60"/>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51"/>
    <w:qFormat/>
    <w:uiPriority w:val="0"/>
    <w:pPr>
      <w:ind w:firstLine="420" w:firstLineChars="200"/>
    </w:pPr>
  </w:style>
  <w:style w:type="paragraph" w:styleId="12">
    <w:name w:val="List Number 2"/>
    <w:basedOn w:val="1"/>
    <w:qFormat/>
    <w:uiPriority w:val="0"/>
    <w:pPr>
      <w:widowControl/>
      <w:tabs>
        <w:tab w:val="left" w:pos="1697"/>
      </w:tabs>
      <w:spacing w:afterLines="50"/>
      <w:ind w:left="1697" w:hanging="420"/>
      <w:jc w:val="left"/>
    </w:pPr>
    <w:rPr>
      <w:kern w:val="0"/>
      <w:sz w:val="24"/>
      <w:szCs w:val="20"/>
    </w:rPr>
  </w:style>
  <w:style w:type="paragraph" w:styleId="13">
    <w:name w:val="List Number"/>
    <w:basedOn w:val="1"/>
    <w:qFormat/>
    <w:uiPriority w:val="0"/>
    <w:pPr>
      <w:widowControl/>
      <w:tabs>
        <w:tab w:val="left" w:pos="454"/>
      </w:tabs>
      <w:spacing w:afterLines="50"/>
      <w:ind w:left="454" w:hanging="284"/>
      <w:jc w:val="left"/>
    </w:pPr>
    <w:rPr>
      <w:kern w:val="0"/>
      <w:sz w:val="24"/>
      <w:szCs w:val="20"/>
    </w:rPr>
  </w:style>
  <w:style w:type="paragraph" w:styleId="14">
    <w:name w:val="caption"/>
    <w:basedOn w:val="1"/>
    <w:next w:val="1"/>
    <w:link w:val="278"/>
    <w:qFormat/>
    <w:uiPriority w:val="0"/>
    <w:pPr>
      <w:spacing w:line="360" w:lineRule="auto"/>
      <w:jc w:val="center"/>
    </w:pPr>
    <w:rPr>
      <w:rFonts w:ascii="Calibri" w:hAnsi="Calibri"/>
      <w:sz w:val="20"/>
      <w:szCs w:val="20"/>
    </w:rPr>
  </w:style>
  <w:style w:type="paragraph" w:styleId="15">
    <w:name w:val="Document Map"/>
    <w:basedOn w:val="1"/>
    <w:link w:val="117"/>
    <w:semiHidden/>
    <w:qFormat/>
    <w:uiPriority w:val="0"/>
    <w:pPr>
      <w:shd w:val="clear" w:color="auto" w:fill="000080"/>
    </w:pPr>
  </w:style>
  <w:style w:type="paragraph" w:styleId="16">
    <w:name w:val="annotation text"/>
    <w:basedOn w:val="1"/>
    <w:link w:val="69"/>
    <w:qFormat/>
    <w:uiPriority w:val="0"/>
    <w:pPr>
      <w:jc w:val="left"/>
    </w:pPr>
  </w:style>
  <w:style w:type="paragraph" w:styleId="17">
    <w:name w:val="Body Text"/>
    <w:basedOn w:val="1"/>
    <w:link w:val="82"/>
    <w:qFormat/>
    <w:uiPriority w:val="0"/>
    <w:pPr>
      <w:spacing w:line="360" w:lineRule="auto"/>
    </w:pPr>
    <w:rPr>
      <w:rFonts w:eastAsia="仿宋_GB2312"/>
      <w:sz w:val="28"/>
    </w:rPr>
  </w:style>
  <w:style w:type="paragraph" w:styleId="18">
    <w:name w:val="Body Text Indent"/>
    <w:basedOn w:val="1"/>
    <w:link w:val="63"/>
    <w:qFormat/>
    <w:uiPriority w:val="0"/>
    <w:pPr>
      <w:spacing w:after="120"/>
      <w:ind w:left="420" w:leftChars="200"/>
    </w:pPr>
  </w:style>
  <w:style w:type="paragraph" w:styleId="19">
    <w:name w:val="List Number 3"/>
    <w:basedOn w:val="1"/>
    <w:qFormat/>
    <w:uiPriority w:val="0"/>
    <w:pPr>
      <w:widowControl/>
      <w:tabs>
        <w:tab w:val="left" w:pos="482"/>
      </w:tabs>
      <w:spacing w:afterLines="50"/>
      <w:ind w:left="482" w:hanging="340"/>
      <w:jc w:val="left"/>
    </w:pPr>
    <w:rPr>
      <w:kern w:val="0"/>
      <w:sz w:val="24"/>
      <w:szCs w:val="20"/>
    </w:rPr>
  </w:style>
  <w:style w:type="paragraph" w:styleId="20">
    <w:name w:val="Block Text"/>
    <w:basedOn w:val="1"/>
    <w:qFormat/>
    <w:uiPriority w:val="0"/>
    <w:pPr>
      <w:spacing w:before="120" w:line="360" w:lineRule="auto"/>
      <w:ind w:left="824" w:right="202"/>
    </w:pPr>
    <w:rPr>
      <w:rFonts w:ascii="宋体" w:hAnsi="宋体"/>
      <w:sz w:val="24"/>
      <w:szCs w:val="21"/>
    </w:rPr>
  </w:style>
  <w:style w:type="paragraph" w:styleId="21">
    <w:name w:val="toc 3"/>
    <w:basedOn w:val="1"/>
    <w:next w:val="1"/>
    <w:unhideWhenUsed/>
    <w:qFormat/>
    <w:uiPriority w:val="0"/>
    <w:pPr>
      <w:ind w:left="840" w:leftChars="400"/>
    </w:pPr>
    <w:rPr>
      <w:rFonts w:ascii="Calibri" w:hAnsi="Calibri"/>
      <w:szCs w:val="22"/>
    </w:rPr>
  </w:style>
  <w:style w:type="paragraph" w:styleId="22">
    <w:name w:val="Plain Text"/>
    <w:basedOn w:val="1"/>
    <w:link w:val="61"/>
    <w:qFormat/>
    <w:uiPriority w:val="0"/>
    <w:rPr>
      <w:rFonts w:ascii="宋体" w:hAnsi="Courier New"/>
      <w:szCs w:val="20"/>
    </w:rPr>
  </w:style>
  <w:style w:type="paragraph" w:styleId="23">
    <w:name w:val="Date"/>
    <w:basedOn w:val="1"/>
    <w:next w:val="1"/>
    <w:link w:val="64"/>
    <w:qFormat/>
    <w:uiPriority w:val="0"/>
    <w:rPr>
      <w:rFonts w:ascii="楷体_GB2312" w:eastAsia="楷体_GB2312"/>
      <w:b/>
      <w:sz w:val="28"/>
      <w:szCs w:val="20"/>
    </w:rPr>
  </w:style>
  <w:style w:type="paragraph" w:styleId="24">
    <w:name w:val="Body Text Indent 2"/>
    <w:basedOn w:val="1"/>
    <w:link w:val="78"/>
    <w:qFormat/>
    <w:uiPriority w:val="0"/>
    <w:pPr>
      <w:spacing w:after="120" w:line="480" w:lineRule="auto"/>
      <w:ind w:left="420" w:leftChars="200"/>
    </w:pPr>
  </w:style>
  <w:style w:type="paragraph" w:styleId="25">
    <w:name w:val="Balloon Text"/>
    <w:basedOn w:val="1"/>
    <w:link w:val="196"/>
    <w:semiHidden/>
    <w:qFormat/>
    <w:uiPriority w:val="0"/>
    <w:rPr>
      <w:sz w:val="18"/>
      <w:szCs w:val="18"/>
    </w:rPr>
  </w:style>
  <w:style w:type="paragraph" w:styleId="26">
    <w:name w:val="footer"/>
    <w:basedOn w:val="1"/>
    <w:link w:val="66"/>
    <w:qFormat/>
    <w:uiPriority w:val="99"/>
    <w:pPr>
      <w:tabs>
        <w:tab w:val="center" w:pos="4153"/>
        <w:tab w:val="right" w:pos="8306"/>
      </w:tabs>
      <w:snapToGrid w:val="0"/>
      <w:jc w:val="left"/>
    </w:pPr>
    <w:rPr>
      <w:sz w:val="18"/>
      <w:szCs w:val="18"/>
    </w:rPr>
  </w:style>
  <w:style w:type="paragraph" w:styleId="27">
    <w:name w:val="header"/>
    <w:basedOn w:val="1"/>
    <w:link w:val="65"/>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semiHidden/>
    <w:qFormat/>
    <w:uiPriority w:val="0"/>
  </w:style>
  <w:style w:type="paragraph" w:styleId="29">
    <w:name w:val="toc 4"/>
    <w:basedOn w:val="1"/>
    <w:next w:val="1"/>
    <w:semiHidden/>
    <w:qFormat/>
    <w:uiPriority w:val="0"/>
    <w:pPr>
      <w:tabs>
        <w:tab w:val="right" w:leader="dot" w:pos="8314"/>
      </w:tabs>
      <w:ind w:firstLine="588" w:firstLineChars="245"/>
    </w:pPr>
  </w:style>
  <w:style w:type="paragraph" w:styleId="30">
    <w:name w:val="Body Text Indent 3"/>
    <w:basedOn w:val="1"/>
    <w:link w:val="197"/>
    <w:qFormat/>
    <w:uiPriority w:val="0"/>
    <w:pPr>
      <w:spacing w:after="120"/>
      <w:ind w:left="420" w:leftChars="200"/>
    </w:pPr>
    <w:rPr>
      <w:sz w:val="16"/>
      <w:szCs w:val="16"/>
    </w:rPr>
  </w:style>
  <w:style w:type="paragraph" w:styleId="31">
    <w:name w:val="toc 2"/>
    <w:basedOn w:val="1"/>
    <w:next w:val="1"/>
    <w:semiHidden/>
    <w:qFormat/>
    <w:uiPriority w:val="0"/>
    <w:pPr>
      <w:ind w:left="420" w:leftChars="200"/>
    </w:pPr>
  </w:style>
  <w:style w:type="paragraph" w:styleId="32">
    <w:name w:val="Body Text 2"/>
    <w:basedOn w:val="1"/>
    <w:link w:val="70"/>
    <w:qFormat/>
    <w:uiPriority w:val="0"/>
    <w:pPr>
      <w:widowControl/>
      <w:spacing w:afterLines="50" w:line="216" w:lineRule="auto"/>
      <w:jc w:val="center"/>
    </w:pPr>
    <w:rPr>
      <w:rFonts w:ascii="隶书" w:eastAsia="隶书"/>
      <w:bCs/>
      <w:kern w:val="0"/>
      <w:sz w:val="72"/>
      <w:szCs w:val="84"/>
    </w:rPr>
  </w:style>
  <w:style w:type="paragraph" w:styleId="33">
    <w:name w:val="List Continue 2"/>
    <w:basedOn w:val="1"/>
    <w:qFormat/>
    <w:uiPriority w:val="0"/>
    <w:pPr>
      <w:spacing w:after="120"/>
      <w:ind w:left="840" w:leftChars="400"/>
    </w:pPr>
  </w:style>
  <w:style w:type="paragraph" w:styleId="34">
    <w:name w:val="HTML Preformatted"/>
    <w:basedOn w:val="1"/>
    <w:link w:val="1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5">
    <w:name w:val="Normal (Web)"/>
    <w:basedOn w:val="1"/>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6">
    <w:name w:val="index 1"/>
    <w:basedOn w:val="1"/>
    <w:next w:val="1"/>
    <w:semiHidden/>
    <w:qFormat/>
    <w:uiPriority w:val="0"/>
    <w:pPr>
      <w:spacing w:line="320" w:lineRule="exact"/>
    </w:pPr>
    <w:rPr>
      <w:b/>
      <w:snapToGrid w:val="0"/>
      <w:color w:val="FF6600"/>
      <w:kern w:val="0"/>
      <w:sz w:val="18"/>
      <w:szCs w:val="21"/>
    </w:rPr>
  </w:style>
  <w:style w:type="paragraph" w:styleId="37">
    <w:name w:val="Title"/>
    <w:basedOn w:val="1"/>
    <w:next w:val="1"/>
    <w:link w:val="172"/>
    <w:qFormat/>
    <w:uiPriority w:val="0"/>
    <w:pPr>
      <w:adjustRightInd w:val="0"/>
      <w:spacing w:before="240" w:after="60"/>
      <w:jc w:val="center"/>
      <w:outlineLvl w:val="0"/>
    </w:pPr>
    <w:rPr>
      <w:rFonts w:ascii="Calibri Light" w:hAnsi="Calibri Light"/>
      <w:b/>
      <w:bCs/>
      <w:sz w:val="32"/>
      <w:szCs w:val="32"/>
    </w:rPr>
  </w:style>
  <w:style w:type="paragraph" w:styleId="38">
    <w:name w:val="annotation subject"/>
    <w:basedOn w:val="16"/>
    <w:next w:val="16"/>
    <w:link w:val="199"/>
    <w:semiHidden/>
    <w:qFormat/>
    <w:uiPriority w:val="0"/>
    <w:pPr>
      <w:widowControl/>
      <w:spacing w:afterLines="50"/>
    </w:pPr>
    <w:rPr>
      <w:b/>
      <w:bCs/>
      <w:kern w:val="0"/>
      <w:sz w:val="24"/>
      <w:szCs w:val="20"/>
    </w:rPr>
  </w:style>
  <w:style w:type="paragraph" w:styleId="39">
    <w:name w:val="Body Text First Indent"/>
    <w:basedOn w:val="17"/>
    <w:link w:val="200"/>
    <w:qFormat/>
    <w:uiPriority w:val="0"/>
    <w:pPr>
      <w:spacing w:after="120" w:line="240" w:lineRule="auto"/>
      <w:ind w:firstLine="420" w:firstLineChars="100"/>
    </w:pPr>
    <w:rPr>
      <w:rFonts w:eastAsia="宋体"/>
      <w:sz w:val="21"/>
    </w:rPr>
  </w:style>
  <w:style w:type="paragraph" w:styleId="40">
    <w:name w:val="Body Text First Indent 2"/>
    <w:basedOn w:val="18"/>
    <w:link w:val="201"/>
    <w:qFormat/>
    <w:uiPriority w:val="0"/>
    <w:pPr>
      <w:ind w:firstLine="420" w:firstLineChars="200"/>
    </w:p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qFormat/>
    <w:uiPriority w:val="0"/>
    <w:rPr>
      <w:b/>
      <w:bCs/>
    </w:rPr>
  </w:style>
  <w:style w:type="character" w:styleId="45">
    <w:name w:val="page number"/>
    <w:basedOn w:val="43"/>
    <w:qFormat/>
    <w:uiPriority w:val="0"/>
  </w:style>
  <w:style w:type="character" w:styleId="46">
    <w:name w:val="FollowedHyperlink"/>
    <w:basedOn w:val="43"/>
    <w:qFormat/>
    <w:uiPriority w:val="99"/>
    <w:rPr>
      <w:color w:val="800080"/>
      <w:u w:val="none"/>
    </w:rPr>
  </w:style>
  <w:style w:type="character" w:styleId="47">
    <w:name w:val="Emphasis"/>
    <w:qFormat/>
    <w:uiPriority w:val="0"/>
    <w:rPr>
      <w:color w:val="CC0000"/>
    </w:rPr>
  </w:style>
  <w:style w:type="character" w:styleId="48">
    <w:name w:val="Hyperlink"/>
    <w:basedOn w:val="43"/>
    <w:qFormat/>
    <w:uiPriority w:val="99"/>
    <w:rPr>
      <w:color w:val="0000FF"/>
      <w:u w:val="none"/>
    </w:rPr>
  </w:style>
  <w:style w:type="character" w:styleId="49">
    <w:name w:val="annotation reference"/>
    <w:qFormat/>
    <w:uiPriority w:val="0"/>
    <w:rPr>
      <w:sz w:val="21"/>
      <w:szCs w:val="21"/>
    </w:rPr>
  </w:style>
  <w:style w:type="character" w:customStyle="1" w:styleId="50">
    <w:name w:val="标题 1 Char"/>
    <w:link w:val="3"/>
    <w:qFormat/>
    <w:uiPriority w:val="0"/>
    <w:rPr>
      <w:rFonts w:eastAsia="仿宋_GB2312"/>
      <w:b/>
      <w:kern w:val="44"/>
      <w:sz w:val="44"/>
      <w:lang w:val="en-US" w:eastAsia="zh-CN" w:bidi="ar-SA"/>
    </w:rPr>
  </w:style>
  <w:style w:type="character" w:customStyle="1" w:styleId="51">
    <w:name w:val="正文缩进 Char"/>
    <w:link w:val="5"/>
    <w:qFormat/>
    <w:uiPriority w:val="0"/>
    <w:rPr>
      <w:rFonts w:eastAsia="宋体"/>
      <w:kern w:val="2"/>
      <w:sz w:val="21"/>
      <w:szCs w:val="24"/>
      <w:lang w:val="en-US" w:eastAsia="zh-CN" w:bidi="ar-SA"/>
    </w:rPr>
  </w:style>
  <w:style w:type="paragraph" w:customStyle="1" w:styleId="52">
    <w:name w:val="_Style 15"/>
    <w:basedOn w:val="1"/>
    <w:qFormat/>
    <w:uiPriority w:val="0"/>
    <w:rPr>
      <w:rFonts w:ascii="Tahoma" w:hAnsi="Tahoma"/>
      <w:sz w:val="24"/>
      <w:szCs w:val="20"/>
    </w:rPr>
  </w:style>
  <w:style w:type="character" w:customStyle="1" w:styleId="53">
    <w:name w:val="标题 2 Char"/>
    <w:link w:val="2"/>
    <w:qFormat/>
    <w:uiPriority w:val="0"/>
    <w:rPr>
      <w:rFonts w:ascii="Arial" w:hAnsi="Arial" w:eastAsia="黑体"/>
      <w:b/>
      <w:kern w:val="2"/>
      <w:sz w:val="32"/>
      <w:lang w:val="en-US" w:eastAsia="zh-CN" w:bidi="ar-SA"/>
    </w:rPr>
  </w:style>
  <w:style w:type="character" w:customStyle="1" w:styleId="54">
    <w:name w:val="标题 3 Char"/>
    <w:link w:val="4"/>
    <w:qFormat/>
    <w:uiPriority w:val="0"/>
    <w:rPr>
      <w:rFonts w:eastAsia="仿宋_GB2312"/>
      <w:b/>
      <w:kern w:val="2"/>
      <w:sz w:val="32"/>
      <w:lang w:val="en-US" w:eastAsia="zh-CN" w:bidi="ar-SA"/>
    </w:rPr>
  </w:style>
  <w:style w:type="character" w:customStyle="1" w:styleId="55">
    <w:name w:val="标题 4 Char1"/>
    <w:link w:val="6"/>
    <w:qFormat/>
    <w:uiPriority w:val="0"/>
    <w:rPr>
      <w:rFonts w:ascii="Arial" w:hAnsi="Arial" w:eastAsia="黑体"/>
      <w:b/>
      <w:kern w:val="2"/>
      <w:sz w:val="28"/>
      <w:lang w:val="en-US" w:eastAsia="zh-CN" w:bidi="ar-SA"/>
    </w:rPr>
  </w:style>
  <w:style w:type="character" w:customStyle="1" w:styleId="56">
    <w:name w:val="标题 5 Char1"/>
    <w:link w:val="7"/>
    <w:qFormat/>
    <w:uiPriority w:val="0"/>
    <w:rPr>
      <w:rFonts w:eastAsia="宋体"/>
      <w:sz w:val="24"/>
      <w:lang w:val="en-US" w:eastAsia="zh-CN" w:bidi="ar-SA"/>
    </w:rPr>
  </w:style>
  <w:style w:type="character" w:customStyle="1" w:styleId="57">
    <w:name w:val="标题 6 Char1"/>
    <w:link w:val="8"/>
    <w:qFormat/>
    <w:uiPriority w:val="0"/>
    <w:rPr>
      <w:rFonts w:ascii="宋体" w:hAnsi="Arial" w:eastAsia="宋体"/>
      <w:sz w:val="24"/>
      <w:lang w:val="en-US" w:eastAsia="zh-CN" w:bidi="ar-SA"/>
    </w:rPr>
  </w:style>
  <w:style w:type="character" w:customStyle="1" w:styleId="58">
    <w:name w:val="标题 7 Char1"/>
    <w:link w:val="9"/>
    <w:qFormat/>
    <w:uiPriority w:val="0"/>
    <w:rPr>
      <w:rFonts w:ascii="宋体" w:hAnsi="Arial" w:eastAsia="宋体"/>
      <w:b/>
      <w:sz w:val="24"/>
      <w:lang w:val="en-US" w:eastAsia="zh-CN" w:bidi="ar-SA"/>
    </w:rPr>
  </w:style>
  <w:style w:type="character" w:customStyle="1" w:styleId="59">
    <w:name w:val="标题 8 Char1"/>
    <w:link w:val="10"/>
    <w:qFormat/>
    <w:uiPriority w:val="0"/>
    <w:rPr>
      <w:rFonts w:ascii="Arial" w:hAnsi="Arial" w:eastAsia="黑体"/>
      <w:sz w:val="24"/>
      <w:lang w:val="en-US" w:eastAsia="zh-CN" w:bidi="ar-SA"/>
    </w:rPr>
  </w:style>
  <w:style w:type="character" w:customStyle="1" w:styleId="60">
    <w:name w:val="标题 9 Char1"/>
    <w:link w:val="11"/>
    <w:qFormat/>
    <w:uiPriority w:val="0"/>
    <w:rPr>
      <w:rFonts w:ascii="Arial" w:hAnsi="Arial" w:eastAsia="黑体"/>
      <w:sz w:val="24"/>
      <w:lang w:val="en-US" w:eastAsia="zh-CN" w:bidi="ar-SA"/>
    </w:rPr>
  </w:style>
  <w:style w:type="character" w:customStyle="1" w:styleId="61">
    <w:name w:val="纯文本 Char"/>
    <w:link w:val="22"/>
    <w:qFormat/>
    <w:uiPriority w:val="0"/>
    <w:rPr>
      <w:rFonts w:ascii="宋体" w:hAnsi="Courier New" w:eastAsia="宋体"/>
      <w:kern w:val="2"/>
      <w:sz w:val="21"/>
      <w:lang w:val="en-US" w:eastAsia="zh-CN" w:bidi="ar-SA"/>
    </w:rPr>
  </w:style>
  <w:style w:type="paragraph" w:customStyle="1" w:styleId="62">
    <w:name w:val="表正文"/>
    <w:basedOn w:val="1"/>
    <w:next w:val="22"/>
    <w:qFormat/>
    <w:uiPriority w:val="0"/>
    <w:rPr>
      <w:rFonts w:ascii="宋体" w:hAnsi="Courier New"/>
      <w:szCs w:val="20"/>
    </w:rPr>
  </w:style>
  <w:style w:type="character" w:customStyle="1" w:styleId="63">
    <w:name w:val="正文文本缩进 Char"/>
    <w:link w:val="18"/>
    <w:qFormat/>
    <w:uiPriority w:val="0"/>
    <w:rPr>
      <w:rFonts w:eastAsia="宋体"/>
      <w:kern w:val="2"/>
      <w:sz w:val="21"/>
      <w:szCs w:val="24"/>
      <w:lang w:val="en-US" w:eastAsia="zh-CN" w:bidi="ar-SA"/>
    </w:rPr>
  </w:style>
  <w:style w:type="character" w:customStyle="1" w:styleId="64">
    <w:name w:val="日期 Char2"/>
    <w:link w:val="23"/>
    <w:qFormat/>
    <w:uiPriority w:val="0"/>
    <w:rPr>
      <w:rFonts w:ascii="楷体_GB2312" w:eastAsia="楷体_GB2312"/>
      <w:b/>
      <w:kern w:val="2"/>
      <w:sz w:val="28"/>
      <w:lang w:val="en-US" w:eastAsia="zh-CN" w:bidi="ar-SA"/>
    </w:rPr>
  </w:style>
  <w:style w:type="character" w:customStyle="1" w:styleId="65">
    <w:name w:val="页眉 Char1"/>
    <w:link w:val="27"/>
    <w:qFormat/>
    <w:uiPriority w:val="0"/>
    <w:rPr>
      <w:rFonts w:eastAsia="宋体"/>
      <w:kern w:val="2"/>
      <w:sz w:val="18"/>
      <w:szCs w:val="18"/>
      <w:lang w:val="en-US" w:eastAsia="zh-CN" w:bidi="ar-SA"/>
    </w:rPr>
  </w:style>
  <w:style w:type="character" w:customStyle="1" w:styleId="66">
    <w:name w:val="页脚 Char"/>
    <w:link w:val="26"/>
    <w:qFormat/>
    <w:locked/>
    <w:uiPriority w:val="0"/>
    <w:rPr>
      <w:rFonts w:eastAsia="宋体"/>
      <w:kern w:val="2"/>
      <w:sz w:val="18"/>
      <w:szCs w:val="18"/>
      <w:lang w:val="en-US" w:eastAsia="zh-CN" w:bidi="ar-SA"/>
    </w:rPr>
  </w:style>
  <w:style w:type="paragraph" w:customStyle="1" w:styleId="67">
    <w:name w:val="正文段"/>
    <w:basedOn w:val="1"/>
    <w:link w:val="68"/>
    <w:qFormat/>
    <w:uiPriority w:val="0"/>
    <w:pPr>
      <w:widowControl/>
      <w:snapToGrid w:val="0"/>
      <w:spacing w:afterLines="50"/>
      <w:ind w:firstLine="200" w:firstLineChars="200"/>
    </w:pPr>
    <w:rPr>
      <w:kern w:val="0"/>
      <w:sz w:val="24"/>
      <w:szCs w:val="20"/>
    </w:rPr>
  </w:style>
  <w:style w:type="character" w:customStyle="1" w:styleId="68">
    <w:name w:val="正文段 Char"/>
    <w:link w:val="67"/>
    <w:qFormat/>
    <w:uiPriority w:val="0"/>
    <w:rPr>
      <w:rFonts w:eastAsia="宋体"/>
      <w:sz w:val="24"/>
      <w:lang w:val="en-US" w:eastAsia="zh-CN" w:bidi="ar-SA"/>
    </w:rPr>
  </w:style>
  <w:style w:type="character" w:customStyle="1" w:styleId="69">
    <w:name w:val="批注文字 Char1"/>
    <w:link w:val="16"/>
    <w:qFormat/>
    <w:uiPriority w:val="0"/>
    <w:rPr>
      <w:rFonts w:eastAsia="宋体"/>
      <w:kern w:val="2"/>
      <w:sz w:val="21"/>
      <w:szCs w:val="24"/>
      <w:lang w:val="en-US" w:eastAsia="zh-CN" w:bidi="ar-SA"/>
    </w:rPr>
  </w:style>
  <w:style w:type="character" w:customStyle="1" w:styleId="70">
    <w:name w:val="正文文本 2 Char1"/>
    <w:link w:val="32"/>
    <w:qFormat/>
    <w:uiPriority w:val="0"/>
    <w:rPr>
      <w:rFonts w:ascii="隶书" w:eastAsia="隶书"/>
      <w:bCs/>
      <w:sz w:val="72"/>
      <w:szCs w:val="84"/>
      <w:lang w:val="en-US" w:eastAsia="zh-CN" w:bidi="ar-SA"/>
    </w:rPr>
  </w:style>
  <w:style w:type="paragraph" w:customStyle="1" w:styleId="71">
    <w:name w:val="Char"/>
    <w:basedOn w:val="1"/>
    <w:qFormat/>
    <w:uiPriority w:val="0"/>
    <w:rPr>
      <w:rFonts w:ascii="仿宋_GB2312" w:eastAsia="仿宋_GB2312"/>
      <w:b/>
      <w:sz w:val="32"/>
      <w:szCs w:val="32"/>
    </w:rPr>
  </w:style>
  <w:style w:type="paragraph" w:customStyle="1" w:styleId="72">
    <w:name w:val="Table Text"/>
    <w:link w:val="73"/>
    <w:qFormat/>
    <w:uiPriority w:val="0"/>
    <w:pPr>
      <w:snapToGrid w:val="0"/>
      <w:spacing w:before="80" w:after="80"/>
    </w:pPr>
    <w:rPr>
      <w:rFonts w:ascii="Arial" w:hAnsi="Arial" w:eastAsia="宋体" w:cs="Times New Roman"/>
      <w:sz w:val="18"/>
      <w:lang w:val="en-US" w:eastAsia="zh-CN" w:bidi="ar-SA"/>
    </w:rPr>
  </w:style>
  <w:style w:type="character" w:customStyle="1" w:styleId="73">
    <w:name w:val="Table Text Char1"/>
    <w:link w:val="72"/>
    <w:qFormat/>
    <w:uiPriority w:val="0"/>
    <w:rPr>
      <w:rFonts w:ascii="Arial" w:hAnsi="Arial"/>
      <w:sz w:val="18"/>
      <w:lang w:val="en-US" w:eastAsia="zh-CN" w:bidi="ar-SA"/>
    </w:rPr>
  </w:style>
  <w:style w:type="character" w:customStyle="1" w:styleId="74">
    <w:name w:val="正文（缩进2汉字） Char"/>
    <w:link w:val="75"/>
    <w:qFormat/>
    <w:uiPriority w:val="0"/>
    <w:rPr>
      <w:rFonts w:ascii="宋体"/>
      <w:kern w:val="2"/>
      <w:sz w:val="21"/>
      <w:lang w:bidi="ar-SA"/>
    </w:rPr>
  </w:style>
  <w:style w:type="paragraph" w:customStyle="1" w:styleId="75">
    <w:name w:val="正文（缩进2汉字）"/>
    <w:basedOn w:val="1"/>
    <w:link w:val="74"/>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76">
    <w:name w:val="Char111"/>
    <w:basedOn w:val="1"/>
    <w:qFormat/>
    <w:uiPriority w:val="0"/>
    <w:pPr>
      <w:tabs>
        <w:tab w:val="left" w:pos="432"/>
      </w:tabs>
      <w:spacing w:beforeLines="50" w:afterLines="50"/>
      <w:ind w:left="432" w:hanging="432"/>
      <w:jc w:val="center"/>
    </w:pPr>
    <w:rPr>
      <w:sz w:val="24"/>
    </w:rPr>
  </w:style>
  <w:style w:type="paragraph" w:customStyle="1" w:styleId="77">
    <w:name w:val="模板普通正文"/>
    <w:basedOn w:val="18"/>
    <w:qFormat/>
    <w:uiPriority w:val="0"/>
    <w:pPr>
      <w:spacing w:beforeLines="50" w:after="10" w:line="360" w:lineRule="auto"/>
      <w:ind w:left="0" w:leftChars="0" w:firstLine="175" w:firstLineChars="175"/>
      <w:jc w:val="left"/>
    </w:pPr>
    <w:rPr>
      <w:sz w:val="24"/>
    </w:rPr>
  </w:style>
  <w:style w:type="character" w:customStyle="1" w:styleId="78">
    <w:name w:val="正文文本缩进 2 Char1"/>
    <w:link w:val="24"/>
    <w:qFormat/>
    <w:locked/>
    <w:uiPriority w:val="0"/>
    <w:rPr>
      <w:rFonts w:eastAsia="宋体"/>
      <w:kern w:val="2"/>
      <w:sz w:val="21"/>
      <w:szCs w:val="24"/>
      <w:lang w:val="en-US" w:eastAsia="zh-CN" w:bidi="ar-SA"/>
    </w:rPr>
  </w:style>
  <w:style w:type="paragraph" w:customStyle="1" w:styleId="79">
    <w:name w:val="缺省文本"/>
    <w:basedOn w:val="1"/>
    <w:qFormat/>
    <w:uiPriority w:val="0"/>
    <w:pPr>
      <w:autoSpaceDE w:val="0"/>
      <w:autoSpaceDN w:val="0"/>
      <w:adjustRightInd w:val="0"/>
      <w:jc w:val="left"/>
    </w:pPr>
    <w:rPr>
      <w:kern w:val="0"/>
      <w:sz w:val="24"/>
    </w:rPr>
  </w:style>
  <w:style w:type="paragraph" w:customStyle="1" w:styleId="80">
    <w:name w:val="WW-正文文字缩进 2"/>
    <w:basedOn w:val="1"/>
    <w:qFormat/>
    <w:uiPriority w:val="0"/>
    <w:pPr>
      <w:suppressAutoHyphens/>
      <w:ind w:firstLine="420"/>
    </w:pPr>
    <w:rPr>
      <w:kern w:val="1"/>
      <w:szCs w:val="20"/>
    </w:rPr>
  </w:style>
  <w:style w:type="paragraph" w:customStyle="1" w:styleId="81">
    <w:name w:val="默认段落字体 Para Char Char Char Char Char Char Char Char Char1 Char Char Char Char"/>
    <w:basedOn w:val="1"/>
    <w:qFormat/>
    <w:uiPriority w:val="0"/>
    <w:rPr>
      <w:rFonts w:ascii="Tahoma" w:hAnsi="Tahoma"/>
      <w:sz w:val="24"/>
      <w:szCs w:val="20"/>
    </w:rPr>
  </w:style>
  <w:style w:type="character" w:customStyle="1" w:styleId="82">
    <w:name w:val="正文文本 Char1"/>
    <w:link w:val="17"/>
    <w:qFormat/>
    <w:locked/>
    <w:uiPriority w:val="0"/>
    <w:rPr>
      <w:rFonts w:eastAsia="仿宋_GB2312"/>
      <w:kern w:val="2"/>
      <w:sz w:val="28"/>
      <w:szCs w:val="24"/>
      <w:lang w:val="en-US" w:eastAsia="zh-CN" w:bidi="ar-SA"/>
    </w:rPr>
  </w:style>
  <w:style w:type="paragraph" w:customStyle="1" w:styleId="83">
    <w:name w:val="项目排列"/>
    <w:basedOn w:val="1"/>
    <w:link w:val="84"/>
    <w:qFormat/>
    <w:uiPriority w:val="0"/>
    <w:pPr>
      <w:tabs>
        <w:tab w:val="left" w:pos="900"/>
      </w:tabs>
      <w:spacing w:beforeLines="50" w:afterLines="50" w:line="300" w:lineRule="auto"/>
      <w:ind w:left="900" w:hanging="420"/>
    </w:pPr>
    <w:rPr>
      <w:sz w:val="24"/>
    </w:rPr>
  </w:style>
  <w:style w:type="character" w:customStyle="1" w:styleId="84">
    <w:name w:val="项目排列 Char"/>
    <w:link w:val="83"/>
    <w:qFormat/>
    <w:uiPriority w:val="0"/>
    <w:rPr>
      <w:kern w:val="2"/>
      <w:sz w:val="24"/>
      <w:szCs w:val="24"/>
    </w:rPr>
  </w:style>
  <w:style w:type="character" w:customStyle="1" w:styleId="85">
    <w:name w:val="style21"/>
    <w:qFormat/>
    <w:uiPriority w:val="0"/>
    <w:rPr>
      <w:sz w:val="15"/>
      <w:szCs w:val="15"/>
    </w:rPr>
  </w:style>
  <w:style w:type="paragraph" w:customStyle="1" w:styleId="86">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87">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88">
    <w:name w:val="Char1"/>
    <w:basedOn w:val="1"/>
    <w:qFormat/>
    <w:uiPriority w:val="0"/>
    <w:rPr>
      <w:szCs w:val="20"/>
    </w:rPr>
  </w:style>
  <w:style w:type="paragraph" w:customStyle="1" w:styleId="89">
    <w:name w:val="列出段落1"/>
    <w:basedOn w:val="1"/>
    <w:qFormat/>
    <w:uiPriority w:val="0"/>
    <w:pPr>
      <w:ind w:firstLine="420" w:firstLineChars="200"/>
    </w:pPr>
    <w:rPr>
      <w:rFonts w:ascii="Calibri" w:hAnsi="Calibri"/>
      <w:szCs w:val="22"/>
    </w:rPr>
  </w:style>
  <w:style w:type="paragraph" w:customStyle="1" w:styleId="90">
    <w:name w:val="默认段落字体 Para Char Char Char Char"/>
    <w:basedOn w:val="1"/>
    <w:qFormat/>
    <w:uiPriority w:val="0"/>
  </w:style>
  <w:style w:type="paragraph" w:customStyle="1" w:styleId="91">
    <w:name w:val="Char Char Char1 Char Char Char1 Char Char Char Char"/>
    <w:basedOn w:val="1"/>
    <w:qFormat/>
    <w:uiPriority w:val="0"/>
  </w:style>
  <w:style w:type="character" w:customStyle="1" w:styleId="92">
    <w:name w:val="font1"/>
    <w:qFormat/>
    <w:uiPriority w:val="0"/>
    <w:rPr>
      <w:color w:val="999999"/>
      <w:sz w:val="18"/>
      <w:szCs w:val="18"/>
      <w:u w:val="none"/>
    </w:rPr>
  </w:style>
  <w:style w:type="paragraph" w:customStyle="1" w:styleId="9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4">
    <w:name w:val="Char Char Char Char Char Char Char Char Char Char"/>
    <w:basedOn w:val="1"/>
    <w:qFormat/>
    <w:uiPriority w:val="0"/>
    <w:rPr>
      <w:rFonts w:ascii="Tahoma" w:hAnsi="Tahoma"/>
      <w:sz w:val="24"/>
      <w:szCs w:val="20"/>
    </w:rPr>
  </w:style>
  <w:style w:type="character" w:customStyle="1" w:styleId="95">
    <w:name w:val="apple-style-span"/>
    <w:basedOn w:val="43"/>
    <w:qFormat/>
    <w:uiPriority w:val="0"/>
  </w:style>
  <w:style w:type="paragraph" w:customStyle="1" w:styleId="96">
    <w:name w:val="正文无缩进"/>
    <w:basedOn w:val="1"/>
    <w:link w:val="97"/>
    <w:qFormat/>
    <w:uiPriority w:val="0"/>
    <w:pPr>
      <w:spacing w:line="360" w:lineRule="auto"/>
    </w:pPr>
    <w:rPr>
      <w:rFonts w:ascii="宋体"/>
      <w:color w:val="000000"/>
      <w:sz w:val="24"/>
    </w:rPr>
  </w:style>
  <w:style w:type="character" w:customStyle="1" w:styleId="97">
    <w:name w:val="正文无缩进 Char"/>
    <w:link w:val="96"/>
    <w:qFormat/>
    <w:uiPriority w:val="0"/>
    <w:rPr>
      <w:rFonts w:ascii="宋体" w:eastAsia="宋体"/>
      <w:color w:val="000000"/>
      <w:kern w:val="2"/>
      <w:sz w:val="24"/>
      <w:szCs w:val="24"/>
      <w:lang w:val="en-US" w:eastAsia="zh-CN" w:bidi="ar-SA"/>
    </w:rPr>
  </w:style>
  <w:style w:type="paragraph" w:customStyle="1" w:styleId="98">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99">
    <w:name w:val="ca-3"/>
    <w:basedOn w:val="43"/>
    <w:qFormat/>
    <w:uiPriority w:val="0"/>
  </w:style>
  <w:style w:type="paragraph" w:customStyle="1" w:styleId="100">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01">
    <w:name w:val="表格 Char Char"/>
    <w:link w:val="102"/>
    <w:qFormat/>
    <w:locked/>
    <w:uiPriority w:val="0"/>
    <w:rPr>
      <w:rFonts w:ascii="宋体" w:hAnsi="宋体" w:eastAsia="宋体"/>
      <w:lang w:val="en-US" w:eastAsia="zh-CN" w:bidi="ar-SA"/>
    </w:rPr>
  </w:style>
  <w:style w:type="paragraph" w:customStyle="1" w:styleId="102">
    <w:name w:val="表格"/>
    <w:basedOn w:val="1"/>
    <w:link w:val="101"/>
    <w:qFormat/>
    <w:uiPriority w:val="0"/>
    <w:pPr>
      <w:snapToGrid w:val="0"/>
      <w:ind w:firstLine="42" w:firstLineChars="21"/>
    </w:pPr>
    <w:rPr>
      <w:rFonts w:ascii="宋体" w:hAnsi="宋体"/>
      <w:kern w:val="0"/>
      <w:sz w:val="20"/>
      <w:szCs w:val="20"/>
    </w:rPr>
  </w:style>
  <w:style w:type="paragraph" w:customStyle="1" w:styleId="103">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04">
    <w:name w:val="Char Char1 Char Char Char Char Char Char"/>
    <w:basedOn w:val="1"/>
    <w:qFormat/>
    <w:uiPriority w:val="0"/>
    <w:pPr>
      <w:widowControl/>
      <w:spacing w:after="160" w:line="240" w:lineRule="exact"/>
      <w:jc w:val="left"/>
    </w:pPr>
  </w:style>
  <w:style w:type="character" w:customStyle="1" w:styleId="105">
    <w:name w:val="Char Char"/>
    <w:qFormat/>
    <w:uiPriority w:val="0"/>
    <w:rPr>
      <w:rFonts w:hint="eastAsia" w:ascii="宋体" w:hAnsi="Courier New" w:eastAsia="宋体"/>
      <w:kern w:val="2"/>
      <w:sz w:val="21"/>
      <w:lang w:val="en-US" w:eastAsia="zh-CN" w:bidi="ar-SA"/>
    </w:rPr>
  </w:style>
  <w:style w:type="character" w:customStyle="1" w:styleId="106">
    <w:name w:val="style51"/>
    <w:qFormat/>
    <w:uiPriority w:val="0"/>
    <w:rPr>
      <w:sz w:val="21"/>
      <w:szCs w:val="21"/>
    </w:rPr>
  </w:style>
  <w:style w:type="paragraph" w:customStyle="1" w:styleId="107">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08">
    <w:name w:val="标准文本"/>
    <w:basedOn w:val="1"/>
    <w:link w:val="109"/>
    <w:qFormat/>
    <w:uiPriority w:val="0"/>
    <w:pPr>
      <w:spacing w:line="360" w:lineRule="auto"/>
      <w:ind w:firstLine="480" w:firstLineChars="200"/>
    </w:pPr>
    <w:rPr>
      <w:rFonts w:cs="宋体"/>
      <w:sz w:val="24"/>
      <w:szCs w:val="20"/>
    </w:rPr>
  </w:style>
  <w:style w:type="character" w:customStyle="1" w:styleId="109">
    <w:name w:val="标准文本 Char"/>
    <w:link w:val="108"/>
    <w:qFormat/>
    <w:uiPriority w:val="0"/>
    <w:rPr>
      <w:rFonts w:eastAsia="宋体" w:cs="宋体"/>
      <w:kern w:val="2"/>
      <w:sz w:val="24"/>
      <w:lang w:val="en-US" w:eastAsia="zh-CN" w:bidi="ar-SA"/>
    </w:rPr>
  </w:style>
  <w:style w:type="paragraph" w:customStyle="1" w:styleId="110">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1">
    <w:name w:val="自定义正文"/>
    <w:basedOn w:val="1"/>
    <w:link w:val="112"/>
    <w:qFormat/>
    <w:uiPriority w:val="0"/>
    <w:pPr>
      <w:spacing w:line="480" w:lineRule="exact"/>
      <w:ind w:firstLine="200" w:firstLineChars="200"/>
      <w:jc w:val="left"/>
    </w:pPr>
    <w:rPr>
      <w:rFonts w:ascii="仿宋_GB2312" w:eastAsia="仿宋_GB2312"/>
      <w:sz w:val="28"/>
    </w:rPr>
  </w:style>
  <w:style w:type="character" w:customStyle="1" w:styleId="112">
    <w:name w:val="自定义正文 Char"/>
    <w:link w:val="111"/>
    <w:qFormat/>
    <w:uiPriority w:val="0"/>
    <w:rPr>
      <w:rFonts w:ascii="仿宋_GB2312" w:eastAsia="仿宋_GB2312"/>
      <w:kern w:val="2"/>
      <w:sz w:val="28"/>
      <w:szCs w:val="24"/>
      <w:lang w:val="en-US" w:eastAsia="zh-CN" w:bidi="ar-SA"/>
    </w:rPr>
  </w:style>
  <w:style w:type="paragraph" w:customStyle="1" w:styleId="113">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14">
    <w:name w:val="自定义表格文字"/>
    <w:basedOn w:val="1"/>
    <w:qFormat/>
    <w:uiPriority w:val="0"/>
    <w:pPr>
      <w:spacing w:before="60" w:after="60" w:line="320" w:lineRule="exact"/>
      <w:jc w:val="left"/>
    </w:pPr>
    <w:rPr>
      <w:rFonts w:ascii="宋体" w:eastAsia="楷体_GB2312"/>
    </w:rPr>
  </w:style>
  <w:style w:type="paragraph" w:customStyle="1" w:styleId="115">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16">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17">
    <w:name w:val="文档结构图 Char"/>
    <w:link w:val="15"/>
    <w:semiHidden/>
    <w:qFormat/>
    <w:uiPriority w:val="0"/>
    <w:rPr>
      <w:rFonts w:eastAsia="宋体"/>
      <w:kern w:val="2"/>
      <w:sz w:val="21"/>
      <w:szCs w:val="24"/>
      <w:lang w:val="en-US" w:eastAsia="zh-CN" w:bidi="ar-SA"/>
    </w:rPr>
  </w:style>
  <w:style w:type="character" w:customStyle="1" w:styleId="118">
    <w:name w:val="Char Char12"/>
    <w:qFormat/>
    <w:uiPriority w:val="0"/>
    <w:rPr>
      <w:rFonts w:ascii="宋体" w:hAnsi="Courier New" w:eastAsia="宋体"/>
      <w:kern w:val="2"/>
      <w:sz w:val="21"/>
      <w:lang w:val="en-US" w:eastAsia="zh-CN" w:bidi="ar-SA"/>
    </w:rPr>
  </w:style>
  <w:style w:type="character" w:customStyle="1" w:styleId="119">
    <w:name w:val="H4 Char"/>
    <w:qFormat/>
    <w:uiPriority w:val="0"/>
    <w:rPr>
      <w:rFonts w:ascii="宋体" w:hAnsi="宋体" w:eastAsia="黑体"/>
      <w:b/>
      <w:bCs/>
      <w:color w:val="000000"/>
      <w:spacing w:val="-4"/>
      <w:kern w:val="2"/>
      <w:sz w:val="24"/>
      <w:szCs w:val="30"/>
      <w:lang w:val="en-US" w:eastAsia="zh-CN" w:bidi="ar-SA"/>
    </w:rPr>
  </w:style>
  <w:style w:type="character" w:customStyle="1" w:styleId="120">
    <w:name w:val="H5 Char"/>
    <w:qFormat/>
    <w:uiPriority w:val="0"/>
    <w:rPr>
      <w:rFonts w:ascii="Arial" w:hAnsi="Arial" w:eastAsia="宋体"/>
      <w:sz w:val="24"/>
      <w:lang w:val="en-US" w:eastAsia="zh-CN" w:bidi="ar-SA"/>
    </w:rPr>
  </w:style>
  <w:style w:type="character" w:customStyle="1" w:styleId="121">
    <w:name w:val="Char Char8"/>
    <w:qFormat/>
    <w:uiPriority w:val="0"/>
    <w:rPr>
      <w:rFonts w:ascii="宋体" w:eastAsia="宋体"/>
      <w:kern w:val="2"/>
      <w:sz w:val="28"/>
      <w:lang w:val="en-US" w:eastAsia="zh-CN" w:bidi="ar-SA"/>
    </w:rPr>
  </w:style>
  <w:style w:type="character" w:customStyle="1" w:styleId="122">
    <w:name w:val="Char Char7"/>
    <w:qFormat/>
    <w:uiPriority w:val="0"/>
    <w:rPr>
      <w:rFonts w:eastAsia="仿宋_GB2312"/>
      <w:kern w:val="2"/>
      <w:sz w:val="24"/>
      <w:szCs w:val="24"/>
      <w:lang w:val="en-US" w:eastAsia="zh-CN" w:bidi="ar-SA"/>
    </w:rPr>
  </w:style>
  <w:style w:type="paragraph" w:customStyle="1" w:styleId="123">
    <w:name w:val="表内文字"/>
    <w:basedOn w:val="1"/>
    <w:qFormat/>
    <w:uiPriority w:val="0"/>
    <w:pPr>
      <w:jc w:val="center"/>
    </w:pPr>
    <w:rPr>
      <w:color w:val="FF0000"/>
      <w:kern w:val="0"/>
      <w:sz w:val="24"/>
    </w:rPr>
  </w:style>
  <w:style w:type="character" w:customStyle="1" w:styleId="124">
    <w:name w:val="Char Char3"/>
    <w:qFormat/>
    <w:uiPriority w:val="0"/>
    <w:rPr>
      <w:rFonts w:eastAsia="仿宋_GB2312"/>
      <w:kern w:val="2"/>
      <w:sz w:val="28"/>
      <w:szCs w:val="24"/>
      <w:lang w:val="en-US" w:eastAsia="zh-CN" w:bidi="ar-SA"/>
    </w:rPr>
  </w:style>
  <w:style w:type="paragraph" w:customStyle="1" w:styleId="125">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26">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27">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28">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29">
    <w:name w:val="项目1"/>
    <w:basedOn w:val="1"/>
    <w:qFormat/>
    <w:uiPriority w:val="0"/>
    <w:pPr>
      <w:tabs>
        <w:tab w:val="left" w:pos="840"/>
      </w:tabs>
      <w:spacing w:after="60"/>
      <w:ind w:left="840" w:hanging="420"/>
    </w:pPr>
    <w:rPr>
      <w:rFonts w:ascii="宋体"/>
      <w:spacing w:val="4"/>
      <w:szCs w:val="20"/>
    </w:rPr>
  </w:style>
  <w:style w:type="paragraph" w:customStyle="1" w:styleId="130">
    <w:name w:val="编10号"/>
    <w:basedOn w:val="1"/>
    <w:qFormat/>
    <w:uiPriority w:val="0"/>
    <w:pPr>
      <w:tabs>
        <w:tab w:val="left" w:pos="1620"/>
      </w:tabs>
      <w:ind w:left="1620" w:hanging="360"/>
    </w:pPr>
  </w:style>
  <w:style w:type="paragraph" w:customStyle="1" w:styleId="131">
    <w:name w:val="段"/>
    <w:basedOn w:val="1"/>
    <w:qFormat/>
    <w:uiPriority w:val="0"/>
    <w:pPr>
      <w:ind w:firstLine="425"/>
    </w:pPr>
    <w:rPr>
      <w:rFonts w:ascii="宋体"/>
      <w:szCs w:val="20"/>
    </w:rPr>
  </w:style>
  <w:style w:type="paragraph" w:customStyle="1" w:styleId="132">
    <w:name w:val="Char Char Char Char"/>
    <w:basedOn w:val="1"/>
    <w:qFormat/>
    <w:uiPriority w:val="0"/>
    <w:pPr>
      <w:widowControl/>
      <w:spacing w:after="160" w:line="240" w:lineRule="exact"/>
      <w:jc w:val="left"/>
    </w:pPr>
    <w:rPr>
      <w:kern w:val="0"/>
      <w:sz w:val="24"/>
    </w:rPr>
  </w:style>
  <w:style w:type="paragraph" w:customStyle="1" w:styleId="133">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4">
    <w:name w:val="bulletintext1"/>
    <w:qFormat/>
    <w:uiPriority w:val="0"/>
    <w:rPr>
      <w:rFonts w:hint="eastAsia" w:ascii="宋体" w:hAnsi="宋体" w:eastAsia="宋体"/>
      <w:sz w:val="18"/>
      <w:szCs w:val="18"/>
    </w:rPr>
  </w:style>
  <w:style w:type="paragraph" w:customStyle="1" w:styleId="135">
    <w:name w:val="Char1 Char Char Char Char Char Char"/>
    <w:basedOn w:val="1"/>
    <w:qFormat/>
    <w:uiPriority w:val="0"/>
    <w:rPr>
      <w:rFonts w:ascii="Tahoma" w:hAnsi="Tahoma"/>
      <w:sz w:val="24"/>
      <w:szCs w:val="20"/>
    </w:rPr>
  </w:style>
  <w:style w:type="paragraph" w:customStyle="1" w:styleId="136">
    <w:name w:val="Char Char2 Char Char Char Char"/>
    <w:basedOn w:val="15"/>
    <w:qFormat/>
    <w:uiPriority w:val="0"/>
    <w:rPr>
      <w:rFonts w:ascii="Tahoma" w:hAnsi="Tahoma"/>
      <w:sz w:val="24"/>
    </w:rPr>
  </w:style>
  <w:style w:type="paragraph" w:customStyle="1" w:styleId="137">
    <w:name w:val="Char Char Char"/>
    <w:basedOn w:val="15"/>
    <w:qFormat/>
    <w:uiPriority w:val="0"/>
    <w:rPr>
      <w:rFonts w:ascii="Tahoma" w:hAnsi="Tahoma"/>
      <w:sz w:val="24"/>
    </w:rPr>
  </w:style>
  <w:style w:type="paragraph" w:customStyle="1" w:styleId="138">
    <w:name w:val="正文缩进 New"/>
    <w:basedOn w:val="1"/>
    <w:qFormat/>
    <w:uiPriority w:val="0"/>
    <w:pPr>
      <w:ind w:firstLine="420" w:firstLineChars="200"/>
    </w:pPr>
    <w:rPr>
      <w:szCs w:val="20"/>
    </w:rPr>
  </w:style>
  <w:style w:type="paragraph" w:customStyle="1" w:styleId="139">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40">
    <w:name w:val="tpc_content1"/>
    <w:qFormat/>
    <w:uiPriority w:val="0"/>
    <w:rPr>
      <w:sz w:val="20"/>
      <w:szCs w:val="20"/>
    </w:rPr>
  </w:style>
  <w:style w:type="character" w:customStyle="1" w:styleId="141">
    <w:name w:val="Char Char11"/>
    <w:qFormat/>
    <w:uiPriority w:val="0"/>
    <w:rPr>
      <w:b/>
      <w:kern w:val="44"/>
      <w:sz w:val="44"/>
    </w:rPr>
  </w:style>
  <w:style w:type="character" w:customStyle="1" w:styleId="142">
    <w:name w:val="Char Char10"/>
    <w:qFormat/>
    <w:uiPriority w:val="0"/>
    <w:rPr>
      <w:b/>
      <w:kern w:val="2"/>
      <w:sz w:val="28"/>
      <w:szCs w:val="28"/>
    </w:rPr>
  </w:style>
  <w:style w:type="character" w:customStyle="1" w:styleId="143">
    <w:name w:val="Char Char9"/>
    <w:qFormat/>
    <w:uiPriority w:val="0"/>
    <w:rPr>
      <w:b/>
      <w:kern w:val="2"/>
      <w:sz w:val="24"/>
      <w:szCs w:val="24"/>
    </w:rPr>
  </w:style>
  <w:style w:type="paragraph" w:customStyle="1" w:styleId="144">
    <w:name w:val="Char Char Char 字元 字元"/>
    <w:basedOn w:val="1"/>
    <w:qFormat/>
    <w:uiPriority w:val="0"/>
    <w:pPr>
      <w:spacing w:line="360" w:lineRule="auto"/>
      <w:ind w:firstLine="200" w:firstLineChars="200"/>
    </w:pPr>
    <w:rPr>
      <w:szCs w:val="20"/>
    </w:rPr>
  </w:style>
  <w:style w:type="paragraph" w:customStyle="1" w:styleId="145">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46">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47">
    <w:name w:val="style11"/>
    <w:qFormat/>
    <w:uiPriority w:val="0"/>
    <w:rPr>
      <w:b/>
      <w:bCs/>
      <w:color w:val="FF0000"/>
    </w:rPr>
  </w:style>
  <w:style w:type="character" w:customStyle="1" w:styleId="148">
    <w:name w:val="info"/>
    <w:basedOn w:val="43"/>
    <w:qFormat/>
    <w:uiPriority w:val="0"/>
  </w:style>
  <w:style w:type="paragraph" w:customStyle="1" w:styleId="149">
    <w:name w:val="样式 正文缩进 + 首行缩进:  2 字符"/>
    <w:basedOn w:val="5"/>
    <w:link w:val="150"/>
    <w:qFormat/>
    <w:uiPriority w:val="0"/>
    <w:pPr>
      <w:spacing w:line="360" w:lineRule="auto"/>
      <w:ind w:firstLine="480"/>
    </w:pPr>
    <w:rPr>
      <w:rFonts w:ascii="宋体" w:hAnsi="宋体"/>
      <w:color w:val="000000"/>
      <w:kern w:val="0"/>
      <w:sz w:val="24"/>
      <w:szCs w:val="20"/>
    </w:rPr>
  </w:style>
  <w:style w:type="character" w:customStyle="1" w:styleId="150">
    <w:name w:val="样式 正文缩进 + 首行缩进:  2 字符 Char"/>
    <w:link w:val="149"/>
    <w:qFormat/>
    <w:locked/>
    <w:uiPriority w:val="0"/>
    <w:rPr>
      <w:rFonts w:ascii="宋体" w:hAnsi="宋体" w:eastAsia="宋体"/>
      <w:color w:val="000000"/>
      <w:sz w:val="24"/>
      <w:lang w:bidi="ar-SA"/>
    </w:rPr>
  </w:style>
  <w:style w:type="paragraph" w:customStyle="1" w:styleId="151">
    <w:name w:val="正文2"/>
    <w:basedOn w:val="1"/>
    <w:link w:val="152"/>
    <w:qFormat/>
    <w:uiPriority w:val="0"/>
    <w:pPr>
      <w:spacing w:before="156" w:line="360" w:lineRule="auto"/>
      <w:ind w:firstLine="510" w:firstLineChars="200"/>
    </w:pPr>
    <w:rPr>
      <w:sz w:val="24"/>
      <w:szCs w:val="20"/>
    </w:rPr>
  </w:style>
  <w:style w:type="character" w:customStyle="1" w:styleId="152">
    <w:name w:val="正文2 Char"/>
    <w:link w:val="151"/>
    <w:qFormat/>
    <w:uiPriority w:val="0"/>
    <w:rPr>
      <w:rFonts w:eastAsia="宋体"/>
      <w:kern w:val="2"/>
      <w:sz w:val="24"/>
      <w:lang w:val="en-US" w:eastAsia="zh-CN" w:bidi="ar-SA"/>
    </w:rPr>
  </w:style>
  <w:style w:type="paragraph" w:customStyle="1" w:styleId="153">
    <w:name w:val="p0"/>
    <w:basedOn w:val="1"/>
    <w:qFormat/>
    <w:uiPriority w:val="0"/>
    <w:pPr>
      <w:widowControl/>
    </w:pPr>
    <w:rPr>
      <w:kern w:val="0"/>
      <w:szCs w:val="21"/>
    </w:rPr>
  </w:style>
  <w:style w:type="character" w:customStyle="1" w:styleId="154">
    <w:name w:val="param-name"/>
    <w:basedOn w:val="43"/>
    <w:qFormat/>
    <w:uiPriority w:val="0"/>
  </w:style>
  <w:style w:type="character" w:customStyle="1" w:styleId="155">
    <w:name w:val="日期 Char"/>
    <w:qFormat/>
    <w:uiPriority w:val="0"/>
    <w:rPr>
      <w:rFonts w:ascii="楷体_GB2312" w:eastAsia="楷体_GB2312"/>
      <w:b/>
      <w:kern w:val="2"/>
      <w:sz w:val="28"/>
      <w:lang w:val="en-US" w:eastAsia="zh-CN" w:bidi="ar-SA"/>
    </w:rPr>
  </w:style>
  <w:style w:type="character" w:customStyle="1" w:styleId="156">
    <w:name w:val="标题 4 Char"/>
    <w:qFormat/>
    <w:uiPriority w:val="0"/>
    <w:rPr>
      <w:rFonts w:ascii="Arial" w:hAnsi="Arial" w:eastAsia="黑体"/>
      <w:b/>
      <w:kern w:val="2"/>
      <w:sz w:val="28"/>
      <w:lang w:val="en-US" w:eastAsia="zh-CN" w:bidi="ar-SA"/>
    </w:rPr>
  </w:style>
  <w:style w:type="character" w:customStyle="1" w:styleId="157">
    <w:name w:val="标题 6 Char"/>
    <w:qFormat/>
    <w:uiPriority w:val="0"/>
    <w:rPr>
      <w:rFonts w:ascii="宋体" w:hAnsi="Arial" w:eastAsia="宋体"/>
      <w:sz w:val="24"/>
      <w:lang w:val="en-US" w:eastAsia="zh-CN" w:bidi="ar-SA"/>
    </w:rPr>
  </w:style>
  <w:style w:type="character" w:customStyle="1" w:styleId="158">
    <w:name w:val="标题 8 Char"/>
    <w:qFormat/>
    <w:uiPriority w:val="0"/>
    <w:rPr>
      <w:rFonts w:ascii="Arial" w:hAnsi="Arial" w:eastAsia="黑体"/>
      <w:sz w:val="24"/>
      <w:lang w:val="en-US" w:eastAsia="zh-CN" w:bidi="ar-SA"/>
    </w:rPr>
  </w:style>
  <w:style w:type="character" w:customStyle="1" w:styleId="159">
    <w:name w:val="标题 9 Char"/>
    <w:qFormat/>
    <w:uiPriority w:val="0"/>
    <w:rPr>
      <w:rFonts w:ascii="Arial" w:hAnsi="Arial" w:eastAsia="黑体"/>
      <w:sz w:val="24"/>
      <w:lang w:val="en-US" w:eastAsia="zh-CN" w:bidi="ar-SA"/>
    </w:rPr>
  </w:style>
  <w:style w:type="character" w:customStyle="1" w:styleId="160">
    <w:name w:val="标题 5 Char"/>
    <w:qFormat/>
    <w:uiPriority w:val="0"/>
    <w:rPr>
      <w:rFonts w:eastAsia="宋体"/>
      <w:sz w:val="24"/>
      <w:lang w:val="en-US" w:eastAsia="zh-CN" w:bidi="ar-SA"/>
    </w:rPr>
  </w:style>
  <w:style w:type="character" w:customStyle="1" w:styleId="161">
    <w:name w:val="正文文本 Char"/>
    <w:qFormat/>
    <w:locked/>
    <w:uiPriority w:val="0"/>
    <w:rPr>
      <w:rFonts w:eastAsia="仿宋_GB2312"/>
      <w:kern w:val="2"/>
      <w:sz w:val="28"/>
      <w:szCs w:val="24"/>
      <w:lang w:val="en-US" w:eastAsia="zh-CN" w:bidi="ar-SA"/>
    </w:rPr>
  </w:style>
  <w:style w:type="character" w:customStyle="1" w:styleId="162">
    <w:name w:val="正文文本缩进 2 Char"/>
    <w:qFormat/>
    <w:locked/>
    <w:uiPriority w:val="0"/>
    <w:rPr>
      <w:rFonts w:eastAsia="宋体"/>
      <w:kern w:val="2"/>
      <w:sz w:val="21"/>
      <w:szCs w:val="24"/>
      <w:lang w:val="en-US" w:eastAsia="zh-CN" w:bidi="ar-SA"/>
    </w:rPr>
  </w:style>
  <w:style w:type="character" w:customStyle="1" w:styleId="163">
    <w:name w:val="正文文本 2 Char"/>
    <w:qFormat/>
    <w:uiPriority w:val="0"/>
    <w:rPr>
      <w:rFonts w:ascii="隶书" w:eastAsia="隶书"/>
      <w:bCs/>
      <w:sz w:val="72"/>
      <w:szCs w:val="84"/>
      <w:lang w:val="en-US" w:eastAsia="zh-CN" w:bidi="ar-SA"/>
    </w:rPr>
  </w:style>
  <w:style w:type="character" w:customStyle="1" w:styleId="164">
    <w:name w:val="标题 7 Char"/>
    <w:qFormat/>
    <w:uiPriority w:val="0"/>
    <w:rPr>
      <w:rFonts w:ascii="宋体" w:hAnsi="Arial" w:eastAsia="宋体"/>
      <w:b/>
      <w:sz w:val="24"/>
      <w:lang w:val="en-US" w:eastAsia="zh-CN" w:bidi="ar-SA"/>
    </w:rPr>
  </w:style>
  <w:style w:type="character" w:customStyle="1" w:styleId="165">
    <w:name w:val="页眉 Char"/>
    <w:qFormat/>
    <w:uiPriority w:val="99"/>
    <w:rPr>
      <w:rFonts w:eastAsia="宋体"/>
      <w:kern w:val="2"/>
      <w:sz w:val="18"/>
      <w:szCs w:val="18"/>
      <w:lang w:val="en-US" w:eastAsia="zh-CN" w:bidi="ar-SA"/>
    </w:rPr>
  </w:style>
  <w:style w:type="character" w:customStyle="1" w:styleId="166">
    <w:name w:val="批注文字 Char"/>
    <w:qFormat/>
    <w:uiPriority w:val="99"/>
    <w:rPr>
      <w:rFonts w:eastAsia="宋体"/>
      <w:kern w:val="2"/>
      <w:sz w:val="21"/>
      <w:szCs w:val="24"/>
      <w:lang w:val="en-US" w:eastAsia="zh-CN" w:bidi="ar-SA"/>
    </w:rPr>
  </w:style>
  <w:style w:type="character" w:customStyle="1" w:styleId="167">
    <w:name w:val="汇视源正文 Char"/>
    <w:link w:val="168"/>
    <w:qFormat/>
    <w:uiPriority w:val="0"/>
    <w:rPr>
      <w:rFonts w:cs="宋体"/>
      <w:kern w:val="2"/>
      <w:sz w:val="24"/>
      <w:lang w:val="en-US" w:eastAsia="zh-CN" w:bidi="ar-SA"/>
    </w:rPr>
  </w:style>
  <w:style w:type="paragraph" w:customStyle="1" w:styleId="168">
    <w:name w:val="汇视源正文"/>
    <w:link w:val="167"/>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69">
    <w:name w:val="样式 列表编号 + 段后: 0.5 行"/>
    <w:basedOn w:val="13"/>
    <w:qFormat/>
    <w:uiPriority w:val="0"/>
    <w:pPr>
      <w:tabs>
        <w:tab w:val="left" w:pos="840"/>
      </w:tabs>
      <w:spacing w:afterLines="0"/>
      <w:ind w:left="425" w:hanging="425"/>
    </w:pPr>
    <w:rPr>
      <w:rFonts w:cs="宋体"/>
    </w:rPr>
  </w:style>
  <w:style w:type="paragraph" w:customStyle="1" w:styleId="170">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71">
    <w:name w:val="TOC 标题1"/>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72">
    <w:name w:val="标题 Char"/>
    <w:link w:val="37"/>
    <w:qFormat/>
    <w:locked/>
    <w:uiPriority w:val="0"/>
    <w:rPr>
      <w:rFonts w:ascii="Calibri Light" w:hAnsi="Calibri Light" w:eastAsia="宋体"/>
      <w:b/>
      <w:bCs/>
      <w:kern w:val="2"/>
      <w:sz w:val="32"/>
      <w:szCs w:val="32"/>
      <w:lang w:val="en-US" w:eastAsia="zh-CN" w:bidi="ar-SA"/>
    </w:rPr>
  </w:style>
  <w:style w:type="character" w:customStyle="1" w:styleId="173">
    <w:name w:val="Date Char"/>
    <w:qFormat/>
    <w:locked/>
    <w:uiPriority w:val="0"/>
    <w:rPr>
      <w:rFonts w:ascii="宋体"/>
      <w:sz w:val="21"/>
      <w:lang w:val="zh-CN"/>
    </w:rPr>
  </w:style>
  <w:style w:type="character" w:customStyle="1" w:styleId="174">
    <w:name w:val="Normal Indent Char"/>
    <w:qFormat/>
    <w:locked/>
    <w:uiPriority w:val="0"/>
    <w:rPr>
      <w:rFonts w:ascii="宋体" w:eastAsia="宋体"/>
      <w:snapToGrid w:val="0"/>
      <w:color w:val="000000"/>
      <w:kern w:val="28"/>
      <w:sz w:val="28"/>
    </w:rPr>
  </w:style>
  <w:style w:type="character" w:customStyle="1" w:styleId="175">
    <w:name w:val="Plain Text Char"/>
    <w:qFormat/>
    <w:locked/>
    <w:uiPriority w:val="0"/>
    <w:rPr>
      <w:rFonts w:ascii="宋体" w:hAnsi="Courier New" w:eastAsia="宋体"/>
      <w:snapToGrid w:val="0"/>
      <w:sz w:val="21"/>
    </w:rPr>
  </w:style>
  <w:style w:type="character" w:customStyle="1" w:styleId="176">
    <w:name w:val="日期 Char1"/>
    <w:qFormat/>
    <w:uiPriority w:val="0"/>
    <w:rPr>
      <w:rFonts w:ascii="Times New Roman" w:hAnsi="Times New Roman" w:eastAsia="宋体" w:cs="Times New Roman"/>
      <w:sz w:val="24"/>
      <w:szCs w:val="24"/>
    </w:rPr>
  </w:style>
  <w:style w:type="character" w:customStyle="1" w:styleId="177">
    <w:name w:val="纯文本 Char1"/>
    <w:link w:val="178"/>
    <w:qFormat/>
    <w:uiPriority w:val="0"/>
    <w:rPr>
      <w:rFonts w:ascii="宋体" w:hAnsi="Courier New" w:eastAsia="宋体" w:cs="Courier New"/>
      <w:sz w:val="21"/>
      <w:szCs w:val="21"/>
    </w:rPr>
  </w:style>
  <w:style w:type="paragraph" w:customStyle="1" w:styleId="178">
    <w:name w:val="纯文本1"/>
    <w:basedOn w:val="1"/>
    <w:link w:val="177"/>
    <w:qFormat/>
    <w:uiPriority w:val="0"/>
    <w:rPr>
      <w:rFonts w:ascii="宋体" w:hAnsi="Courier New" w:cs="Courier New"/>
      <w:kern w:val="0"/>
      <w:szCs w:val="21"/>
    </w:rPr>
  </w:style>
  <w:style w:type="paragraph" w:customStyle="1" w:styleId="17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80">
    <w:name w:val="列出段落112"/>
    <w:basedOn w:val="1"/>
    <w:link w:val="204"/>
    <w:qFormat/>
    <w:uiPriority w:val="0"/>
    <w:pPr>
      <w:adjustRightInd w:val="0"/>
      <w:spacing w:line="360" w:lineRule="auto"/>
      <w:ind w:firstLine="200" w:firstLineChars="200"/>
    </w:pPr>
    <w:rPr>
      <w:rFonts w:eastAsia="楷体_GB2312" w:cs="Lucida Sans"/>
      <w:sz w:val="24"/>
    </w:rPr>
  </w:style>
  <w:style w:type="paragraph" w:customStyle="1" w:styleId="181">
    <w:name w:val="标题2def"/>
    <w:basedOn w:val="37"/>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82">
    <w:name w:val="标题3def"/>
    <w:basedOn w:val="4"/>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83">
    <w:name w:val="Header Char"/>
    <w:qFormat/>
    <w:locked/>
    <w:uiPriority w:val="0"/>
    <w:rPr>
      <w:rFonts w:ascii="Times New Roman" w:hAnsi="Times New Roman" w:eastAsia="宋体" w:cs="Times New Roman"/>
      <w:sz w:val="18"/>
      <w:szCs w:val="18"/>
    </w:rPr>
  </w:style>
  <w:style w:type="paragraph" w:customStyle="1" w:styleId="18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85">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86">
    <w:name w:val="Comment Text Char"/>
    <w:qFormat/>
    <w:locked/>
    <w:uiPriority w:val="0"/>
    <w:rPr>
      <w:rFonts w:ascii="Times New Roman" w:hAnsi="Times New Roman" w:eastAsia="宋体" w:cs="Times New Roman"/>
      <w:kern w:val="0"/>
      <w:sz w:val="24"/>
      <w:szCs w:val="24"/>
      <w:lang w:val="zh-CN" w:eastAsia="zh-CN"/>
    </w:rPr>
  </w:style>
  <w:style w:type="paragraph" w:customStyle="1" w:styleId="187">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89">
    <w:name w:val="Char Char Char Char1"/>
    <w:basedOn w:val="1"/>
    <w:qFormat/>
    <w:uiPriority w:val="0"/>
    <w:rPr>
      <w:rFonts w:ascii="Tahoma" w:hAnsi="Tahoma"/>
      <w:sz w:val="24"/>
      <w:szCs w:val="20"/>
    </w:rPr>
  </w:style>
  <w:style w:type="paragraph" w:customStyle="1" w:styleId="190">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191">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92">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193">
    <w:name w:val="正文2 Char Char"/>
    <w:qFormat/>
    <w:uiPriority w:val="0"/>
    <w:rPr>
      <w:kern w:val="2"/>
      <w:sz w:val="24"/>
    </w:rPr>
  </w:style>
  <w:style w:type="character" w:customStyle="1" w:styleId="194">
    <w:name w:val="普通文字 Char Char3"/>
    <w:qFormat/>
    <w:uiPriority w:val="0"/>
    <w:rPr>
      <w:rFonts w:ascii="宋体" w:hAnsi="Courier New"/>
      <w:kern w:val="2"/>
      <w:sz w:val="24"/>
      <w:szCs w:val="24"/>
    </w:rPr>
  </w:style>
  <w:style w:type="character" w:customStyle="1" w:styleId="195">
    <w:name w:val="特点 Char2"/>
    <w:qFormat/>
    <w:uiPriority w:val="0"/>
    <w:rPr>
      <w:rFonts w:ascii="Times New Roman" w:hAnsi="Times New Roman" w:eastAsia="宋体" w:cs="Times New Roman"/>
      <w:szCs w:val="24"/>
    </w:rPr>
  </w:style>
  <w:style w:type="character" w:customStyle="1" w:styleId="196">
    <w:name w:val="批注框文本 Char"/>
    <w:basedOn w:val="43"/>
    <w:link w:val="25"/>
    <w:semiHidden/>
    <w:qFormat/>
    <w:uiPriority w:val="0"/>
    <w:rPr>
      <w:kern w:val="2"/>
      <w:sz w:val="18"/>
      <w:szCs w:val="18"/>
    </w:rPr>
  </w:style>
  <w:style w:type="character" w:customStyle="1" w:styleId="197">
    <w:name w:val="正文文本缩进 3 Char"/>
    <w:basedOn w:val="43"/>
    <w:link w:val="30"/>
    <w:qFormat/>
    <w:uiPriority w:val="0"/>
    <w:rPr>
      <w:kern w:val="2"/>
      <w:sz w:val="16"/>
      <w:szCs w:val="16"/>
    </w:rPr>
  </w:style>
  <w:style w:type="character" w:customStyle="1" w:styleId="198">
    <w:name w:val="HTML 预设格式 Char"/>
    <w:basedOn w:val="43"/>
    <w:link w:val="34"/>
    <w:qFormat/>
    <w:uiPriority w:val="0"/>
    <w:rPr>
      <w:rFonts w:ascii="黑体" w:hAnsi="Courier New" w:eastAsia="黑体" w:cs="Courier New"/>
    </w:rPr>
  </w:style>
  <w:style w:type="character" w:customStyle="1" w:styleId="199">
    <w:name w:val="批注主题 Char"/>
    <w:basedOn w:val="166"/>
    <w:link w:val="38"/>
    <w:semiHidden/>
    <w:qFormat/>
    <w:uiPriority w:val="0"/>
    <w:rPr>
      <w:rFonts w:eastAsia="宋体"/>
      <w:b/>
      <w:bCs/>
      <w:kern w:val="2"/>
      <w:sz w:val="24"/>
      <w:szCs w:val="24"/>
      <w:lang w:val="en-US" w:eastAsia="zh-CN" w:bidi="ar-SA"/>
    </w:rPr>
  </w:style>
  <w:style w:type="character" w:customStyle="1" w:styleId="200">
    <w:name w:val="正文首行缩进 Char"/>
    <w:basedOn w:val="161"/>
    <w:link w:val="39"/>
    <w:qFormat/>
    <w:uiPriority w:val="0"/>
    <w:rPr>
      <w:rFonts w:eastAsia="仿宋_GB2312"/>
      <w:kern w:val="2"/>
      <w:sz w:val="21"/>
      <w:szCs w:val="24"/>
      <w:lang w:val="en-US" w:eastAsia="zh-CN" w:bidi="ar-SA"/>
    </w:rPr>
  </w:style>
  <w:style w:type="character" w:customStyle="1" w:styleId="201">
    <w:name w:val="正文首行缩进 2 Char"/>
    <w:basedOn w:val="63"/>
    <w:link w:val="40"/>
    <w:qFormat/>
    <w:uiPriority w:val="0"/>
    <w:rPr>
      <w:rFonts w:eastAsia="宋体"/>
      <w:kern w:val="2"/>
      <w:sz w:val="21"/>
      <w:szCs w:val="24"/>
      <w:lang w:val="en-US" w:eastAsia="zh-CN" w:bidi="ar-SA"/>
    </w:rPr>
  </w:style>
  <w:style w:type="paragraph" w:customStyle="1" w:styleId="202">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03">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04">
    <w:name w:val="列出段落 Char"/>
    <w:link w:val="180"/>
    <w:qFormat/>
    <w:uiPriority w:val="0"/>
    <w:rPr>
      <w:rFonts w:eastAsia="楷体_GB2312" w:cs="Lucida Sans"/>
      <w:kern w:val="2"/>
      <w:sz w:val="24"/>
      <w:szCs w:val="24"/>
    </w:rPr>
  </w:style>
  <w:style w:type="paragraph" w:customStyle="1" w:styleId="205">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06">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07">
    <w:name w:val="TOC 标题11"/>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08">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09">
    <w:name w:val="正文缩进2格"/>
    <w:basedOn w:val="1"/>
    <w:link w:val="210"/>
    <w:qFormat/>
    <w:uiPriority w:val="0"/>
    <w:pPr>
      <w:spacing w:line="600" w:lineRule="exact"/>
      <w:ind w:firstLine="639" w:firstLineChars="206"/>
    </w:pPr>
    <w:rPr>
      <w:rFonts w:ascii="仿宋_GB2312" w:hAnsi="宋体" w:eastAsia="仿宋_GB2312"/>
      <w:kern w:val="0"/>
      <w:sz w:val="31"/>
      <w:szCs w:val="20"/>
    </w:rPr>
  </w:style>
  <w:style w:type="character" w:customStyle="1" w:styleId="210">
    <w:name w:val="正文缩进2格 Char"/>
    <w:link w:val="209"/>
    <w:qFormat/>
    <w:uiPriority w:val="0"/>
    <w:rPr>
      <w:rFonts w:ascii="仿宋_GB2312" w:hAnsi="宋体" w:eastAsia="仿宋_GB2312"/>
      <w:sz w:val="31"/>
    </w:rPr>
  </w:style>
  <w:style w:type="paragraph" w:customStyle="1" w:styleId="211">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12">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13">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14">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1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7">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8">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1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2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2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5">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6">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7">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8">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9">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2">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3">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4">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5">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7">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8">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39">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0">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1">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2">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3">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4">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5">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6">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7">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8">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9">
    <w:name w:val="正文1级"/>
    <w:link w:val="250"/>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50">
    <w:name w:val="正文1级 Char Char"/>
    <w:link w:val="249"/>
    <w:qFormat/>
    <w:uiPriority w:val="0"/>
    <w:rPr>
      <w:bCs/>
      <w:kern w:val="44"/>
      <w:sz w:val="24"/>
      <w:szCs w:val="44"/>
    </w:rPr>
  </w:style>
  <w:style w:type="character" w:customStyle="1" w:styleId="251">
    <w:name w:val="Char Char1"/>
    <w:qFormat/>
    <w:uiPriority w:val="0"/>
    <w:rPr>
      <w:rFonts w:ascii="宋体" w:hAnsi="Courier New" w:eastAsia="宋体"/>
      <w:kern w:val="2"/>
      <w:sz w:val="21"/>
      <w:lang w:val="en-US" w:eastAsia="zh-CN" w:bidi="ar-SA"/>
    </w:rPr>
  </w:style>
  <w:style w:type="paragraph" w:customStyle="1" w:styleId="252">
    <w:name w:val="列出段落2"/>
    <w:basedOn w:val="1"/>
    <w:qFormat/>
    <w:uiPriority w:val="34"/>
    <w:pPr>
      <w:spacing w:line="440" w:lineRule="exact"/>
      <w:ind w:firstLine="420" w:firstLineChars="200"/>
    </w:pPr>
    <w:rPr>
      <w:rFonts w:eastAsia="仿宋_GB2312"/>
      <w:sz w:val="24"/>
    </w:rPr>
  </w:style>
  <w:style w:type="paragraph" w:customStyle="1" w:styleId="253">
    <w:name w:val="TOC 标题2"/>
    <w:basedOn w:val="3"/>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54">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55">
    <w:name w:val="列出段落21"/>
    <w:basedOn w:val="1"/>
    <w:qFormat/>
    <w:uiPriority w:val="0"/>
    <w:pPr>
      <w:ind w:firstLine="420" w:firstLineChars="200"/>
    </w:pPr>
    <w:rPr>
      <w:rFonts w:ascii="Calibri" w:hAnsi="Calibri"/>
      <w:szCs w:val="22"/>
    </w:rPr>
  </w:style>
  <w:style w:type="paragraph" w:customStyle="1" w:styleId="256">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57">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58">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59">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60">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_Style 151"/>
    <w:basedOn w:val="1"/>
    <w:qFormat/>
    <w:uiPriority w:val="0"/>
    <w:rPr>
      <w:rFonts w:ascii="Tahoma" w:hAnsi="Tahoma"/>
      <w:sz w:val="24"/>
      <w:szCs w:val="20"/>
    </w:rPr>
  </w:style>
  <w:style w:type="paragraph" w:customStyle="1" w:styleId="262">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63">
    <w:name w:val="font01"/>
    <w:basedOn w:val="43"/>
    <w:qFormat/>
    <w:uiPriority w:val="0"/>
    <w:rPr>
      <w:rFonts w:hint="eastAsia" w:ascii="宋体" w:hAnsi="宋体" w:eastAsia="宋体" w:cs="宋体"/>
      <w:color w:val="000000"/>
      <w:sz w:val="22"/>
      <w:szCs w:val="22"/>
      <w:u w:val="none"/>
    </w:rPr>
  </w:style>
  <w:style w:type="character" w:customStyle="1" w:styleId="264">
    <w:name w:val="font11"/>
    <w:basedOn w:val="43"/>
    <w:qFormat/>
    <w:uiPriority w:val="0"/>
    <w:rPr>
      <w:rFonts w:hint="eastAsia" w:ascii="宋体" w:hAnsi="宋体" w:eastAsia="宋体" w:cs="宋体"/>
      <w:color w:val="FF0000"/>
      <w:sz w:val="22"/>
      <w:szCs w:val="22"/>
      <w:u w:val="none"/>
    </w:rPr>
  </w:style>
  <w:style w:type="character" w:customStyle="1" w:styleId="265">
    <w:name w:val="font41"/>
    <w:basedOn w:val="43"/>
    <w:qFormat/>
    <w:uiPriority w:val="0"/>
    <w:rPr>
      <w:rFonts w:hint="default" w:ascii="等线" w:hAnsi="等线" w:eastAsia="等线" w:cs="等线"/>
      <w:color w:val="FF0000"/>
      <w:sz w:val="22"/>
      <w:szCs w:val="22"/>
      <w:u w:val="none"/>
    </w:rPr>
  </w:style>
  <w:style w:type="character" w:customStyle="1" w:styleId="266">
    <w:name w:val="font21"/>
    <w:basedOn w:val="43"/>
    <w:qFormat/>
    <w:uiPriority w:val="0"/>
    <w:rPr>
      <w:rFonts w:hint="default" w:ascii="等线" w:hAnsi="等线" w:eastAsia="等线" w:cs="等线"/>
      <w:color w:val="000000"/>
      <w:sz w:val="22"/>
      <w:szCs w:val="22"/>
      <w:u w:val="none"/>
    </w:rPr>
  </w:style>
  <w:style w:type="character" w:customStyle="1" w:styleId="267">
    <w:name w:val="font51"/>
    <w:basedOn w:val="43"/>
    <w:qFormat/>
    <w:uiPriority w:val="0"/>
    <w:rPr>
      <w:rFonts w:hint="default" w:ascii="等线" w:hAnsi="等线" w:eastAsia="等线" w:cs="等线"/>
      <w:color w:val="FF0000"/>
      <w:sz w:val="22"/>
      <w:szCs w:val="22"/>
      <w:u w:val="none"/>
    </w:rPr>
  </w:style>
  <w:style w:type="character" w:customStyle="1" w:styleId="268">
    <w:name w:val="font61"/>
    <w:basedOn w:val="43"/>
    <w:qFormat/>
    <w:uiPriority w:val="0"/>
    <w:rPr>
      <w:rFonts w:hint="default" w:ascii="等线" w:hAnsi="等线" w:eastAsia="等线" w:cs="等线"/>
      <w:color w:val="000000"/>
      <w:sz w:val="22"/>
      <w:szCs w:val="22"/>
      <w:u w:val="none"/>
    </w:rPr>
  </w:style>
  <w:style w:type="paragraph" w:customStyle="1" w:styleId="269">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7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27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7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27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274">
    <w:name w:val="未处理的提及1"/>
    <w:basedOn w:val="43"/>
    <w:semiHidden/>
    <w:unhideWhenUsed/>
    <w:qFormat/>
    <w:uiPriority w:val="99"/>
    <w:rPr>
      <w:color w:val="605E5C"/>
      <w:shd w:val="clear" w:color="auto" w:fill="E1DFDD"/>
    </w:rPr>
  </w:style>
  <w:style w:type="paragraph" w:customStyle="1" w:styleId="275">
    <w:name w:val="p15"/>
    <w:basedOn w:val="1"/>
    <w:qFormat/>
    <w:uiPriority w:val="0"/>
    <w:pPr>
      <w:widowControl/>
      <w:adjustRightInd w:val="0"/>
    </w:pPr>
    <w:rPr>
      <w:rFonts w:ascii="宋体" w:hAnsi="宋体" w:cs="宋体"/>
      <w:kern w:val="0"/>
      <w:sz w:val="20"/>
      <w:szCs w:val="20"/>
    </w:rPr>
  </w:style>
  <w:style w:type="character" w:customStyle="1" w:styleId="276">
    <w:name w:val="bookmark-item"/>
    <w:basedOn w:val="43"/>
    <w:qFormat/>
    <w:uiPriority w:val="0"/>
  </w:style>
  <w:style w:type="paragraph" w:customStyle="1" w:styleId="277">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278">
    <w:name w:val="题注 Char"/>
    <w:link w:val="14"/>
    <w:qFormat/>
    <w:uiPriority w:val="0"/>
    <w:rPr>
      <w:rFonts w:ascii="Calibri" w:hAnsi="Calibri"/>
      <w:kern w:val="2"/>
    </w:rPr>
  </w:style>
  <w:style w:type="paragraph" w:customStyle="1" w:styleId="279">
    <w:name w:val="索引 11"/>
    <w:basedOn w:val="1"/>
    <w:next w:val="1"/>
    <w:qFormat/>
    <w:uiPriority w:val="99"/>
    <w:pPr>
      <w:spacing w:line="360" w:lineRule="auto"/>
    </w:pPr>
    <w:rPr>
      <w:rFonts w:ascii="仿宋_GB2312" w:eastAsia="仿宋_GB2312"/>
      <w:sz w:val="24"/>
      <w:szCs w:val="20"/>
    </w:rPr>
  </w:style>
  <w:style w:type="paragraph" w:customStyle="1" w:styleId="280">
    <w:name w:val="正文缩进1"/>
    <w:basedOn w:val="1"/>
    <w:next w:val="18"/>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281">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282">
    <w:name w:val="页脚 Char2"/>
    <w:qFormat/>
    <w:locked/>
    <w:uiPriority w:val="99"/>
    <w:rPr>
      <w:kern w:val="2"/>
      <w:sz w:val="18"/>
      <w:szCs w:val="18"/>
    </w:rPr>
  </w:style>
  <w:style w:type="character" w:customStyle="1" w:styleId="283">
    <w:name w:val="页眉 Char2"/>
    <w:qFormat/>
    <w:uiPriority w:val="99"/>
    <w:rPr>
      <w:kern w:val="2"/>
      <w:sz w:val="18"/>
      <w:szCs w:val="18"/>
    </w:rPr>
  </w:style>
  <w:style w:type="paragraph" w:customStyle="1" w:styleId="284">
    <w:name w:val="文档正文"/>
    <w:basedOn w:val="1"/>
    <w:qFormat/>
    <w:uiPriority w:val="99"/>
    <w:rPr>
      <w:rFonts w:ascii="宋体" w:hAnsi="宋体" w:cs="Arial"/>
      <w:bCs/>
      <w:szCs w:val="21"/>
    </w:rPr>
  </w:style>
  <w:style w:type="character" w:customStyle="1" w:styleId="285">
    <w:name w:val="NormalCharacter"/>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3.emf"/><Relationship Id="rId15" Type="http://schemas.openxmlformats.org/officeDocument/2006/relationships/oleObject" Target="embeddings/oleObject3.bin"/><Relationship Id="rId14" Type="http://schemas.openxmlformats.org/officeDocument/2006/relationships/image" Target="media/image2.emf"/><Relationship Id="rId13" Type="http://schemas.openxmlformats.org/officeDocument/2006/relationships/oleObject" Target="embeddings/oleObject2.bin"/><Relationship Id="rId12" Type="http://schemas.openxmlformats.org/officeDocument/2006/relationships/image" Target="media/image1.emf"/><Relationship Id="rId11" Type="http://schemas.openxmlformats.org/officeDocument/2006/relationships/oleObject" Target="embeddings/oleObject1.bin"/><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2"/>
    <customShpInfo spid="_x0000_s205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A0031F-C4CA-46F4-AB39-CE61C57B3D8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93</Pages>
  <Words>9660</Words>
  <Characters>55068</Characters>
  <Lines>458</Lines>
  <Paragraphs>129</Paragraphs>
  <TotalTime>2</TotalTime>
  <ScaleCrop>false</ScaleCrop>
  <LinksUpToDate>false</LinksUpToDate>
  <CharactersWithSpaces>64599</CharactersWithSpaces>
  <Application>WPS Office_11.1.0.11622_F1E327BC-269C-435d-A152-05C5408002CA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2022-02-28T03:43:00Z</dcterms:created>
  <dc:creator>USER</dc:creator>
  <cp:lastModifiedBy>浅浅</cp:lastModifiedBy>
  <cp:lastPrinted>2022-04-25T03:53:00Z</cp:lastPrinted>
  <dcterms:modified xsi:type="dcterms:W3CDTF">2022-04-26T08:08:52Z</dcterms:modified>
  <dc:title>绍兴文理学院计算机机房设备及录播系统供货项目</dc:title>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C1D5AEAB216D42CA8CA3B241CB636123</vt:lpwstr>
  </property>
</Properties>
</file>