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绍兴文理学院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机电学院公共机房采购项目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2024-04-0049</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绍兴文理学院机电学院公共机房采购项目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2024-04-0049</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绍兴文理学院机电学院公共机房采购项目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7"/>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预算金额（元）：12663</w:t>
            </w:r>
            <w:r>
              <w:rPr>
                <w:rFonts w:hint="eastAsia" w:ascii="仿宋_GB2312" w:hAnsi="新宋体" w:eastAsia="仿宋_GB2312"/>
                <w:b/>
                <w:color w:val="auto"/>
                <w:szCs w:val="24"/>
                <w:highlight w:val="none"/>
                <w:lang w:val="en-US" w:eastAsia="zh-CN"/>
              </w:rPr>
              <w:t>00</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最高限价（元）：12663</w:t>
            </w:r>
            <w:r>
              <w:rPr>
                <w:rFonts w:hint="eastAsia" w:ascii="仿宋_GB2312" w:hAnsi="新宋体" w:eastAsia="仿宋_GB2312"/>
                <w:b/>
                <w:color w:val="auto"/>
                <w:szCs w:val="24"/>
                <w:highlight w:val="none"/>
                <w:lang w:val="en-US" w:eastAsia="zh-CN"/>
              </w:rPr>
              <w:t>00</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机电学院公共机房采购项目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预算金额（元）:1266300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 点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绍兴文理学院</w:t>
            </w:r>
            <w:r>
              <w:rPr>
                <w:rFonts w:ascii="仿宋_GB2312" w:hAnsi="新宋体" w:eastAsia="仿宋_GB2312"/>
                <w:color w:val="auto"/>
                <w:szCs w:val="24"/>
                <w:highlight w:val="none"/>
              </w:rPr>
              <w:t> </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color w:val="auto"/>
                <w:szCs w:val="24"/>
                <w:highlight w:val="none"/>
              </w:rPr>
              <w:t>地址：</w:t>
            </w:r>
            <w:r>
              <w:rPr>
                <w:rFonts w:hint="eastAsia" w:ascii="仿宋_GB2312" w:hAnsi="新宋体" w:eastAsia="仿宋_GB2312"/>
                <w:szCs w:val="24"/>
              </w:rPr>
              <w:t>绍兴市越城区环城西路5</w:t>
            </w:r>
            <w:r>
              <w:rPr>
                <w:rFonts w:ascii="仿宋_GB2312" w:hAnsi="新宋体" w:eastAsia="仿宋_GB2312"/>
                <w:szCs w:val="24"/>
              </w:rPr>
              <w:t>08</w:t>
            </w:r>
            <w:r>
              <w:rPr>
                <w:rFonts w:hint="eastAsia" w:ascii="仿宋_GB2312" w:hAnsi="新宋体" w:eastAsia="仿宋_GB2312"/>
                <w:szCs w:val="24"/>
              </w:rPr>
              <w:t>号</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hint="eastAsia" w:ascii="仿宋_GB2312" w:hAnsi="新宋体" w:eastAsia="仿宋_GB2312"/>
                <w:color w:val="auto"/>
                <w:szCs w:val="24"/>
                <w:highlight w:val="none"/>
              </w:rPr>
              <w:t xml:space="preserve">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新宋体" w:eastAsia="仿宋_GB2312"/>
                <w:szCs w:val="24"/>
              </w:rPr>
              <w:t>聂玉冰</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w:t>
            </w:r>
            <w:r>
              <w:rPr>
                <w:rFonts w:ascii="仿宋_GB2312" w:hAnsi="新宋体" w:eastAsia="仿宋_GB2312"/>
                <w:szCs w:val="24"/>
              </w:rPr>
              <w:t>0575-88342889</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szCs w:val="24"/>
              </w:rPr>
              <w:t>杨路华</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color w:val="auto"/>
                <w:szCs w:val="24"/>
                <w:highlight w:val="none"/>
              </w:rPr>
              <w:t>质疑联系方式：</w:t>
            </w:r>
            <w:r>
              <w:rPr>
                <w:rFonts w:ascii="仿宋_GB2312" w:hAnsi="新宋体" w:eastAsia="仿宋_GB2312"/>
                <w:szCs w:val="24"/>
              </w:rPr>
              <w:t>0575-88341862</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sym w:font="Wingdings 2" w:char="00A3"/>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sym w:font="Wingdings 2" w:char="0052"/>
            </w:r>
            <w:r>
              <w:rPr>
                <w:rFonts w:hint="eastAsia" w:ascii="仿宋_GB2312" w:hAnsi="仿宋" w:eastAsia="仿宋_GB2312" w:cs="仿宋"/>
                <w:b/>
                <w:bCs/>
                <w:color w:val="auto"/>
                <w:sz w:val="24"/>
                <w:highlight w:val="none"/>
              </w:rPr>
              <w:t>B有方案讲解演示：</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（1）在评标时安排每个供应商进行方案讲解演示。每个供应商时间不超过</w:t>
            </w:r>
            <w:r>
              <w:rPr>
                <w:rFonts w:hint="eastAsia" w:ascii="仿宋_GB2312" w:hAnsi="仿宋" w:eastAsia="仿宋_GB2312" w:cs="仿宋"/>
                <w:b/>
                <w:bCs/>
                <w:color w:val="auto"/>
                <w:sz w:val="24"/>
                <w:highlight w:val="none"/>
                <w:u w:val="single"/>
              </w:rPr>
              <w:t xml:space="preserve"> 15 </w:t>
            </w:r>
            <w:r>
              <w:rPr>
                <w:rFonts w:hint="eastAsia" w:ascii="仿宋_GB2312" w:hAnsi="仿宋" w:eastAsia="仿宋_GB2312" w:cs="仿宋"/>
                <w:b/>
                <w:bCs/>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（2）方案讲解演示可选择以下其中一种方式：</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rPr>
              <w:sym w:font="Wingdings 2" w:char="0052"/>
            </w:r>
            <w:r>
              <w:rPr>
                <w:rFonts w:hint="eastAsia" w:ascii="仿宋_GB2312" w:hAnsi="仿宋" w:eastAsia="仿宋_GB2312" w:cs="仿宋"/>
                <w:b/>
                <w:bCs/>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公共机房电脑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1372787"/>
      <w:bookmarkStart w:id="6" w:name="_Toc84325981"/>
      <w:bookmarkStart w:id="7" w:name="_Toc81372964"/>
      <w:bookmarkStart w:id="8" w:name="_Toc80157775"/>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机电学院公共机房采购项目</w:t>
      </w:r>
      <w:bookmarkStart w:id="9" w:name="_Toc7206"/>
      <w:bookmarkStart w:id="10" w:name="_Toc32678"/>
    </w:p>
    <w:bookmarkEnd w:id="9"/>
    <w:bookmarkEnd w:id="10"/>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一、</w:t>
      </w:r>
      <w:r>
        <w:rPr>
          <w:rFonts w:hint="eastAsia" w:ascii="仿宋_GB2312" w:hAnsi="仿宋_GB2312" w:eastAsia="仿宋_GB2312" w:cs="仿宋_GB2312"/>
          <w:b/>
          <w:bCs/>
          <w:sz w:val="24"/>
          <w:szCs w:val="24"/>
          <w:lang w:val="en-US" w:eastAsia="zh-CN"/>
        </w:rPr>
        <w:t>采购内容</w:t>
      </w:r>
    </w:p>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本项目采购内容如下</w:t>
      </w:r>
      <w:r>
        <w:rPr>
          <w:rFonts w:hint="eastAsia" w:ascii="仿宋_GB2312" w:hAnsi="仿宋_GB2312" w:eastAsia="仿宋_GB2312" w:cs="仿宋_GB2312"/>
          <w:sz w:val="24"/>
          <w:szCs w:val="24"/>
        </w:rPr>
        <w:t>：</w:t>
      </w:r>
    </w:p>
    <w:tbl>
      <w:tblPr>
        <w:tblStyle w:val="63"/>
        <w:tblpPr w:leftFromText="181" w:rightFromText="181" w:bottomFromText="170" w:vertAnchor="text" w:tblpXSpec="center" w:tblpY="1"/>
        <w:tblOverlap w:val="never"/>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150"/>
        <w:gridCol w:w="2870"/>
        <w:gridCol w:w="1355"/>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8"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序</w:t>
            </w:r>
            <w:r>
              <w:rPr>
                <w:rFonts w:hint="eastAsia" w:ascii="仿宋_GB2312" w:hAnsi="仿宋_GB2312" w:eastAsia="仿宋_GB2312" w:cs="仿宋_GB2312"/>
                <w:b/>
                <w:bCs/>
                <w:sz w:val="24"/>
                <w:szCs w:val="24"/>
              </w:rPr>
              <w:t>号</w:t>
            </w:r>
          </w:p>
        </w:tc>
        <w:tc>
          <w:tcPr>
            <w:tcW w:w="2150"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项目名称</w:t>
            </w:r>
          </w:p>
        </w:tc>
        <w:tc>
          <w:tcPr>
            <w:tcW w:w="2870"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简要技术要求</w:t>
            </w:r>
          </w:p>
        </w:tc>
        <w:tc>
          <w:tcPr>
            <w:tcW w:w="1355"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c>
          <w:tcPr>
            <w:tcW w:w="1473" w:type="dxa"/>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8"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215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公共机房电脑</w:t>
            </w:r>
          </w:p>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auto"/>
                <w:sz w:val="24"/>
                <w:szCs w:val="24"/>
                <w:highlight w:val="none"/>
              </w:rPr>
              <w:t>（核心产品）</w:t>
            </w:r>
          </w:p>
        </w:tc>
        <w:tc>
          <w:tcPr>
            <w:tcW w:w="287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详见技术需求</w:t>
            </w:r>
          </w:p>
        </w:tc>
        <w:tc>
          <w:tcPr>
            <w:tcW w:w="1355"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210</w:t>
            </w:r>
          </w:p>
        </w:tc>
        <w:tc>
          <w:tcPr>
            <w:tcW w:w="1473"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98" w:type="dxa"/>
            <w:vAlign w:val="center"/>
          </w:tcPr>
          <w:p>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w:t>
            </w:r>
          </w:p>
        </w:tc>
        <w:tc>
          <w:tcPr>
            <w:tcW w:w="215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公共机房管理软件</w:t>
            </w:r>
          </w:p>
        </w:tc>
        <w:tc>
          <w:tcPr>
            <w:tcW w:w="2870"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详见技术需求</w:t>
            </w:r>
          </w:p>
        </w:tc>
        <w:tc>
          <w:tcPr>
            <w:tcW w:w="1355"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210</w:t>
            </w:r>
          </w:p>
        </w:tc>
        <w:tc>
          <w:tcPr>
            <w:tcW w:w="1473" w:type="dxa"/>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套</w:t>
            </w:r>
          </w:p>
        </w:tc>
      </w:tr>
    </w:tbl>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二、详细技术参数</w:t>
      </w:r>
    </w:p>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2"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2.1公共机房硬件详细技术参数</w:t>
      </w:r>
    </w:p>
    <w:tbl>
      <w:tblPr>
        <w:tblStyle w:val="63"/>
        <w:tblW w:w="47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78"/>
        <w:gridCol w:w="1427"/>
        <w:gridCol w:w="5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41" w:type="dxa"/>
            <w:tcBorders>
              <w:tl2br w:val="nil"/>
              <w:tr2bl w:val="nil"/>
            </w:tcBorders>
            <w:vAlign w:val="center"/>
          </w:tcPr>
          <w:p>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序号</w:t>
            </w:r>
          </w:p>
        </w:tc>
        <w:tc>
          <w:tcPr>
            <w:tcW w:w="1278" w:type="dxa"/>
            <w:tcBorders>
              <w:tl2br w:val="nil"/>
              <w:tr2bl w:val="nil"/>
            </w:tcBorders>
            <w:shd w:val="clear" w:color="auto" w:fill="auto"/>
            <w:vAlign w:val="center"/>
          </w:tcPr>
          <w:p>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一级指标</w:t>
            </w:r>
          </w:p>
        </w:tc>
        <w:tc>
          <w:tcPr>
            <w:tcW w:w="1427" w:type="dxa"/>
            <w:tcBorders>
              <w:tl2br w:val="nil"/>
              <w:tr2bl w:val="nil"/>
            </w:tcBorders>
            <w:vAlign w:val="center"/>
          </w:tcPr>
          <w:p>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二级指标</w:t>
            </w:r>
          </w:p>
        </w:tc>
        <w:tc>
          <w:tcPr>
            <w:tcW w:w="5223" w:type="dxa"/>
            <w:tcBorders>
              <w:tl2br w:val="nil"/>
              <w:tr2bl w:val="nil"/>
            </w:tcBorders>
            <w:shd w:val="clear" w:color="auto" w:fill="auto"/>
            <w:vAlign w:val="center"/>
          </w:tcPr>
          <w:p>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w:t>
            </w:r>
          </w:p>
        </w:tc>
        <w:tc>
          <w:tcPr>
            <w:tcW w:w="1278" w:type="dxa"/>
            <w:tcBorders>
              <w:tl2br w:val="nil"/>
              <w:tr2bl w:val="nil"/>
            </w:tcBorders>
            <w:shd w:val="clear" w:color="auto" w:fill="auto"/>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CPU规格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★CPU信息</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CPU性能不低于Intel Core I7-12700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w:t>
            </w:r>
          </w:p>
        </w:tc>
        <w:tc>
          <w:tcPr>
            <w:tcW w:w="1278" w:type="dxa"/>
            <w:vMerge w:val="restart"/>
            <w:tcBorders>
              <w:tl2br w:val="nil"/>
              <w:tr2bl w:val="nil"/>
            </w:tcBorders>
            <w:shd w:val="clear" w:color="auto" w:fill="auto"/>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内存规格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★内存配置容量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★内存类型</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 DDR4 3200MH以上内存类型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★内存条配置数量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278" w:type="dxa"/>
            <w:vMerge w:val="restart"/>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主板规格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★主板集成模块</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★主板支持的CPU和内存情况</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主板支持所投CPU型号，内存支持≥16G DDR4 3200MHz, 系统最大支持32G及以上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▲主板内置PCle插槽数量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支持PCle插槽数量不少于2个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p>
        </w:tc>
        <w:tc>
          <w:tcPr>
            <w:tcW w:w="1278" w:type="dxa"/>
            <w:vMerge w:val="continue"/>
            <w:tcBorders>
              <w:tl2br w:val="nil"/>
              <w:tr2bl w:val="nil"/>
            </w:tcBorders>
            <w:shd w:val="clear" w:color="auto" w:fill="auto"/>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★主板其他内置接口</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SATA接口≥1、M.2接口≥2、USB 接口≥9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▲单内存插槽最大可支持容量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▲内存插槽满配置时提供的最高内存总容量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存储设备规格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★固态盘数量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▲固态存储容量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★固态存储形态</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采用插卡或板载等形态，可选用符合M.2 或 2.5 寸 SATA 或 mSATA 等标准的插卡形态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★存储设备其他参数要求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固态盘应符合 SJ/T 11654 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★显卡类型</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集成显卡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显示设备规格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▲显示屏屏占比</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★显示屏分辨率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尺寸</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≥23.8英寸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★显示屏屏幕比例</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★显示器外观颜色</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▲显示屏可视角度</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水平≥17</w:t>
            </w:r>
            <w:r>
              <w:rPr>
                <w:rFonts w:hint="eastAsia" w:ascii="仿宋_GB2312" w:hAnsi="仿宋_GB2312" w:eastAsia="仿宋_GB2312" w:cs="仿宋_GB2312"/>
                <w:sz w:val="24"/>
                <w:szCs w:val="24"/>
                <w:highlight w:val="none"/>
                <w:lang w:val="en-US" w:eastAsia="zh-CN"/>
              </w:rPr>
              <w:t>0</w:t>
            </w:r>
            <w:r>
              <w:rPr>
                <w:rFonts w:hint="eastAsia" w:ascii="仿宋_GB2312" w:hAnsi="仿宋_GB2312" w:eastAsia="仿宋_GB2312" w:cs="仿宋_GB2312"/>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防蓝光</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支持防蓝光模式，蓝光加权辐射亮度比应≤0.0012W/(·cd·sr)(瓦每坎特拉每球面度)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低频闪</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显示屏应支持低频闪≤-35dB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防炫目</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显示屏镜面反射率≤10%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外设规格</w:t>
            </w:r>
          </w:p>
        </w:tc>
        <w:tc>
          <w:tcPr>
            <w:tcW w:w="1427"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★鼠标数量</w:t>
            </w:r>
          </w:p>
        </w:tc>
        <w:tc>
          <w:tcPr>
            <w:tcW w:w="5223" w:type="dxa"/>
            <w:tcBorders>
              <w:tl2br w:val="nil"/>
              <w:tr2bl w:val="nil"/>
            </w:tcBorders>
            <w:shd w:val="clear" w:color="auto" w:fill="auto"/>
            <w:vAlign w:val="center"/>
          </w:tcPr>
          <w:p>
            <w:pPr>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★键盘数量</w:t>
            </w:r>
          </w:p>
        </w:tc>
        <w:tc>
          <w:tcPr>
            <w:tcW w:w="5223" w:type="dxa"/>
            <w:tcBorders>
              <w:tl2br w:val="nil"/>
              <w:tr2bl w:val="nil"/>
            </w:tcBorders>
            <w:shd w:val="clear" w:color="auto" w:fill="auto"/>
            <w:vAlign w:val="center"/>
          </w:tcPr>
          <w:p>
            <w:pPr>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★键盘按</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键数目</w:t>
            </w:r>
          </w:p>
        </w:tc>
        <w:tc>
          <w:tcPr>
            <w:tcW w:w="5223" w:type="dxa"/>
            <w:tcBorders>
              <w:tl2br w:val="nil"/>
              <w:tr2bl w:val="nil"/>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★键盘连接方式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★键盘键程</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★键盘按键压力</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按键压力应在 0.54 N 士0.14N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★有线键盘连接线</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★键盘颜色</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键盘其他</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键盘外观结构、连接方式， 主要功能、</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安全、电磁兼容性、可靠性应符合 GB/T 14081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pStyle w:val="1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★鼠标连接</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方式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pStyle w:val="1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★有线鼠标</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连接线</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pStyle w:val="19"/>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★鼠标DPI分辨率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pStyle w:val="1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★鼠标颜色</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38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★鼠标其他要求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其它参数应符合 GB/T 26245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39</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网络设备规格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★有线网卡数量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40</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外部接口规格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★USB接口数量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机箱前面板应提供不少于 3 个 USB 接 口（含 2 个 USB3.0 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★USB母座接口要求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机箱前面板额外预留2个专用USB母座接口孔位和1个通用A型USB母座接口孔位，采用横向排列中心间距应不小于27mm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★视频接口数量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★音频接口数量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44</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整机基础规格</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★整机外观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产品表面不应有凹痕、划伤、裂缝、变形和污染等。表面涂层均匀，不应起泡、龟裂、脱落和磨损，金属零部件无锈蚀及其它机械损伤；</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 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★状态指</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示灯</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在产品显著位置提供状态指示功能，如运行状态</w:t>
            </w:r>
            <w:r>
              <w:rPr>
                <w:rFonts w:hint="eastAsia" w:ascii="仿宋_GB2312" w:hAnsi="仿宋_GB2312" w:eastAsia="仿宋_GB2312" w:cs="仿宋_GB2312"/>
                <w:sz w:val="24"/>
                <w:szCs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★整机结构</w:t>
            </w:r>
          </w:p>
        </w:tc>
        <w:tc>
          <w:tcPr>
            <w:tcW w:w="5223" w:type="dxa"/>
            <w:tcBorders>
              <w:tl2br w:val="nil"/>
              <w:tr2bl w:val="nil"/>
            </w:tcBorders>
            <w:shd w:val="clear" w:color="auto" w:fill="auto"/>
            <w:vAlign w:val="center"/>
          </w:tcPr>
          <w:p>
            <w:pPr>
              <w:numPr>
                <w:ilvl w:val="0"/>
                <w:numId w:val="6"/>
              </w:num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机箱应符合 GB/T 4208、GB/T 26246的相关规定；</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 产品内部结构应符合通用部件的安装需求；</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 所有输入输出接口应符合相关国家或行业标准；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 产品零部件应紧固无松动，可插拔部件应可靠连接，开关、按钮和其它控制部件应灵活可靠，布局应方便使用；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所有I/O连接器及需插接线缆的部位应预留采购人操作空间，方便插拔解锁与插拔线缆；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 可插拔板卡插槽部位应预留安装、拆卸或更换板卡空间；</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拆装可能接触到的金属剪口或金属尖角部位应做防划伤处理，以保证安全；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 整机内部走线应规整，固线结构和位置要合理可靠并做防割线处理，需便于理线和插拔操作，走线应不影响系统各主要部件组装和拆卸；</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如需通过孔走线，过线孔应做放割线处理；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j）各插头位置和插拔方向应合理，应做到插拔无障碍设计，具备防呆设计，有效避免误操作；</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k）各主要部件拆装无障碍，使用常规工具拆装，无特殊拆装工具需求；</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l）各主要部件拆装步骤要少，各自拆装需避免相互干扰；</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 对于整机或零部件外表面为高亮面的，应粘贴保护膜，保护膜需粘贴牢固，运输、组装等过程不易脱落，撕下无残留；</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n) 其它要求应符合 GB/T 9813.1 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★机箱防护要求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机箱应符合GB/T 4208 中 IP20 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整机噪音</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产品工作在空闲状态下，产品的声功率级应不超过 4.5 Bel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49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★整机散热</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在环境温度 25℃及处理器满载情况下，产品表面温度应符合如下要求：</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a)出风口在机箱后面板情况下，出风口温度不高于55°C;</w:t>
            </w: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b)可触及面温度不高于 45℃</w:t>
            </w:r>
            <w:r>
              <w:rPr>
                <w:rFonts w:hint="eastAsia" w:ascii="仿宋_GB2312" w:hAnsi="仿宋_GB2312" w:eastAsia="仿宋_GB2312" w:cs="仿宋_GB2312"/>
                <w:sz w:val="24"/>
                <w:szCs w:val="24"/>
                <w:lang w:val="en-US" w:eastAsia="zh-CN"/>
              </w:rPr>
              <w:t>;</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C)显示器表面温度：显示屏不高于38℃, 显示屏上下灯带位置温度（如涉及）不高于 40°C, 出风口温度不高干45°C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★整机能效限定值</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产品能效限定值应达到 GB 28380-2012标准中能效等级 2 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★机身材质</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塑料/金属等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52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★机身颜色</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★机箱尺寸容量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机箱体积应不大于 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54</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CPU 性能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★CPU 物理核数</w:t>
            </w:r>
          </w:p>
        </w:tc>
        <w:tc>
          <w:tcPr>
            <w:tcW w:w="5223" w:type="dxa"/>
            <w:tcBorders>
              <w:tl2br w:val="nil"/>
              <w:tr2bl w:val="nil"/>
            </w:tcBorders>
            <w:shd w:val="clear" w:color="auto" w:fill="auto"/>
            <w:vAlign w:val="center"/>
          </w:tcPr>
          <w:p>
            <w:pPr>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sz w:val="24"/>
                <w:szCs w:val="24"/>
                <w:highlight w:val="yellow"/>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★CPU 主频</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sz w:val="24"/>
                <w:szCs w:val="24"/>
                <w:highlight w:val="yellow"/>
                <w:lang w:val="en-US" w:eastAsia="zh-CN"/>
              </w:rPr>
              <w:t>2.1</w:t>
            </w:r>
            <w:r>
              <w:rPr>
                <w:rFonts w:hint="eastAsia" w:ascii="仿宋_GB2312" w:hAnsi="仿宋_GB2312" w:eastAsia="仿宋_GB2312" w:cs="仿宋_GB2312"/>
                <w:sz w:val="24"/>
                <w:szCs w:val="24"/>
                <w:highlight w:val="yellow"/>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★CPU末级缓存容量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sz w:val="24"/>
                <w:szCs w:val="24"/>
                <w:highlight w:val="yellow"/>
                <w:lang w:val="en-US" w:eastAsia="zh-CN"/>
              </w:rPr>
              <w:t>25</w:t>
            </w:r>
            <w:r>
              <w:rPr>
                <w:rFonts w:hint="eastAsia" w:ascii="仿宋_GB2312" w:hAnsi="仿宋_GB2312" w:eastAsia="仿宋_GB2312" w:cs="仿宋_GB2312"/>
                <w:sz w:val="24"/>
                <w:szCs w:val="24"/>
                <w:highlight w:val="yellow"/>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CPU支持</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的内存最</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高速率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3200</w:t>
            </w:r>
            <w:r>
              <w:rPr>
                <w:rFonts w:hint="eastAsia" w:ascii="仿宋_GB2312" w:hAnsi="仿宋_GB2312" w:eastAsia="仿宋_GB2312" w:cs="仿宋_GB2312"/>
                <w:sz w:val="24"/>
                <w:szCs w:val="24"/>
              </w:rPr>
              <w:t>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58</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内存性能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内存读写</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速率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3200</w:t>
            </w:r>
            <w:r>
              <w:rPr>
                <w:rFonts w:hint="eastAsia" w:ascii="仿宋_GB2312" w:hAnsi="仿宋_GB2312" w:eastAsia="仿宋_GB2312" w:cs="仿宋_GB2312"/>
                <w:sz w:val="24"/>
                <w:szCs w:val="24"/>
              </w:rPr>
              <w:t>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59</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显卡性能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显示分辨率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显卡显示芯片核心频率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显存等</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效频率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★显卡可支持多屏同时显示数量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显卡应支持2块屏幕同时显示，分辨率应不低于1920×1080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63</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显示设备性能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刷新率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位深</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色域</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≥99%sRGB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色准</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显示屏响应时间</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亮度</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≥250尼特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显示屏亮度一致性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对比度</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 其他参数</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其它参数应符合SJ/T11292的相关规定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72</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网络设备性能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★有线网 卡速率</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最高速率应不低于1000Mbps,应支持</w:t>
            </w:r>
            <w:r>
              <w:rPr>
                <w:rFonts w:hint="eastAsia" w:ascii="仿宋_GB2312" w:hAnsi="仿宋_GB2312" w:eastAsia="仿宋_GB2312" w:cs="仿宋_GB2312"/>
                <w:sz w:val="24"/>
                <w:szCs w:val="24"/>
              </w:rPr>
              <w:t>10Mbps、100Mbps、1000Mbps速率自适应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73</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主板功能</w:t>
            </w: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★内存扩 展接口  (板载内存不涉及)</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eastAsia="zh-CN"/>
              </w:rPr>
              <w:t>★主板USB 瞬间过流 保护</w:t>
            </w:r>
          </w:p>
        </w:tc>
        <w:tc>
          <w:tcPr>
            <w:tcW w:w="5223" w:type="dxa"/>
            <w:tcBorders>
              <w:tl2br w:val="nil"/>
              <w:tr2bl w:val="nil"/>
            </w:tcBorders>
            <w:shd w:val="clear" w:color="auto" w:fill="auto"/>
            <w:vAlign w:val="center"/>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eastAsia="zh-CN"/>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★主板防  静电保护</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★1/0接口 功能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提供基于标准USB接口外设连接功能、基于音频输入输出接口的音频扩展功能、基于PCle接口板卡扩展功能、基于HDMI或VGA或Type-C或DVI或DP等接口外接显示器扩展功能、基于存储接口对产品进行增容功能等。产品1/0接口，应具备外接标准USB设备、 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77</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显卡功能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★显卡外 接显示接 口</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显卡至少支持VGA、HDMI、DVI、DP、 Type-C中1种显示接口，并与显示器接口相匹配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78</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显示设备 功能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★显示器 接口</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显示器应与显卡外接显示接口匹配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79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★显示器 支架</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显示器应提供显示器支架，支持屏幕旋转、升降等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★显示器 参数调节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a)提供OSD选单按钮用于调节色彩、模式等 ；</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b)支持色温、亮度、对比度调节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81</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存储功能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★存储功 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通过SATA固态存储/PCle固态存储/UFS固态存储/SATA硬磁盘等存储部件提供存储功能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82</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网络设备 功能</w:t>
            </w: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★网络功能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a)支持网络连接、网络开启/关闭功能；b)支持访问网络和数据交换功能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★数据传输</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84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★蓝牙协议</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若支持蓝牙模块，蓝牙协议不低于5.C 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★有线网卡接口类型</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★网络设</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备拆装</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网络设备支持物理拆装，包括蓝牙模块等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87</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外部</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接口功能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★音频接口类型</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 3.5mm 孔径 3 段式或 4 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88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★视频接口类型</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至少支持 VGA、HDMI、DVI、DP、Type-C中 1 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89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★HDMI、DP、Type-C 显示接口要求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若提供 HDMI 或 DP 或 Type-C 作为显示接口，应支持音频和视频同步输出</w:t>
            </w:r>
          </w:p>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90</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电源功能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★电源线适配能力</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电源适配器电线组件应符合GB/T</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15934的要求。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91</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操作系统</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及软件功</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★中文信息处理要求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符合GB 18030的相关规定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★操作系统备份及还原功能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支持操作系统备份及还原功能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93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★固件备份还原能力</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支持备份及还原固件的功能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★操作系统及驱动升级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支持通过网络、闪存盘等方式对操作系统、驱动进行升级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★固件升级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支持通过网络、闪存盘等方式对固件进行升级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★BI0S支  持关闭通</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讯接口</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支持BIOS关闭以太网及USB接口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★固件查看信息</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支持查看固件版本、内存信息、主板信息、处理器信息和系统时间信息等功能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★固件设置启动顺序</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支持设置启动顺序功能，并按照设置的启动顺序启动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99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★固件设</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置口令</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支持设置口令、修改口令、验证口令功能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★固件设 置网络引导</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支持网络引导启动和关闭功能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101</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存储设备可靠性</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固态存储</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寿命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highlight w:val="yellow"/>
              </w:rPr>
              <w:t>TBW ≥</w:t>
            </w:r>
            <w:r>
              <w:rPr>
                <w:rFonts w:hint="eastAsia" w:ascii="仿宋_GB2312" w:hAnsi="仿宋_GB2312" w:eastAsia="仿宋_GB2312" w:cs="仿宋_GB2312"/>
                <w:sz w:val="24"/>
                <w:szCs w:val="24"/>
                <w:highlight w:val="yellow"/>
                <w:lang w:val="en-US" w:eastAsia="zh-CN"/>
              </w:rPr>
              <w:t>1200</w:t>
            </w:r>
            <w:r>
              <w:rPr>
                <w:rFonts w:hint="eastAsia" w:ascii="仿宋_GB2312" w:hAnsi="仿宋_GB2312" w:eastAsia="仿宋_GB2312" w:cs="仿宋_GB2312"/>
                <w:sz w:val="24"/>
                <w:szCs w:val="24"/>
                <w:highlight w:val="yellow"/>
              </w:rPr>
              <w:t>TB(条件：</w:t>
            </w:r>
            <w:r>
              <w:rPr>
                <w:rFonts w:hint="eastAsia" w:ascii="仿宋_GB2312" w:hAnsi="仿宋_GB2312" w:eastAsia="仿宋_GB2312" w:cs="仿宋_GB2312"/>
                <w:sz w:val="24"/>
                <w:szCs w:val="24"/>
                <w:highlight w:val="yellow"/>
                <w:lang w:val="en-US" w:eastAsia="zh-CN"/>
              </w:rPr>
              <w:t>2T</w:t>
            </w:r>
            <w:r>
              <w:rPr>
                <w:rFonts w:hint="eastAsia" w:ascii="仿宋_GB2312" w:hAnsi="仿宋_GB2312" w:eastAsia="仿宋_GB2312" w:cs="仿宋_GB2312"/>
                <w:sz w:val="24"/>
                <w:szCs w:val="24"/>
                <w:highlight w:val="yellow"/>
              </w:rPr>
              <w:t>硬盘容量)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102</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显示设备</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可靠性</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★显示屏 屏幕失效点</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103</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外设可靠性</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★键盘按键寿命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★鼠标按键寿命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★键盘鼠标线材寿命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键盘鼠标所用线材经士60°弯折不低于3000次，功能、外观完好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风扇寿命</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≥4万小时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107</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整机可靠性要求</w:t>
            </w: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★电磁兼容性要求的</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抗扰度</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★环境条件要求的气候环境适应性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109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★环境条件要求的振动适应性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★环境条件要求的冲击适应性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★环境条件要求的碰撞适应性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★环境条件要求的运输包装件跌落适应性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★MTBF测试</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MTBF(m1)≥3万小时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114</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兼容 要求</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常用软件</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兼容</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支持流式软件、版式软件、浏览器、 邮件采购人端、解压软件、多媒体， 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数据库兼容</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中间件兼容</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平台软件</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兼容</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118</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包装及运输要求</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★标志、包装、运输和贮存</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119</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服务要求</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★配置检查工具</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★服务响应</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a）供应商提供电话、电子邮件、远程连接等多种形式服务；</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b)供应商提供同城4h、异地12h技术响应服务，2 个工作日解决问题，对于未能解决的问题和故障应提供可行的升级方案，并提供周转设备或更换设备；</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c)建立全国技术服务体系和服务团体，符合专业服务体系标准要求，提供原厂中文服务；</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d)服务周期内提供产品的维修、换件和升级服务；</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E)拆除旧机房原来电脑等设备，并按要求搬运到指定教室，并做好标签，对腾空机房的网络、电源及插座等进行重新布线，网线需用超五类国标，直至整个机房设备能正常运行。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121</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★服务周期</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设备停产后应继续提供质量保障服务（含备品备件），服务终止时间与最后一批设备交付时间间隔不低于</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年；</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 产品停止服务时间应提前1年告知；</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 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122</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★预装操 作系统</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预装符合桌面操作系统政府采购需求标准的正版操作系统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★培训服务</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124</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★典型问题解决手册</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125</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★厂家升级软件与扩容服务</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★整机质量服务要求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免费服务周期（含换件和维修）应不小于5年。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★合格证书要求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★开箱组装/使用指导要求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129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★驱动下载服务要求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130</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★兼容适配软件下载服务要求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131</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供应链合 规性</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产品部件</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保障</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供应商保障产品主要部件，提供6年的备件服务能力(自购买之日起),或提供可兼容原设备的升级换代产品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132</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供应链</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质量</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★抗干扰 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133</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★供应能力证明</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lang w:eastAsia="zh-CN"/>
              </w:rPr>
              <w:t>供应商中标后提供供应链稳定承诺书</w:t>
            </w:r>
            <w:r>
              <w:rPr>
                <w:rFonts w:hint="eastAsia" w:ascii="仿宋_GB2312" w:hAnsi="仿宋_GB2312" w:eastAsia="仿宋_GB2312" w:cs="仿宋_GB2312"/>
                <w:sz w:val="24"/>
                <w:szCs w:val="24"/>
                <w:lang w:eastAsia="zh-CN"/>
              </w:rPr>
              <w:t>，确保产品的部件在产品服务周期内稳定供货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134</w:t>
            </w:r>
          </w:p>
        </w:tc>
        <w:tc>
          <w:tcPr>
            <w:tcW w:w="1278"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关键部件 安全要求</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★关键部件安全要求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135</w:t>
            </w:r>
          </w:p>
        </w:tc>
        <w:tc>
          <w:tcPr>
            <w:tcW w:w="1278"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整机安全性要求</w:t>
            </w: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★密码算 法实现</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CPU芯片应符合GM/T 0008的相关规定，或芯片密码模块应符合GB/T37092 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136</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★USB端口</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管控</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支持USB端口管控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137</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★信息安全基本要求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a)产品应符合GB/T 39276的5.2的规定 ；</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b)生产厂商应建立漏洞跟踪表，保证产品版本涉及到的漏洞(如驱动程序等)可查看；</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o)产品不得包含已知的恶意代码或漏洞，不存在未声明的指令、功能、接口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138</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★固件安全启动</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支持固件安全启动功能，固件启动过程中只有通过启动校验才能正常启动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1" w:type="dxa"/>
            <w:tcBorders>
              <w:tl2br w:val="nil"/>
              <w:tr2bl w:val="nil"/>
            </w:tcBorders>
            <w:vAlign w:val="center"/>
          </w:tcPr>
          <w:p>
            <w:pPr>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139</w:t>
            </w:r>
          </w:p>
        </w:tc>
        <w:tc>
          <w:tcPr>
            <w:tcW w:w="1278" w:type="dxa"/>
            <w:vMerge w:val="continue"/>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427"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★限用物质的限量要求</w:t>
            </w:r>
          </w:p>
        </w:tc>
        <w:tc>
          <w:tcPr>
            <w:tcW w:w="5223" w:type="dxa"/>
            <w:tcBorders>
              <w:tl2br w:val="nil"/>
              <w:tr2bl w:val="nil"/>
            </w:tcBorders>
            <w:shd w:val="clear" w:color="auto" w:fill="auto"/>
            <w:vAlign w:val="center"/>
          </w:tcPr>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符合GB/T 26572中规定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pPr>
              <w:jc w:val="center"/>
              <w:rPr>
                <w:rFonts w:hint="default" w:ascii="仿宋_GB2312" w:hAnsi="仿宋_GB2312" w:eastAsia="仿宋_GB2312" w:cs="仿宋_GB2312"/>
                <w:kern w:val="2"/>
                <w:sz w:val="24"/>
                <w:szCs w:val="24"/>
                <w:highlight w:val="yellow"/>
                <w:lang w:val="en-US" w:eastAsia="zh-CN" w:bidi="ar-SA"/>
              </w:rPr>
            </w:pPr>
            <w:r>
              <w:rPr>
                <w:rFonts w:hint="eastAsia" w:ascii="仿宋_GB2312" w:hAnsi="仿宋_GB2312" w:eastAsia="仿宋_GB2312" w:cs="仿宋_GB2312"/>
                <w:sz w:val="24"/>
                <w:szCs w:val="24"/>
                <w:highlight w:val="yellow"/>
                <w:lang w:val="en-US" w:eastAsia="zh-CN"/>
              </w:rPr>
              <w:t>140</w:t>
            </w:r>
          </w:p>
        </w:tc>
        <w:tc>
          <w:tcPr>
            <w:tcW w:w="7928" w:type="dxa"/>
            <w:gridSpan w:val="3"/>
          </w:tcPr>
          <w:p>
            <w:pPr>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b/>
                <w:bCs/>
                <w:color w:val="auto"/>
                <w:sz w:val="24"/>
                <w:szCs w:val="24"/>
                <w:highlight w:val="yellow"/>
              </w:rPr>
              <w:t>★提供节能产品认证证书</w:t>
            </w:r>
            <w:r>
              <w:rPr>
                <w:rFonts w:hint="eastAsia" w:ascii="仿宋_GB2312" w:hAnsi="仿宋_GB2312" w:eastAsia="仿宋_GB2312" w:cs="仿宋_GB2312"/>
                <w:b/>
                <w:bCs/>
                <w:color w:val="auto"/>
                <w:sz w:val="24"/>
                <w:szCs w:val="24"/>
                <w:highlight w:val="yellow"/>
                <w:lang w:eastAsia="zh-CN"/>
              </w:rPr>
              <w:t>。</w:t>
            </w:r>
          </w:p>
        </w:tc>
      </w:tr>
    </w:tbl>
    <w:p>
      <w:pPr>
        <w:pStyle w:val="117"/>
        <w:keepNext w:val="0"/>
        <w:keepLines w:val="0"/>
        <w:pageBreakBefore w:val="0"/>
        <w:widowControl/>
        <w:kinsoku/>
        <w:wordWrap/>
        <w:overflowPunct/>
        <w:topLinePunct w:val="0"/>
        <w:autoSpaceDE/>
        <w:autoSpaceDN/>
        <w:bidi w:val="0"/>
        <w:adjustRightInd/>
        <w:snapToGrid/>
        <w:spacing w:after="0" w:line="44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2.2公共机房管理软件详细技术要求</w:t>
      </w:r>
    </w:p>
    <w:tbl>
      <w:tblPr>
        <w:tblStyle w:val="63"/>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290"/>
        <w:gridCol w:w="1455"/>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42"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90"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一级指标</w:t>
            </w:r>
          </w:p>
        </w:tc>
        <w:tc>
          <w:tcPr>
            <w:tcW w:w="1455"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二级指标</w:t>
            </w:r>
          </w:p>
        </w:tc>
        <w:tc>
          <w:tcPr>
            <w:tcW w:w="5719" w:type="dxa"/>
            <w:tcBorders>
              <w:tl2br w:val="nil"/>
              <w:tr2bl w:val="nil"/>
            </w:tcBorders>
            <w:shd w:val="clear" w:color="auto" w:fill="D8D8D8" w:themeFill="background1" w:themeFillShade="D9"/>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290" w:type="dxa"/>
            <w:vMerge w:val="restart"/>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管理软件</w:t>
            </w: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基本要求</w:t>
            </w:r>
          </w:p>
        </w:tc>
        <w:tc>
          <w:tcPr>
            <w:tcW w:w="5719" w:type="dxa"/>
            <w:tcBorders>
              <w:tl2br w:val="nil"/>
              <w:tr2bl w:val="nil"/>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所投标的产品必须是自主研发产品，非OEM或贴牌产品，不允许借用第三方软件的整合，以保证功能的可靠性和安全性。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个人桌面</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创建</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管理员可给教师单独分配用户名和密码，便于教师创建独立于教学系统的备课系统。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多磁盘管理</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支持对客户端内多块硬盘进行分区、系统装载、还原、还原方式设置，满足多硬盘系统还原和管理。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系统分权管理</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支持操作系统分权管理，可分配不同的管理员管理不同的操作系统。提供完整产品功能界面截图。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kern w:val="0"/>
                <w:sz w:val="24"/>
                <w:szCs w:val="24"/>
              </w:rPr>
              <w:t>▲</w:t>
            </w:r>
            <w:r>
              <w:rPr>
                <w:rFonts w:hint="eastAsia" w:ascii="仿宋_GB2312" w:hAnsi="仿宋_GB2312" w:eastAsia="仿宋_GB2312" w:cs="仿宋_GB2312"/>
                <w:sz w:val="24"/>
                <w:szCs w:val="24"/>
              </w:rPr>
              <w:t>管理平台访问方式</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管理软件系统支持B /S管理架构，支持移动设备通过网页方式对机房进行远程管理，包括远程开关机、时间同步、系统切换、消息广播等操作。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操作系统多引导方式</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支持MBR分区系统和GPT分区系统混合安装,可支持60个以上的不同操作系统。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网络故障</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排查</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支持对差异拷贝接收端进行网络环境检测，可检测接收端网卡连接速度，便于排查网络状态不佳的终端。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不同系统</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支持电脑本地磁盘安装（xp\win7\win8\win10\linux）系统，并支持以上系统的立即还原和还原点瞬间创建。提供完整产品功能界面截图。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课表与系统管理</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支持学期课表的编辑，可设置学期开始和结束时间，按学期课表时间自动启动相应的操作系统，支持操作系统拖拽式导入学期课表。提供完整产品功能界面截图。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系统快速部署</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磁盘无需新增分区的情况下瞬间复制一个不保护的系统，用于学生自主实验或考试、培训等使用场景。提供完整产品功能界面截图。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▲软件统一注册</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针对学院众多专业软件安装，支持硬件虚拟化功能，针对硬件识别码的软件可实现软件统一注册，大幅度降低激活软件带来的工作量。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29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455" w:type="dxa"/>
            <w:tcBorders>
              <w:tl2br w:val="nil"/>
              <w:tr2bl w:val="nil"/>
            </w:tcBorders>
            <w:shd w:val="clear" w:color="auto" w:fill="auto"/>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文件夹穿透</w:t>
            </w:r>
          </w:p>
        </w:tc>
        <w:tc>
          <w:tcPr>
            <w:tcW w:w="5719" w:type="dxa"/>
            <w:tcBorders>
              <w:tl2br w:val="nil"/>
              <w:tr2bl w:val="nil"/>
            </w:tcBorders>
            <w:shd w:val="clear" w:color="auto" w:fill="auto"/>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可在当前保护的分区下设定一个开放的文件夹,保存更新设置，重启分区还原其它数据还原，此文件夹中的数据不还原，便于病毒库更新或者考试时文件的保存等应用场景。</w:t>
            </w:r>
          </w:p>
        </w:tc>
      </w:tr>
    </w:tbl>
    <w:p>
      <w:pPr>
        <w:pStyle w:val="117"/>
        <w:keepNext w:val="0"/>
        <w:keepLines w:val="0"/>
        <w:pageBreakBefore w:val="0"/>
        <w:widowControl/>
        <w:kinsoku/>
        <w:wordWrap/>
        <w:overflowPunct/>
        <w:topLinePunct w:val="0"/>
        <w:autoSpaceDE/>
        <w:autoSpaceDN/>
        <w:bidi w:val="0"/>
        <w:adjustRightInd/>
        <w:snapToGrid/>
        <w:spacing w:before="157" w:beforeLines="50" w:line="440" w:lineRule="exact"/>
        <w:ind w:left="0" w:leftChars="0"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rPr>
        <w:t>、其他说明与要求：</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需要对机房内根据采购人的要求，拆除旧机房内的设施设备（桌椅、多媒体设备、原网络电源线等）做好标签，并搬运到指定地点，并按采购人的要求对机房按国标要求提供插座、水晶头、电源线等布置安装调试至正常运行；按照采购人要求将废旧设施设备放到指定地点，建筑垃圾清运处置由投标人自行处理。此次机房内所需拆装搬迁、维护检测及所用到线材配件包含在此投标报价中，不再另行结算。</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本项目投标人需要对招标文件中采购人要求的一切事宜及项目实施安全责任。项目中标人需指定1名项目经理，负责与学校项目负责老师现场进行对接，包括对整个机房设备完成安装和调试、与其他设备的配合调试；提供设备供货、运输、保管、安装、调试、验收、检测、培训及相关服务等。</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3、投标</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rPr>
        <w:t>投标提供的设备必须是厂商原装的、全新的，配置与装箱单相符；数量、质量及性能不低于投标文件；应准确无误地表明设备型号、规格、制造厂及生产或出厂日期。所有组件不允许出厂后加装改装，维护客户的权益。</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4、投标人应派技术人员负责设备的安装、调试，调试所需专用工具、设施、物料等由投标人自备、自费运到现场，完工后自费清理搬走。</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b/>
          <w:bCs/>
          <w:sz w:val="24"/>
          <w:szCs w:val="24"/>
        </w:rPr>
        <w:t>交货期：为不影响学校正常教育教学秩序，在签订采购合同签订后15个工作日完成全部设备供货、安装和调试，配合采购人组织验收所需材料。</w:t>
      </w:r>
      <w:r>
        <w:rPr>
          <w:rFonts w:hint="eastAsia" w:ascii="仿宋_GB2312" w:hAnsi="仿宋_GB2312" w:eastAsia="仿宋_GB2312" w:cs="仿宋_GB2312"/>
          <w:sz w:val="24"/>
          <w:szCs w:val="24"/>
        </w:rPr>
        <w:t xml:space="preserve"> </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6、★质保期：按文件中要求执行，保修期从验收合格当天开始计算，供货时需提供针对本项目电脑</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核心产品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原厂盖章五年质保服务承诺函。质保期内，按国家有关产品“三包”规定执行“三包”。</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售后服务：中标方按质保期限免费上门服务，半小时响应，1小时内及时派技术人员到达现场处理设备质量问题。24小时内不能修复的，则无偿提供备机或备用零件供采购人使用。中标方服务维修人员均经过良好的系统技术培训，并有丰富的现场维修经验。</w:t>
      </w:r>
    </w:p>
    <w:p>
      <w:pPr>
        <w:pStyle w:val="23"/>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8、付款方式：按《浙江省财政厅关于进一步发挥政府采购政策功能全力推动经济稳进提质的通知》（浙财采监〔2022〕3号）文件要求执行，具体付款方式由双方协商后在合同中明确。</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z w:val="24"/>
          <w:szCs w:val="24"/>
        </w:rPr>
        <w:t>9、中标方负责本项目的安装、调试，培训，售后及过程中的安全工作，报价包括全部费用报价，如有遗漏应当视同包含在报价中，不得影响整个系统验收使用。</w:t>
      </w: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24059"/>
      <w:bookmarkStart w:id="12" w:name="_Toc3029"/>
      <w:bookmarkStart w:id="13" w:name="_Toc2232"/>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4300"/>
      <w:bookmarkStart w:id="15" w:name="_Toc21295"/>
      <w:bookmarkStart w:id="16" w:name="_Toc27126"/>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1551"/>
      <w:bookmarkStart w:id="18" w:name="_Toc23292"/>
      <w:bookmarkStart w:id="19" w:name="_Toc21631"/>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0" w:name="_Toc10340"/>
      <w:bookmarkStart w:id="21" w:name="_Toc22618"/>
      <w:bookmarkStart w:id="22" w:name="_Toc1814"/>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2846"/>
      <w:bookmarkStart w:id="24" w:name="_Toc32071"/>
      <w:bookmarkStart w:id="25" w:name="_Toc19304"/>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27250"/>
      <w:bookmarkStart w:id="27" w:name="_Toc21423"/>
      <w:bookmarkStart w:id="28" w:name="_Toc19554"/>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9" w:name="_Toc28375"/>
      <w:bookmarkStart w:id="30" w:name="_Toc16021"/>
      <w:bookmarkStart w:id="31" w:name="_Toc15583"/>
      <w:r>
        <w:rPr>
          <w:rFonts w:hint="eastAsia" w:ascii="仿宋_GB2312" w:hAnsi="仿宋" w:eastAsia="仿宋_GB2312" w:cs="仿宋"/>
          <w:b/>
          <w:color w:val="auto"/>
          <w:sz w:val="24"/>
          <w:highlight w:val="none"/>
        </w:rPr>
        <w:t>1.9合同争议的解决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32" w:name="_Toc11173"/>
      <w:bookmarkStart w:id="33" w:name="_Toc15322"/>
      <w:bookmarkStart w:id="34" w:name="_Toc7245"/>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Toc19614"/>
      <w:bookmarkStart w:id="36" w:name="_Toc487900349"/>
      <w:bookmarkStart w:id="37" w:name="_Ref467378404"/>
      <w:bookmarkStart w:id="38" w:name="_Ref467378499"/>
      <w:bookmarkStart w:id="39" w:name="_Toc28763"/>
      <w:bookmarkStart w:id="40" w:name="_Toc279701240"/>
      <w:bookmarkStart w:id="41" w:name="_Ref467379205"/>
      <w:bookmarkStart w:id="42" w:name="_Toc259093669"/>
      <w:bookmarkStart w:id="43" w:name="_Ref467378463"/>
      <w:bookmarkStart w:id="44" w:name="_Ref467379225"/>
      <w:bookmarkStart w:id="45" w:name="_Ref467379214"/>
      <w:bookmarkStart w:id="46" w:name="_Ref467379109"/>
      <w:bookmarkStart w:id="47" w:name="_Toc16917"/>
      <w:bookmarkStart w:id="48" w:name="_Ref467379094"/>
      <w:bookmarkStart w:id="49" w:name="_Ref467379101"/>
      <w:bookmarkStart w:id="50" w:name="_Ref467379195"/>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259093670"/>
      <w:bookmarkStart w:id="55" w:name="_Toc487900350"/>
      <w:bookmarkStart w:id="56" w:name="_Toc279701241"/>
      <w:bookmarkStart w:id="57" w:name="_Toc27635"/>
      <w:bookmarkStart w:id="58" w:name="_Toc32504"/>
      <w:bookmarkStart w:id="59" w:name="_Toc13336"/>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31634"/>
      <w:bookmarkStart w:id="61" w:name="_Toc27853"/>
      <w:bookmarkStart w:id="62" w:name="_Toc9829"/>
      <w:bookmarkStart w:id="63" w:name="_Toc259093671"/>
      <w:bookmarkStart w:id="64" w:name="_Toc279701242"/>
      <w:bookmarkStart w:id="65" w:name="_Toc487900351"/>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4194"/>
      <w:bookmarkStart w:id="67" w:name="_Toc29149"/>
      <w:bookmarkStart w:id="68" w:name="_Toc11932"/>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Toc259093674"/>
      <w:bookmarkStart w:id="70" w:name="_Ref467378541"/>
      <w:bookmarkStart w:id="71" w:name="_Ref467378591"/>
      <w:bookmarkStart w:id="72" w:name="_Ref467379527"/>
      <w:bookmarkStart w:id="73" w:name="_Ref467379536"/>
      <w:bookmarkStart w:id="74" w:name="_Toc487900354"/>
      <w:bookmarkStart w:id="75" w:name="_Ref467379542"/>
      <w:bookmarkStart w:id="76" w:name="_Toc279701245"/>
      <w:bookmarkStart w:id="77" w:name="_Toc19074"/>
      <w:bookmarkStart w:id="78" w:name="_Toc26182"/>
      <w:bookmarkStart w:id="79" w:name="_Toc30272"/>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487900357"/>
      <w:bookmarkStart w:id="83" w:name="_Ref467379807"/>
      <w:bookmarkStart w:id="84" w:name="_Ref467379793"/>
      <w:bookmarkStart w:id="85" w:name="_Toc259093676"/>
      <w:bookmarkStart w:id="86" w:name="_Toc27970124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Ref467379923"/>
      <w:bookmarkStart w:id="89" w:name="_Ref467379863"/>
      <w:bookmarkStart w:id="90" w:name="_Toc487900358"/>
      <w:bookmarkStart w:id="91" w:name="_Toc259093677"/>
      <w:bookmarkStart w:id="92" w:name="_Ref467379852"/>
      <w:bookmarkStart w:id="93" w:name="_Toc279701248"/>
      <w:bookmarkStart w:id="94" w:name="_Toc774"/>
      <w:bookmarkStart w:id="95" w:name="_Toc16110"/>
      <w:bookmarkStart w:id="96" w:name="_Toc3225"/>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279701252"/>
      <w:bookmarkStart w:id="100" w:name="_Toc487900362"/>
      <w:bookmarkStart w:id="101" w:name="_Toc259093681"/>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Ref467378121"/>
      <w:bookmarkStart w:id="105" w:name="_Toc487900364"/>
      <w:bookmarkStart w:id="106" w:name="_Toc279701254"/>
      <w:bookmarkStart w:id="107" w:name="_Toc259093683"/>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pPr>
        <w:spacing w:line="560" w:lineRule="exact"/>
        <w:ind w:firstLine="482" w:firstLineChars="200"/>
        <w:outlineLvl w:val="0"/>
        <w:rPr>
          <w:rFonts w:ascii="仿宋_GB2312" w:hAnsi="仿宋" w:eastAsia="仿宋_GB2312" w:cs="仿宋"/>
          <w:b/>
          <w:color w:val="auto"/>
          <w:sz w:val="24"/>
          <w:highlight w:val="none"/>
        </w:rPr>
      </w:pPr>
      <w:bookmarkStart w:id="111" w:name="_Toc15237"/>
      <w:bookmarkStart w:id="112" w:name="_Toc10366"/>
      <w:bookmarkStart w:id="113" w:name="_Toc22955"/>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6508"/>
      <w:bookmarkStart w:id="115" w:name="_Toc13566"/>
      <w:bookmarkStart w:id="116" w:name="_Toc14066"/>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259093684"/>
      <w:bookmarkStart w:id="118" w:name="_Toc279701255"/>
      <w:bookmarkStart w:id="119" w:name="_Toc6969"/>
      <w:bookmarkStart w:id="120" w:name="_Toc689"/>
      <w:bookmarkStart w:id="121" w:name="_Toc30676"/>
      <w:bookmarkStart w:id="122" w:name="_Toc487900365"/>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259093687"/>
      <w:bookmarkStart w:id="124" w:name="_Toc487900368"/>
      <w:bookmarkStart w:id="125" w:name="_Toc7102"/>
      <w:bookmarkStart w:id="126" w:name="_Toc16959"/>
      <w:bookmarkStart w:id="127" w:name="_Toc8298"/>
      <w:bookmarkStart w:id="128" w:name="_Toc279701258"/>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29333"/>
      <w:bookmarkStart w:id="130" w:name="_Toc15387"/>
      <w:bookmarkStart w:id="131" w:name="_Toc6134"/>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6596"/>
      <w:bookmarkStart w:id="133" w:name="_Toc14563"/>
      <w:bookmarkStart w:id="134" w:name="_Toc1125"/>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259093690"/>
      <w:bookmarkStart w:id="136" w:name="_Toc487900371"/>
      <w:bookmarkStart w:id="137" w:name="_Toc279701261"/>
      <w:bookmarkStart w:id="138" w:name="_Toc11284"/>
      <w:bookmarkStart w:id="139" w:name="_Toc25182"/>
      <w:bookmarkStart w:id="140" w:name="_Toc1960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487900372"/>
      <w:bookmarkStart w:id="144" w:name="_Toc259093691"/>
      <w:bookmarkStart w:id="145"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294"/>
      <w:bookmarkStart w:id="147"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18540"/>
      <w:bookmarkStart w:id="149" w:name="_Toc30599"/>
      <w:bookmarkStart w:id="150" w:name="_Toc4355"/>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10330"/>
      <w:bookmarkStart w:id="152" w:name="_Toc18567"/>
      <w:bookmarkStart w:id="153" w:name="_Toc259093692"/>
      <w:bookmarkStart w:id="154" w:name="_Toc487900373"/>
      <w:bookmarkStart w:id="155" w:name="_Toc12773"/>
      <w:bookmarkStart w:id="156" w:name="_Toc27970126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6885"/>
      <w:bookmarkStart w:id="158" w:name="_Toc14001"/>
      <w:bookmarkStart w:id="159" w:name="_Toc19890"/>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tbl>
      <w:tblPr>
        <w:tblStyle w:val="63"/>
        <w:tblW w:w="905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186"/>
        <w:gridCol w:w="706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800"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186"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w:t>
            </w:r>
          </w:p>
        </w:tc>
        <w:tc>
          <w:tcPr>
            <w:tcW w:w="7067"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评分内容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0"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p>
        </w:tc>
        <w:tc>
          <w:tcPr>
            <w:tcW w:w="1186"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技术参数</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（28分）</w:t>
            </w:r>
          </w:p>
        </w:tc>
        <w:tc>
          <w:tcPr>
            <w:tcW w:w="7067"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技术参数响应情况：对应于招标文件第三部分招标项目范围及要求——8.招标项目设备名称及数量——“</w:t>
            </w:r>
            <w:r>
              <w:rPr>
                <w:rFonts w:hint="eastAsia" w:ascii="仿宋_GB2312" w:hAnsi="仿宋_GB2312" w:eastAsia="仿宋_GB2312" w:cs="仿宋_GB2312"/>
                <w:color w:val="auto"/>
                <w:sz w:val="22"/>
                <w:szCs w:val="22"/>
                <w:highlight w:val="none"/>
                <w:lang w:val="en-US" w:eastAsia="zh-CN"/>
              </w:rPr>
              <w:t>二、</w:t>
            </w:r>
            <w:r>
              <w:rPr>
                <w:rFonts w:hint="eastAsia" w:ascii="仿宋_GB2312" w:hAnsi="仿宋_GB2312" w:eastAsia="仿宋_GB2312" w:cs="仿宋_GB2312"/>
                <w:color w:val="auto"/>
                <w:sz w:val="22"/>
                <w:szCs w:val="22"/>
                <w:highlight w:val="none"/>
              </w:rPr>
              <w:t>详细技术参数”，完全满足指标参数得28分。打“★”号的性能指标为实质性指标，若出现负偏离作无效标处理；打“▲”为主要性能指标，每有一项负偏离扣2分；其他指标，每有一项负偏离扣1分，扣完为止。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800"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w:t>
            </w:r>
          </w:p>
        </w:tc>
        <w:tc>
          <w:tcPr>
            <w:tcW w:w="1186"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业绩分</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sz w:val="22"/>
                <w:szCs w:val="22"/>
                <w:highlight w:val="none"/>
                <w:lang w:val="en-US" w:eastAsia="zh-CN"/>
              </w:rPr>
              <w:t>4</w:t>
            </w:r>
            <w:bookmarkStart w:id="166" w:name="_GoBack"/>
            <w:bookmarkEnd w:id="166"/>
            <w:r>
              <w:rPr>
                <w:rFonts w:hint="eastAsia" w:ascii="仿宋_GB2312" w:hAnsi="仿宋_GB2312" w:eastAsia="仿宋_GB2312" w:cs="仿宋_GB2312"/>
                <w:color w:val="auto"/>
                <w:sz w:val="22"/>
                <w:szCs w:val="22"/>
                <w:highlight w:val="none"/>
              </w:rPr>
              <w:t>分）</w:t>
            </w:r>
          </w:p>
        </w:tc>
        <w:tc>
          <w:tcPr>
            <w:tcW w:w="7067"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投标人自2021年1月1日以来（以合同签订时间为准）完成的同类案例，每有1个得1分，满分</w:t>
            </w:r>
            <w:r>
              <w:rPr>
                <w:rFonts w:hint="eastAsia" w:ascii="仿宋_GB2312" w:hAnsi="仿宋_GB2312" w:eastAsia="仿宋_GB2312" w:cs="仿宋_GB2312"/>
                <w:color w:val="auto"/>
                <w:sz w:val="22"/>
                <w:szCs w:val="22"/>
                <w:highlight w:val="none"/>
                <w:lang w:val="en-US" w:eastAsia="zh-CN"/>
              </w:rPr>
              <w:t>4</w:t>
            </w:r>
            <w:r>
              <w:rPr>
                <w:rFonts w:hint="eastAsia" w:ascii="仿宋_GB2312" w:hAnsi="仿宋_GB2312" w:eastAsia="仿宋_GB2312" w:cs="仿宋_GB2312"/>
                <w:color w:val="auto"/>
                <w:sz w:val="22"/>
                <w:szCs w:val="22"/>
                <w:highlight w:val="none"/>
              </w:rPr>
              <w:t>分。</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bCs/>
                <w:color w:val="auto"/>
                <w:sz w:val="22"/>
                <w:szCs w:val="22"/>
                <w:highlight w:val="none"/>
              </w:rPr>
              <w:t>注：每个案例提供合同复印件加盖投标人公章。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lang w:bidi="ar"/>
              </w:rPr>
            </w:pPr>
            <w:r>
              <w:rPr>
                <w:rFonts w:hint="eastAsia" w:ascii="仿宋_GB2312" w:hAnsi="仿宋_GB2312" w:eastAsia="仿宋_GB2312" w:cs="仿宋_GB2312"/>
                <w:color w:val="auto"/>
                <w:sz w:val="22"/>
                <w:szCs w:val="22"/>
                <w:highlight w:val="none"/>
                <w:lang w:bidi="ar"/>
              </w:rPr>
              <w:t>产品质量控制</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（3分）</w:t>
            </w:r>
          </w:p>
        </w:tc>
        <w:tc>
          <w:tcPr>
            <w:tcW w:w="7067" w:type="dxa"/>
            <w:tcBorders>
              <w:bottom w:val="single" w:color="auto" w:sz="4" w:space="0"/>
            </w:tcBorders>
            <w:noWrap/>
            <w:vAlign w:val="center"/>
          </w:tcPr>
          <w:p>
            <w:pPr>
              <w:pStyle w:val="117"/>
              <w:keepNext w:val="0"/>
              <w:keepLines w:val="0"/>
              <w:pageBreakBefore w:val="0"/>
              <w:widowControl/>
              <w:kinsoku/>
              <w:wordWrap/>
              <w:overflowPunct/>
              <w:topLinePunct w:val="0"/>
              <w:autoSpaceDE/>
              <w:autoSpaceDN/>
              <w:bidi w:val="0"/>
              <w:adjustRightInd/>
              <w:snapToGrid/>
              <w:spacing w:after="0" w:line="440" w:lineRule="exact"/>
              <w:ind w:left="0" w:firstLine="0" w:firstLineChars="0"/>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2"/>
                <w:sz w:val="22"/>
                <w:szCs w:val="22"/>
                <w:highlight w:val="none"/>
                <w:lang w:val="en-US" w:eastAsia="zh-CN" w:bidi="ar-SA"/>
              </w:rPr>
              <w:t>投标人根据本项目要求提供的有明确的产品质量保证目标，具备完整的质量管控和保证措施，具备完整的项目风险控制手段和机制，具有详细的应急方案等进行打分（0-3分）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4</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供货方案</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（3分）</w:t>
            </w:r>
          </w:p>
        </w:tc>
        <w:tc>
          <w:tcPr>
            <w:tcW w:w="706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lang w:eastAsia="zh-CN" w:bidi="ar"/>
              </w:rPr>
            </w:pPr>
            <w:r>
              <w:rPr>
                <w:rFonts w:hint="eastAsia" w:ascii="仿宋_GB2312" w:hAnsi="仿宋_GB2312" w:eastAsia="仿宋_GB2312" w:cs="仿宋_GB2312"/>
                <w:color w:val="auto"/>
                <w:sz w:val="22"/>
                <w:szCs w:val="22"/>
                <w:highlight w:val="none"/>
              </w:rPr>
              <w:t>根据</w:t>
            </w:r>
            <w:r>
              <w:rPr>
                <w:rFonts w:hint="eastAsia" w:ascii="仿宋_GB2312" w:hAnsi="仿宋_GB2312" w:eastAsia="仿宋_GB2312" w:cs="仿宋_GB2312"/>
                <w:color w:val="auto"/>
                <w:sz w:val="22"/>
                <w:szCs w:val="22"/>
                <w:highlight w:val="none"/>
                <w:lang w:val="en-US" w:eastAsia="zh-CN"/>
              </w:rPr>
              <w:t>投标人提供的</w:t>
            </w:r>
            <w:r>
              <w:rPr>
                <w:rFonts w:hint="eastAsia" w:ascii="仿宋_GB2312" w:hAnsi="仿宋_GB2312" w:eastAsia="仿宋_GB2312" w:cs="仿宋_GB2312"/>
                <w:color w:val="auto"/>
                <w:sz w:val="22"/>
                <w:szCs w:val="22"/>
                <w:highlight w:val="none"/>
              </w:rPr>
              <w:t>详细供货方案</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lang w:val="en-US" w:eastAsia="zh-CN"/>
              </w:rPr>
              <w:t>包括</w:t>
            </w:r>
            <w:r>
              <w:rPr>
                <w:rFonts w:hint="eastAsia" w:ascii="仿宋_GB2312" w:hAnsi="仿宋_GB2312" w:eastAsia="仿宋_GB2312" w:cs="仿宋_GB2312"/>
                <w:color w:val="auto"/>
                <w:sz w:val="22"/>
                <w:szCs w:val="22"/>
                <w:highlight w:val="none"/>
              </w:rPr>
              <w:t>设备</w:t>
            </w:r>
            <w:r>
              <w:rPr>
                <w:rFonts w:hint="eastAsia" w:ascii="仿宋_GB2312" w:hAnsi="仿宋_GB2312" w:eastAsia="仿宋_GB2312" w:cs="仿宋_GB2312"/>
                <w:color w:val="auto"/>
                <w:sz w:val="22"/>
                <w:szCs w:val="22"/>
                <w:highlight w:val="none"/>
                <w:lang w:val="en-US" w:eastAsia="zh-CN"/>
              </w:rPr>
              <w:t>供货</w:t>
            </w:r>
            <w:r>
              <w:rPr>
                <w:rFonts w:hint="eastAsia" w:ascii="仿宋_GB2312" w:hAnsi="仿宋_GB2312" w:eastAsia="仿宋_GB2312" w:cs="仿宋_GB2312"/>
                <w:color w:val="auto"/>
                <w:sz w:val="22"/>
                <w:szCs w:val="22"/>
                <w:highlight w:val="none"/>
              </w:rPr>
              <w:t>计划，供货组织</w:t>
            </w:r>
            <w:r>
              <w:rPr>
                <w:rFonts w:hint="eastAsia" w:ascii="仿宋_GB2312" w:hAnsi="仿宋_GB2312" w:eastAsia="仿宋_GB2312" w:cs="仿宋_GB2312"/>
                <w:color w:val="auto"/>
                <w:sz w:val="22"/>
                <w:szCs w:val="22"/>
                <w:highlight w:val="none"/>
                <w:lang w:val="en-US" w:eastAsia="zh-CN"/>
              </w:rPr>
              <w:t>保障</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rPr>
              <w:t>时间</w:t>
            </w:r>
            <w:r>
              <w:rPr>
                <w:rFonts w:hint="eastAsia" w:ascii="仿宋_GB2312" w:hAnsi="仿宋_GB2312" w:eastAsia="仿宋_GB2312" w:cs="仿宋_GB2312"/>
                <w:color w:val="auto"/>
                <w:sz w:val="22"/>
                <w:szCs w:val="22"/>
                <w:highlight w:val="none"/>
                <w:lang w:val="en-US" w:eastAsia="zh-CN"/>
              </w:rPr>
              <w:t>节点</w:t>
            </w:r>
            <w:r>
              <w:rPr>
                <w:rFonts w:hint="eastAsia" w:ascii="仿宋_GB2312" w:hAnsi="仿宋_GB2312" w:eastAsia="仿宋_GB2312" w:cs="仿宋_GB2312"/>
                <w:color w:val="auto"/>
                <w:sz w:val="22"/>
                <w:szCs w:val="22"/>
                <w:highlight w:val="none"/>
              </w:rPr>
              <w:t>安排</w:t>
            </w:r>
            <w:r>
              <w:rPr>
                <w:rFonts w:hint="eastAsia" w:ascii="仿宋_GB2312" w:hAnsi="仿宋_GB2312" w:eastAsia="仿宋_GB2312" w:cs="仿宋_GB2312"/>
                <w:color w:val="auto"/>
                <w:sz w:val="22"/>
                <w:szCs w:val="22"/>
                <w:highlight w:val="none"/>
                <w:lang w:val="en-US" w:eastAsia="zh-CN"/>
              </w:rPr>
              <w:t>等</w:t>
            </w:r>
            <w:r>
              <w:rPr>
                <w:rFonts w:hint="eastAsia" w:ascii="仿宋_GB2312" w:hAnsi="仿宋_GB2312" w:eastAsia="仿宋_GB2312" w:cs="仿宋_GB2312"/>
                <w:color w:val="auto"/>
                <w:sz w:val="22"/>
                <w:szCs w:val="22"/>
                <w:highlight w:val="none"/>
              </w:rPr>
              <w:t>情况进行</w:t>
            </w:r>
            <w:r>
              <w:rPr>
                <w:rFonts w:hint="eastAsia" w:ascii="仿宋_GB2312" w:hAnsi="仿宋_GB2312" w:eastAsia="仿宋_GB2312" w:cs="仿宋_GB2312"/>
                <w:color w:val="auto"/>
                <w:sz w:val="22"/>
                <w:szCs w:val="22"/>
                <w:highlight w:val="none"/>
                <w:lang w:val="en-US" w:eastAsia="zh-CN"/>
              </w:rPr>
              <w:t>打分</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rPr>
              <w:t>0-3分</w:t>
            </w:r>
            <w:r>
              <w:rPr>
                <w:rFonts w:hint="eastAsia" w:ascii="仿宋_GB2312" w:hAnsi="仿宋_GB2312" w:eastAsia="仿宋_GB2312" w:cs="仿宋_GB2312"/>
                <w:color w:val="auto"/>
                <w:sz w:val="22"/>
                <w:szCs w:val="22"/>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ascii="仿宋_GB2312" w:hAnsi="仿宋_GB2312" w:eastAsia="仿宋_GB2312" w:cs="仿宋_GB2312"/>
                <w:color w:val="auto"/>
                <w:sz w:val="22"/>
                <w:szCs w:val="22"/>
                <w:highlight w:val="none"/>
              </w:rPr>
              <w:t>5</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实施方案</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（5分）</w:t>
            </w:r>
          </w:p>
        </w:tc>
        <w:tc>
          <w:tcPr>
            <w:tcW w:w="706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2"/>
                <w:szCs w:val="22"/>
                <w:highlight w:val="none"/>
                <w:lang w:val="en-US" w:eastAsia="zh-CN" w:bidi="ar"/>
              </w:rPr>
            </w:pPr>
            <w:r>
              <w:rPr>
                <w:rFonts w:hint="eastAsia" w:ascii="仿宋_GB2312" w:hAnsi="仿宋_GB2312" w:eastAsia="仿宋_GB2312" w:cs="仿宋_GB2312"/>
                <w:color w:val="auto"/>
                <w:sz w:val="22"/>
                <w:szCs w:val="22"/>
                <w:highlight w:val="none"/>
              </w:rPr>
              <w:t>根据</w:t>
            </w:r>
            <w:r>
              <w:rPr>
                <w:rFonts w:hint="eastAsia" w:ascii="仿宋_GB2312" w:hAnsi="仿宋_GB2312" w:eastAsia="仿宋_GB2312" w:cs="仿宋_GB2312"/>
                <w:color w:val="auto"/>
                <w:sz w:val="22"/>
                <w:szCs w:val="22"/>
                <w:highlight w:val="none"/>
                <w:lang w:val="en-US" w:eastAsia="zh-CN"/>
              </w:rPr>
              <w:t>投标人提供的实施方案，包括</w:t>
            </w:r>
            <w:r>
              <w:rPr>
                <w:rFonts w:hint="eastAsia" w:ascii="仿宋_GB2312" w:hAnsi="仿宋_GB2312" w:eastAsia="仿宋_GB2312" w:cs="仿宋_GB2312"/>
                <w:color w:val="auto"/>
                <w:sz w:val="22"/>
                <w:szCs w:val="22"/>
                <w:highlight w:val="none"/>
              </w:rPr>
              <w:t>项目人员组成、</w:t>
            </w:r>
            <w:r>
              <w:rPr>
                <w:rFonts w:hint="eastAsia" w:ascii="仿宋_GB2312" w:hAnsi="仿宋_GB2312" w:eastAsia="仿宋_GB2312" w:cs="仿宋_GB2312"/>
                <w:color w:val="auto"/>
                <w:sz w:val="22"/>
                <w:szCs w:val="22"/>
                <w:highlight w:val="none"/>
                <w:lang w:val="en-US" w:eastAsia="zh-CN"/>
              </w:rPr>
              <w:t>废旧设施设备拆除、建筑垃圾清运、</w:t>
            </w:r>
            <w:r>
              <w:rPr>
                <w:rFonts w:hint="eastAsia" w:ascii="仿宋_GB2312" w:hAnsi="仿宋_GB2312" w:eastAsia="仿宋_GB2312" w:cs="仿宋_GB2312"/>
                <w:color w:val="auto"/>
                <w:sz w:val="22"/>
                <w:szCs w:val="22"/>
                <w:highlight w:val="none"/>
              </w:rPr>
              <w:t>项目安全措施、布</w:t>
            </w:r>
            <w:r>
              <w:rPr>
                <w:rFonts w:hint="eastAsia" w:ascii="仿宋_GB2312" w:hAnsi="仿宋_GB2312" w:eastAsia="仿宋_GB2312" w:cs="仿宋_GB2312"/>
                <w:color w:val="auto"/>
                <w:sz w:val="22"/>
                <w:szCs w:val="22"/>
                <w:highlight w:val="none"/>
                <w:lang w:val="en-US" w:eastAsia="zh-CN"/>
              </w:rPr>
              <w:t>线</w:t>
            </w:r>
            <w:r>
              <w:rPr>
                <w:rFonts w:hint="eastAsia" w:ascii="仿宋_GB2312" w:hAnsi="仿宋_GB2312" w:eastAsia="仿宋_GB2312" w:cs="仿宋_GB2312"/>
                <w:color w:val="auto"/>
                <w:sz w:val="22"/>
                <w:szCs w:val="22"/>
                <w:highlight w:val="none"/>
              </w:rPr>
              <w:t>安装调试</w:t>
            </w:r>
            <w:r>
              <w:rPr>
                <w:rFonts w:hint="eastAsia" w:ascii="仿宋_GB2312" w:hAnsi="仿宋_GB2312" w:eastAsia="仿宋_GB2312" w:cs="仿宋_GB2312"/>
                <w:color w:val="auto"/>
                <w:sz w:val="22"/>
                <w:szCs w:val="22"/>
                <w:highlight w:val="none"/>
                <w:lang w:eastAsia="zh-CN"/>
              </w:rPr>
              <w:t>、</w:t>
            </w:r>
            <w:r>
              <w:rPr>
                <w:rFonts w:hint="eastAsia" w:ascii="仿宋_GB2312" w:hAnsi="仿宋_GB2312" w:eastAsia="仿宋_GB2312" w:cs="仿宋_GB2312"/>
                <w:color w:val="auto"/>
                <w:sz w:val="22"/>
                <w:szCs w:val="22"/>
                <w:highlight w:val="none"/>
                <w:lang w:val="en-US" w:eastAsia="zh-CN"/>
              </w:rPr>
              <w:t>软硬件功能调试、</w:t>
            </w:r>
            <w:r>
              <w:rPr>
                <w:rFonts w:hint="eastAsia" w:ascii="仿宋_GB2312" w:hAnsi="仿宋_GB2312" w:eastAsia="仿宋_GB2312" w:cs="仿宋_GB2312"/>
                <w:color w:val="auto"/>
                <w:sz w:val="22"/>
                <w:szCs w:val="22"/>
                <w:highlight w:val="none"/>
              </w:rPr>
              <w:t>技术</w:t>
            </w:r>
            <w:r>
              <w:rPr>
                <w:rFonts w:hint="eastAsia" w:ascii="仿宋_GB2312" w:hAnsi="仿宋_GB2312" w:eastAsia="仿宋_GB2312" w:cs="仿宋_GB2312"/>
                <w:color w:val="auto"/>
                <w:sz w:val="22"/>
                <w:szCs w:val="22"/>
                <w:highlight w:val="none"/>
                <w:lang w:val="en-US" w:eastAsia="zh-CN"/>
              </w:rPr>
              <w:t>质量</w:t>
            </w:r>
            <w:r>
              <w:rPr>
                <w:rFonts w:hint="eastAsia" w:ascii="仿宋_GB2312" w:hAnsi="仿宋_GB2312" w:eastAsia="仿宋_GB2312" w:cs="仿宋_GB2312"/>
                <w:color w:val="auto"/>
                <w:sz w:val="22"/>
                <w:szCs w:val="22"/>
                <w:highlight w:val="none"/>
              </w:rPr>
              <w:t>控制措施等情况进行打分，0-5分。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800"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lang w:val="en-US" w:eastAsia="zh-CN"/>
              </w:rPr>
              <w:t>6</w:t>
            </w:r>
          </w:p>
        </w:tc>
        <w:tc>
          <w:tcPr>
            <w:tcW w:w="1186"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售后服务</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kern w:val="2"/>
                <w:sz w:val="22"/>
                <w:szCs w:val="22"/>
                <w:highlight w:val="none"/>
                <w:lang w:val="en-US" w:eastAsia="zh-CN" w:bidi="ar-SA"/>
              </w:rPr>
            </w:pPr>
            <w:r>
              <w:rPr>
                <w:rFonts w:hint="eastAsia" w:ascii="仿宋_GB2312" w:hAnsi="仿宋_GB2312" w:eastAsia="仿宋_GB2312" w:cs="仿宋_GB2312"/>
                <w:color w:val="auto"/>
                <w:sz w:val="22"/>
                <w:szCs w:val="22"/>
                <w:highlight w:val="none"/>
              </w:rPr>
              <w:t>（</w:t>
            </w:r>
            <w:r>
              <w:rPr>
                <w:rFonts w:ascii="仿宋_GB2312" w:hAnsi="仿宋_GB2312" w:eastAsia="仿宋_GB2312" w:cs="仿宋_GB2312"/>
                <w:color w:val="auto"/>
                <w:sz w:val="22"/>
                <w:szCs w:val="22"/>
                <w:highlight w:val="none"/>
              </w:rPr>
              <w:t>3</w:t>
            </w:r>
            <w:r>
              <w:rPr>
                <w:rFonts w:hint="eastAsia" w:ascii="仿宋_GB2312" w:hAnsi="仿宋_GB2312" w:eastAsia="仿宋_GB2312" w:cs="仿宋_GB2312"/>
                <w:color w:val="auto"/>
                <w:sz w:val="22"/>
                <w:szCs w:val="22"/>
                <w:highlight w:val="none"/>
              </w:rPr>
              <w:t>分）</w:t>
            </w:r>
          </w:p>
        </w:tc>
        <w:tc>
          <w:tcPr>
            <w:tcW w:w="7067"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kern w:val="2"/>
                <w:sz w:val="22"/>
                <w:szCs w:val="22"/>
                <w:highlight w:val="none"/>
                <w:lang w:val="en-US" w:eastAsia="zh-CN" w:bidi="ar"/>
              </w:rPr>
            </w:pPr>
            <w:r>
              <w:rPr>
                <w:rFonts w:hint="eastAsia" w:ascii="仿宋_GB2312" w:hAnsi="仿宋_GB2312" w:eastAsia="仿宋_GB2312" w:cs="仿宋_GB2312"/>
                <w:color w:val="auto"/>
                <w:sz w:val="22"/>
                <w:szCs w:val="22"/>
                <w:highlight w:val="none"/>
              </w:rPr>
              <w:t>投标人提供的售后服务方案,对服务承诺的保障机制，培训计划，售后服务技术和维护能力，升级服务，对故障的响应，解决问题的方案，维护人员和服务机构的设立情况，对其服务承诺等方面进行打分（0-3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800"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lang w:val="en-US" w:eastAsia="zh-CN"/>
              </w:rPr>
              <w:t>7</w:t>
            </w:r>
          </w:p>
        </w:tc>
        <w:tc>
          <w:tcPr>
            <w:tcW w:w="1186"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管理软件</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功能演示</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（12分）</w:t>
            </w:r>
          </w:p>
        </w:tc>
        <w:tc>
          <w:tcPr>
            <w:tcW w:w="7067" w:type="dxa"/>
            <w:tcBorders>
              <w:top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val="en-US" w:eastAsia="zh-CN"/>
              </w:rPr>
              <w:t>本项目要求进行管理软件功能演示，演示时间不超过15分钟，根据演示情况进行打分</w:t>
            </w:r>
            <w:r>
              <w:rPr>
                <w:rFonts w:hint="eastAsia" w:ascii="仿宋_GB2312" w:hAnsi="仿宋_GB2312" w:eastAsia="仿宋_GB2312" w:cs="仿宋_GB2312"/>
                <w:b/>
                <w:bCs/>
                <w:color w:val="auto"/>
                <w:sz w:val="22"/>
                <w:szCs w:val="22"/>
                <w:highlight w:val="none"/>
                <w:lang w:val="en-US" w:eastAsia="zh-CN"/>
              </w:rPr>
              <w:t>（仅以</w:t>
            </w:r>
            <w:r>
              <w:rPr>
                <w:rFonts w:hint="eastAsia" w:ascii="仿宋_GB2312" w:hAnsi="仿宋_GB2312" w:eastAsia="仿宋_GB2312" w:cs="仿宋_GB2312"/>
                <w:b/>
                <w:bCs/>
                <w:color w:val="auto"/>
                <w:sz w:val="22"/>
                <w:szCs w:val="22"/>
                <w:highlight w:val="none"/>
              </w:rPr>
              <w:t>PPT</w:t>
            </w:r>
            <w:r>
              <w:rPr>
                <w:rFonts w:hint="eastAsia" w:ascii="仿宋_GB2312" w:hAnsi="仿宋_GB2312" w:eastAsia="仿宋_GB2312" w:cs="仿宋_GB2312"/>
                <w:b/>
                <w:bCs/>
                <w:color w:val="auto"/>
                <w:sz w:val="22"/>
                <w:szCs w:val="22"/>
                <w:highlight w:val="none"/>
                <w:lang w:val="en-US" w:eastAsia="zh-CN"/>
              </w:rPr>
              <w:t>或</w:t>
            </w:r>
            <w:r>
              <w:rPr>
                <w:rFonts w:hint="eastAsia" w:ascii="仿宋_GB2312" w:hAnsi="仿宋_GB2312" w:eastAsia="仿宋_GB2312" w:cs="仿宋_GB2312"/>
                <w:b/>
                <w:bCs/>
                <w:color w:val="auto"/>
                <w:sz w:val="22"/>
                <w:szCs w:val="22"/>
                <w:highlight w:val="none"/>
              </w:rPr>
              <w:t>图片</w:t>
            </w:r>
            <w:r>
              <w:rPr>
                <w:rFonts w:hint="eastAsia" w:ascii="仿宋_GB2312" w:hAnsi="仿宋_GB2312" w:eastAsia="仿宋_GB2312" w:cs="仿宋_GB2312"/>
                <w:b/>
                <w:bCs/>
                <w:color w:val="auto"/>
                <w:sz w:val="22"/>
                <w:szCs w:val="22"/>
                <w:highlight w:val="none"/>
                <w:lang w:val="en-US" w:eastAsia="zh-CN"/>
              </w:rPr>
              <w:t>演示不得分）</w:t>
            </w:r>
            <w:r>
              <w:rPr>
                <w:rFonts w:hint="eastAsia" w:ascii="仿宋_GB2312" w:hAnsi="仿宋_GB2312" w:eastAsia="仿宋_GB2312" w:cs="仿宋_GB2312"/>
                <w:color w:val="auto"/>
                <w:sz w:val="22"/>
                <w:szCs w:val="22"/>
                <w:highlight w:val="none"/>
                <w:lang w:val="en-US" w:eastAsia="zh-CN"/>
              </w:rPr>
              <w:t>，具体演示要求详见前附表，演示内容如下：</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1、支持密码遗忘后快速找回功能，可通过加密密文等方式进行密码快速找回功能，</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2、能够针对学生软件使用、上网操作进行记录，并支持按照应用、访问网址进行查询，能够根据时间段进行搜索，搜索时间精确到秒，针对上网操作，能够展示网址及网站标题信息，支持表格导出，</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3、支持教学过程中的网络限制策略，能够设定禁用外网或禁用全部网络，并支持设置例外，例外类型包括ip地址、网址、端口，并设置生效时间区间，能够精确到秒，支持按天执行、按周执行、按月执行，</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支持教学过程中的程序限制策略，支持黑名单、白名单两种模式，能够根据手动添加、应用进程、系统自带进程进行设置，并能够通过客户端实时识别操作系统进程进行控制，并设置生效时间区间，能够精确到秒，支持按天执行、按周执行、按月执行，</w:t>
            </w:r>
            <w:r>
              <w:rPr>
                <w:rFonts w:hint="eastAsia" w:ascii="仿宋_GB2312" w:hAnsi="仿宋_GB2312" w:eastAsia="仿宋_GB2312" w:cs="仿宋_GB2312"/>
                <w:color w:val="auto"/>
                <w:sz w:val="22"/>
                <w:szCs w:val="22"/>
                <w:highlight w:val="none"/>
                <w:lang w:val="en-US" w:eastAsia="zh-CN"/>
              </w:rPr>
              <w:t>0-3分</w:t>
            </w:r>
            <w:r>
              <w:rPr>
                <w:rFonts w:hint="eastAsia" w:ascii="仿宋_GB2312" w:hAnsi="仿宋_GB2312" w:eastAsia="仿宋_GB2312" w:cs="仿宋_GB2312"/>
                <w:color w:val="auto"/>
                <w:sz w:val="22"/>
                <w:szCs w:val="22"/>
                <w:highlight w:val="none"/>
              </w:rPr>
              <w:t>。</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bCs/>
                <w:color w:val="auto"/>
                <w:sz w:val="22"/>
                <w:szCs w:val="22"/>
                <w:highlight w:val="none"/>
              </w:rPr>
              <w:t>注：在演示中未得分的功能项，在打分项“技术参数”中不再重复扣分。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800" w:type="dxa"/>
            <w:noWrap/>
            <w:vAlign w:val="center"/>
          </w:tcPr>
          <w:p>
            <w:pPr>
              <w:keepNext w:val="0"/>
              <w:keepLines w:val="0"/>
              <w:pageBreakBefore w:val="0"/>
              <w:kinsoku/>
              <w:wordWrap/>
              <w:overflowPunct/>
              <w:topLinePunct w:val="0"/>
              <w:autoSpaceDE/>
              <w:autoSpaceDN/>
              <w:bidi w:val="0"/>
              <w:adjustRightInd/>
              <w:snapToGrid/>
              <w:spacing w:line="440" w:lineRule="exact"/>
              <w:ind w:firstLine="220" w:firstLineChars="100"/>
              <w:jc w:val="both"/>
              <w:textAlignment w:val="auto"/>
              <w:rPr>
                <w:rFonts w:hint="eastAsia" w:ascii="仿宋_GB2312" w:hAnsi="仿宋_GB2312" w:eastAsia="仿宋_GB2312" w:cs="仿宋_GB2312"/>
                <w:color w:val="auto"/>
                <w:sz w:val="22"/>
                <w:szCs w:val="22"/>
                <w:highlight w:val="none"/>
              </w:rPr>
            </w:pPr>
            <w:r>
              <w:rPr>
                <w:rFonts w:ascii="仿宋_GB2312" w:hAnsi="仿宋_GB2312" w:eastAsia="仿宋_GB2312" w:cs="仿宋_GB2312"/>
                <w:color w:val="auto"/>
                <w:sz w:val="22"/>
                <w:szCs w:val="22"/>
                <w:highlight w:val="none"/>
              </w:rPr>
              <w:t>8</w:t>
            </w:r>
          </w:p>
        </w:tc>
        <w:tc>
          <w:tcPr>
            <w:tcW w:w="1186" w:type="dxa"/>
            <w:noWrap/>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备品备件（</w:t>
            </w:r>
            <w:r>
              <w:rPr>
                <w:rFonts w:ascii="仿宋_GB2312" w:hAnsi="仿宋_GB2312" w:eastAsia="仿宋_GB2312" w:cs="仿宋_GB2312"/>
                <w:color w:val="auto"/>
                <w:sz w:val="22"/>
                <w:szCs w:val="22"/>
                <w:highlight w:val="none"/>
              </w:rPr>
              <w:t>2</w:t>
            </w:r>
            <w:r>
              <w:rPr>
                <w:rFonts w:hint="eastAsia" w:ascii="仿宋_GB2312" w:hAnsi="仿宋_GB2312" w:eastAsia="仿宋_GB2312" w:cs="仿宋_GB2312"/>
                <w:color w:val="auto"/>
                <w:sz w:val="22"/>
                <w:szCs w:val="22"/>
                <w:highlight w:val="none"/>
              </w:rPr>
              <w:t>分）</w:t>
            </w:r>
          </w:p>
        </w:tc>
        <w:tc>
          <w:tcPr>
            <w:tcW w:w="7067" w:type="dxa"/>
            <w:noWrap/>
            <w:vAlign w:val="center"/>
          </w:tcPr>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根据投标人对设备的原厂零配件、备件情况及保障措施情况等方面进行</w:t>
            </w:r>
            <w:r>
              <w:rPr>
                <w:rFonts w:hint="eastAsia" w:ascii="仿宋_GB2312" w:hAnsi="仿宋_GB2312" w:eastAsia="仿宋_GB2312" w:cs="仿宋_GB2312"/>
                <w:color w:val="auto"/>
                <w:sz w:val="22"/>
                <w:szCs w:val="22"/>
                <w:highlight w:val="none"/>
                <w:lang w:val="en-US" w:eastAsia="zh-CN"/>
              </w:rPr>
              <w:t>打分</w:t>
            </w:r>
            <w:r>
              <w:rPr>
                <w:rFonts w:hint="eastAsia" w:ascii="仿宋_GB2312" w:hAnsi="仿宋_GB2312" w:eastAsia="仿宋_GB2312" w:cs="仿宋_GB2312"/>
                <w:color w:val="auto"/>
                <w:sz w:val="22"/>
                <w:szCs w:val="22"/>
                <w:highlight w:val="none"/>
              </w:rPr>
              <w:t>,</w:t>
            </w:r>
            <w:r>
              <w:rPr>
                <w:rFonts w:ascii="仿宋_GB2312" w:hAnsi="仿宋_GB2312" w:eastAsia="仿宋_GB2312" w:cs="仿宋_GB2312"/>
                <w:color w:val="auto"/>
                <w:sz w:val="22"/>
                <w:szCs w:val="22"/>
                <w:highlight w:val="none"/>
              </w:rPr>
              <w:t>0-2</w:t>
            </w:r>
            <w:r>
              <w:rPr>
                <w:rFonts w:hint="eastAsia" w:ascii="仿宋_GB2312" w:hAnsi="仿宋_GB2312" w:eastAsia="仿宋_GB2312" w:cs="仿宋_GB2312"/>
                <w:color w:val="auto"/>
                <w:sz w:val="22"/>
                <w:szCs w:val="22"/>
                <w:highlight w:val="none"/>
              </w:rPr>
              <w:t>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2.2价格分（40分）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即：投标报价得分=(评标基准价／投标报价)×40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5"/>
        <w:spacing w:line="800" w:lineRule="atLeast"/>
        <w:ind w:left="0" w:leftChars="0"/>
        <w:rPr>
          <w:rFonts w:ascii="仿宋_GB2312" w:hAnsi="宋体" w:eastAsia="仿宋_GB2312"/>
          <w:b/>
          <w:color w:val="auto"/>
          <w:sz w:val="36"/>
          <w:szCs w:val="36"/>
          <w:highlight w:val="none"/>
        </w:rPr>
      </w:pPr>
    </w:p>
    <w:p>
      <w:pPr>
        <w:pStyle w:val="25"/>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绍兴文理学院机电学院公共机房采购项目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2024-04-0049</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绍兴文理学院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绍兴文理学院机电学院公共机房采购项目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绍兴文理学院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绍兴文理学院机电学院公共机房采购项目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2024-04-0049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绍兴文理学院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绍兴文理学院机电学院公共机房采购项目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2024-04-0049</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4" w:name="OLE_LINK13"/>
      <w:bookmarkStart w:id="165" w:name="OLE_LINK14"/>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7B8B4B7"/>
    <w:multiLevelType w:val="singleLevel"/>
    <w:tmpl w:val="67B8B4B7"/>
    <w:lvl w:ilvl="0" w:tentative="0">
      <w:start w:val="1"/>
      <w:numFmt w:val="lowerLetter"/>
      <w:suff w:val="space"/>
      <w:lvlText w:val="%1)"/>
      <w:lvlJc w:val="left"/>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6"/>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19CF064A"/>
    <w:rsid w:val="2989420F"/>
    <w:rsid w:val="29A83F96"/>
    <w:rsid w:val="2FA54326"/>
    <w:rsid w:val="56DF3CA2"/>
    <w:rsid w:val="580D25F6"/>
    <w:rsid w:val="6A261A93"/>
    <w:rsid w:val="6EDB63E4"/>
    <w:rsid w:val="72E87C49"/>
    <w:rsid w:val="7341725F"/>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link w:val="230"/>
    <w:qFormat/>
    <w:uiPriority w:val="0"/>
    <w:pPr>
      <w:spacing w:after="120" w:line="240" w:lineRule="auto"/>
      <w:ind w:firstLine="420" w:firstLineChars="100"/>
    </w:pPr>
    <w:rPr>
      <w:rFonts w:eastAsia="宋体"/>
      <w:sz w:val="21"/>
    </w:rPr>
  </w:style>
  <w:style w:type="paragraph" w:styleId="25">
    <w:name w:val="Body Text Indent"/>
    <w:basedOn w:val="1"/>
    <w:next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2"/>
    <w:qFormat/>
    <w:uiPriority w:val="9"/>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9"/>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3</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cp:lastModifiedBy>
  <cp:lastPrinted>2023-07-24T23:14:00Z</cp:lastPrinted>
  <dcterms:modified xsi:type="dcterms:W3CDTF">2024-04-19T10:57:44Z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