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bookmarkStart w:id="138" w:name="_GoBack"/>
      <w:bookmarkEnd w:id="138"/>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上虞分院综合物业服务项目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2024-04-0047</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绍兴文理学院上虞分院综合物业服务项目</w:t>
                  </w:r>
                  <w:r>
                    <w:rPr>
                      <w:rFonts w:hint="eastAsia" w:ascii="仿宋_GB2312" w:hAnsi="新宋体" w:eastAsia="仿宋_GB2312"/>
                      <w:color w:val="auto"/>
                      <w:szCs w:val="24"/>
                      <w:highlight w:val="none"/>
                    </w:rPr>
                    <w:t>招标项目的潜在投标人应在政采云平台（https://www.zcygov.cn/）获取（下载）招标文件，并于2024年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月 </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日9 点00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2024-04-0047</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绍兴文理学院上虞分院综合物业服务项目</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900000</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900000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上虞分院综合物业服务项目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900000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 xml:space="preserve">2024年  月 </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 xml:space="preserve">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 xml:space="preserve">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地址：绍兴市上虞区东山路368号</w:t>
            </w:r>
          </w:p>
          <w:p>
            <w:pPr>
              <w:pStyle w:val="97"/>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 xml:space="preserve">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项目联系人（询问）：顾斌斌</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项目联系方式（询问）：15258503931</w:t>
            </w:r>
            <w:r>
              <w:rPr>
                <w:rFonts w:hint="eastAsia" w:ascii="仿宋_GB2312" w:hAnsi="新宋体" w:eastAsia="仿宋_GB2312"/>
                <w:color w:val="auto"/>
                <w:szCs w:val="24"/>
                <w:highlight w:val="none"/>
                <w:lang w:val="en-US" w:eastAsia="zh-CN"/>
              </w:rPr>
              <w:t xml:space="preserve">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val="en-US" w:eastAsia="zh-CN"/>
              </w:rPr>
              <w:t>聂玉冰</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0575-88342889</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2"/>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6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8230375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8230375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8230375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2"/>
        <w:snapToGrid w:val="0"/>
        <w:spacing w:after="0"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7"/>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7"/>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highlight w:val="none"/>
          <w:lang w:eastAsia="zh-CN"/>
        </w:rPr>
      </w:pPr>
      <w:bookmarkStart w:id="4" w:name="_Toc151354173"/>
      <w:bookmarkStart w:id="5" w:name="_Toc80157775"/>
      <w:bookmarkStart w:id="6" w:name="_Toc81372964"/>
      <w:bookmarkStart w:id="7" w:name="_Toc84325981"/>
      <w:bookmarkStart w:id="8" w:name="_Toc81372787"/>
      <w:r>
        <w:rPr>
          <w:rFonts w:hint="eastAsia" w:ascii="仿宋_GB2312" w:hAnsi="新宋体" w:eastAsia="仿宋_GB2312" w:cs="Arial"/>
          <w:b/>
          <w:bCs/>
          <w:color w:val="auto"/>
          <w:sz w:val="24"/>
          <w:highlight w:val="none"/>
          <w:bdr w:val="single" w:color="auto" w:sz="4" w:space="0"/>
        </w:rPr>
        <w:t>01标</w:t>
      </w:r>
      <w:bookmarkStart w:id="9" w:name="_Toc7206"/>
      <w:bookmarkStart w:id="10" w:name="_Toc32678"/>
      <w:r>
        <w:rPr>
          <w:rFonts w:hint="eastAsia" w:ascii="仿宋_GB2312" w:hAnsi="新宋体" w:eastAsia="仿宋_GB2312" w:cs="Arial"/>
          <w:b/>
          <w:bCs/>
          <w:color w:val="auto"/>
          <w:sz w:val="24"/>
          <w:highlight w:val="none"/>
          <w:lang w:eastAsia="zh-CN"/>
        </w:rPr>
        <w:t>上虞分院综合物业服务项目</w:t>
      </w:r>
    </w:p>
    <w:p>
      <w:pPr>
        <w:keepNext w:val="0"/>
        <w:keepLines w:val="0"/>
        <w:pageBreakBefore w:val="0"/>
        <w:widowControl w:val="0"/>
        <w:kinsoku/>
        <w:wordWrap/>
        <w:overflowPunct/>
        <w:topLinePunct w:val="0"/>
        <w:autoSpaceDE/>
        <w:autoSpaceDN/>
        <w:bidi w:val="0"/>
        <w:adjustRightInd/>
        <w:snapToGrid/>
        <w:spacing w:before="240" w:beforeLines="100" w:line="276" w:lineRule="auto"/>
        <w:ind w:right="0"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一、</w:t>
      </w:r>
      <w:r>
        <w:rPr>
          <w:rFonts w:hint="eastAsia" w:ascii="仿宋_GB2312" w:hAnsi="仿宋_GB2312" w:eastAsia="仿宋_GB2312" w:cs="仿宋_GB2312"/>
          <w:b/>
          <w:color w:val="auto"/>
          <w:sz w:val="24"/>
          <w:szCs w:val="24"/>
          <w:highlight w:val="none"/>
        </w:rPr>
        <w:t>招标项目概况</w:t>
      </w:r>
    </w:p>
    <w:p>
      <w:pPr>
        <w:spacing w:line="5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物业类型:高校综合物业</w:t>
      </w:r>
    </w:p>
    <w:p>
      <w:pPr>
        <w:spacing w:line="52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绍兴文理学院上虞分院地处上虞区开发区东山路368号，校园总面积81566.1</w:t>
      </w:r>
      <w:r>
        <w:rPr>
          <w:rFonts w:hint="eastAsia" w:ascii="仿宋_GB2312" w:hAnsi="仿宋_GB2312" w:eastAsia="仿宋_GB2312" w:cs="仿宋_GB2312"/>
          <w:color w:val="auto"/>
          <w:sz w:val="24"/>
          <w:szCs w:val="24"/>
          <w:highlight w:val="none"/>
        </w:rPr>
        <w:t>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，建筑面积41488.56</w:t>
      </w:r>
      <w:r>
        <w:rPr>
          <w:rFonts w:hint="eastAsia" w:ascii="仿宋_GB2312" w:hAnsi="仿宋_GB2312" w:eastAsia="仿宋_GB2312" w:cs="仿宋_GB2312"/>
          <w:color w:val="auto"/>
          <w:sz w:val="24"/>
          <w:szCs w:val="24"/>
          <w:highlight w:val="none"/>
        </w:rPr>
        <w:t>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，绿化面积约32626.44m</w:t>
      </w:r>
      <w:r>
        <w:rPr>
          <w:rFonts w:hint="eastAsia" w:ascii="仿宋_GB2312" w:hAnsi="仿宋_GB2312" w:eastAsia="仿宋_GB2312" w:cs="仿宋_GB2312"/>
          <w:color w:val="auto"/>
          <w:sz w:val="24"/>
          <w:szCs w:val="24"/>
          <w:highlight w:val="none"/>
          <w:vertAlign w:val="superscript"/>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t>其中教学及行政楼</w:t>
      </w:r>
      <w:r>
        <w:rPr>
          <w:rFonts w:hint="eastAsia" w:ascii="仿宋_GB2312" w:hAnsi="仿宋_GB2312" w:eastAsia="仿宋_GB2312" w:cs="仿宋_GB2312"/>
          <w:color w:val="auto"/>
          <w:sz w:val="24"/>
          <w:szCs w:val="24"/>
          <w:highlight w:val="none"/>
        </w:rPr>
        <w:t>3幢、教工宿舍2幢、学生宿舍3幢、其余辅房若干。</w:t>
      </w:r>
    </w:p>
    <w:p>
      <w:pPr>
        <w:spacing w:line="520" w:lineRule="exact"/>
        <w:ind w:firstLine="480" w:firstLineChars="200"/>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项目概况:综合物业服务项目包括上虞分院校区的综合管理服务工作、安全保卫工作（含电工）、卫生保洁工作（含绿化养护），</w:t>
      </w:r>
      <w:r>
        <w:rPr>
          <w:rFonts w:hint="eastAsia" w:ascii="仿宋_GB2312" w:hAnsi="仿宋_GB2312" w:eastAsia="仿宋_GB2312" w:cs="仿宋_GB2312"/>
          <w:b/>
          <w:bCs/>
          <w:color w:val="auto"/>
          <w:sz w:val="24"/>
          <w:szCs w:val="24"/>
          <w:highlight w:val="none"/>
        </w:rPr>
        <w:t>服务期限为1年(2024年6月1日-2025年5月31日)</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最高限价：90万元/年</w:t>
      </w:r>
      <w:r>
        <w:rPr>
          <w:rFonts w:hint="eastAsia" w:ascii="仿宋_GB2312" w:hAnsi="仿宋_GB2312" w:eastAsia="仿宋_GB2312" w:cs="仿宋_GB2312"/>
          <w:b/>
          <w:bCs/>
          <w:color w:val="auto"/>
          <w:sz w:val="24"/>
          <w:szCs w:val="24"/>
          <w:highlight w:val="none"/>
          <w:lang w:eastAsia="zh-CN"/>
        </w:rPr>
        <w:t>。</w:t>
      </w:r>
    </w:p>
    <w:tbl>
      <w:tblPr>
        <w:tblStyle w:val="63"/>
        <w:tblW w:w="8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093"/>
        <w:gridCol w:w="1995"/>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518"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合同履行期限</w:t>
            </w:r>
          </w:p>
        </w:tc>
        <w:tc>
          <w:tcPr>
            <w:tcW w:w="2093"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基准建筑面积</w:t>
            </w:r>
          </w:p>
        </w:tc>
        <w:tc>
          <w:tcPr>
            <w:tcW w:w="1995"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最高建筑面积</w:t>
            </w:r>
          </w:p>
        </w:tc>
        <w:tc>
          <w:tcPr>
            <w:tcW w:w="2044"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518"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2024.6.1-2025.5.31</w:t>
            </w:r>
          </w:p>
        </w:tc>
        <w:tc>
          <w:tcPr>
            <w:tcW w:w="2093"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41488.56㎡</w:t>
            </w:r>
          </w:p>
        </w:tc>
        <w:tc>
          <w:tcPr>
            <w:tcW w:w="1995"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41488.56㎡</w:t>
            </w:r>
          </w:p>
        </w:tc>
        <w:tc>
          <w:tcPr>
            <w:tcW w:w="2044" w:type="dxa"/>
            <w:noWrap w:val="0"/>
            <w:vAlign w:val="center"/>
          </w:tcPr>
          <w:p>
            <w:pPr>
              <w:spacing w:line="400" w:lineRule="exact"/>
              <w:jc w:val="center"/>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pacing w:val="-6"/>
                <w:sz w:val="24"/>
                <w:szCs w:val="24"/>
                <w:highlight w:val="none"/>
              </w:rPr>
              <w:t>90万元/年</w:t>
            </w:r>
          </w:p>
        </w:tc>
      </w:tr>
    </w:tbl>
    <w:p>
      <w:pPr>
        <w:spacing w:before="0" w:beforeLines="0" w:after="0" w:afterLines="0" w:line="52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）如投标人在物业服务期内遇校舍搬迁等不可抗力，投标人需无条件配合采购人，</w:t>
      </w:r>
      <w:r>
        <w:rPr>
          <w:rFonts w:hint="eastAsia" w:ascii="仿宋_GB2312" w:hAnsi="仿宋_GB2312" w:eastAsia="仿宋_GB2312" w:cs="仿宋_GB2312"/>
          <w:color w:val="auto"/>
          <w:sz w:val="24"/>
          <w:szCs w:val="24"/>
          <w:highlight w:val="none"/>
          <w:lang w:val="en-US" w:eastAsia="zh-CN"/>
        </w:rPr>
        <w:t>本项目费用</w:t>
      </w:r>
      <w:r>
        <w:rPr>
          <w:rFonts w:hint="eastAsia" w:ascii="仿宋_GB2312" w:hAnsi="仿宋_GB2312" w:eastAsia="仿宋_GB2312" w:cs="仿宋_GB2312"/>
          <w:color w:val="auto"/>
          <w:sz w:val="24"/>
          <w:szCs w:val="24"/>
          <w:highlight w:val="none"/>
          <w:lang w:eastAsia="zh-CN"/>
        </w:rPr>
        <w:t>按实际服务情况进行结算，服务期限不足半月，服务费用按半月结算，服务期限满半月且不足一月，服务费用按一个月结算</w:t>
      </w:r>
      <w:r>
        <w:rPr>
          <w:rFonts w:hint="eastAsia" w:ascii="仿宋_GB2312" w:hAnsi="仿宋_GB2312" w:eastAsia="仿宋_GB2312" w:cs="仿宋_GB2312"/>
          <w:b w:val="0"/>
          <w:bCs w:val="0"/>
          <w:color w:val="auto"/>
          <w:sz w:val="24"/>
          <w:szCs w:val="24"/>
          <w:highlight w:val="none"/>
        </w:rPr>
        <w:t>。</w:t>
      </w:r>
    </w:p>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土地面积一览表</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17"/>
        <w:gridCol w:w="2272"/>
        <w:gridCol w:w="37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6"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272"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721"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6"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上虞分院校区</w:t>
            </w:r>
          </w:p>
        </w:tc>
        <w:tc>
          <w:tcPr>
            <w:tcW w:w="2272"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122.35</w:t>
            </w:r>
          </w:p>
        </w:tc>
        <w:tc>
          <w:tcPr>
            <w:tcW w:w="3721"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81566.1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2217"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272"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122.35</w:t>
            </w:r>
          </w:p>
        </w:tc>
        <w:tc>
          <w:tcPr>
            <w:tcW w:w="3721"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81566.1</w:t>
            </w:r>
          </w:p>
        </w:tc>
      </w:tr>
    </w:tbl>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水域面积一览表</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23"/>
        <w:gridCol w:w="2313"/>
        <w:gridCol w:w="36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31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694"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鹤琴湖水面</w:t>
            </w:r>
          </w:p>
        </w:tc>
        <w:tc>
          <w:tcPr>
            <w:tcW w:w="2313"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3694"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5333.7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2" w:hRule="atLeast"/>
          <w:jc w:val="center"/>
        </w:trPr>
        <w:tc>
          <w:tcPr>
            <w:tcW w:w="222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313"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3694"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5333.7</w:t>
            </w:r>
          </w:p>
        </w:tc>
      </w:tr>
    </w:tbl>
    <w:p>
      <w:pPr>
        <w:spacing w:before="120" w:beforeLines="50" w:after="120" w:afterLines="5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绿化养护面积</w:t>
      </w:r>
    </w:p>
    <w:tbl>
      <w:tblPr>
        <w:tblStyle w:val="6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43"/>
        <w:gridCol w:w="2305"/>
        <w:gridCol w:w="37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校区</w:t>
            </w:r>
          </w:p>
        </w:tc>
        <w:tc>
          <w:tcPr>
            <w:tcW w:w="2305"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占地面积（亩）</w:t>
            </w:r>
          </w:p>
        </w:tc>
        <w:tc>
          <w:tcPr>
            <w:tcW w:w="3770" w:type="dxa"/>
            <w:noWrap w:val="0"/>
            <w:vAlign w:val="center"/>
          </w:tcPr>
          <w:p>
            <w:pPr>
              <w:widowControl/>
              <w:spacing w:line="40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占地面积（平方米）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上虞分院校区</w:t>
            </w:r>
          </w:p>
        </w:tc>
        <w:tc>
          <w:tcPr>
            <w:tcW w:w="2305"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48.94</w:t>
            </w:r>
          </w:p>
        </w:tc>
        <w:tc>
          <w:tcPr>
            <w:tcW w:w="3770"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32626.44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7" w:hRule="atLeast"/>
          <w:jc w:val="center"/>
        </w:trPr>
        <w:tc>
          <w:tcPr>
            <w:tcW w:w="2243" w:type="dxa"/>
            <w:noWrap w:val="0"/>
            <w:vAlign w:val="center"/>
          </w:tcPr>
          <w:p>
            <w:pPr>
              <w:widowControl/>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合计</w:t>
            </w:r>
          </w:p>
        </w:tc>
        <w:tc>
          <w:tcPr>
            <w:tcW w:w="2305"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48.94</w:t>
            </w:r>
          </w:p>
        </w:tc>
        <w:tc>
          <w:tcPr>
            <w:tcW w:w="3770" w:type="dxa"/>
            <w:noWrap w:val="0"/>
            <w:vAlign w:val="center"/>
          </w:tcPr>
          <w:p>
            <w:pPr>
              <w:spacing w:line="400" w:lineRule="exact"/>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32626.44</w:t>
            </w:r>
          </w:p>
        </w:tc>
      </w:tr>
    </w:tbl>
    <w:p>
      <w:pPr>
        <w:spacing w:before="240" w:beforeLines="100" w:after="240" w:afterLines="100" w:line="460" w:lineRule="exact"/>
        <w:ind w:firstLine="482"/>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校舍一览表</w:t>
      </w:r>
    </w:p>
    <w:tbl>
      <w:tblPr>
        <w:tblStyle w:val="63"/>
        <w:tblW w:w="8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5198"/>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367"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5198"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楼幢</w:t>
            </w:r>
          </w:p>
        </w:tc>
        <w:tc>
          <w:tcPr>
            <w:tcW w:w="1756" w:type="dxa"/>
            <w:noWrap/>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面积(</w:t>
            </w:r>
            <w:r>
              <w:rPr>
                <w:rStyle w:val="295"/>
                <w:rFonts w:hint="eastAsia" w:ascii="仿宋_GB2312" w:hAnsi="仿宋_GB2312" w:eastAsia="仿宋_GB2312" w:cs="仿宋_GB2312"/>
                <w:color w:val="auto"/>
                <w:sz w:val="24"/>
                <w:szCs w:val="24"/>
                <w:highlight w:val="none"/>
              </w:rPr>
              <w:t>㎡</w:t>
            </w:r>
            <w:r>
              <w:rPr>
                <w:rStyle w:val="293"/>
                <w:rFonts w:hint="eastAsia" w:ascii="仿宋_GB2312" w:hAnsi="仿宋_GB2312" w:eastAsia="仿宋_GB2312" w:cs="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367" w:type="dxa"/>
            <w:noWrap/>
            <w:vAlign w:val="center"/>
          </w:tcPr>
          <w:p>
            <w:pPr>
              <w:jc w:val="center"/>
              <w:rPr>
                <w:rFonts w:hint="eastAsia" w:ascii="仿宋_GB2312" w:hAnsi="仿宋_GB2312" w:eastAsia="仿宋_GB2312" w:cs="仿宋_GB2312"/>
                <w:color w:val="auto"/>
                <w:sz w:val="24"/>
                <w:szCs w:val="24"/>
                <w:highlight w:val="none"/>
              </w:rPr>
            </w:pPr>
          </w:p>
        </w:tc>
        <w:tc>
          <w:tcPr>
            <w:tcW w:w="5198"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上虞分院校区合计</w:t>
            </w:r>
          </w:p>
        </w:tc>
        <w:tc>
          <w:tcPr>
            <w:tcW w:w="1756"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41488.56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bookmarkStart w:id="11" w:name="OLE_LINK1" w:colFirst="2" w:colLast="2"/>
            <w:r>
              <w:rPr>
                <w:rFonts w:hint="eastAsia" w:ascii="仿宋_GB2312" w:hAnsi="仿宋_GB2312" w:eastAsia="仿宋_GB2312" w:cs="仿宋_GB2312"/>
                <w:color w:val="auto"/>
                <w:kern w:val="0"/>
                <w:sz w:val="24"/>
                <w:szCs w:val="24"/>
                <w:highlight w:val="none"/>
              </w:rPr>
              <w:t>1</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东山路11幢（学生宿舍3号楼）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4695.47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2</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东山路9幢（学生宿舍2号楼）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3246.64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东山路13幢（学生公寓1号楼）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8048.71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东山路5幢（浴室）</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359.92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东山路1幢（锅炉房）</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东山路8幢（食堂）</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2695.55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东山路6幢（教工宿舍）</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1328.4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东山路2幢（车库）</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东山路7幢（培训楼）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1431.78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东山路4幢（配电房）</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81.58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高压配电房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东山路10幢（鹤琴楼）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4046.88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东山路14幢（树人楼）</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12009.15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198"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东山路12幢（行知楼）</w:t>
            </w:r>
          </w:p>
        </w:tc>
        <w:tc>
          <w:tcPr>
            <w:tcW w:w="1756" w:type="dxa"/>
            <w:noWrap w:val="0"/>
            <w:vAlign w:val="center"/>
          </w:tcPr>
          <w:p>
            <w:pPr>
              <w:widowControl/>
              <w:jc w:val="center"/>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0"/>
                <w:sz w:val="24"/>
                <w:szCs w:val="24"/>
                <w:highlight w:val="none"/>
                <w:lang w:bidi="ar"/>
              </w:rPr>
              <w:t>5723.64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艺术系制作工坊</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运动场辅助用房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68.69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5198"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东山路3幢（门卫及大门）</w:t>
            </w:r>
          </w:p>
        </w:tc>
        <w:tc>
          <w:tcPr>
            <w:tcW w:w="1756" w:type="dxa"/>
            <w:noWrap w:val="0"/>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bidi="ar"/>
              </w:rPr>
              <w:t>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水塔钟楼</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127.86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67" w:type="dxa"/>
            <w:noWrap/>
            <w:vAlign w:val="center"/>
          </w:tcPr>
          <w:p>
            <w:pPr>
              <w:widowControl/>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5198"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其余临建房</w:t>
            </w:r>
          </w:p>
        </w:tc>
        <w:tc>
          <w:tcPr>
            <w:tcW w:w="1756" w:type="dxa"/>
            <w:noWrap w:val="0"/>
            <w:vAlign w:val="center"/>
          </w:tcPr>
          <w:p>
            <w:pPr>
              <w:widowControl/>
              <w:jc w:val="center"/>
              <w:textAlignment w:val="center"/>
              <w:rPr>
                <w:rFonts w:hint="eastAsia" w:ascii="仿宋_GB2312" w:hAnsi="仿宋_GB2312" w:eastAsia="仿宋_GB2312" w:cs="仿宋_GB2312"/>
                <w:color w:val="auto"/>
                <w:kern w:val="0"/>
                <w:sz w:val="24"/>
                <w:szCs w:val="24"/>
                <w:highlight w:val="none"/>
                <w:lang w:bidi="ar"/>
              </w:rPr>
            </w:pPr>
          </w:p>
        </w:tc>
      </w:tr>
      <w:bookmarkEnd w:id="11"/>
    </w:tbl>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default" w:ascii="仿宋_GB2312" w:hAnsi="仿宋_GB2312" w:eastAsia="仿宋_GB2312" w:cs="仿宋_GB2312"/>
          <w:b/>
          <w:color w:val="auto"/>
          <w:sz w:val="24"/>
          <w:szCs w:val="24"/>
          <w:highlight w:val="none"/>
          <w:lang w:val="en-US"/>
        </w:rPr>
      </w:pPr>
      <w:r>
        <w:rPr>
          <w:rFonts w:hint="eastAsia" w:ascii="仿宋_GB2312" w:hAnsi="仿宋_GB2312" w:eastAsia="仿宋_GB2312" w:cs="仿宋_GB2312"/>
          <w:b/>
          <w:color w:val="auto"/>
          <w:sz w:val="24"/>
          <w:szCs w:val="24"/>
          <w:highlight w:val="none"/>
          <w:lang w:val="en-US" w:eastAsia="zh-CN"/>
        </w:rPr>
        <w:t>二、本项目报价要求及原则</w:t>
      </w:r>
    </w:p>
    <w:p>
      <w:pPr>
        <w:spacing w:line="40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物业服务费报价说明及报价原则</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本项目物业服务费应按服务期进行总体报价。总体报价不得超过最高限价，否则作无效标处理。现有室内保洁面积基数不低于41488.56㎡，保洁岗基数不低于11岗；</w:t>
      </w:r>
      <w:r>
        <w:rPr>
          <w:rFonts w:hint="eastAsia" w:ascii="仿宋_GB2312" w:hAnsi="仿宋_GB2312" w:eastAsia="仿宋_GB2312" w:cs="仿宋_GB2312"/>
          <w:b/>
          <w:bCs/>
          <w:color w:val="auto"/>
          <w:sz w:val="24"/>
          <w:szCs w:val="24"/>
          <w:highlight w:val="none"/>
        </w:rPr>
        <w:t>安保岗基数不低于9岗（安保从2024年6月15日正式并入综合物业）。</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投保人报价应充分考虑合同期内包括的服务成本、法定税费和管理企业利润等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由各投标人根据招标文件所提供的资料自行测算决定报价，一经中标，中标范围内的投标报价作为</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签订的合同上限金额。</w:t>
      </w:r>
    </w:p>
    <w:p>
      <w:pPr>
        <w:pStyle w:val="1041"/>
        <w:widowControl w:val="0"/>
        <w:adjustRightInd w:val="0"/>
        <w:snapToGrid w:val="0"/>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b/>
          <w:bCs/>
          <w:color w:val="auto"/>
          <w:sz w:val="24"/>
          <w:szCs w:val="24"/>
          <w:highlight w:val="none"/>
        </w:rPr>
        <w:t>根据项目的特点，节假日、寒暑假物业管理服务均属于应提供正常服务的时间，将由此产生的加班、服务延时等所有费用纳入本次投标报价，且加班及服务延时必须无条件服从</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安排，</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无需另行支付费用。</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本项目所有员工统一着工作服并佩戴工号牌，由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购置，费用包含在投标总价内。</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所有为完成项目服务所需的管理内容、耗材、通讯、服装、胸卡、办公用品、设施设备、工具、巡检器材、各种税费、人工、保险、劳保、维护、利润、政策性文件规定及合同包含的所有风险、责任等各项应有费用，以及其它临时性应急服务等费用均包含在本次投标总价内；其中投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在投标或履行合同期间每月应发工资均不得低于绍兴市政府规定的最低工资标准。</w:t>
      </w:r>
    </w:p>
    <w:p>
      <w:pPr>
        <w:pStyle w:val="21"/>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东山书院、教学区、食堂、操场等水电维修更换涉及人员费</w:t>
      </w:r>
      <w:r>
        <w:rPr>
          <w:rFonts w:hint="eastAsia" w:ascii="仿宋_GB2312" w:hAnsi="仿宋_GB2312" w:eastAsia="仿宋_GB2312" w:cs="仿宋_GB2312"/>
          <w:b/>
          <w:bCs/>
          <w:color w:val="auto"/>
          <w:sz w:val="24"/>
          <w:szCs w:val="24"/>
          <w:highlight w:val="none"/>
        </w:rPr>
        <w:t>（材料</w:t>
      </w:r>
      <w:r>
        <w:rPr>
          <w:rFonts w:hint="eastAsia" w:ascii="仿宋_GB2312" w:hAnsi="仿宋_GB2312" w:eastAsia="仿宋_GB2312" w:cs="仿宋_GB2312"/>
          <w:b/>
          <w:bCs/>
          <w:color w:val="auto"/>
          <w:sz w:val="24"/>
          <w:szCs w:val="24"/>
          <w:highlight w:val="none"/>
          <w:lang w:val="en-US" w:eastAsia="zh-CN"/>
        </w:rPr>
        <w:t>由采购人</w:t>
      </w:r>
      <w:r>
        <w:rPr>
          <w:rFonts w:hint="eastAsia" w:ascii="仿宋_GB2312" w:hAnsi="仿宋_GB2312" w:eastAsia="仿宋_GB2312" w:cs="仿宋_GB2312"/>
          <w:b/>
          <w:bCs/>
          <w:color w:val="auto"/>
          <w:sz w:val="24"/>
          <w:szCs w:val="24"/>
          <w:highlight w:val="none"/>
        </w:rPr>
        <w:t>提供）</w:t>
      </w:r>
      <w:r>
        <w:rPr>
          <w:rFonts w:hint="eastAsia" w:ascii="仿宋_GB2312" w:hAnsi="仿宋_GB2312" w:eastAsia="仿宋_GB2312" w:cs="仿宋_GB2312"/>
          <w:color w:val="auto"/>
          <w:sz w:val="24"/>
          <w:szCs w:val="24"/>
          <w:highlight w:val="none"/>
        </w:rPr>
        <w:t>包含在本次投标总价内。</w:t>
      </w:r>
    </w:p>
    <w:p>
      <w:pPr>
        <w:pStyle w:val="21"/>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除生活垃圾以外，所有垃圾外运费用包括在本次投标总价内，如出现与生活垃圾外运带来的扯皮、推诿事宜，以</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决策为准。</w:t>
      </w:r>
    </w:p>
    <w:p>
      <w:pPr>
        <w:pStyle w:val="1041"/>
        <w:widowControl w:val="0"/>
        <w:adjustRightInd w:val="0"/>
        <w:snapToGrid w:val="0"/>
        <w:spacing w:line="460" w:lineRule="exact"/>
        <w:ind w:firstLine="472" w:firstLineChars="196"/>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专项物业费报价说明及报价原则</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除四害及防疫消杀服务: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需做好除四害和防疫消杀工作。确保做好全覆盖，无污染，根据省市防疫办要求，公共区域防疫消杀工作，费用包含在投标报价内。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日常耗材：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按采购人要求安放洗手液（用于教学区及宿舍区各个公共厕所）、擦手纸、大盘纸、卷纸等各类厕所纸品（用于教学区各个公共厕所）、抽纸（用于各类校级会议室）、垃圾袋（用于用于教学区及宿舍区各个公共厕所，以及各类校级会议室、教学楼、学生宿舍）。洗手液、擦手纸、大盘纸、卷纸、抽纸、</w:t>
      </w:r>
      <w:r>
        <w:rPr>
          <w:rFonts w:hint="eastAsia" w:ascii="仿宋_GB2312" w:hAnsi="仿宋_GB2312" w:eastAsia="仿宋_GB2312" w:cs="仿宋_GB2312"/>
          <w:b/>
          <w:bCs/>
          <w:color w:val="auto"/>
          <w:sz w:val="24"/>
          <w:szCs w:val="24"/>
          <w:highlight w:val="none"/>
        </w:rPr>
        <w:t>垃圾袋（除厕所以外的垃圾袋由</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自行解决）</w:t>
      </w:r>
      <w:r>
        <w:rPr>
          <w:rFonts w:hint="eastAsia" w:ascii="仿宋_GB2312" w:hAnsi="仿宋_GB2312" w:eastAsia="仿宋_GB2312" w:cs="仿宋_GB2312"/>
          <w:color w:val="auto"/>
          <w:sz w:val="24"/>
          <w:szCs w:val="24"/>
          <w:highlight w:val="none"/>
        </w:rPr>
        <w:t>等由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提供。</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以上费用如有浮动，</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将不再额外支付相关费用。</w:t>
      </w:r>
    </w:p>
    <w:p>
      <w:pPr>
        <w:spacing w:line="460" w:lineRule="exact"/>
        <w:ind w:firstLine="472" w:firstLineChars="196"/>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本项目物业服务费应包括但不限于以下内容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人员费用:包括员工薪金、社会保险费和公积金、福利、员工制服、员工餐费、节日加班、体检、交通费、住宿费以及其他与人员用工有关的一切用工成本（含企业管理费、利润及税费）；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设备工具费用:包括保洁、绿化、安保、会务等的工具、巡检器材、办公、耗材、燃料等费用；</w:t>
      </w:r>
    </w:p>
    <w:p>
      <w:pPr>
        <w:spacing w:line="460" w:lineRule="exact"/>
        <w:ind w:firstLine="480"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其它投标人认为需要投入的费用。</w:t>
      </w: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三、服务内容及标准</w:t>
      </w:r>
    </w:p>
    <w:p>
      <w:pPr>
        <w:keepNext w:val="0"/>
        <w:keepLines w:val="0"/>
        <w:pageBreakBefore w:val="0"/>
        <w:widowControl w:val="0"/>
        <w:kinsoku/>
        <w:wordWrap/>
        <w:overflowPunct/>
        <w:topLinePunct w:val="0"/>
        <w:autoSpaceDE/>
        <w:autoSpaceDN/>
        <w:bidi w:val="0"/>
        <w:adjustRightInd/>
        <w:snapToGrid/>
        <w:spacing w:before="287" w:beforeLines="100" w:line="240" w:lineRule="auto"/>
        <w:ind w:right="0"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一</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物业服务内容以及服务目标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物业服务项目包括上虞分院校区的综合管理服务工作、安全保卫工作（含电工）、卫生保洁工作（含绿化养护）。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日常管理工作全面导入</w:t>
      </w:r>
      <w:r>
        <w:rPr>
          <w:rFonts w:hint="eastAsia" w:ascii="仿宋_GB2312" w:hAnsi="仿宋_GB2312" w:eastAsia="仿宋_GB2312" w:cs="仿宋_GB2312"/>
          <w:color w:val="auto"/>
          <w:sz w:val="24"/>
          <w:szCs w:val="24"/>
          <w:highlight w:val="none"/>
        </w:rPr>
        <w:t>1S0900系列、GB/T24001或ISO14001系列和GB/ T28001或0ISAS18001系列认证要求，</w:t>
      </w:r>
      <w:r>
        <w:rPr>
          <w:rFonts w:hint="eastAsia" w:ascii="仿宋_GB2312" w:hAnsi="仿宋_GB2312" w:eastAsia="仿宋_GB2312" w:cs="仿宋_GB2312"/>
          <w:color w:val="auto"/>
          <w:sz w:val="24"/>
          <w:szCs w:val="24"/>
          <w:highlight w:val="none"/>
        </w:rPr>
        <w:t>具有集中统一的企业理念、运行机制、管理结构、着装标识，具有明确的各项管理服务标准和质量保证体系、应急预案，</w:t>
      </w:r>
      <w:r>
        <w:rPr>
          <w:rFonts w:hint="eastAsia" w:ascii="仿宋_GB2312" w:hAnsi="仿宋_GB2312" w:eastAsia="仿宋_GB2312" w:cs="仿宋_GB2312"/>
          <w:color w:val="auto"/>
          <w:sz w:val="24"/>
          <w:szCs w:val="24"/>
          <w:highlight w:val="none"/>
          <w:lang w:val="zh-CN"/>
        </w:rPr>
        <w:t>保证各项服务工作标准化、规范化，</w:t>
      </w:r>
      <w:r>
        <w:rPr>
          <w:rFonts w:hint="eastAsia" w:ascii="仿宋_GB2312" w:hAnsi="仿宋_GB2312" w:eastAsia="仿宋_GB2312" w:cs="仿宋_GB2312"/>
          <w:color w:val="auto"/>
          <w:sz w:val="24"/>
          <w:szCs w:val="24"/>
          <w:highlight w:val="none"/>
        </w:rPr>
        <w:t>以满足校区教育教学需要，创造安全、舒适、卫生、高雅的教学和生活环境。</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管理服务应达到各项指标</w:t>
      </w:r>
      <w:r>
        <w:rPr>
          <w:rFonts w:hint="eastAsia" w:ascii="仿宋_GB2312" w:hAnsi="仿宋_GB2312" w:eastAsia="仿宋_GB2312" w:cs="仿宋_GB2312"/>
          <w:color w:val="auto"/>
          <w:sz w:val="24"/>
          <w:szCs w:val="24"/>
          <w:highlight w:val="none"/>
        </w:rPr>
        <w:t>要求，综合物业管理服务工作按照《绍兴文理学院上虞分院综合物业服务考核办法》</w:t>
      </w:r>
      <w:r>
        <w:rPr>
          <w:rFonts w:hint="eastAsia" w:ascii="仿宋_GB2312" w:hAnsi="仿宋_GB2312" w:eastAsia="仿宋_GB2312" w:cs="仿宋_GB2312"/>
          <w:color w:val="auto"/>
          <w:sz w:val="24"/>
          <w:szCs w:val="24"/>
          <w:highlight w:val="none"/>
        </w:rPr>
        <w:t>进行考核评价。</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4.投标人</w:t>
      </w:r>
      <w:r>
        <w:rPr>
          <w:rFonts w:hint="eastAsia" w:ascii="仿宋_GB2312" w:hAnsi="仿宋_GB2312" w:eastAsia="仿宋_GB2312" w:cs="仿宋_GB2312"/>
          <w:color w:val="auto"/>
          <w:sz w:val="24"/>
          <w:szCs w:val="24"/>
          <w:highlight w:val="none"/>
        </w:rPr>
        <w:t>须组建一个专业齐全、职责清晰的管理与服务团队开展工作，并设立服务中心。</w:t>
      </w:r>
      <w:r>
        <w:rPr>
          <w:rFonts w:hint="eastAsia" w:ascii="仿宋_GB2312" w:hAnsi="仿宋_GB2312" w:eastAsia="仿宋_GB2312" w:cs="仿宋_GB2312"/>
          <w:b/>
          <w:bCs/>
          <w:color w:val="auto"/>
          <w:sz w:val="24"/>
          <w:szCs w:val="24"/>
          <w:highlight w:val="none"/>
        </w:rPr>
        <w:t>其中</w:t>
      </w:r>
      <w:r>
        <w:rPr>
          <w:rFonts w:hint="eastAsia" w:ascii="仿宋_GB2312" w:hAnsi="仿宋_GB2312" w:eastAsia="仿宋_GB2312" w:cs="仿宋_GB2312"/>
          <w:b/>
          <w:bCs/>
          <w:color w:val="auto"/>
          <w:sz w:val="24"/>
          <w:szCs w:val="24"/>
          <w:highlight w:val="none"/>
        </w:rPr>
        <w:t>项目主管需须具有大专及以上学历，</w:t>
      </w:r>
      <w:r>
        <w:rPr>
          <w:rFonts w:hint="eastAsia" w:ascii="仿宋_GB2312" w:hAnsi="仿宋_GB2312" w:eastAsia="仿宋_GB2312" w:cs="仿宋_GB2312"/>
          <w:b/>
          <w:bCs/>
          <w:color w:val="auto"/>
          <w:sz w:val="24"/>
          <w:szCs w:val="24"/>
          <w:highlight w:val="none"/>
        </w:rPr>
        <w:t>具有较强的管理、协调与沟通能力。水电维修具有特种操作证（准操项目：低压电工作业），高配房日常维修需引入高压电工进网作业许可证人员；所有安保人员必须要有保安员证；至少有1名具有中专及以上学历的园林绿化相关专业人员。</w:t>
      </w:r>
      <w:r>
        <w:rPr>
          <w:rFonts w:hint="eastAsia" w:ascii="仿宋_GB2312" w:hAnsi="仿宋_GB2312" w:eastAsia="仿宋_GB2312" w:cs="仿宋_GB2312"/>
          <w:color w:val="auto"/>
          <w:sz w:val="24"/>
          <w:szCs w:val="24"/>
          <w:highlight w:val="none"/>
        </w:rPr>
        <w:t>其余岗位人员根据招标文件需求进行配置。因实际服务工作需要，中标单位需配备清扫车（≥1辆）、高压清洗机（≥1台）等工具设备。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按照各项指标提供服务，因校舍搬迁、改造、翻建及新建导致面积增加的，</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无条件服从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安排，不得增加费用。</w:t>
      </w:r>
    </w:p>
    <w:p>
      <w:pPr>
        <w:spacing w:line="460" w:lineRule="exact"/>
        <w:ind w:firstLine="472" w:firstLineChars="196"/>
        <w:outlineLvl w:val="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lang w:val="en-US" w:eastAsia="zh-CN"/>
        </w:rPr>
        <w:t>二</w:t>
      </w:r>
      <w:r>
        <w:rPr>
          <w:rFonts w:hint="eastAsia" w:ascii="仿宋_GB2312" w:hAnsi="仿宋_GB2312" w:eastAsia="仿宋_GB2312" w:cs="仿宋_GB2312"/>
          <w:b/>
          <w:color w:val="auto"/>
          <w:sz w:val="24"/>
          <w:szCs w:val="24"/>
          <w:highlight w:val="none"/>
          <w:lang w:eastAsia="zh-CN"/>
        </w:rPr>
        <w:t>）</w:t>
      </w:r>
      <w:r>
        <w:rPr>
          <w:rFonts w:hint="eastAsia" w:ascii="仿宋_GB2312" w:hAnsi="仿宋_GB2312" w:eastAsia="仿宋_GB2312" w:cs="仿宋_GB2312"/>
          <w:b/>
          <w:color w:val="auto"/>
          <w:sz w:val="24"/>
          <w:szCs w:val="24"/>
          <w:highlight w:val="none"/>
        </w:rPr>
        <w:t xml:space="preserve">综合管理服务 </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公共业务受理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设立一站式物业服务中心，设立24小时服务电话</w:t>
      </w: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sz w:val="24"/>
          <w:szCs w:val="24"/>
          <w:highlight w:val="none"/>
        </w:rPr>
        <w:t>受理</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指定的公共服务类业务；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rPr>
        <w:t>实施值班制度，保证突发事件应急处理的及时有效性；</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rPr>
        <w:t>公共资产</w:t>
      </w:r>
      <w:r>
        <w:rPr>
          <w:rFonts w:hint="eastAsia" w:ascii="仿宋_GB2312" w:hAnsi="仿宋_GB2312" w:eastAsia="仿宋_GB2312" w:cs="仿宋_GB2312"/>
          <w:color w:val="auto"/>
          <w:sz w:val="24"/>
          <w:szCs w:val="24"/>
          <w:highlight w:val="none"/>
        </w:rPr>
        <w:t>的管理，协助做好公共资产的登记、定期核查等工作；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1.4</w:t>
      </w:r>
      <w:r>
        <w:rPr>
          <w:rFonts w:hint="eastAsia" w:ascii="仿宋_GB2312" w:hAnsi="仿宋_GB2312" w:eastAsia="仿宋_GB2312" w:cs="仿宋_GB2312"/>
          <w:color w:val="auto"/>
          <w:sz w:val="24"/>
          <w:szCs w:val="24"/>
          <w:highlight w:val="none"/>
        </w:rPr>
        <w:t>服从学校相关部门督察管理，24小时内及时整改，否则接受</w:t>
      </w:r>
      <w:r>
        <w:rPr>
          <w:rFonts w:hint="eastAsia" w:ascii="仿宋_GB2312" w:hAnsi="仿宋_GB2312" w:eastAsia="仿宋_GB2312" w:cs="仿宋_GB2312"/>
          <w:b/>
          <w:bCs/>
          <w:color w:val="auto"/>
          <w:sz w:val="24"/>
          <w:szCs w:val="24"/>
          <w:highlight w:val="none"/>
        </w:rPr>
        <w:t>《绍兴文理学院上虞分院综合物业服务考核办法》处罚</w:t>
      </w:r>
      <w:r>
        <w:rPr>
          <w:rFonts w:hint="eastAsia" w:ascii="仿宋_GB2312" w:hAnsi="仿宋_GB2312" w:eastAsia="仿宋_GB2312" w:cs="仿宋_GB2312"/>
          <w:color w:val="auto"/>
          <w:sz w:val="24"/>
          <w:szCs w:val="24"/>
          <w:highlight w:val="none"/>
        </w:rPr>
        <w:t>。</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投诉处理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做好各项投诉处理工作，物业服务机构直接受理的投诉，应核实情况，及时处理并回复投诉者；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属于物业服务责任的，做好投诉处理，确保及时有效；属于无效投诉的做好解释工作；物业管理机构与投诉者无法协商解决的，上报学校相应部门处理；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直接受理的投诉，在一个工作日内回复处理结果，最长不超过三个工作日；向有关部门的投诉，应查明事实后上报书面材料，协助有关部门做好工作。</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防御自然灾害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建立巡查登记制度并报告有关情况；</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防灾减灾物资储备、清查，保障物资充足；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做好自然灾害的预警机制，制定应急预案并组织实施，及时发布温馨提示；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z w:val="24"/>
          <w:szCs w:val="24"/>
          <w:highlight w:val="none"/>
        </w:rPr>
        <w:t>如遇灾害发生，积极做好救灾，以及灾后保洁、消杀、维修维护等恢复工作；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color w:val="auto"/>
          <w:sz w:val="24"/>
          <w:szCs w:val="24"/>
          <w:highlight w:val="none"/>
        </w:rPr>
        <w:t>承担相关主管部门交办的临时性、应急性工作任务。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4.</w:t>
      </w:r>
      <w:r>
        <w:rPr>
          <w:rFonts w:hint="eastAsia" w:ascii="仿宋_GB2312" w:hAnsi="仿宋_GB2312" w:eastAsia="仿宋_GB2312" w:cs="仿宋_GB2312"/>
          <w:b/>
          <w:color w:val="auto"/>
          <w:sz w:val="24"/>
          <w:szCs w:val="24"/>
          <w:highlight w:val="none"/>
        </w:rPr>
        <w:t>其它服务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4.1</w:t>
      </w:r>
      <w:r>
        <w:rPr>
          <w:rFonts w:hint="eastAsia" w:ascii="仿宋_GB2312" w:hAnsi="仿宋_GB2312" w:eastAsia="仿宋_GB2312" w:cs="仿宋_GB2312"/>
          <w:color w:val="auto"/>
          <w:sz w:val="24"/>
          <w:szCs w:val="24"/>
          <w:highlight w:val="none"/>
        </w:rPr>
        <w:t>组织重要会议、重要来宾到访、重要考试、各类检查评比、迎新、毕业生离校等重大活动及学校临时性事件的场地布置、卫生保洁等后勤保障工作；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4.2</w:t>
      </w:r>
      <w:r>
        <w:rPr>
          <w:rFonts w:hint="eastAsia" w:ascii="仿宋_GB2312" w:hAnsi="仿宋_GB2312" w:eastAsia="仿宋_GB2312" w:cs="仿宋_GB2312"/>
          <w:color w:val="auto"/>
          <w:sz w:val="24"/>
          <w:szCs w:val="24"/>
          <w:highlight w:val="none"/>
        </w:rPr>
        <w:t>失物招领等便民服务；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4.3</w:t>
      </w:r>
      <w:r>
        <w:rPr>
          <w:rFonts w:hint="eastAsia" w:ascii="仿宋_GB2312" w:hAnsi="仿宋_GB2312" w:eastAsia="仿宋_GB2312" w:cs="仿宋_GB2312"/>
          <w:color w:val="auto"/>
          <w:sz w:val="24"/>
          <w:szCs w:val="24"/>
          <w:highlight w:val="none"/>
        </w:rPr>
        <w:t>积极应对各项突发事件，做好善后处理工作；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w:t>
      </w:r>
      <w:r>
        <w:rPr>
          <w:rFonts w:hint="eastAsia" w:ascii="仿宋_GB2312" w:hAnsi="仿宋_GB2312" w:eastAsia="仿宋_GB2312" w:cs="仿宋_GB2312"/>
          <w:color w:val="auto"/>
          <w:sz w:val="24"/>
          <w:szCs w:val="24"/>
          <w:highlight w:val="none"/>
        </w:rPr>
        <w:t>其它学校认为物业可以提供的服务。</w:t>
      </w:r>
    </w:p>
    <w:p>
      <w:pPr>
        <w:spacing w:line="460" w:lineRule="exact"/>
        <w:ind w:firstLine="472" w:firstLineChars="196"/>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rPr>
        <w:t>后勤管理服务工作</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公共区域及楼宇日常保洁服务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建筑物外部</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面、道路等干净整洁、无垃圾、无丢弃物、无痰迹、无落叶、无杂草、无污水痕迹。草坪、花坛及绿化景点内干净整洁、无暴露垃圾和无丢弃物。地面、屋面、天台、绿化带、清洁车、果皮箱、校园景观、休闲椅凳、栏杆、扶手、电动门、灯具、旗杆、护栏、公共宣传橱窗等每日清扫﹙擦、抹﹚并随时保洁，每周全面、彻底清扫﹙擦、抹﹚一次，做到干净整洁，无乱贴物。做到无泥沙、污垢污迹、污水、散落垃圾、烟头、果皮纸屑等杂物；</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（2）主路面:路面干净、无</w:t>
      </w:r>
      <w:r>
        <w:rPr>
          <w:rFonts w:hint="eastAsia" w:ascii="仿宋_GB2312" w:hAnsi="仿宋_GB2312" w:eastAsia="仿宋_GB2312" w:cs="仿宋_GB2312"/>
          <w:color w:val="auto"/>
          <w:sz w:val="24"/>
          <w:szCs w:val="24"/>
          <w:highlight w:val="none"/>
          <w:lang w:val="en-US" w:eastAsia="zh-CN"/>
        </w:rPr>
        <w:t>浮土</w:t>
      </w:r>
      <w:r>
        <w:rPr>
          <w:rFonts w:hint="eastAsia" w:ascii="仿宋_GB2312" w:hAnsi="仿宋_GB2312" w:eastAsia="仿宋_GB2312" w:cs="仿宋_GB2312"/>
          <w:color w:val="auto"/>
          <w:sz w:val="24"/>
          <w:szCs w:val="24"/>
          <w:highlight w:val="none"/>
        </w:rPr>
        <w:t>，无积土，无杂物,不能有成片积水；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（3）人行道:保持清洁，无浮土、无杂物，路面不能有成片积水；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（4）土地面:每天清洁，保持干净。地面无废物堆积，不能有成片积水；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（5）硬化地面:干净无浮土、无垃圾堆积。雨后无成片积水；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（6）运动场、球场:每日清扫﹙擦、抹﹚一次，并随时保洁。做到无泥沙、污垢、污迹、污水等，必要时进行清洗；</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（7）沟渠﹙含沉沙井﹚、雨污井及井盖:每月清理一次，每半年全面彻底清理一次。做到底部无泥沙等沉积物、井盖无污垢污迹、垃圾、烟头、果皮纸屑等杂物。确保排污排水畅通。井盖无损坏；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（8）学校门前三包卫生:每日清扫一次并随时保洁，每周全面、彻底清扫一次。做到无垃圾、烟头、果皮纸屑等杂物；</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水面保洁:做好水面清洁工作。保持鹤琴湖内水质良好，河水面达到“四无”标准，即河道水面无垃圾、无漂浮物、无杂草、无障碍等。河道内基本无大面积蓝藻、浮萍、底泥、落叶集聚现象，保持河道水面整洁美观，优化内湖及河水环境。维护好沿岸各类标识牌，对鹤琴湖内的鱼定时定点投食和水草及时养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rPr>
        <w:t>）每月对校园内菜地清理一次。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1.2</w:t>
      </w:r>
      <w:r>
        <w:rPr>
          <w:rFonts w:hint="eastAsia" w:ascii="仿宋_GB2312" w:hAnsi="仿宋_GB2312" w:eastAsia="仿宋_GB2312" w:cs="仿宋_GB2312"/>
          <w:b/>
          <w:color w:val="auto"/>
          <w:sz w:val="24"/>
          <w:szCs w:val="24"/>
          <w:highlight w:val="none"/>
        </w:rPr>
        <w:t>建筑物内</w:t>
      </w:r>
      <w:r>
        <w:rPr>
          <w:rFonts w:hint="eastAsia" w:ascii="仿宋_GB2312" w:hAnsi="仿宋_GB2312" w:eastAsia="仿宋_GB2312" w:cs="仿宋_GB2312"/>
          <w:b/>
          <w:color w:val="auto"/>
          <w:sz w:val="24"/>
          <w:szCs w:val="24"/>
          <w:highlight w:val="none"/>
        </w:rPr>
        <w:t>部（含公共教室（约10间）、机房（约6间），具体间数以实际为准）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地面、墙面、顶面﹙天花板﹚、楼道及窗护栏、消防设施设备、水电设施设备、果皮箱、门﹙防盗门、木门、不锈钢拉闸门﹚、窗、桌椅柜、标识牌、装饰板牌等，每日清扫﹙拖、擦、抹﹚并随时保洁，每周全面、彻底清扫﹙拖、擦、抹﹚一次，做到干净明亮，无蜘蛛网、灰尘、污垢、污迹、污渍、垃圾等杂物。遇到天气变化时，注意保护门窗，防止损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（2）灯管、灯罩、灯吊链:每月清洁，做到干净，无蜘蛛网、灰尘；</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（3）玻璃:各楼门厅、门卫值班室玻璃，每天清擦一次。会议室、楼梯道、公共过道门窗玻璃、卫生间玻璃，每周全面、彻底清擦一次。做到干净，无蜘蛛网、灰尘、污迹；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卫生间:每日清扫﹙拖、擦、抹﹚两次并随时保洁，每周全面、彻底清扫﹙拖、擦、抹﹚一次，做到地面、墙壁及瓷砖清洁，无积水湿滑、无污垢、无异味、无垃圾等杂物，门窗、窗台、玻璃、灯具干净；天花板、灯具无蜘蛛网、无灰尘，小便池清洁，无污垢、污迹、污渍、无异味、无水锈；大便池通畅，无污迹；洗手池、墩布池清洁无污物；墙﹙门﹚面无涂画。厕所内无跑、冒、滴、漏、堵；各种设施完好。为指定区域卫生间配备洗手液、厕纸，每天检查一次，发现用完及时补充；</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（5）楼宇内、外墙壁上无张贴、涂写，无蜘蛛网、污迹等；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（6）保持强弱电房的清洁；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（7）排水沟、污水井每月专项</w:t>
      </w:r>
      <w:r>
        <w:rPr>
          <w:rFonts w:hint="eastAsia" w:ascii="仿宋_GB2312" w:hAnsi="仿宋_GB2312" w:eastAsia="仿宋_GB2312" w:cs="仿宋_GB2312"/>
          <w:color w:val="auto"/>
          <w:sz w:val="24"/>
          <w:szCs w:val="24"/>
          <w:highlight w:val="none"/>
        </w:rPr>
        <w:t>清理一次；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（8）垃圾桶及时清倒，清扫工具放到指定位置；</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（9）除“四害”消杀工作:按照要求做好 “除四害”工作；每月至少投放灭四害药物一次，并妥善处理“四害”尸体，如特殊瘟疫高峰期及时增加喷洒、施放药物次数。做好破坏植被、威胁人身安全的害虫、动物防治；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（10）场馆、会议室的地毯，座椅套等清洗和窗帘的零星清洗；</w:t>
      </w:r>
    </w:p>
    <w:p>
      <w:pPr>
        <w:tabs>
          <w:tab w:val="left" w:pos="513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（11）定期更换、更新保洁工具及用品；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（12）有完备的“保洁应急工作预案”；如遇火警、水管爆裂、台风袭击、突发传染病等突发事件时，组织突击小组配合学校做好特殊保洁工作；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（13）遇重要会议、重要来宾到访、重要考试、各类检查评比、迎新、毕业生离校等重大活动及学校临时性事件，应增派人员，按学校要求保质保量完成工作；</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（14）根据学校要求配合做好学校全区域消杀通风、卫生防疫防控等服务；</w:t>
      </w:r>
    </w:p>
    <w:p>
      <w:pPr>
        <w:spacing w:line="46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（15）完成学校临时交办的其他任务。</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环保清洁服务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垃圾分类:垃圾处理采用垃圾分类投放</w:t>
      </w:r>
      <w:r>
        <w:rPr>
          <w:rFonts w:hint="eastAsia" w:ascii="仿宋_GB2312" w:hAnsi="仿宋_GB2312" w:eastAsia="仿宋_GB2312" w:cs="仿宋_GB2312"/>
          <w:b/>
          <w:bCs/>
          <w:color w:val="auto"/>
          <w:sz w:val="24"/>
          <w:szCs w:val="24"/>
          <w:highlight w:val="none"/>
        </w:rPr>
        <w:t>（按照上虞区相关要求执行）</w:t>
      </w:r>
      <w:r>
        <w:rPr>
          <w:rFonts w:hint="eastAsia" w:ascii="仿宋_GB2312" w:hAnsi="仿宋_GB2312" w:eastAsia="仿宋_GB2312" w:cs="仿宋_GB2312"/>
          <w:color w:val="auto"/>
          <w:sz w:val="24"/>
          <w:szCs w:val="24"/>
          <w:highlight w:val="none"/>
        </w:rPr>
        <w:t>，实施“三化”管理，即垃圾收集袋装化、垃圾回收资源化、垃圾处理无公害化，对垃圾的收集和处理实行全过程封闭式管理；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与地方垃圾分类相关管理或业务部门开展工作对接，协同</w:t>
      </w:r>
      <w:r>
        <w:rPr>
          <w:rFonts w:hint="eastAsia" w:ascii="仿宋_GB2312" w:hAnsi="仿宋_GB2312" w:eastAsia="仿宋_GB2312" w:cs="仿宋_GB2312"/>
          <w:b/>
          <w:bCs/>
          <w:color w:val="auto"/>
          <w:sz w:val="24"/>
          <w:szCs w:val="24"/>
          <w:highlight w:val="none"/>
        </w:rPr>
        <w:t>总务科</w:t>
      </w:r>
      <w:r>
        <w:rPr>
          <w:rFonts w:hint="eastAsia" w:ascii="仿宋_GB2312" w:hAnsi="仿宋_GB2312" w:eastAsia="仿宋_GB2312" w:cs="仿宋_GB2312"/>
          <w:color w:val="auto"/>
          <w:sz w:val="24"/>
          <w:szCs w:val="24"/>
          <w:highlight w:val="none"/>
        </w:rPr>
        <w:t>做好有关材料填报及组织开展日常检查督导工作，协助开展师生垃圾分类知识和技能培训等工作；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根据《浙江省生活垃圾管理条例》规范，按照四分三化要求，规范生活垃圾分类投放，分类收集和分类运输，有日常监管，做好生活垃圾分类台账和其他</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的工作。负责全校的垃圾清运管理工作（实验室废弃物除外），及时清理各类垃圾收集容器，各类垃圾按规定统一投放至相应的收集容器内，做到日产日清:收集全校所有垃圾（实验室废弃物除外），清运至环卫部门指定的垃圾填埋场；校园内绿化垃圾及大件垃圾等按照相关规定进行处置，严禁混入生活垃圾投放；河道、内湖等水域打捞的生活垃圾，应当在滤去水分后，分类投放至生活垃圾投放点或集置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使用无刺激性气味清洁剂，清洁完成后定期喷洒空气清新剂；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注意节约用水、用电；</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污水的控制:清洁剂残液要倾倒于指定的区域，不要随地清倒；</w:t>
      </w:r>
      <w:r>
        <w:rPr>
          <w:rFonts w:hint="eastAsia" w:ascii="仿宋_GB2312" w:hAnsi="仿宋_GB2312" w:eastAsia="仿宋_GB2312" w:cs="仿宋_GB2312"/>
          <w:color w:val="auto"/>
          <w:spacing w:val="-2"/>
          <w:sz w:val="24"/>
          <w:szCs w:val="24"/>
          <w:highlight w:val="none"/>
        </w:rPr>
        <w:t>强酸强碱处理后的地面区域要及时用清水冲洗一次</w:t>
      </w:r>
      <w:r>
        <w:rPr>
          <w:rFonts w:hint="eastAsia" w:ascii="仿宋_GB2312" w:hAnsi="仿宋_GB2312" w:eastAsia="仿宋_GB2312" w:cs="仿宋_GB2312"/>
          <w:color w:val="auto"/>
          <w:sz w:val="24"/>
          <w:szCs w:val="24"/>
          <w:highlight w:val="none"/>
        </w:rPr>
        <w:t>；强酸碱残液要进行1比1000以上的稀释处理后方可清倒指定位置。</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其他要求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3.1</w:t>
      </w:r>
      <w:r>
        <w:rPr>
          <w:rFonts w:hint="eastAsia" w:ascii="仿宋_GB2312" w:hAnsi="仿宋_GB2312" w:eastAsia="仿宋_GB2312" w:cs="仿宋_GB2312"/>
          <w:color w:val="auto"/>
          <w:sz w:val="24"/>
          <w:szCs w:val="24"/>
          <w:highlight w:val="none"/>
        </w:rPr>
        <w:t>所有室内外公共区域（除学生宿舍内部日常、食堂内部、行政办公室内部（</w:t>
      </w:r>
      <w:r>
        <w:rPr>
          <w:rFonts w:hint="eastAsia" w:ascii="仿宋_GB2312" w:hAnsi="仿宋_GB2312" w:eastAsia="仿宋_GB2312" w:cs="仿宋_GB2312"/>
          <w:b/>
          <w:bCs/>
          <w:color w:val="auto"/>
          <w:sz w:val="24"/>
          <w:szCs w:val="24"/>
          <w:highlight w:val="none"/>
        </w:rPr>
        <w:t>部分除外，由</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指定</w:t>
      </w:r>
      <w:r>
        <w:rPr>
          <w:rFonts w:hint="eastAsia" w:ascii="仿宋_GB2312" w:hAnsi="仿宋_GB2312" w:eastAsia="仿宋_GB2312" w:cs="仿宋_GB2312"/>
          <w:color w:val="auto"/>
          <w:sz w:val="24"/>
          <w:szCs w:val="24"/>
          <w:highlight w:val="none"/>
        </w:rPr>
        <w:t>）等）卫生均由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w:t>
      </w:r>
      <w:r>
        <w:rPr>
          <w:rFonts w:hint="eastAsia" w:ascii="仿宋_GB2312" w:hAnsi="仿宋_GB2312" w:eastAsia="仿宋_GB2312" w:cs="仿宋_GB2312"/>
          <w:color w:val="auto"/>
          <w:sz w:val="24"/>
          <w:szCs w:val="24"/>
          <w:highlight w:val="none"/>
        </w:rPr>
        <w:t>遇各类检查和创建活动，严格按学校要求进行卫生清扫与保洁，确保通过；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w:t>
      </w:r>
      <w:r>
        <w:rPr>
          <w:rFonts w:hint="eastAsia" w:ascii="仿宋_GB2312" w:hAnsi="仿宋_GB2312" w:eastAsia="仿宋_GB2312" w:cs="仿宋_GB2312"/>
          <w:color w:val="auto"/>
          <w:sz w:val="24"/>
          <w:szCs w:val="24"/>
          <w:highlight w:val="none"/>
        </w:rPr>
        <w:t>对各类卫生死角要定时检查和及时清除；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3.4</w:t>
      </w:r>
      <w:r>
        <w:rPr>
          <w:rFonts w:hint="eastAsia" w:ascii="仿宋_GB2312" w:hAnsi="仿宋_GB2312" w:eastAsia="仿宋_GB2312" w:cs="仿宋_GB2312"/>
          <w:color w:val="auto"/>
          <w:sz w:val="24"/>
          <w:szCs w:val="24"/>
          <w:highlight w:val="none"/>
        </w:rPr>
        <w:t>校园环境卫生每天整体性打扫两次（早上卫生要求在7:40之前完成），局部区域根据需要随时保洁；</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3.5</w:t>
      </w:r>
      <w:r>
        <w:rPr>
          <w:rFonts w:hint="eastAsia" w:ascii="仿宋_GB2312" w:hAnsi="仿宋_GB2312" w:eastAsia="仿宋_GB2312" w:cs="仿宋_GB2312"/>
          <w:b/>
          <w:bCs/>
          <w:color w:val="auto"/>
          <w:sz w:val="24"/>
          <w:szCs w:val="24"/>
          <w:highlight w:val="none"/>
        </w:rPr>
        <w:t>在清洁卫生中使用清洁工具、消耗的物料、服装和各类垃圾袋等费用由</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负责。如因生活垃圾分类工作要求提高，需要另行大批量配置的垃圾桶由</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rPr>
        <w:t>采购提供，</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负责按要求规范管理使用。</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4.</w:t>
      </w:r>
      <w:r>
        <w:rPr>
          <w:rFonts w:hint="eastAsia" w:ascii="仿宋_GB2312" w:hAnsi="仿宋_GB2312" w:eastAsia="仿宋_GB2312" w:cs="仿宋_GB2312"/>
          <w:b/>
          <w:bCs/>
          <w:color w:val="auto"/>
          <w:sz w:val="24"/>
          <w:szCs w:val="24"/>
          <w:highlight w:val="none"/>
        </w:rPr>
        <w:t>楼宇安全管理服务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4.1</w:t>
      </w:r>
      <w:r>
        <w:rPr>
          <w:rFonts w:hint="eastAsia" w:ascii="仿宋_GB2312" w:hAnsi="仿宋_GB2312" w:eastAsia="仿宋_GB2312" w:cs="仿宋_GB2312"/>
          <w:color w:val="auto"/>
          <w:sz w:val="24"/>
          <w:szCs w:val="24"/>
          <w:highlight w:val="none"/>
        </w:rPr>
        <w:t>建立责任区安全巡查制度，按时对各区域进行巡查并认真做好记录，严防各类偷盗、破坏及公共安全责任事故的发生；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4.2</w:t>
      </w:r>
      <w:r>
        <w:rPr>
          <w:rFonts w:hint="eastAsia" w:ascii="仿宋_GB2312" w:hAnsi="仿宋_GB2312" w:eastAsia="仿宋_GB2312" w:cs="仿宋_GB2312"/>
          <w:color w:val="auto"/>
          <w:sz w:val="24"/>
          <w:szCs w:val="24"/>
          <w:highlight w:val="none"/>
        </w:rPr>
        <w:t>确保顶层天台、架空层、配电间、重要设备房等存在危险性的部位的安全防范警示标志整洁清晰；加强对进入天台的门窗的管理；制定公共安全管理制度并在有关部位采取有效的防范措施；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4.3</w:t>
      </w:r>
      <w:r>
        <w:rPr>
          <w:rFonts w:hint="eastAsia" w:ascii="仿宋_GB2312" w:hAnsi="仿宋_GB2312" w:eastAsia="仿宋_GB2312" w:cs="仿宋_GB2312"/>
          <w:color w:val="auto"/>
          <w:sz w:val="24"/>
          <w:szCs w:val="24"/>
          <w:highlight w:val="none"/>
        </w:rPr>
        <w:t>加强楼宇门前停车坪、自行车库等的管理，引导车辆的有序出入和停放；</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w:t>
      </w:r>
      <w:r>
        <w:rPr>
          <w:rFonts w:hint="eastAsia" w:ascii="仿宋_GB2312" w:hAnsi="仿宋_GB2312" w:eastAsia="仿宋_GB2312" w:cs="仿宋_GB2312"/>
          <w:color w:val="auto"/>
          <w:sz w:val="24"/>
          <w:szCs w:val="24"/>
          <w:highlight w:val="none"/>
        </w:rPr>
        <w:t>对险情、灾情、传销、集会、斗殴、群体事件、刑事案件等突发事件有应急预案，提供必要的紧急救助服务；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z w:val="24"/>
          <w:szCs w:val="24"/>
          <w:highlight w:val="none"/>
        </w:rPr>
        <w:t>配合做好重要会议、重要来宾到访、重要考试、各类检查评比、迎新、毕业生离校等重大活动及学校临时性事件的筹备、安保、服务（包括场地的清扫与布置、桌椅的搬运与摆放、绿植等相关物品的购买与摆放等）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4.6</w:t>
      </w:r>
      <w:r>
        <w:rPr>
          <w:rFonts w:hint="eastAsia" w:ascii="仿宋_GB2312" w:hAnsi="仿宋_GB2312" w:eastAsia="仿宋_GB2312" w:cs="仿宋_GB2312"/>
          <w:color w:val="auto"/>
          <w:sz w:val="24"/>
          <w:szCs w:val="24"/>
          <w:highlight w:val="none"/>
        </w:rPr>
        <w:t>做好楼宇的防火、防盗等安全防范工作，处理各类突发事件，发现重大问题及时向相关部门报告；</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4.7</w:t>
      </w:r>
      <w:r>
        <w:rPr>
          <w:rFonts w:hint="eastAsia" w:ascii="仿宋_GB2312" w:hAnsi="仿宋_GB2312" w:eastAsia="仿宋_GB2312" w:cs="仿宋_GB2312"/>
          <w:color w:val="auto"/>
          <w:sz w:val="24"/>
          <w:szCs w:val="24"/>
          <w:highlight w:val="none"/>
        </w:rPr>
        <w:t>工作时保持良好形象，不得串岗、离岗，做好当班记录和交接班登记；</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4.8</w:t>
      </w:r>
      <w:r>
        <w:rPr>
          <w:rFonts w:hint="eastAsia" w:ascii="仿宋_GB2312" w:hAnsi="仿宋_GB2312" w:eastAsia="仿宋_GB2312" w:cs="仿宋_GB2312"/>
          <w:color w:val="auto"/>
          <w:sz w:val="24"/>
          <w:szCs w:val="24"/>
          <w:highlight w:val="none"/>
        </w:rPr>
        <w:t>熟悉本楼宇情况，包括:教室、座位、卫生间数量，共享区域面积，上课老师的特征及其教学安排等；具备处理应急突发事件能力。</w:t>
      </w:r>
    </w:p>
    <w:p>
      <w:pPr>
        <w:spacing w:line="460" w:lineRule="exact"/>
        <w:ind w:firstLine="472" w:firstLineChars="196"/>
        <w:outlineLvl w:val="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5.</w:t>
      </w:r>
      <w:r>
        <w:rPr>
          <w:rFonts w:hint="eastAsia" w:ascii="仿宋_GB2312" w:hAnsi="仿宋_GB2312" w:eastAsia="仿宋_GB2312" w:cs="仿宋_GB2312"/>
          <w:b/>
          <w:bCs/>
          <w:color w:val="auto"/>
          <w:sz w:val="24"/>
          <w:szCs w:val="24"/>
          <w:highlight w:val="none"/>
        </w:rPr>
        <w:t>绿化养护工作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5.1</w:t>
      </w:r>
      <w:r>
        <w:rPr>
          <w:rFonts w:hint="eastAsia" w:ascii="仿宋_GB2312" w:hAnsi="仿宋_GB2312" w:eastAsia="仿宋_GB2312" w:cs="仿宋_GB2312"/>
          <w:color w:val="auto"/>
          <w:sz w:val="24"/>
          <w:szCs w:val="24"/>
          <w:highlight w:val="none"/>
        </w:rPr>
        <w:t>植物配置合理，乔、灌、花、草齐全，区域内基本无裸露土地；</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5.2</w:t>
      </w:r>
      <w:r>
        <w:rPr>
          <w:rFonts w:hint="eastAsia" w:ascii="仿宋_GB2312" w:hAnsi="仿宋_GB2312" w:eastAsia="仿宋_GB2312" w:cs="仿宋_GB2312"/>
          <w:color w:val="auto"/>
          <w:sz w:val="24"/>
          <w:szCs w:val="24"/>
          <w:highlight w:val="none"/>
        </w:rPr>
        <w:t>花木类每年施肥2次（花后1次，冬季1次），草坪每年施肥2次，其它每年1次，其中核心区域每年2次；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5.3</w:t>
      </w:r>
      <w:r>
        <w:rPr>
          <w:rFonts w:hint="eastAsia" w:ascii="仿宋_GB2312" w:hAnsi="仿宋_GB2312" w:eastAsia="仿宋_GB2312" w:cs="仿宋_GB2312"/>
          <w:color w:val="auto"/>
          <w:sz w:val="24"/>
          <w:szCs w:val="24"/>
          <w:highlight w:val="none"/>
        </w:rPr>
        <w:t>干旱、高温季节保持有效供水，高温季节须搭遮阴棚；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5.4</w:t>
      </w:r>
      <w:r>
        <w:rPr>
          <w:rFonts w:hint="eastAsia" w:ascii="仿宋_GB2312" w:hAnsi="仿宋_GB2312" w:eastAsia="仿宋_GB2312" w:cs="仿宋_GB2312"/>
          <w:color w:val="auto"/>
          <w:sz w:val="24"/>
          <w:szCs w:val="24"/>
          <w:highlight w:val="none"/>
        </w:rPr>
        <w:t>因管理不善或作业不当导致的各类设施破损,按原样更换维修；</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w:t>
      </w:r>
      <w:r>
        <w:rPr>
          <w:rFonts w:hint="eastAsia" w:ascii="仿宋_GB2312" w:hAnsi="仿宋_GB2312" w:eastAsia="仿宋_GB2312" w:cs="仿宋_GB2312"/>
          <w:color w:val="auto"/>
          <w:sz w:val="24"/>
          <w:szCs w:val="24"/>
          <w:highlight w:val="none"/>
        </w:rPr>
        <w:t>树木及时修剪，无死株无明显枯枝死杈，控制树木倾斜度，合法、合规做好绿化垃圾外运处理工作，其中花木每年修剪2次，花后及秋冬季各1次，保持树型；草坪生长季每月1次，休眠期每两个月1次；色块、球类、绿篱生长季每月1次，休眠期每两个月1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w:t>
      </w:r>
      <w:r>
        <w:rPr>
          <w:rFonts w:hint="eastAsia" w:ascii="仿宋_GB2312" w:hAnsi="仿宋_GB2312" w:eastAsia="仿宋_GB2312" w:cs="仿宋_GB2312"/>
          <w:color w:val="auto"/>
          <w:sz w:val="24"/>
          <w:szCs w:val="24"/>
          <w:highlight w:val="none"/>
        </w:rPr>
        <w:t>树木生长正常，树冠基本完整，基本无钉栓、捆绑现象；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5.7</w:t>
      </w:r>
      <w:r>
        <w:rPr>
          <w:rFonts w:hint="eastAsia" w:ascii="仿宋_GB2312" w:hAnsi="仿宋_GB2312" w:eastAsia="仿宋_GB2312" w:cs="仿宋_GB2312"/>
          <w:color w:val="auto"/>
          <w:sz w:val="24"/>
          <w:szCs w:val="24"/>
          <w:highlight w:val="none"/>
        </w:rPr>
        <w:t>乔木适时修剪，灌木整形修剪每年两次以上，</w:t>
      </w:r>
      <w:r>
        <w:rPr>
          <w:rFonts w:hint="eastAsia" w:ascii="仿宋_GB2312" w:hAnsi="仿宋_GB2312" w:eastAsia="仿宋_GB2312" w:cs="仿宋_GB2312"/>
          <w:color w:val="auto"/>
          <w:kern w:val="0"/>
          <w:sz w:val="24"/>
          <w:szCs w:val="24"/>
          <w:highlight w:val="none"/>
        </w:rPr>
        <w:t>所有乔木每年冬季涂白一次；</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5.8</w:t>
      </w:r>
      <w:r>
        <w:rPr>
          <w:rFonts w:hint="eastAsia" w:ascii="仿宋_GB2312" w:hAnsi="仿宋_GB2312" w:eastAsia="仿宋_GB2312" w:cs="仿宋_GB2312"/>
          <w:color w:val="auto"/>
          <w:kern w:val="0"/>
          <w:sz w:val="24"/>
          <w:szCs w:val="24"/>
          <w:highlight w:val="none"/>
        </w:rPr>
        <w:t>行道</w:t>
      </w:r>
      <w:r>
        <w:rPr>
          <w:rFonts w:hint="eastAsia" w:ascii="仿宋_GB2312" w:hAnsi="仿宋_GB2312" w:eastAsia="仿宋_GB2312" w:cs="仿宋_GB2312"/>
          <w:color w:val="auto"/>
          <w:sz w:val="24"/>
          <w:szCs w:val="24"/>
          <w:highlight w:val="none"/>
        </w:rPr>
        <w:t>树缺株在3%以下，</w:t>
      </w:r>
      <w:r>
        <w:rPr>
          <w:rFonts w:hint="eastAsia" w:ascii="仿宋_GB2312" w:hAnsi="仿宋_GB2312" w:eastAsia="仿宋_GB2312" w:cs="仿宋_GB2312"/>
          <w:color w:val="auto"/>
          <w:kern w:val="0"/>
          <w:sz w:val="24"/>
          <w:szCs w:val="24"/>
          <w:highlight w:val="none"/>
        </w:rPr>
        <w:t>全年抹芽不少于6次;</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5.9</w:t>
      </w:r>
      <w:r>
        <w:rPr>
          <w:rFonts w:hint="eastAsia" w:ascii="仿宋_GB2312" w:hAnsi="仿宋_GB2312" w:eastAsia="仿宋_GB2312" w:cs="仿宋_GB2312"/>
          <w:color w:val="auto"/>
          <w:kern w:val="0"/>
          <w:sz w:val="24"/>
          <w:szCs w:val="24"/>
          <w:highlight w:val="none"/>
        </w:rPr>
        <w:t>树木补种后如死亡的，更换同品种同规格树木，成活率95%以上，树木保存率100%；</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5.10</w:t>
      </w:r>
      <w:r>
        <w:rPr>
          <w:rFonts w:hint="eastAsia" w:ascii="仿宋_GB2312" w:hAnsi="仿宋_GB2312" w:eastAsia="仿宋_GB2312" w:cs="仿宋_GB2312"/>
          <w:color w:val="auto"/>
          <w:sz w:val="24"/>
          <w:szCs w:val="24"/>
          <w:highlight w:val="none"/>
        </w:rPr>
        <w:t>及时灭治病虫害，防治结合，树木被啃咬叶片最严重的每株在8%以下；有蛀干害虫的株数在5%以下；</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病虫害防治:乔木、花木、色块、草坪等每年3-5次，其中核心区域每年4-6次，不允许出现严重病虫害，不允许使用违规农药。</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5.11</w:t>
      </w:r>
      <w:r>
        <w:rPr>
          <w:rFonts w:hint="eastAsia" w:ascii="仿宋_GB2312" w:hAnsi="仿宋_GB2312" w:eastAsia="仿宋_GB2312" w:cs="仿宋_GB2312"/>
          <w:color w:val="auto"/>
          <w:kern w:val="0"/>
          <w:sz w:val="24"/>
          <w:szCs w:val="24"/>
          <w:highlight w:val="none"/>
        </w:rPr>
        <w:t>草坪生长茂盛，草坪覆盖率大于95%，草高不超过10cm，草坪的护栏等防护设施完好美观；</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5.12</w:t>
      </w:r>
      <w:r>
        <w:rPr>
          <w:rFonts w:hint="eastAsia" w:ascii="仿宋_GB2312" w:hAnsi="仿宋_GB2312" w:eastAsia="仿宋_GB2312" w:cs="仿宋_GB2312"/>
          <w:color w:val="auto"/>
          <w:kern w:val="0"/>
          <w:sz w:val="24"/>
          <w:szCs w:val="24"/>
          <w:highlight w:val="none"/>
        </w:rPr>
        <w:t>草坪杂草控制在5cm以下，灌木杂草不高于灌木本身,无藤类杂草及大型杂草；</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5.13</w:t>
      </w:r>
      <w:r>
        <w:rPr>
          <w:rFonts w:hint="eastAsia" w:ascii="仿宋_GB2312" w:hAnsi="仿宋_GB2312" w:eastAsia="仿宋_GB2312" w:cs="仿宋_GB2312"/>
          <w:color w:val="auto"/>
          <w:kern w:val="0"/>
          <w:sz w:val="24"/>
          <w:szCs w:val="24"/>
          <w:highlight w:val="none"/>
        </w:rPr>
        <w:t>做好名木古树养护管理工作（修剪枯枝、修补树洞、松土、浇水、施肥、炳虫害防治等）；</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5.14</w:t>
      </w:r>
      <w:r>
        <w:rPr>
          <w:rFonts w:hint="eastAsia" w:ascii="仿宋_GB2312" w:hAnsi="仿宋_GB2312" w:eastAsia="仿宋_GB2312" w:cs="仿宋_GB2312"/>
          <w:color w:val="auto"/>
          <w:kern w:val="0"/>
          <w:sz w:val="24"/>
          <w:szCs w:val="24"/>
          <w:highlight w:val="none"/>
        </w:rPr>
        <w:t>根据季节种植花草，形成植物景观；盆花更换每年不少于1次。</w:t>
      </w:r>
    </w:p>
    <w:p>
      <w:pPr>
        <w:spacing w:line="460" w:lineRule="exact"/>
        <w:ind w:firstLine="482"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5.15</w:t>
      </w:r>
      <w:r>
        <w:rPr>
          <w:rFonts w:hint="eastAsia" w:ascii="仿宋_GB2312" w:hAnsi="仿宋_GB2312" w:eastAsia="仿宋_GB2312" w:cs="仿宋_GB2312"/>
          <w:b/>
          <w:bCs/>
          <w:color w:val="auto"/>
          <w:kern w:val="0"/>
          <w:sz w:val="24"/>
          <w:szCs w:val="24"/>
          <w:highlight w:val="none"/>
        </w:rPr>
        <w:t>除生活垃圾外，所有垃圾外运由</w:t>
      </w:r>
      <w:r>
        <w:rPr>
          <w:rFonts w:hint="eastAsia" w:ascii="仿宋_GB2312" w:hAnsi="仿宋_GB2312" w:eastAsia="仿宋_GB2312" w:cs="仿宋_GB2312"/>
          <w:b/>
          <w:bCs/>
          <w:color w:val="auto"/>
          <w:kern w:val="0"/>
          <w:sz w:val="24"/>
          <w:szCs w:val="24"/>
          <w:highlight w:val="none"/>
          <w:lang w:val="en-US" w:eastAsia="zh-CN"/>
        </w:rPr>
        <w:t>投标人</w:t>
      </w:r>
      <w:r>
        <w:rPr>
          <w:rFonts w:hint="eastAsia" w:ascii="仿宋_GB2312" w:hAnsi="仿宋_GB2312" w:eastAsia="仿宋_GB2312" w:cs="仿宋_GB2312"/>
          <w:b/>
          <w:bCs/>
          <w:color w:val="auto"/>
          <w:kern w:val="0"/>
          <w:sz w:val="24"/>
          <w:szCs w:val="24"/>
          <w:highlight w:val="none"/>
        </w:rPr>
        <w:t>负责。</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6.</w:t>
      </w:r>
      <w:r>
        <w:rPr>
          <w:rFonts w:hint="eastAsia" w:ascii="仿宋_GB2312" w:hAnsi="仿宋_GB2312" w:eastAsia="仿宋_GB2312" w:cs="仿宋_GB2312"/>
          <w:b/>
          <w:bCs/>
          <w:color w:val="auto"/>
          <w:sz w:val="24"/>
          <w:szCs w:val="24"/>
          <w:highlight w:val="none"/>
        </w:rPr>
        <w:t>绿化应急处理</w:t>
      </w:r>
    </w:p>
    <w:p>
      <w:pPr>
        <w:spacing w:line="46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6.1</w:t>
      </w:r>
      <w:r>
        <w:rPr>
          <w:rFonts w:hint="eastAsia" w:ascii="仿宋_GB2312" w:hAnsi="仿宋_GB2312" w:eastAsia="仿宋_GB2312" w:cs="仿宋_GB2312"/>
          <w:bCs/>
          <w:color w:val="auto"/>
          <w:sz w:val="24"/>
          <w:szCs w:val="24"/>
          <w:highlight w:val="none"/>
        </w:rPr>
        <w:t>台风暴雨应急处理要求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（1）台风来临前对高大过密的树冠疏除过密的枝叶，保持树冠通透性良好；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（2）对灌木进行培土，以加强植株牢固直立于土壤中；</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（3）检查并保持雨水井和明沟、暗道畅通；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（4）大风期间组织人力加强巡查，发现吹倒树木危及电线、建筑物、交通时，及时组织人力进行抢救和处理；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（5）风雨过后对绿化进行全面检查，发现受害的树木在12小时内及时处理。</w:t>
      </w:r>
    </w:p>
    <w:p>
      <w:pPr>
        <w:spacing w:line="46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6.2</w:t>
      </w:r>
      <w:r>
        <w:rPr>
          <w:rFonts w:hint="eastAsia" w:ascii="仿宋_GB2312" w:hAnsi="仿宋_GB2312" w:eastAsia="仿宋_GB2312" w:cs="仿宋_GB2312"/>
          <w:bCs/>
          <w:color w:val="auto"/>
          <w:sz w:val="24"/>
          <w:szCs w:val="24"/>
          <w:highlight w:val="none"/>
        </w:rPr>
        <w:t>突发性病虫害应急处理要求</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（1）对感病严重的植株或枝叶进行挖除、截锯、运走焚烧；</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（2）对感病严重植株周围的植物全面进行针对性灭治和周期性喷杀，根据病情及时调整药物及使用频率，直至病情得到稳定控制；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（3）防范。对危险性、突发性病虫害进行分析、研究，从源头处控制。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6.3</w:t>
      </w:r>
      <w:r>
        <w:rPr>
          <w:rFonts w:hint="eastAsia" w:ascii="仿宋_GB2312" w:hAnsi="仿宋_GB2312" w:eastAsia="仿宋_GB2312" w:cs="仿宋_GB2312"/>
          <w:color w:val="auto"/>
          <w:sz w:val="24"/>
          <w:szCs w:val="24"/>
          <w:highlight w:val="none"/>
        </w:rPr>
        <w:t>旱季、高温季应急预案</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（1）对抗旱性较差的植物，可适当采取遮荫棚的方法防止苗木受阳光直射，</w:t>
      </w:r>
      <w:r>
        <w:rPr>
          <w:rFonts w:hint="eastAsia" w:ascii="仿宋_GB2312" w:hAnsi="仿宋_GB2312" w:eastAsia="仿宋_GB2312" w:cs="仿宋_GB2312"/>
          <w:color w:val="auto"/>
          <w:kern w:val="0"/>
          <w:sz w:val="24"/>
          <w:szCs w:val="24"/>
          <w:highlight w:val="none"/>
        </w:rPr>
        <w:t>在4月下旬至10月份种植的灌木须搭遮阴棚；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（2）高温季节选择合理的时间段给苗木进行浇灌，每天至少2次浇足水。</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6.4</w:t>
      </w:r>
      <w:r>
        <w:rPr>
          <w:rFonts w:hint="eastAsia" w:ascii="仿宋_GB2312" w:hAnsi="仿宋_GB2312" w:eastAsia="仿宋_GB2312" w:cs="仿宋_GB2312"/>
          <w:color w:val="auto"/>
          <w:sz w:val="24"/>
          <w:szCs w:val="24"/>
          <w:highlight w:val="none"/>
        </w:rPr>
        <w:t>冬季应急预案</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kern w:val="0"/>
          <w:sz w:val="24"/>
          <w:szCs w:val="24"/>
          <w:highlight w:val="none"/>
        </w:rPr>
        <w:t>凡易受冻害的树木，冬季应按不同树种采取防寒措施，防寒工作应在12月上旬前完成；</w:t>
      </w:r>
    </w:p>
    <w:p>
      <w:pPr>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（2）大雪前及时设立支柱,枝量过多的树木应适当修剪，雪后及时将雪压倒的枝条扶正，清理枝条积雪。</w:t>
      </w:r>
    </w:p>
    <w:p>
      <w:pPr>
        <w:tabs>
          <w:tab w:val="left" w:pos="0"/>
        </w:tabs>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w:t>
      </w:r>
      <w:r>
        <w:rPr>
          <w:rFonts w:hint="eastAsia" w:ascii="仿宋_GB2312" w:hAnsi="仿宋_GB2312" w:eastAsia="仿宋_GB2312" w:cs="仿宋_GB2312"/>
          <w:b/>
          <w:bCs/>
          <w:color w:val="auto"/>
          <w:sz w:val="24"/>
          <w:szCs w:val="24"/>
          <w:highlight w:val="none"/>
        </w:rPr>
        <w:t>场馆及会务管理</w:t>
      </w:r>
    </w:p>
    <w:p>
      <w:pPr>
        <w:tabs>
          <w:tab w:val="left" w:pos="0"/>
        </w:tabs>
        <w:spacing w:line="460" w:lineRule="exact"/>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7.1</w:t>
      </w:r>
      <w:r>
        <w:rPr>
          <w:rFonts w:hint="eastAsia" w:ascii="仿宋_GB2312" w:hAnsi="仿宋_GB2312" w:eastAsia="仿宋_GB2312" w:cs="仿宋_GB2312"/>
          <w:b/>
          <w:color w:val="auto"/>
          <w:sz w:val="24"/>
          <w:szCs w:val="24"/>
          <w:highlight w:val="none"/>
        </w:rPr>
        <w:t>基本要求</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（1）按要求配备足够的岗位人员，并由场馆主管负责统一协调管理场馆及会务工作；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（2）员工仪表端正、着装统一规范并佩戴胸卡，遵章守纪，服务态度良好；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（3）岗位职责明确，工作协调配合，积极配合监管人员，服从统一管理；                                                            </w:t>
      </w:r>
    </w:p>
    <w:p>
      <w:pPr>
        <w:spacing w:line="46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（4）制定岗位工作标准，员工业务水平达到工作所需要求；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（5）制定并执行科学的员工管理和培训制度，并不断完善改进；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（6）场馆借用和会议要求记录齐全，并做好衔接，确保无误；                  </w:t>
      </w:r>
    </w:p>
    <w:p>
      <w:pPr>
        <w:spacing w:line="46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（7）各项会议耗材的用量或损耗在核定范围之内。</w:t>
      </w:r>
    </w:p>
    <w:p>
      <w:pPr>
        <w:tabs>
          <w:tab w:val="left" w:pos="0"/>
        </w:tabs>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7.2</w:t>
      </w:r>
      <w:r>
        <w:rPr>
          <w:rFonts w:hint="eastAsia" w:ascii="仿宋_GB2312" w:hAnsi="仿宋_GB2312" w:eastAsia="仿宋_GB2312" w:cs="仿宋_GB2312"/>
          <w:b/>
          <w:bCs/>
          <w:color w:val="auto"/>
          <w:sz w:val="24"/>
          <w:szCs w:val="24"/>
          <w:highlight w:val="none"/>
        </w:rPr>
        <w:t>场馆管理</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（1）根据学校要求全面负责场馆日常管理；</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（2）负责场馆的安全保障，按照学校要求实行查证和门禁制度，做好巡视和记录；</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（3）定期检查安全及设备完好状况，确保设施设备安全正常运行，出现故障及时维修或报告学校，设施设备合格率95%以上；</w:t>
      </w:r>
    </w:p>
    <w:p>
      <w:pPr>
        <w:tabs>
          <w:tab w:val="left" w:pos="268"/>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（4）按要求做好开关门工作，组织员工做好每天清楼、设备检查及卫生保洁工作，并锁好门窗；</w:t>
      </w:r>
    </w:p>
    <w:p>
      <w:pPr>
        <w:tabs>
          <w:tab w:val="left" w:pos="268"/>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（5）根据天气条件开关空调系统，协助维保企业做好定期检修；</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（6）管理馆内存放的器材，做好登记借用；</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（7）做好大型活动、重要接待的保障工作；</w:t>
      </w:r>
    </w:p>
    <w:p>
      <w:pPr>
        <w:tabs>
          <w:tab w:val="left" w:pos="0"/>
        </w:tabs>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（8）针对火灾、治安、公共卫生等突发事件制定应急处置预案，并落实到位，及时报告，协助相关部门采取相关措施；</w:t>
      </w:r>
    </w:p>
    <w:p>
      <w:pPr>
        <w:tabs>
          <w:tab w:val="left" w:pos="0"/>
        </w:tabs>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7.3</w:t>
      </w:r>
      <w:r>
        <w:rPr>
          <w:rFonts w:hint="eastAsia" w:ascii="仿宋_GB2312" w:hAnsi="仿宋_GB2312" w:eastAsia="仿宋_GB2312" w:cs="仿宋_GB2312"/>
          <w:b/>
          <w:color w:val="auto"/>
          <w:sz w:val="24"/>
          <w:szCs w:val="24"/>
          <w:highlight w:val="none"/>
        </w:rPr>
        <w:t>会务管理</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7.3.1</w:t>
      </w:r>
      <w:r>
        <w:rPr>
          <w:rFonts w:hint="eastAsia" w:ascii="仿宋_GB2312" w:hAnsi="仿宋_GB2312" w:eastAsia="仿宋_GB2312" w:cs="仿宋_GB2312"/>
          <w:b/>
          <w:bCs/>
          <w:color w:val="auto"/>
          <w:sz w:val="24"/>
          <w:szCs w:val="24"/>
          <w:highlight w:val="none"/>
        </w:rPr>
        <w:t>会前准备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（1）根据不同的会议规格，确定相应的服务人数，定岗定位；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（2）会前对空调、灯光进行调试，确保会议所需；</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（3）会场布置到位，桌子、台布、椅子、水杯根据学校要求摆放到位、清洁整齐；</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（4）根据会议要求，不同地点、气候条件，备好通风、空调、窗帘布等相应的服务准备；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（5）会前1小时领班进行全面检查，指出不足之处，并及时整改；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（6）会前15分钟放好毛巾，及时为到场客人斟上茶水；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（7）电视电话会议按要求做好会前的各项登记和衔接工作；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（8）应急预案上墙，所有服务人员应熟知预案内容。</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7.3.2</w:t>
      </w:r>
      <w:r>
        <w:rPr>
          <w:rFonts w:hint="eastAsia" w:ascii="仿宋_GB2312" w:hAnsi="仿宋_GB2312" w:eastAsia="仿宋_GB2312" w:cs="仿宋_GB2312"/>
          <w:b/>
          <w:bCs/>
          <w:color w:val="auto"/>
          <w:sz w:val="24"/>
          <w:szCs w:val="24"/>
          <w:highlight w:val="none"/>
        </w:rPr>
        <w:t>会中服务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（1）及时将会场门关闭，根据人员调整情况调整好会议用品；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（2）会议中每隔20-30分钟为与会人员补斟茶水，服务动作规范；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（3）反应灵敏，及时提供与会客人需要的临时服务；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（4）积极配合处理临时发生的有关工作；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（5）会议中服务人员应在指定的位置待命，不得脱岗或做与会议服务无关的事情。</w:t>
      </w:r>
    </w:p>
    <w:p>
      <w:pPr>
        <w:spacing w:line="46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7.3.3</w:t>
      </w:r>
      <w:r>
        <w:rPr>
          <w:rFonts w:hint="eastAsia" w:ascii="仿宋_GB2312" w:hAnsi="仿宋_GB2312" w:eastAsia="仿宋_GB2312" w:cs="仿宋_GB2312"/>
          <w:b/>
          <w:bCs/>
          <w:color w:val="auto"/>
          <w:sz w:val="24"/>
          <w:szCs w:val="24"/>
          <w:highlight w:val="none"/>
        </w:rPr>
        <w:t>会后清理</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（1）根据会议需要，做好与会人员退场引导工作；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（2）及时检查与会人员是否有遗忘物品，并及时联系归还；             </w:t>
      </w:r>
    </w:p>
    <w:p>
      <w:pPr>
        <w:spacing w:line="460" w:lineRule="exact"/>
        <w:ind w:firstLine="480" w:firstLineChars="200"/>
        <w:rPr>
          <w:rFonts w:hint="eastAsia" w:ascii="仿宋_GB2312" w:hAnsi="仿宋_GB2312" w:eastAsia="仿宋_GB2312" w:cs="仿宋_GB2312"/>
          <w:color w:val="auto"/>
          <w:spacing w:val="-6"/>
          <w:sz w:val="24"/>
          <w:szCs w:val="24"/>
          <w:highlight w:val="none"/>
        </w:rPr>
      </w:pPr>
      <w:r>
        <w:rPr>
          <w:rFonts w:hint="eastAsia" w:ascii="仿宋_GB2312" w:hAnsi="仿宋_GB2312" w:eastAsia="仿宋_GB2312" w:cs="仿宋_GB2312"/>
          <w:color w:val="auto"/>
          <w:sz w:val="24"/>
          <w:szCs w:val="24"/>
          <w:highlight w:val="none"/>
        </w:rPr>
        <w:t>（3）按</w:t>
      </w:r>
      <w:r>
        <w:rPr>
          <w:rFonts w:hint="eastAsia" w:ascii="仿宋_GB2312" w:hAnsi="仿宋_GB2312" w:eastAsia="仿宋_GB2312" w:cs="仿宋_GB2312"/>
          <w:color w:val="auto"/>
          <w:spacing w:val="-6"/>
          <w:sz w:val="24"/>
          <w:szCs w:val="24"/>
          <w:highlight w:val="none"/>
        </w:rPr>
        <w:t xml:space="preserve">要求收好各类会议用品，并进行清点，发现问题及时报告；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（4）及时清扫地面，清洁桌椅、工作台，保持会场整洁；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（5）会议场地的垃圾送到指定的地点，及时清洗会议用品；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（6）及时关闭相关设备，收妥相关的会议器材，按规范要求关灯、锁门；                                                               </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（7）保障会务使用的实施设备正常完好，做到会前检查、会后验收，及时通报会议室内各项设备使用情况并做好跟踪反馈；</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（8）保管好会议室内设施设备。</w:t>
      </w:r>
    </w:p>
    <w:p>
      <w:pPr>
        <w:spacing w:line="360"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人员配置的具体要求</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5135"/>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人员工种</w:t>
            </w:r>
          </w:p>
        </w:tc>
        <w:tc>
          <w:tcPr>
            <w:tcW w:w="513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要求</w:t>
            </w:r>
          </w:p>
        </w:tc>
        <w:tc>
          <w:tcPr>
            <w:tcW w:w="1162"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岗位数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项目主管</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具有大专及以上学历，具备高校综合物业管理能力，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保洁及场馆会务主管</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具有大专及以上学历，具备高校保洁管理能力，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绿化工</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具有中专及以上学历，懂绿化维护知识，</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2104"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保洁工</w:t>
            </w:r>
          </w:p>
        </w:tc>
        <w:tc>
          <w:tcPr>
            <w:tcW w:w="51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确保至少1人懂器材维护安全基本知识，至少1人懂会务基本知识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年龄符合劳动法相关规定</w:t>
            </w:r>
            <w:r>
              <w:rPr>
                <w:rFonts w:hint="eastAsia" w:ascii="仿宋_GB2312" w:hAnsi="仿宋_GB2312" w:eastAsia="仿宋_GB2312" w:cs="仿宋_GB2312"/>
                <w:color w:val="auto"/>
                <w:sz w:val="24"/>
                <w:szCs w:val="24"/>
                <w:highlight w:val="none"/>
              </w:rPr>
              <w:t>。</w:t>
            </w:r>
          </w:p>
        </w:tc>
        <w:tc>
          <w:tcPr>
            <w:tcW w:w="1162"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r>
    </w:tbl>
    <w:p>
      <w:pPr>
        <w:spacing w:line="460" w:lineRule="exact"/>
        <w:ind w:firstLine="472" w:firstLineChars="19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kern w:val="0"/>
          <w:sz w:val="24"/>
          <w:szCs w:val="24"/>
          <w:highlight w:val="none"/>
          <w:lang w:eastAsia="zh-CN"/>
        </w:rPr>
        <w:t>（</w:t>
      </w:r>
      <w:r>
        <w:rPr>
          <w:rFonts w:hint="eastAsia" w:ascii="仿宋_GB2312" w:hAnsi="仿宋_GB2312" w:eastAsia="仿宋_GB2312" w:cs="仿宋_GB2312"/>
          <w:b/>
          <w:color w:val="auto"/>
          <w:kern w:val="0"/>
          <w:sz w:val="24"/>
          <w:szCs w:val="24"/>
          <w:highlight w:val="none"/>
          <w:lang w:val="en-US" w:eastAsia="zh-CN"/>
        </w:rPr>
        <w:t>四</w:t>
      </w:r>
      <w:r>
        <w:rPr>
          <w:rFonts w:hint="eastAsia" w:ascii="仿宋_GB2312" w:hAnsi="仿宋_GB2312" w:eastAsia="仿宋_GB2312" w:cs="仿宋_GB2312"/>
          <w:b/>
          <w:color w:val="auto"/>
          <w:kern w:val="0"/>
          <w:sz w:val="24"/>
          <w:szCs w:val="24"/>
          <w:highlight w:val="none"/>
          <w:lang w:eastAsia="zh-CN"/>
        </w:rPr>
        <w:t>）</w:t>
      </w:r>
      <w:r>
        <w:rPr>
          <w:rFonts w:hint="eastAsia" w:ascii="仿宋_GB2312" w:hAnsi="仿宋_GB2312" w:eastAsia="仿宋_GB2312" w:cs="仿宋_GB2312"/>
          <w:b/>
          <w:color w:val="auto"/>
          <w:sz w:val="24"/>
          <w:szCs w:val="24"/>
          <w:highlight w:val="none"/>
        </w:rPr>
        <w:t>安全保卫工作（含电工）</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1.</w:t>
      </w:r>
      <w:r>
        <w:rPr>
          <w:rFonts w:hint="eastAsia" w:ascii="仿宋_GB2312" w:hAnsi="仿宋_GB2312" w:eastAsia="仿宋_GB2312" w:cs="仿宋_GB2312"/>
          <w:b/>
          <w:color w:val="auto"/>
          <w:sz w:val="24"/>
          <w:szCs w:val="24"/>
          <w:highlight w:val="none"/>
        </w:rPr>
        <w:t>安保综合服务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贯彻执行公安部门和校方关于安保工作方针、政策和有关条例，积极配合公安部门和校方工作；做好各类安保规章制度的制订和落实；做好重点部位安全保卫工作；做好安保档案工作；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24小时负责校内及周边的治安、防疫、交通、巡逻、消防、宗教等安全保卫工作；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做好大型会议、大型活动的安保工作，包括重要活动、新生入校、毕业生离校、军训和各类考试等的安保工作；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做好各楼宇来访人员登记、证件检查等；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制止校内不文明和违法行为；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积极开展防骗、防盗、防火、反恐宣传，每年组织师生及员工开展两次以上的演习；协助学院做好各类演习工作；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处理各种突发事件，协助校方处理信访、安全事故、群体性事件等各类突发应急事件；</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校区门禁卡、钥匙必须集中管理、存放和出借；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门岗服务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严格遵守工作职责、坚守岗位，熟悉门卫制度；认真做好执勤工作，对学校出入口进行把守、验证、检查，保卫校园安全。校区正大门为文明形象岗，实行“早迎晚送”制度，门外要保持有人站岗。</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主动礼貌做好来访人员的询问登记、车辆检查和离开人员车辆的检查，严把人员物品进出门关，严格验证、登记制度，对可疑人员盘问，对来访人员经确认后指引行走路径，杜绝闲杂人员进入学校，杜绝危险物品进入校园内，维护校园的正常的教学、生活秩序；</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做好门岗门前卫生三包工作，维护好门岗周边范围内的秩序环境，保证门岗的整洁有序，做好交接记录；</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负责做好交通道闸的管理与维护工作，门岗不对出入车辆收费；</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负责做好校门口车辆停放有序，避免校门口车辆拥堵，妨碍车辆进出校园。</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3.</w:t>
      </w:r>
      <w:r>
        <w:rPr>
          <w:rFonts w:hint="eastAsia" w:ascii="仿宋_GB2312" w:hAnsi="仿宋_GB2312" w:eastAsia="仿宋_GB2312" w:cs="仿宋_GB2312"/>
          <w:b/>
          <w:color w:val="auto"/>
          <w:sz w:val="24"/>
          <w:szCs w:val="24"/>
          <w:highlight w:val="none"/>
        </w:rPr>
        <w:t>校园巡逻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人员上岗着统一制服，配戴工作证，着装整洁，仪表端正，文明管理，礼貌待人。执勤人员佩带对讲机、警棒、电筒等装备；</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坚守岗位，维护治安秩序，认真盘查可疑人员，劝阻和制止扰乱学校秩序的行为；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检查公共区域、楼宇等部位及各重点要害部位的防火、防盗安全防范情况，发现隐患、漏洞及时处置并报告学校；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根据学校的部署和要求，执行蹲守伏击等任务，抓获和打击现行犯罪分子，制止其它违反校规校纪的行为；</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协助值班老师处理治安案件、刑事案件和做好现场保护；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负责公共场所治安秩序，协助做好校内大型活动安保工作；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做好校园内私养家禽家畜及无主动物、蔬菜等的清理工作；</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熟悉校内重点部位的分布情况，按规定路线、时间巡逻，巡逻时要严于职守、照章办事，不准擅离巡逻路线；</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认真做好巡逻记录，交班时对需要续办或移交的事宜必须交代清楚；</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做好交通秩序维护，按车辆停放管理相关规定做好停车场、露天停车位的管理工作，预防交通事故发生；</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积极处置各类突发事件，服从110中心和</w:t>
      </w:r>
      <w:r>
        <w:rPr>
          <w:rFonts w:hint="eastAsia" w:ascii="仿宋_GB2312" w:hAnsi="仿宋_GB2312" w:eastAsia="仿宋_GB2312" w:cs="仿宋_GB2312"/>
          <w:color w:val="auto"/>
          <w:sz w:val="24"/>
          <w:szCs w:val="24"/>
          <w:highlight w:val="none"/>
        </w:rPr>
        <w:t>保卫科指令，</w:t>
      </w:r>
      <w:r>
        <w:rPr>
          <w:rFonts w:hint="eastAsia" w:ascii="仿宋_GB2312" w:hAnsi="仿宋_GB2312" w:eastAsia="仿宋_GB2312" w:cs="仿宋_GB2312"/>
          <w:color w:val="auto"/>
          <w:sz w:val="24"/>
          <w:szCs w:val="24"/>
          <w:highlight w:val="none"/>
        </w:rPr>
        <w:t>接到发出的指令后，巡逻人员应3分钟内到达事发现场，采取相应措施妥善处理；如巡逻中发现异常情况，立即通知有关部门并在现场采取必要措施，随时准备启动并执行相应的应急预案。</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4.</w:t>
      </w:r>
      <w:r>
        <w:rPr>
          <w:rFonts w:hint="eastAsia" w:ascii="仿宋_GB2312" w:hAnsi="仿宋_GB2312" w:eastAsia="仿宋_GB2312" w:cs="仿宋_GB2312"/>
          <w:b/>
          <w:color w:val="auto"/>
          <w:sz w:val="24"/>
          <w:szCs w:val="24"/>
          <w:highlight w:val="none"/>
        </w:rPr>
        <w:t>监控消控室</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监控消控室作为突发事件上情下达、下情上报的纽带，发挥指挥和协调作用，负责各分控室的信息收集和整理；</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按照《建筑自动消防设施及消防控制室规范化管理标准》，监控消控室24小时值班制，持证上岗，做好值班记录，指挥各岗位运行，保证监控等报警系统正常，24小时实时监管监控设备和消控设备，室内保持整洁有序，严禁吸烟，不得放置与工作无关物品，无关人员不得进入；</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熟悉校园平面图和监控点位，监管监控设施、对讲系统</w:t>
      </w:r>
      <w:r>
        <w:rPr>
          <w:rFonts w:hint="eastAsia" w:ascii="仿宋_GB2312" w:hAnsi="仿宋_GB2312" w:eastAsia="仿宋_GB2312" w:cs="仿宋_GB2312"/>
          <w:color w:val="auto"/>
          <w:kern w:val="0"/>
          <w:sz w:val="24"/>
          <w:szCs w:val="24"/>
          <w:highlight w:val="none"/>
        </w:rPr>
        <w:t>和电话，电话响10秒内接通，保持完整的监控记录，做好对各出入口、内部重点区域的安全监控、录像及协助布警；监控资料应至少保持90天，有特殊要求的参照相关规定或行业标准执行；严格监控资料和设备操作资料的保管，无权限人员不得调阅监控资料、接触设备使用说明书、设备使用密码及设备相关资料；</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熟练掌握消防控制室火灾事故紧急处理程序，熟悉校园平面图和消防设施设备位置，处置仪器设备上的各项信息，收到火情、险情及其他异常情况报警信号后应及时报警，立即派专人赶到现场进行前期处理，按照应急预案开展工作；</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考前协助校方做好标准化试场内监控设备设施检查工作；</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每季度定期检查监控设施设备是否运行正常如出现问题第一时间报保卫科，由保卫科统一报至总务科维修。</w:t>
      </w:r>
    </w:p>
    <w:p>
      <w:pPr>
        <w:spacing w:line="460" w:lineRule="exact"/>
        <w:ind w:firstLine="482" w:firstLineChars="200"/>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eastAsia="zh-CN"/>
        </w:rPr>
        <w:t>（</w:t>
      </w:r>
      <w:r>
        <w:rPr>
          <w:rFonts w:hint="eastAsia" w:ascii="仿宋_GB2312" w:hAnsi="仿宋_GB2312" w:eastAsia="仿宋_GB2312" w:cs="仿宋_GB2312"/>
          <w:b/>
          <w:bCs/>
          <w:color w:val="auto"/>
          <w:kern w:val="0"/>
          <w:sz w:val="24"/>
          <w:szCs w:val="24"/>
          <w:highlight w:val="none"/>
          <w:lang w:val="en-US" w:eastAsia="zh-CN"/>
        </w:rPr>
        <w:t>7</w:t>
      </w:r>
      <w:r>
        <w:rPr>
          <w:rFonts w:hint="eastAsia" w:ascii="仿宋_GB2312" w:hAnsi="仿宋_GB2312" w:eastAsia="仿宋_GB2312" w:cs="仿宋_GB2312"/>
          <w:b/>
          <w:bCs/>
          <w:color w:val="auto"/>
          <w:kern w:val="0"/>
          <w:sz w:val="24"/>
          <w:szCs w:val="24"/>
          <w:highlight w:val="none"/>
          <w:lang w:eastAsia="zh-CN"/>
        </w:rPr>
        <w:t>）</w:t>
      </w:r>
      <w:r>
        <w:rPr>
          <w:rFonts w:hint="eastAsia" w:ascii="仿宋_GB2312" w:hAnsi="仿宋_GB2312" w:eastAsia="仿宋_GB2312" w:cs="仿宋_GB2312"/>
          <w:b/>
          <w:bCs/>
          <w:color w:val="auto"/>
          <w:kern w:val="0"/>
          <w:sz w:val="24"/>
          <w:szCs w:val="24"/>
          <w:highlight w:val="none"/>
        </w:rPr>
        <w:t>校园安保由保卫科负责管理。</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5.</w:t>
      </w:r>
      <w:r>
        <w:rPr>
          <w:rFonts w:hint="eastAsia" w:ascii="仿宋_GB2312" w:hAnsi="仿宋_GB2312" w:eastAsia="仿宋_GB2312" w:cs="仿宋_GB2312"/>
          <w:b/>
          <w:color w:val="auto"/>
          <w:sz w:val="24"/>
          <w:szCs w:val="24"/>
          <w:highlight w:val="none"/>
        </w:rPr>
        <w:t>消防管理</w:t>
      </w:r>
    </w:p>
    <w:p>
      <w:pPr>
        <w:spacing w:line="46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制定防火工作措施和制度，从制度上预防火灾事故的发生。建立适合本单位的防火制度和安全操作制度，实施三级防火责任制和岗位责任制。建立消防独立档案，制订灭火预案及重点部位防火方案；</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建立自防、自救组织。建立义务消防队，根据消防要求建好微消防站（微消防站人员具有消防上岗证）</w:t>
      </w:r>
      <w:r>
        <w:rPr>
          <w:rFonts w:hint="eastAsia" w:ascii="仿宋_GB2312" w:hAnsi="仿宋_GB2312" w:eastAsia="仿宋_GB2312" w:cs="仿宋_GB2312"/>
          <w:color w:val="auto"/>
          <w:kern w:val="0"/>
          <w:sz w:val="24"/>
          <w:szCs w:val="24"/>
          <w:highlight w:val="none"/>
        </w:rPr>
        <w:t>；抓好消防训练，</w:t>
      </w:r>
      <w:r>
        <w:rPr>
          <w:rFonts w:hint="eastAsia" w:ascii="仿宋_GB2312" w:hAnsi="仿宋_GB2312" w:eastAsia="仿宋_GB2312" w:cs="仿宋_GB2312"/>
          <w:b/>
          <w:bCs/>
          <w:color w:val="auto"/>
          <w:kern w:val="0"/>
          <w:sz w:val="24"/>
          <w:szCs w:val="24"/>
          <w:highlight w:val="none"/>
        </w:rPr>
        <w:t>每年配合保卫科组织一次消防演习；协助做好学校消防演习工作；</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根据消防要求有专职人员定期检查、试验、保养、维修和管理消防器材和设备。消防检查结果（如：每日消防巡查结果、</w:t>
      </w:r>
      <w:r>
        <w:rPr>
          <w:rFonts w:hint="eastAsia" w:ascii="仿宋_GB2312" w:hAnsi="仿宋_GB2312" w:eastAsia="仿宋_GB2312" w:cs="仿宋_GB2312"/>
          <w:color w:val="auto"/>
          <w:sz w:val="24"/>
          <w:szCs w:val="24"/>
          <w:highlight w:val="none"/>
        </w:rPr>
        <w:t>泵房每周巡查结果、各消防箱每月检查记录情况、室外消防栓每季测压保养结果等）整理汇总后，每月反馈给保卫科，并配合校方做好对接落实工作。消控室按消防要求有专人</w:t>
      </w:r>
      <w:r>
        <w:rPr>
          <w:rFonts w:hint="eastAsia" w:ascii="仿宋_GB2312" w:hAnsi="仿宋_GB2312" w:eastAsia="仿宋_GB2312" w:cs="仿宋_GB2312"/>
          <w:color w:val="auto"/>
          <w:sz w:val="24"/>
          <w:szCs w:val="24"/>
          <w:highlight w:val="none"/>
        </w:rPr>
        <w:t>值班并做好值班登记工作，人员符合消防部门要求；</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建筑物内的走道、楼梯、出口等部位，保持畅通，严禁堆放物品，严禁遮挡消防设施。</w:t>
      </w:r>
      <w:r>
        <w:rPr>
          <w:rFonts w:hint="eastAsia" w:ascii="仿宋_GB2312" w:hAnsi="仿宋_GB2312" w:eastAsia="仿宋_GB2312" w:cs="仿宋_GB2312"/>
          <w:color w:val="auto"/>
          <w:kern w:val="0"/>
          <w:sz w:val="24"/>
          <w:szCs w:val="24"/>
          <w:highlight w:val="none"/>
        </w:rPr>
        <w:t>发现有人擅自动用消防设施的，应及时制止并报告学校</w:t>
      </w:r>
      <w:r>
        <w:rPr>
          <w:rFonts w:hint="eastAsia" w:ascii="仿宋_GB2312" w:hAnsi="仿宋_GB2312" w:eastAsia="仿宋_GB2312" w:cs="仿宋_GB2312"/>
          <w:color w:val="auto"/>
          <w:sz w:val="24"/>
          <w:szCs w:val="24"/>
          <w:highlight w:val="none"/>
        </w:rPr>
        <w:t>；</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绘制消防设施分布图；建立托管消防器材的台帐记录；人员经常性开展消防业务培训，制定完善的预案并演练；发现火灾隐患，立即报告</w:t>
      </w:r>
      <w:r>
        <w:rPr>
          <w:rFonts w:hint="eastAsia" w:ascii="仿宋_GB2312" w:hAnsi="仿宋_GB2312" w:eastAsia="仿宋_GB2312" w:cs="仿宋_GB2312"/>
          <w:color w:val="auto"/>
          <w:kern w:val="0"/>
          <w:sz w:val="24"/>
          <w:szCs w:val="24"/>
          <w:highlight w:val="none"/>
        </w:rPr>
        <w:t>保卫科</w:t>
      </w:r>
      <w:r>
        <w:rPr>
          <w:rFonts w:hint="eastAsia" w:ascii="仿宋_GB2312" w:hAnsi="仿宋_GB2312" w:eastAsia="仿宋_GB2312" w:cs="仿宋_GB2312"/>
          <w:color w:val="auto"/>
          <w:kern w:val="0"/>
          <w:sz w:val="24"/>
          <w:szCs w:val="24"/>
          <w:highlight w:val="none"/>
        </w:rPr>
        <w:t>并设法消除；发生火警，能按预案进行火灾报警、人员疏散、组织扑救、抢救物资等工作；</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sz w:val="24"/>
          <w:szCs w:val="24"/>
          <w:highlight w:val="none"/>
        </w:rPr>
        <w:t>人员上岗着统一制服，配戴工作证，着装整洁，仪表端正，文明管理，礼貌待人；</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配合做好学校其它相关消防工作。</w:t>
      </w:r>
    </w:p>
    <w:p>
      <w:pPr>
        <w:spacing w:line="50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6.</w:t>
      </w:r>
      <w:r>
        <w:rPr>
          <w:rFonts w:hint="eastAsia" w:ascii="仿宋_GB2312" w:hAnsi="仿宋_GB2312" w:eastAsia="仿宋_GB2312" w:cs="仿宋_GB2312"/>
          <w:b/>
          <w:color w:val="auto"/>
          <w:sz w:val="24"/>
          <w:szCs w:val="24"/>
          <w:highlight w:val="none"/>
        </w:rPr>
        <w:t>校园警务室值班</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负责受理校园110接报警电话，做好接报警记录。接受师生的电话报警，接受各部门和校卫队巡逻人员报告的紧急情况，及时报校方相关负责人，并通知有关部门进行前期处置。接受广大师生的电话咨询和求助，做好窗口服务工作；</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协助校园报警接警、案件处置协调、处置结果反馈、案件材料归档；</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协助做好各类外来人员信息管理；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4</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协助做好户籍管理；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协助做好全校师生政审；</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6</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协助做好校内交通管理；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7</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协助做好校园内财物遗失及认领；</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8</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协助做好出租房屋信息登记核查；</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9</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协助做好学生组织集体外出活动安全提示；</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10</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协助落实校园大型活动相关安保；</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接受校园内各类安全求助，协助相关部门处置；</w:t>
      </w:r>
    </w:p>
    <w:p>
      <w:pPr>
        <w:spacing w:line="500" w:lineRule="exact"/>
        <w:ind w:firstLine="480" w:firstLineChars="200"/>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12</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其它相关办公事务。</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7.</w:t>
      </w:r>
      <w:r>
        <w:rPr>
          <w:rFonts w:hint="eastAsia" w:ascii="仿宋_GB2312" w:hAnsi="仿宋_GB2312" w:eastAsia="仿宋_GB2312" w:cs="仿宋_GB2312"/>
          <w:b/>
          <w:color w:val="auto"/>
          <w:sz w:val="24"/>
          <w:szCs w:val="24"/>
          <w:highlight w:val="none"/>
        </w:rPr>
        <w:t>设施设备维护保养要求（针对水电维修类）</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设立24小时维修报修电话和投诉电话，接受维修服务和服务质量、服务态度问题投诉；</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维修24小时值班，维修及时、快速，紧急维修响应不超过15分钟，一般维修4小时内完成，大修24小时内完成，确保学生学习、生活正常；</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配备熟练、专职、有上岗证及资格证的专业工程技术人员，严格执行操作规程；</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定期检查水龙头、闸阀、路灯、水管件等情况，每周检查配电房配电设施设备，灯线路等情况，发现问题及时修复；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管网:定期检查管线接头有无渗漏、支架有无松脱等现象，发现问题及时修复；</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定期检查校园景观、公共标识标牌等设施有无破损、污迹、脱落、乱刻乱划等现象，发现问题及时修复或报告学校；</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给排水系统设施:定期检修水电设施设备，保证符合安全运行的技术性能指标，终端设备完好；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停水、停电在接到相关部门通知后，立即通知用户，并作好应急处理措施；</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专用设备日常运行和管理:高低压配电房、电梯、空调、发电机、高位蓄水池、热水器等按相关要求进行维护保养，每天巡查电梯、消防系统及器材、供排水、供电、照明设施和排污系统、高位蓄水池、食堂发电机的运行情况，确保正常运行，降低能耗；协助监管消防设施、电梯的专业维护与管理，设备的完好率达到100%；</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质保期内的设施设备配合学校协调设备供应商进行维修维护；</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路灯、楼道灯等公共照明设备经常检查，保证完好，按规定时间定时开关；</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高压配电房实行24小时值守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安装24小时监控及烟雾报警器同时在监控消控室有信号源</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需持高配证上岗，记录资料齐全，发现问题及时解决；低配房每天巡查两次，做好记录，各分电表箱、配电箱、配电柜及每层管线分线盒每季度清洁一次；保证设备干净整洁，绝缘良好，接触可靠，电线路每半年测试一次，总配电箱每年保养一次；设备处于完好状态，保障安全供电；做好相关记录。</w:t>
      </w:r>
    </w:p>
    <w:p>
      <w:pPr>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做好低配房（含东山书院低配房及弱电房）日常管理工作。</w:t>
      </w:r>
    </w:p>
    <w:p>
      <w:pPr>
        <w:spacing w:line="500" w:lineRule="exact"/>
        <w:ind w:firstLine="482" w:firstLineChars="200"/>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安保岗位及人员配备</w:t>
      </w:r>
    </w:p>
    <w:tbl>
      <w:tblPr>
        <w:tblStyle w:val="63"/>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43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人员工种</w:t>
            </w:r>
          </w:p>
        </w:tc>
        <w:tc>
          <w:tcPr>
            <w:tcW w:w="643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要求</w:t>
            </w:r>
          </w:p>
        </w:tc>
        <w:tc>
          <w:tcPr>
            <w:tcW w:w="975" w:type="dxa"/>
            <w:noWrap w:val="0"/>
            <w:vAlign w:val="center"/>
          </w:tcPr>
          <w:p>
            <w:pPr>
              <w:spacing w:line="46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岗位数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3" w:hRule="atLeast"/>
          <w:tblHeader/>
          <w:jc w:val="center"/>
        </w:trPr>
        <w:tc>
          <w:tcPr>
            <w:tcW w:w="1277"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安保主管</w:t>
            </w:r>
          </w:p>
        </w:tc>
        <w:tc>
          <w:tcPr>
            <w:tcW w:w="6435" w:type="dxa"/>
            <w:noWrap w:val="0"/>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具有大专及以上学历，无违法犯罪记录；具有人力资源和社会保障部门颁发的二级/技师保安员证书及公安部消防局颁发的建构筑物消防员证书；具备高校安保管理能力；</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安保人员</w:t>
            </w:r>
          </w:p>
        </w:tc>
        <w:tc>
          <w:tcPr>
            <w:tcW w:w="6435" w:type="dxa"/>
            <w:noWrap w:val="0"/>
            <w:vAlign w:val="center"/>
          </w:tcPr>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门岗及巡逻岗：持有保安员证，高中及以上学历，无违法犯罪记录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p>
            <w:pPr>
              <w:spacing w:line="4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监控、消控人员：具有高中及以上文化程度，需持有</w:t>
            </w:r>
            <w:r>
              <w:rPr>
                <w:rFonts w:hint="eastAsia" w:ascii="仿宋_GB2312" w:hAnsi="仿宋_GB2312" w:eastAsia="仿宋_GB2312" w:cs="仿宋_GB2312"/>
                <w:color w:val="auto"/>
                <w:kern w:val="0"/>
                <w:sz w:val="24"/>
                <w:szCs w:val="24"/>
                <w:highlight w:val="none"/>
              </w:rPr>
              <w:t>公安部消防局</w:t>
            </w:r>
            <w:r>
              <w:rPr>
                <w:rFonts w:hint="eastAsia" w:ascii="仿宋_GB2312" w:hAnsi="仿宋_GB2312" w:eastAsia="仿宋_GB2312" w:cs="仿宋_GB2312"/>
                <w:color w:val="auto"/>
                <w:sz w:val="24"/>
                <w:szCs w:val="24"/>
                <w:highlight w:val="none"/>
              </w:rPr>
              <w:t>颁发的建（构）筑物消防员证或消防设施操作员证；熟练掌握消控设备、监控设备、微消防站设备及计算机操作；无违法犯罪记录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2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高配房值班</w:t>
            </w:r>
          </w:p>
        </w:tc>
        <w:tc>
          <w:tcPr>
            <w:tcW w:w="6435" w:type="dxa"/>
            <w:noWrap w:val="0"/>
            <w:vAlign w:val="center"/>
          </w:tcPr>
          <w:p>
            <w:pPr>
              <w:spacing w:line="4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高配房24小时在岗，持有高配上岗证书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p>
        </w:tc>
        <w:tc>
          <w:tcPr>
            <w:tcW w:w="975"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tblHeader/>
          <w:jc w:val="center"/>
        </w:trPr>
        <w:tc>
          <w:tcPr>
            <w:tcW w:w="1277"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电工</w:t>
            </w:r>
          </w:p>
        </w:tc>
        <w:tc>
          <w:tcPr>
            <w:tcW w:w="6435" w:type="dxa"/>
            <w:noWrap w:val="0"/>
            <w:vAlign w:val="center"/>
          </w:tcPr>
          <w:p>
            <w:pPr>
              <w:spacing w:line="4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电工需持有上岗证，</w:t>
            </w:r>
            <w:r>
              <w:rPr>
                <w:rFonts w:hint="eastAsia" w:ascii="仿宋_GB2312" w:hAnsi="仿宋_GB2312" w:eastAsia="仿宋_GB2312" w:cs="仿宋_GB2312"/>
                <w:color w:val="auto"/>
                <w:sz w:val="24"/>
                <w:szCs w:val="24"/>
                <w:highlight w:val="none"/>
                <w:lang w:val="en-US" w:eastAsia="zh-CN"/>
              </w:rPr>
              <w:t>年龄</w:t>
            </w:r>
            <w:r>
              <w:rPr>
                <w:rFonts w:hint="eastAsia" w:ascii="仿宋_GB2312" w:hAnsi="仿宋_GB2312" w:eastAsia="仿宋_GB2312" w:cs="仿宋_GB2312"/>
                <w:color w:val="auto"/>
                <w:sz w:val="24"/>
                <w:szCs w:val="24"/>
                <w:highlight w:val="none"/>
              </w:rPr>
              <w:t>符合劳动法</w:t>
            </w:r>
            <w:r>
              <w:rPr>
                <w:rFonts w:hint="eastAsia" w:ascii="仿宋_GB2312" w:hAnsi="仿宋_GB2312" w:eastAsia="仿宋_GB2312" w:cs="仿宋_GB2312"/>
                <w:color w:val="auto"/>
                <w:sz w:val="24"/>
                <w:szCs w:val="24"/>
                <w:highlight w:val="none"/>
                <w:lang w:val="en-US" w:eastAsia="zh-CN"/>
              </w:rPr>
              <w:t>相关</w:t>
            </w:r>
            <w:r>
              <w:rPr>
                <w:rFonts w:hint="eastAsia" w:ascii="仿宋_GB2312" w:hAnsi="仿宋_GB2312" w:eastAsia="仿宋_GB2312" w:cs="仿宋_GB2312"/>
                <w:color w:val="auto"/>
                <w:sz w:val="24"/>
                <w:szCs w:val="24"/>
                <w:highlight w:val="none"/>
              </w:rPr>
              <w:t>规定</w:t>
            </w:r>
            <w:r>
              <w:rPr>
                <w:rFonts w:hint="eastAsia" w:ascii="仿宋_GB2312" w:hAnsi="仿宋_GB2312" w:eastAsia="仿宋_GB2312" w:cs="仿宋_GB2312"/>
                <w:color w:val="auto"/>
                <w:sz w:val="24"/>
                <w:szCs w:val="24"/>
                <w:highlight w:val="none"/>
                <w:lang w:eastAsia="zh-CN"/>
              </w:rPr>
              <w:t>。</w:t>
            </w:r>
          </w:p>
        </w:tc>
        <w:tc>
          <w:tcPr>
            <w:tcW w:w="975" w:type="dxa"/>
            <w:noWrap w:val="0"/>
            <w:vAlign w:val="center"/>
          </w:tcPr>
          <w:p>
            <w:pPr>
              <w:spacing w:line="4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r>
    </w:tbl>
    <w:p>
      <w:pPr>
        <w:spacing w:line="360" w:lineRule="auto"/>
        <w:jc w:val="left"/>
        <w:rPr>
          <w:rFonts w:hint="eastAsia" w:ascii="仿宋_GB2312" w:hAnsi="仿宋_GB2312" w:eastAsia="仿宋_GB2312" w:cs="仿宋_GB2312"/>
          <w:b/>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jc w:val="left"/>
        <w:textAlignment w:val="auto"/>
        <w:rPr>
          <w:rFonts w:hint="default"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四、结算及付款方式</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1.如中标单位最终到位的服务人员少于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要求的人数或投标人投标时的承诺，物业费结算时每少一人将扣5万/年。</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2" w:firstLineChars="200"/>
        <w:jc w:val="left"/>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五、其它约定及说明</w:t>
      </w:r>
    </w:p>
    <w:p>
      <w:pPr>
        <w:pStyle w:val="1041"/>
        <w:widowControl w:val="0"/>
        <w:adjustRightInd w:val="0"/>
        <w:snapToGrid w:val="0"/>
        <w:spacing w:line="4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1.双方于中标公示结束后七个工作日内签订合同，</w:t>
      </w:r>
      <w:r>
        <w:rPr>
          <w:rFonts w:hint="eastAsia" w:ascii="仿宋_GB2312" w:hAnsi="仿宋_GB2312" w:eastAsia="仿宋_GB2312" w:cs="仿宋_GB2312"/>
          <w:color w:val="auto"/>
          <w:sz w:val="24"/>
          <w:szCs w:val="24"/>
          <w:highlight w:val="none"/>
          <w:lang w:val="en-US" w:eastAsia="zh-CN"/>
        </w:rPr>
        <w:t>中标方管理人员于项目进驻前一周全部到位</w:t>
      </w:r>
      <w:r>
        <w:rPr>
          <w:rFonts w:hint="eastAsia" w:ascii="仿宋_GB2312" w:hAnsi="仿宋_GB2312" w:eastAsia="仿宋_GB2312" w:cs="仿宋_GB2312"/>
          <w:color w:val="auto"/>
          <w:sz w:val="24"/>
          <w:szCs w:val="24"/>
          <w:highlight w:val="none"/>
        </w:rPr>
        <w:t>，开</w:t>
      </w:r>
      <w:r>
        <w:rPr>
          <w:rFonts w:hint="eastAsia" w:ascii="仿宋_GB2312" w:hAnsi="仿宋_GB2312" w:eastAsia="仿宋_GB2312" w:cs="仿宋_GB2312"/>
          <w:color w:val="auto"/>
          <w:sz w:val="24"/>
          <w:szCs w:val="24"/>
          <w:highlight w:val="none"/>
        </w:rPr>
        <w:t>展前期工作；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于中标合同约定日进入</w:t>
      </w:r>
      <w:r>
        <w:rPr>
          <w:rFonts w:hint="eastAsia" w:ascii="仿宋_GB2312" w:hAnsi="仿宋_GB2312" w:eastAsia="仿宋_GB2312" w:cs="仿宋_GB2312"/>
          <w:color w:val="auto"/>
          <w:sz w:val="24"/>
          <w:szCs w:val="24"/>
          <w:highlight w:val="none"/>
          <w:lang w:val="en-US" w:eastAsia="zh-CN"/>
        </w:rPr>
        <w:t>校园</w:t>
      </w:r>
      <w:r>
        <w:rPr>
          <w:rFonts w:hint="eastAsia" w:ascii="仿宋_GB2312" w:hAnsi="仿宋_GB2312" w:eastAsia="仿宋_GB2312" w:cs="仿宋_GB2312"/>
          <w:color w:val="auto"/>
          <w:sz w:val="24"/>
          <w:szCs w:val="24"/>
          <w:highlight w:val="none"/>
        </w:rPr>
        <w:t>进行物业管理服务工作。</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2.本次招标委托管理期限为1年。</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在合同有效期内不得终止合同，确有特殊情况的，须提前三个月向采购人提出书面申请，经采购人同意后方可终止合同。因</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不能保证工作质量，年度考核为不合格，或发生重大差错事故的，采购人有权终止协议，</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承担全部责任并赔偿相应损失</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中标单位不得将本项目转包，一经发现，立即终止本项目合同，由此造成的经济损失由中标人承担。</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.在本项目中，</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在管理服务中违反国家相关法规或行业规范，造成他人人身伤亡、财产损失的，或</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员工在岗履行工作职责期间，发生自身的人身伤害伤亡、财产损失等，均由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负责处理并承担经济和道义上的责任，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不承担任何责任,确系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原因造成的除外；</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与员工发生用工争议的，均由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负责处理并承担相应责任，</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不承担任何责任。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.合同履行期间，</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必须与派驻本项目的管理服务人员签订相关劳动合同</w:t>
      </w:r>
      <w:r>
        <w:rPr>
          <w:rFonts w:hint="eastAsia" w:ascii="仿宋_GB2312" w:hAnsi="仿宋_GB2312" w:eastAsia="仿宋_GB2312" w:cs="仿宋_GB2312"/>
          <w:color w:val="auto"/>
          <w:sz w:val="24"/>
          <w:szCs w:val="24"/>
          <w:highlight w:val="none"/>
          <w:lang w:val="en-US" w:eastAsia="zh-CN"/>
        </w:rPr>
        <w:t>或劳动协议</w:t>
      </w:r>
      <w:r>
        <w:rPr>
          <w:rFonts w:hint="eastAsia" w:ascii="仿宋_GB2312" w:hAnsi="仿宋_GB2312" w:eastAsia="仿宋_GB2312" w:cs="仿宋_GB2312"/>
          <w:color w:val="auto"/>
          <w:sz w:val="24"/>
          <w:szCs w:val="24"/>
          <w:highlight w:val="none"/>
        </w:rPr>
        <w:t>，严格按照政府有关规定为其缴纳“五险一金”，服务人员每月应发工资不得低于绍兴市政府规定的最低工资标准，高温费按照绍兴市政府</w:t>
      </w:r>
      <w:r>
        <w:rPr>
          <w:rFonts w:hint="eastAsia" w:ascii="仿宋_GB2312" w:hAnsi="仿宋_GB2312" w:eastAsia="仿宋_GB2312" w:cs="仿宋_GB2312"/>
          <w:color w:val="auto"/>
          <w:sz w:val="24"/>
          <w:szCs w:val="24"/>
          <w:highlight w:val="none"/>
          <w:lang w:val="en-US" w:eastAsia="zh-CN"/>
        </w:rPr>
        <w:t>有关规定发放。</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 采购人为中标人提供适当的物业管理用房。</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7.所有工作人员统一着装，持证挂牌上岗，持有公立医院出具的健康证明。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8.采购人现有的各类工具、设备及巡逻车免费交给投标人使用，投标人负责日常维修养护，确保工具设备能正常使用，退场时归还采购人。新配设施设备由投标人负责。</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学校将向中标人提供原有岗位建议继续留用人员名单，若员工本人愿意继续留下工作，中标方必须无条件接收，且续签服务期原则上不少于三个月，薪酬待遇等不得低于原岗位水平。若员工本人不愿意继续留下工作或者要求提高薪酬待遇，由双方自行协商。除按照招标文件要求继续留用办理重新聘任手续的老员工除外，需要按照招标文件人员配置的具体要求补充缺额岗位。</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r>
        <w:rPr>
          <w:rFonts w:hint="eastAsia" w:ascii="仿宋_GB2312" w:hAnsi="仿宋_GB2312" w:eastAsia="仿宋_GB2312" w:cs="仿宋_GB2312"/>
          <w:b/>
          <w:bCs/>
          <w:color w:val="auto"/>
          <w:sz w:val="24"/>
          <w:szCs w:val="24"/>
          <w:highlight w:val="none"/>
          <w:lang w:val="en-US" w:eastAsia="zh-CN"/>
        </w:rPr>
        <w:t>本项目允许现场踏勘，</w:t>
      </w:r>
      <w:r>
        <w:rPr>
          <w:rFonts w:hint="eastAsia" w:ascii="仿宋_GB2312" w:hAnsi="仿宋_GB2312" w:eastAsia="仿宋_GB2312" w:cs="仿宋_GB2312"/>
          <w:b/>
          <w:bCs/>
          <w:color w:val="auto"/>
          <w:sz w:val="24"/>
          <w:szCs w:val="24"/>
          <w:highlight w:val="none"/>
          <w:lang w:val="en-US" w:eastAsia="zh-CN"/>
        </w:rPr>
        <w:t>踏勘截止时间为投标截止时间前1个工作日下午17时整前，</w:t>
      </w:r>
      <w:r>
        <w:rPr>
          <w:rFonts w:hint="eastAsia" w:ascii="仿宋_GB2312" w:hAnsi="仿宋_GB2312" w:eastAsia="仿宋_GB2312" w:cs="仿宋_GB2312"/>
          <w:b/>
          <w:bCs/>
          <w:color w:val="auto"/>
          <w:sz w:val="24"/>
          <w:szCs w:val="24"/>
          <w:highlight w:val="none"/>
          <w:lang w:val="en-US" w:eastAsia="zh-CN"/>
        </w:rPr>
        <w:t>联系方式：顾斌斌，15258503931。</w:t>
      </w:r>
    </w:p>
    <w:p>
      <w:pPr>
        <w:spacing w:before="120" w:beforeLines="50" w:after="120" w:afterLines="50" w:line="460" w:lineRule="exact"/>
        <w:jc w:val="left"/>
        <w:rPr>
          <w:rFonts w:hint="eastAsia" w:ascii="仿宋_GB2312" w:hAnsi="仿宋_GB2312" w:eastAsia="仿宋_GB2312" w:cs="仿宋_GB2312"/>
          <w:bCs/>
          <w:color w:val="auto"/>
          <w:sz w:val="24"/>
          <w:szCs w:val="24"/>
          <w:highlight w:val="none"/>
          <w:lang w:eastAsia="zh-CN"/>
        </w:rPr>
      </w:pPr>
    </w:p>
    <w:p>
      <w:pPr>
        <w:keepNext w:val="0"/>
        <w:keepLines w:val="0"/>
        <w:pageBreakBefore/>
        <w:widowControl w:val="0"/>
        <w:kinsoku/>
        <w:wordWrap/>
        <w:overflowPunct/>
        <w:topLinePunct w:val="0"/>
        <w:autoSpaceDE/>
        <w:autoSpaceDN/>
        <w:bidi w:val="0"/>
        <w:adjustRightInd/>
        <w:snapToGrid/>
        <w:spacing w:before="120" w:beforeLines="50" w:after="120" w:afterLines="50" w:line="460" w:lineRule="exact"/>
        <w:jc w:val="center"/>
        <w:textAlignment w:val="auto"/>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lang w:eastAsia="zh-CN"/>
        </w:rPr>
        <w:t>《</w:t>
      </w:r>
      <w:r>
        <w:rPr>
          <w:rFonts w:hint="eastAsia" w:ascii="仿宋_GB2312" w:hAnsi="仿宋_GB2312" w:eastAsia="仿宋_GB2312" w:cs="仿宋_GB2312"/>
          <w:b/>
          <w:bCs w:val="0"/>
          <w:color w:val="auto"/>
          <w:sz w:val="32"/>
          <w:szCs w:val="32"/>
          <w:highlight w:val="none"/>
        </w:rPr>
        <w:t>绍兴文理学院上虞分院综合物业服务考核办法</w:t>
      </w:r>
      <w:r>
        <w:rPr>
          <w:rFonts w:hint="eastAsia" w:ascii="仿宋_GB2312" w:hAnsi="仿宋_GB2312" w:eastAsia="仿宋_GB2312" w:cs="仿宋_GB2312"/>
          <w:b/>
          <w:bCs w:val="0"/>
          <w:color w:val="auto"/>
          <w:sz w:val="32"/>
          <w:szCs w:val="32"/>
          <w:highlight w:val="none"/>
          <w:lang w:eastAsia="zh-CN"/>
        </w:rPr>
        <w:t>》</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真正将“以师生为本”的服务理念融入校园服务的全过程，不断提高绍兴文理学院上虞分院物业服务水准和物业服务合同执行效果，有效保障物业服务质量，不断提升师生满意度，根据国家、省市、绍兴文理学院的有关规定，制定本办法。</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第一条  考核目的</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规范物业服务单位的工作和服务，考核物业服务单位的合同执行率，为绍兴文理学院上虞分院办学提供有力的服务支撑。</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第二条  考核对象</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绍兴文理学院上虞分院综合物业服务项目中标单位。</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第三条  考核范围</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物业服务合同约定的服务范围。</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第四条  考核形式</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考核形式分为季度考核、学期满意度调查和年度考核三种形式。考核采用百分制。学校成立综合物业考核领导小组</w:t>
      </w:r>
      <w:r>
        <w:rPr>
          <w:rFonts w:hint="eastAsia" w:ascii="仿宋_GB2312" w:hAnsi="仿宋_GB2312" w:eastAsia="仿宋_GB2312" w:cs="仿宋_GB2312"/>
          <w:color w:val="auto"/>
          <w:sz w:val="24"/>
          <w:szCs w:val="24"/>
          <w:highlight w:val="none"/>
        </w:rPr>
        <w:t>，办公室设在总务科。</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一、季度考核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上虞分院校区的综合管理服务工作、安全保卫工作（含电工）、卫生保洁工作（含绿化养护）</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每季一次，主要考核服务范围内各项工作和</w:t>
      </w:r>
      <w:r>
        <w:rPr>
          <w:rFonts w:hint="eastAsia" w:ascii="仿宋_GB2312" w:hAnsi="仿宋_GB2312" w:eastAsia="仿宋_GB2312" w:cs="仿宋_GB2312"/>
          <w:color w:val="auto"/>
          <w:sz w:val="24"/>
          <w:szCs w:val="24"/>
          <w:highlight w:val="none"/>
        </w:rPr>
        <w:t>服务的落实情况及落实完成质量及效果。按量化考核表所列项目打分，成绩计入季度考核分，具体详见附表1。</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二、学期满意度测评</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1.满意度测评由</w:t>
      </w:r>
      <w:r>
        <w:rPr>
          <w:rFonts w:hint="eastAsia" w:ascii="仿宋_GB2312" w:hAnsi="仿宋_GB2312" w:eastAsia="仿宋_GB2312" w:cs="仿宋_GB2312"/>
          <w:color w:val="auto"/>
          <w:sz w:val="24"/>
          <w:szCs w:val="24"/>
          <w:highlight w:val="none"/>
        </w:rPr>
        <w:t>总务科牵头开展</w:t>
      </w:r>
      <w:r>
        <w:rPr>
          <w:rFonts w:hint="eastAsia" w:ascii="仿宋_GB2312" w:hAnsi="仿宋_GB2312" w:eastAsia="仿宋_GB2312" w:cs="仿宋_GB2312"/>
          <w:color w:val="auto"/>
          <w:sz w:val="24"/>
          <w:szCs w:val="24"/>
          <w:highlight w:val="none"/>
        </w:rPr>
        <w:t>，满意度测评以调查问卷形式进行，每学期一次，每次抽查人数不少于100人。两个学期的满意度分值各按50%计算年度满意度分值。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2.满意度调查方法采用一般满意度调查方法。调查指标及权重由绍兴文理学院上虞分院确定。</w:t>
      </w:r>
    </w:p>
    <w:p>
      <w:pPr>
        <w:spacing w:line="460" w:lineRule="exact"/>
        <w:ind w:firstLine="48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三、年度考核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1.由总务科组织相关科室（系）、师生代表召开评议会，主要考核服务单位一年来服务工作完成情况及合同履行情况。按量化考核表所列项目进行打分，成绩计入年度考核分。（见附表2）</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2.年度考核综合得分由年度考核分、季度考核平均分及年度师生满意度得分三部分组成，三者所占比例分别为：年度考核得分占30%，季度考核平均分占40%，年度师生满意度得分占30%。</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第五条  计分方法</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一、得分计算方式（以下所有数据皆保留小数点后一位）</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1.满意度得分=满意度比例×100，满意度比例=100%－100%×（总体评价选择“不满意”的人员数/抽查总人数）。</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2.季度考核平均分=Σ季度考核分/4。</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3.年度考核综合得分=年度考核分×30%+季度考核平均分×40%+年度满意度得分×30%。</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二、评定标准</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考核90分及以上为优秀；</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考核80分至90分（不含）为良好；</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考核70分至80分（不含）为合格；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考核70分（不含）以下为不合格。</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第六条  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考核成绩严格按照规定计算，不同阶段的考核成绩将作为服务单位阶段性履约情况的最终依据。</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一、季度考核：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1.根据季度考核得分进行相应奖惩。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2.奖惩时间：下一季</w:t>
      </w:r>
      <w:r>
        <w:rPr>
          <w:rFonts w:hint="eastAsia" w:ascii="仿宋_GB2312" w:hAnsi="仿宋_GB2312" w:eastAsia="仿宋_GB2312" w:cs="仿宋_GB2312"/>
          <w:color w:val="auto"/>
          <w:sz w:val="24"/>
          <w:szCs w:val="24"/>
          <w:highlight w:val="none"/>
          <w:lang w:val="en-US" w:eastAsia="zh-CN"/>
        </w:rPr>
        <w:t>度</w:t>
      </w:r>
      <w:r>
        <w:rPr>
          <w:rFonts w:hint="eastAsia" w:ascii="仿宋_GB2312" w:hAnsi="仿宋_GB2312" w:eastAsia="仿宋_GB2312" w:cs="仿宋_GB2312"/>
          <w:color w:val="auto"/>
          <w:sz w:val="24"/>
          <w:szCs w:val="24"/>
          <w:highlight w:val="none"/>
        </w:rPr>
        <w:t>。</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3.奖惩与物业费付款挂钩。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（1）考核优秀，本季物业费按100%付给；考核良好，以90分为基准每低一分（不足一分以一分计）扣物业费1万元；考核合格，本季物业费按90%付给。</w:t>
      </w:r>
      <w:r>
        <w:rPr>
          <w:rFonts w:hint="eastAsia" w:ascii="仿宋_GB2312" w:hAnsi="仿宋_GB2312" w:eastAsia="仿宋_GB2312" w:cs="仿宋_GB2312"/>
          <w:color w:val="auto"/>
          <w:sz w:val="24"/>
          <w:szCs w:val="24"/>
          <w:highlight w:val="none"/>
        </w:rPr>
        <w:t>但若因物业服务失职造成学校事故或产生不良影响的，每出现一次,根据性质严重程度将再扣除物业费1-5万元（一般扣1万元/次、严重扣3万元/次、恶劣扣5万元/次）。对于监管发现的问题反复出现的，或整改不到位的，学校可视情节严重情况予以加倍处罚。</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（2）考核不合格，本季物业费按80%付给；连续两季季度考核不合格，即视为年度考核不合格。</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二、年度考核</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 根据年度考核综合得分进行相应奖惩。</w:t>
      </w:r>
    </w:p>
    <w:p>
      <w:pPr>
        <w:spacing w:line="460" w:lineRule="exact"/>
        <w:ind w:firstLine="48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.年度物业项目发生重大责任事故，给学校造成严重经济损失或严重不良影响的，除赔偿相应损失外，绍兴文理学院上虞分院有权终止物业服务合同，并不支付任何形式的赔偿金或补偿金。</w:t>
      </w:r>
    </w:p>
    <w:p>
      <w:pPr>
        <w:spacing w:line="460" w:lineRule="exact"/>
        <w:ind w:firstLine="48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第七条  其他</w:t>
      </w:r>
    </w:p>
    <w:p>
      <w:pPr>
        <w:numPr>
          <w:ilvl w:val="0"/>
          <w:numId w:val="6"/>
        </w:numPr>
        <w:spacing w:line="460" w:lineRule="exact"/>
        <w:ind w:firstLine="48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学校根据本考核办法另行制定考核细则，对综合物业管理服务工作进行考核评价。</w:t>
      </w:r>
    </w:p>
    <w:p>
      <w:pPr>
        <w:numPr>
          <w:ilvl w:val="0"/>
          <w:numId w:val="6"/>
        </w:numPr>
        <w:spacing w:line="460" w:lineRule="exact"/>
        <w:ind w:firstLine="482"/>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考核细则自合同履约之日起施行。</w:t>
      </w:r>
    </w:p>
    <w:p>
      <w:pPr>
        <w:spacing w:line="460" w:lineRule="exact"/>
        <w:rPr>
          <w:rFonts w:hint="eastAsia" w:ascii="仿宋_GB2312" w:hAnsi="仿宋_GB2312" w:eastAsia="仿宋_GB2312" w:cs="仿宋_GB2312"/>
          <w:bCs/>
          <w:color w:val="auto"/>
          <w:sz w:val="24"/>
          <w:szCs w:val="24"/>
          <w:highlight w:val="none"/>
        </w:rPr>
      </w:pPr>
    </w:p>
    <w:p>
      <w:pPr>
        <w:pageBreakBefore/>
        <w:spacing w:line="460" w:lineRule="exac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附表1</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物业服务考核办法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119"/>
        <w:gridCol w:w="311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w:t>
            </w:r>
          </w:p>
        </w:tc>
        <w:tc>
          <w:tcPr>
            <w:tcW w:w="3119" w:type="dxa"/>
            <w:noWrap w:val="0"/>
            <w:vAlign w:val="center"/>
          </w:tcPr>
          <w:p>
            <w:pPr>
              <w:ind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考核内容</w:t>
            </w:r>
          </w:p>
        </w:tc>
        <w:tc>
          <w:tcPr>
            <w:tcW w:w="3118" w:type="dxa"/>
            <w:noWrap w:val="0"/>
            <w:vAlign w:val="center"/>
          </w:tcPr>
          <w:p>
            <w:pPr>
              <w:ind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考核办法</w:t>
            </w:r>
          </w:p>
        </w:tc>
        <w:tc>
          <w:tcPr>
            <w:tcW w:w="993" w:type="dxa"/>
            <w:noWrap w:val="0"/>
            <w:vAlign w:val="center"/>
          </w:tcPr>
          <w:p>
            <w:pPr>
              <w:ind w:left="-103" w:leftChars="-49"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c>
          <w:tcPr>
            <w:tcW w:w="850" w:type="dxa"/>
            <w:noWrap w:val="0"/>
            <w:vAlign w:val="center"/>
          </w:tcPr>
          <w:p>
            <w:pPr>
              <w:ind w:left="-103" w:leftChars="-49"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因服务提供方或服务人员责任造成的安全事故</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每发生一次安全责任事故扣10-20分；不按预案处理，造成学校损失每次扣10分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w:t>
            </w:r>
            <w:r>
              <w:rPr>
                <w:rFonts w:hint="eastAsia" w:ascii="仿宋_GB2312" w:hAnsi="仿宋_GB2312" w:eastAsia="仿宋_GB2312" w:cs="仿宋_GB2312"/>
                <w:color w:val="auto"/>
                <w:sz w:val="24"/>
                <w:szCs w:val="24"/>
                <w:highlight w:val="none"/>
              </w:rPr>
              <w:t>全校范围影响的事件或群体性事件</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每发生一起影响恶劣的事件或群体性事件扣10-20分；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在服务提供方或服务人员职责范围内，服务人员及时发现校内安全隐患，及时处理或上报安全隐患情况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未及时发现安全隐患一处扣2分；未及时处理或上报扣5分；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5</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服务人员文明服务，规范管理，配合学校开展工作，反应迅速灵敏，处置正确</w:t>
            </w:r>
          </w:p>
          <w:p>
            <w:pPr>
              <w:spacing w:line="300" w:lineRule="exact"/>
              <w:rPr>
                <w:rFonts w:hint="eastAsia" w:ascii="仿宋_GB2312" w:hAnsi="仿宋_GB2312" w:eastAsia="仿宋_GB2312" w:cs="仿宋_GB2312"/>
                <w:color w:val="auto"/>
                <w:spacing w:val="-8"/>
                <w:sz w:val="24"/>
                <w:szCs w:val="24"/>
                <w:highlight w:val="none"/>
              </w:rPr>
            </w:pP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人员不服从部门管理的扣5分；因工作疏忽或不注意工作方法被师生投诉，每起扣5分；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因工作疏忽或不注意工作方法不当引起纠纷，每起扣2分；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人员因违法受到治安处罚或拘役以上的，每人次扣10分；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15</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建立健全能源管理制度，严格按要求对能源进行管理，能源管理到位，减少浪费。</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未建立健全的能源管理网络每天进行节能降耗巡查扣5分；未及时发现和处理各种管线、阀门跑、冒、滴、漏和长明灯、长流水等现象扣2分；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w:t>
            </w:r>
          </w:p>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物业服务日常检查情况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检查中，出现影响较小的情况，通知后不及时处理或整改不到位的，每次扣1-5分；造成较大影响的情况，整改不及时或整改不到位，每次扣6-10分；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30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0.40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40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Cs/>
          <w:color w:val="auto"/>
          <w:sz w:val="24"/>
          <w:szCs w:val="24"/>
          <w:highlight w:val="none"/>
        </w:rPr>
        <w:t>注：如有见义勇为、好人好事、事件处置及时和学校被评为省级以上先进的，根据具体情况由考核组讨论后进行1-10分的奖励。</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p>
    <w:p>
      <w:pPr>
        <w:pStyle w:val="2"/>
        <w:rPr>
          <w:rFonts w:hint="eastAsia" w:ascii="仿宋_GB2312" w:hAnsi="仿宋_GB2312" w:eastAsia="仿宋_GB2312" w:cs="仿宋_GB2312"/>
          <w:color w:val="auto"/>
          <w:sz w:val="24"/>
          <w:szCs w:val="24"/>
          <w:highlight w:val="none"/>
        </w:rPr>
      </w:pP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安保服务考核办法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127"/>
        <w:gridCol w:w="4394"/>
        <w:gridCol w:w="8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ind w:left="-107" w:lef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指标</w:t>
            </w:r>
          </w:p>
        </w:tc>
        <w:tc>
          <w:tcPr>
            <w:tcW w:w="2127" w:type="dxa"/>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考核内容</w:t>
            </w:r>
          </w:p>
        </w:tc>
        <w:tc>
          <w:tcPr>
            <w:tcW w:w="4394" w:type="dxa"/>
            <w:noWrap w:val="0"/>
            <w:vAlign w:val="center"/>
          </w:tcPr>
          <w:p>
            <w:pPr>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考核办法</w:t>
            </w:r>
          </w:p>
        </w:tc>
        <w:tc>
          <w:tcPr>
            <w:tcW w:w="850" w:type="dxa"/>
            <w:noWrap w:val="0"/>
            <w:vAlign w:val="center"/>
          </w:tcPr>
          <w:p>
            <w:pPr>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709" w:type="dxa"/>
            <w:noWrap w:val="0"/>
            <w:vAlign w:val="center"/>
          </w:tcPr>
          <w:p>
            <w:pPr>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（45）</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因服务提供方或保安人员责任造成校内人员非正常伤亡</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每发生一次轻伤1人以上的责任事故扣5分，每发生一次重伤1人以上的责任事故扣10分，每发生一次非正常死亡的扣20分；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因服务提供方或保安人员责任造成外部侵入案件</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每发生一起损失在1万元以下的扣3分，1-2万元扣5分，2万元以上扣10分，造成较大影响的扣15分；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15</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因服务提供方或保安人员检查不到位或处置不当造成学校损失事件</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学校贵重物品出校不查问，不登记，每次扣5分；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每发生火灾事故一起扣10分；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每发生政治类综合事件一起扣10分；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（30）</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在服务提供方或保安人员职责范围内，及时发现校内安全隐患，队员资料报备情况，制度建设情况</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及时发现安全隐患一处扣2分；未及时处理或上报扣5分；虚假上报或隐瞒上报，每起扣5分；人员不符合招录要求的，每人扣2分；队员档案资料不全，每人扣1分；队员基本信息不报备，每人扣2分；制度不健全，每处扣2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保安人员积极配合学校开展工作，反应迅速灵敏，处置正确</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接报警，出警不及时，每次扣2分；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不按预案处理，造成学校损失扣10分；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保安人员文明执勤，热情服务，规范管理</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因工作疏忽或不注意工作方法不当引起纠纷，每起扣2分，造成不良后果扣5分；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因工作疏忽或不注意工作方法被师生投诉，每起扣5分；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人员内出现内外勾结，进行违法活动，发现一起扣10分；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人员因违法受到治安处罚或拘役及以上的，每人次扣10分；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规范管理（25）</w:t>
            </w:r>
          </w:p>
        </w:tc>
        <w:tc>
          <w:tcPr>
            <w:tcW w:w="2127"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安保服务日常检查情况</w:t>
            </w:r>
          </w:p>
        </w:tc>
        <w:tc>
          <w:tcPr>
            <w:tcW w:w="4394"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根据学校规章制度、岗位职责和标书要求，责任不落实，整改不到位每处扣1-5分；</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25</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eastAsia="zh-CN"/>
              </w:rPr>
            </w:pPr>
            <w:r>
              <w:rPr>
                <w:rFonts w:hint="eastAsia" w:ascii="仿宋_GB2312" w:hAnsi="仿宋_GB2312" w:eastAsia="仿宋_GB2312" w:cs="仿宋_GB2312"/>
                <w:color w:val="auto"/>
                <w:spacing w:val="-8"/>
                <w:sz w:val="24"/>
                <w:szCs w:val="24"/>
                <w:highlight w:val="none"/>
              </w:rPr>
              <w:t>0.</w:t>
            </w:r>
            <w:r>
              <w:rPr>
                <w:rFonts w:hint="eastAsia" w:ascii="仿宋_GB2312" w:hAnsi="仿宋_GB2312" w:eastAsia="仿宋_GB2312" w:cs="仿宋_GB2312"/>
                <w:color w:val="auto"/>
                <w:spacing w:val="-8"/>
                <w:sz w:val="24"/>
                <w:szCs w:val="24"/>
                <w:highlight w:val="none"/>
                <w:lang w:val="en-US" w:eastAsia="zh-CN"/>
              </w:rPr>
              <w:t>4</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521"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850"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val="en-US" w:eastAsia="zh-CN"/>
              </w:rPr>
            </w:pPr>
            <w:r>
              <w:rPr>
                <w:rFonts w:hint="eastAsia" w:ascii="仿宋_GB2312" w:hAnsi="仿宋_GB2312" w:eastAsia="仿宋_GB2312" w:cs="仿宋_GB2312"/>
                <w:color w:val="auto"/>
                <w:spacing w:val="-8"/>
                <w:sz w:val="24"/>
                <w:szCs w:val="24"/>
                <w:highlight w:val="none"/>
                <w:lang w:val="en-US" w:eastAsia="zh-CN"/>
              </w:rPr>
              <w:t>40</w:t>
            </w:r>
          </w:p>
        </w:tc>
        <w:tc>
          <w:tcPr>
            <w:tcW w:w="709"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Cs/>
          <w:color w:val="auto"/>
          <w:sz w:val="24"/>
          <w:szCs w:val="24"/>
          <w:highlight w:val="none"/>
        </w:rPr>
        <w:t>注：如有见义勇为、好人好事、案件破获有功、事件处置及时和学校被评为省级以上先进的，根据具体情况由考核组讨论后进行1-10分的奖励。</w:t>
      </w:r>
      <w:r>
        <w:rPr>
          <w:rFonts w:hint="eastAsia" w:ascii="仿宋_GB2312" w:hAnsi="仿宋_GB2312" w:eastAsia="仿宋_GB2312" w:cs="仿宋_GB2312"/>
          <w:b/>
          <w:color w:val="auto"/>
          <w:kern w:val="0"/>
          <w:sz w:val="24"/>
          <w:szCs w:val="24"/>
          <w:highlight w:val="none"/>
        </w:rPr>
        <w:t xml:space="preserve">  </w:t>
      </w:r>
    </w:p>
    <w:p>
      <w:pPr>
        <w:spacing w:after="120" w:afterLines="50" w:line="440" w:lineRule="exact"/>
        <w:jc w:val="center"/>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水电维修维护服务考核办法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119"/>
        <w:gridCol w:w="3118"/>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134"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指标</w:t>
            </w:r>
          </w:p>
        </w:tc>
        <w:tc>
          <w:tcPr>
            <w:tcW w:w="3119"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考核内容</w:t>
            </w:r>
          </w:p>
        </w:tc>
        <w:tc>
          <w:tcPr>
            <w:tcW w:w="3118" w:type="dxa"/>
            <w:noWrap w:val="0"/>
            <w:vAlign w:val="center"/>
          </w:tcPr>
          <w:p>
            <w:pPr>
              <w:keepNext/>
              <w:adjustRightInd w:val="0"/>
              <w:snapToGrid w:val="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考核办法</w:t>
            </w:r>
          </w:p>
        </w:tc>
        <w:tc>
          <w:tcPr>
            <w:tcW w:w="993" w:type="dxa"/>
            <w:noWrap w:val="0"/>
            <w:vAlign w:val="center"/>
          </w:tcPr>
          <w:p>
            <w:pPr>
              <w:keepNext/>
              <w:adjustRightInd w:val="0"/>
              <w:snapToGrid w:val="0"/>
              <w:ind w:right="-103" w:rightChars="-49"/>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c>
          <w:tcPr>
            <w:tcW w:w="850" w:type="dxa"/>
            <w:noWrap w:val="0"/>
            <w:vAlign w:val="center"/>
          </w:tcPr>
          <w:p>
            <w:pPr>
              <w:keepNext/>
              <w:adjustRightInd w:val="0"/>
              <w:snapToGrid w:val="0"/>
              <w:ind w:right="-103" w:rightChars="-49"/>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履职尽责</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因服务提供方或服务人员责任造成的安全事故</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每发生一次安全责任事故扣10-20分；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134" w:type="dxa"/>
            <w:vMerge w:val="continue"/>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因服务提供方或服务人员责任造成</w:t>
            </w:r>
            <w:r>
              <w:rPr>
                <w:rFonts w:hint="eastAsia" w:ascii="仿宋_GB2312" w:hAnsi="仿宋_GB2312" w:eastAsia="仿宋_GB2312" w:cs="仿宋_GB2312"/>
                <w:color w:val="auto"/>
                <w:sz w:val="24"/>
                <w:szCs w:val="24"/>
                <w:highlight w:val="none"/>
              </w:rPr>
              <w:t>全校范围影响的事件或群体性事件</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每发生一起影响恶劣的事件或群体性事件扣10-20分；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34" w:type="dxa"/>
            <w:vMerge w:val="restart"/>
            <w:noWrap w:val="0"/>
            <w:vAlign w:val="center"/>
          </w:tcPr>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岗位服务</w:t>
            </w:r>
          </w:p>
          <w:p>
            <w:pPr>
              <w:ind w:left="-107" w:leftChars="-51" w:right="-105" w:rightChars="-50"/>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在服务提供方或服务人员职责范围内，服务人员及时处理维修工作情况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因维修不到位或不及时造成安全责任事故的，每次扣10分</w:t>
            </w:r>
            <w:r>
              <w:rPr>
                <w:rFonts w:hint="eastAsia" w:ascii="仿宋_GB2312" w:hAnsi="仿宋_GB2312" w:eastAsia="仿宋_GB2312" w:cs="仿宋_GB2312"/>
                <w:color w:val="auto"/>
                <w:spacing w:val="-8"/>
                <w:sz w:val="24"/>
                <w:szCs w:val="24"/>
                <w:highlight w:val="none"/>
              </w:rPr>
              <w:t>；未及时处理扣5分；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管理规范，文明服务，报修响应和沟通回访及时，施工规范，严守工作岗位，落实值班制度，做好值班记录，保障各项设备安全运行；</w:t>
            </w:r>
          </w:p>
          <w:p>
            <w:pPr>
              <w:spacing w:line="300" w:lineRule="exact"/>
              <w:rPr>
                <w:rFonts w:hint="eastAsia" w:ascii="仿宋_GB2312" w:hAnsi="仿宋_GB2312" w:eastAsia="仿宋_GB2312" w:cs="仿宋_GB2312"/>
                <w:color w:val="auto"/>
                <w:spacing w:val="-8"/>
                <w:sz w:val="24"/>
                <w:szCs w:val="24"/>
                <w:highlight w:val="none"/>
              </w:rPr>
            </w:pP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工作时间内统一着装，佩戴工作牌，人员配备足额、到位。</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人员不配合学校统一工作，行动迟缓，处置不当情况扣2分；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人员不服从部门管理的扣5分；不按预案处理，造成学校损失扣10分；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134" w:type="dxa"/>
            <w:vMerge w:val="continue"/>
            <w:noWrap w:val="0"/>
            <w:vAlign w:val="center"/>
          </w:tcPr>
          <w:p>
            <w:pPr>
              <w:ind w:left="-107" w:leftChars="-51"/>
              <w:jc w:val="center"/>
              <w:rPr>
                <w:rFonts w:hint="eastAsia" w:ascii="仿宋_GB2312" w:hAnsi="仿宋_GB2312" w:eastAsia="仿宋_GB2312" w:cs="仿宋_GB2312"/>
                <w:b/>
                <w:bCs/>
                <w:color w:val="auto"/>
                <w:sz w:val="24"/>
                <w:szCs w:val="24"/>
                <w:highlight w:val="none"/>
              </w:rPr>
            </w:pP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 xml:space="preserve">按规定维修及更换设施，与专业维保保单位沟通协调，监督维保方按照合同约定履行服务保养义务 </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 xml:space="preserve">  </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设施设备损坏未及时向主管部门报损并应急维修的，每起扣2分；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未按规定维修各种设施、设备，每次扣5分；</w:t>
            </w:r>
          </w:p>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未监督考核维保方的服务项目、服务内容和服务质量，每次扣5分；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规范管理</w:t>
            </w:r>
          </w:p>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（20）</w:t>
            </w:r>
          </w:p>
        </w:tc>
        <w:tc>
          <w:tcPr>
            <w:tcW w:w="3119"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维修服务规范管理情况</w:t>
            </w:r>
          </w:p>
        </w:tc>
        <w:tc>
          <w:tcPr>
            <w:tcW w:w="3118" w:type="dxa"/>
            <w:noWrap w:val="0"/>
            <w:vAlign w:val="center"/>
          </w:tcPr>
          <w:p>
            <w:pPr>
              <w:spacing w:line="300" w:lineRule="exact"/>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z w:val="24"/>
                <w:szCs w:val="24"/>
                <w:highlight w:val="none"/>
              </w:rPr>
              <w:t>巡查时发现维修不及时和不合格等情况，通知后不及时处理或整改不到位的，每次扣1-5分；因工作疏忽或不注意工作方法被师生投诉，造成较大影响的，每次扣6-10分；</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合计</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本量化考核表各考核项分值合计</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rPr>
            </w:pPr>
            <w:r>
              <w:rPr>
                <w:rFonts w:hint="eastAsia" w:ascii="仿宋_GB2312" w:hAnsi="仿宋_GB2312" w:eastAsia="仿宋_GB2312" w:cs="仿宋_GB2312"/>
                <w:color w:val="auto"/>
                <w:spacing w:val="-8"/>
                <w:sz w:val="24"/>
                <w:szCs w:val="24"/>
                <w:highlight w:val="none"/>
              </w:rPr>
              <w:t>100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考核系数</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用于换算为百分制的系数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eastAsia="zh-CN"/>
              </w:rPr>
            </w:pPr>
            <w:r>
              <w:rPr>
                <w:rFonts w:hint="eastAsia" w:ascii="仿宋_GB2312" w:hAnsi="仿宋_GB2312" w:eastAsia="仿宋_GB2312" w:cs="仿宋_GB2312"/>
                <w:color w:val="auto"/>
                <w:spacing w:val="-8"/>
                <w:sz w:val="24"/>
                <w:szCs w:val="24"/>
                <w:highlight w:val="none"/>
              </w:rPr>
              <w:t>0.</w:t>
            </w:r>
            <w:r>
              <w:rPr>
                <w:rFonts w:hint="eastAsia" w:ascii="仿宋_GB2312" w:hAnsi="仿宋_GB2312" w:eastAsia="仿宋_GB2312" w:cs="仿宋_GB2312"/>
                <w:color w:val="auto"/>
                <w:spacing w:val="-8"/>
                <w:sz w:val="24"/>
                <w:szCs w:val="24"/>
                <w:highlight w:val="none"/>
                <w:lang w:val="en-US" w:eastAsia="zh-CN"/>
              </w:rPr>
              <w:t>2</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34" w:type="dxa"/>
            <w:noWrap w:val="0"/>
            <w:vAlign w:val="center"/>
          </w:tcPr>
          <w:p>
            <w:pPr>
              <w:ind w:left="-107" w:leftChars="-51"/>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color w:val="auto"/>
                <w:sz w:val="24"/>
                <w:szCs w:val="24"/>
                <w:highlight w:val="none"/>
              </w:rPr>
              <w:t>考核成绩</w:t>
            </w:r>
          </w:p>
        </w:tc>
        <w:tc>
          <w:tcPr>
            <w:tcW w:w="6237" w:type="dxa"/>
            <w:gridSpan w:val="2"/>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考核成绩（百分制）=本表合计分数×考核系数</w:t>
            </w:r>
          </w:p>
        </w:tc>
        <w:tc>
          <w:tcPr>
            <w:tcW w:w="993" w:type="dxa"/>
            <w:noWrap w:val="0"/>
            <w:vAlign w:val="center"/>
          </w:tcPr>
          <w:p>
            <w:pPr>
              <w:spacing w:line="300" w:lineRule="exact"/>
              <w:jc w:val="center"/>
              <w:rPr>
                <w:rFonts w:hint="eastAsia" w:ascii="仿宋_GB2312" w:hAnsi="仿宋_GB2312" w:eastAsia="仿宋_GB2312" w:cs="仿宋_GB2312"/>
                <w:color w:val="auto"/>
                <w:spacing w:val="-8"/>
                <w:sz w:val="24"/>
                <w:szCs w:val="24"/>
                <w:highlight w:val="none"/>
                <w:lang w:val="en-US" w:eastAsia="zh-CN"/>
              </w:rPr>
            </w:pPr>
            <w:r>
              <w:rPr>
                <w:rFonts w:hint="eastAsia" w:ascii="仿宋_GB2312" w:hAnsi="仿宋_GB2312" w:eastAsia="仿宋_GB2312" w:cs="仿宋_GB2312"/>
                <w:color w:val="auto"/>
                <w:spacing w:val="-8"/>
                <w:sz w:val="24"/>
                <w:szCs w:val="24"/>
                <w:highlight w:val="none"/>
                <w:lang w:val="en-US" w:eastAsia="zh-CN"/>
              </w:rPr>
              <w:t>20</w:t>
            </w:r>
          </w:p>
        </w:tc>
        <w:tc>
          <w:tcPr>
            <w:tcW w:w="850"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r>
    </w:tbl>
    <w:p>
      <w:pPr>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注：如有见义勇为、好人好事、事件处置及时和学校被评为省级以上先进的，根据具体情况由考核组讨论后进行1-10分的奖励。</w:t>
      </w:r>
    </w:p>
    <w:p>
      <w:pPr>
        <w:rPr>
          <w:rFonts w:hint="eastAsia" w:ascii="仿宋_GB2312" w:hAnsi="仿宋_GB2312" w:eastAsia="仿宋_GB2312" w:cs="仿宋_GB2312"/>
          <w:bCs/>
          <w:color w:val="auto"/>
          <w:sz w:val="24"/>
          <w:szCs w:val="24"/>
          <w:highlight w:val="none"/>
        </w:rPr>
      </w:pPr>
    </w:p>
    <w:p>
      <w:pPr>
        <w:pageBreakBefore/>
        <w:spacing w:line="320" w:lineRule="exac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附表2</w:t>
      </w:r>
    </w:p>
    <w:p>
      <w:pPr>
        <w:spacing w:after="120" w:afterLines="5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绍兴文理学院上虞分院综合物业服务年度考核表</w:t>
      </w:r>
    </w:p>
    <w:tbl>
      <w:tblPr>
        <w:tblStyle w:val="63"/>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3687"/>
        <w:gridCol w:w="3118"/>
        <w:gridCol w:w="56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ind w:left="-107" w:leftChars="-51"/>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指标</w:t>
            </w:r>
          </w:p>
        </w:tc>
        <w:tc>
          <w:tcPr>
            <w:tcW w:w="3687"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考核内容</w:t>
            </w:r>
          </w:p>
        </w:tc>
        <w:tc>
          <w:tcPr>
            <w:tcW w:w="3118"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考核办法</w:t>
            </w:r>
          </w:p>
        </w:tc>
        <w:tc>
          <w:tcPr>
            <w:tcW w:w="567" w:type="dxa"/>
            <w:noWrap w:val="0"/>
            <w:vAlign w:val="center"/>
          </w:tcPr>
          <w:p>
            <w:pPr>
              <w:spacing w:line="300" w:lineRule="exact"/>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507" w:type="dxa"/>
            <w:noWrap w:val="0"/>
            <w:vAlign w:val="center"/>
          </w:tcPr>
          <w:p>
            <w:pPr>
              <w:spacing w:line="300" w:lineRule="exact"/>
              <w:ind w:left="-103" w:leftChars="-49" w:right="-103" w:rightChars="-49"/>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制度建设</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有健全、规范的管理制度体系，并根据业务项目、范围的调整及时完善相关管理服务机制。</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管理制度不完善每项扣0.5-2分。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restart"/>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人事管理</w:t>
            </w:r>
          </w:p>
        </w:tc>
        <w:tc>
          <w:tcPr>
            <w:tcW w:w="3687" w:type="dxa"/>
            <w:noWrap w:val="0"/>
            <w:vAlign w:val="top"/>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有完善、规范的人事管理机制，人员队伍稳定，无违规用工现象</w:t>
            </w:r>
          </w:p>
        </w:tc>
        <w:tc>
          <w:tcPr>
            <w:tcW w:w="3118" w:type="dxa"/>
            <w:noWrap w:val="0"/>
            <w:vAlign w:val="top"/>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人员流动过于频繁、有违规用工现象，视情节严重程度扣1-4分（不按人次计分）。</w:t>
            </w:r>
          </w:p>
        </w:tc>
        <w:tc>
          <w:tcPr>
            <w:tcW w:w="567" w:type="dxa"/>
            <w:vMerge w:val="restart"/>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vMerge w:val="restart"/>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特殊岗位要求具有相关职业资格证书并处于有效期内。</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未具备相关资格证，或不在有效期内的，每人次扣1分。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人事档案齐全、完备且管理妥善。</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个别人事档案不完整的每人次扣0.5分；人事档案管理不善的，扣4分。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vMerge w:val="continue"/>
            <w:noWrap w:val="0"/>
            <w:vAlign w:val="center"/>
          </w:tcPr>
          <w:p>
            <w:pPr>
              <w:spacing w:line="300" w:lineRule="exact"/>
              <w:jc w:val="center"/>
              <w:rPr>
                <w:rFonts w:hint="eastAsia" w:ascii="仿宋_GB2312" w:hAnsi="仿宋_GB2312" w:eastAsia="仿宋_GB2312" w:cs="仿宋_GB2312"/>
                <w:b/>
                <w:color w:val="auto"/>
                <w:sz w:val="24"/>
                <w:szCs w:val="24"/>
                <w:highlight w:val="none"/>
              </w:rPr>
            </w:pP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管理服务人员遵守职业道德，无违反国家法律、法规、行业服务标准、校纪校规等之行为。</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员工有违反校纪校规的，每人次扣1-2分，有违法犯罪行为的，每人次扣4分。</w:t>
            </w:r>
          </w:p>
        </w:tc>
        <w:tc>
          <w:tcPr>
            <w:tcW w:w="567" w:type="dxa"/>
            <w:vMerge w:val="continue"/>
            <w:noWrap w:val="0"/>
            <w:vAlign w:val="center"/>
          </w:tcPr>
          <w:p>
            <w:pPr>
              <w:spacing w:line="300" w:lineRule="exact"/>
              <w:jc w:val="center"/>
              <w:rPr>
                <w:rFonts w:hint="eastAsia" w:ascii="仿宋_GB2312" w:hAnsi="仿宋_GB2312" w:eastAsia="仿宋_GB2312" w:cs="仿宋_GB2312"/>
                <w:color w:val="auto"/>
                <w:sz w:val="24"/>
                <w:szCs w:val="24"/>
                <w:highlight w:val="none"/>
              </w:rPr>
            </w:pPr>
          </w:p>
        </w:tc>
        <w:tc>
          <w:tcPr>
            <w:tcW w:w="507" w:type="dxa"/>
            <w:vMerge w:val="continue"/>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档案管理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建立健全人事档案以外其他各类工作档案，有序管理，妥善存放。</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档案不完善、存在问题的，视情况扣0.5-2分；未建立档案管理机制，扣5分。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能源管理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建立健全能源管理制度，严格按要求对能源进行管理</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优为5分，良为3分，合格为1分，不合格为0分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综合管理</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优为7分，良为5分，合格为3分，不合格为0分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安全保卫</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优为12分，良为9分，合格为6分，不合格为0分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卫生保洁</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优为12分，良为8分，合格为4分，不合格为0分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设施设备维修维护</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优为7分，良为4分，合格为2分，不合格为0分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优为8分，良为6分，合格为3分，不合格为0分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场馆及会务</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按照合同要求进行标准化服务。</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优为8分，良为6分，合格为3分，不合格为0分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加分项目</w:t>
            </w:r>
          </w:p>
        </w:tc>
        <w:tc>
          <w:tcPr>
            <w:tcW w:w="3687"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对季度考核为优秀的进行加分鼓励。</w:t>
            </w:r>
          </w:p>
        </w:tc>
        <w:tc>
          <w:tcPr>
            <w:tcW w:w="3118" w:type="dxa"/>
            <w:noWrap w:val="0"/>
            <w:vAlign w:val="center"/>
          </w:tcPr>
          <w:p>
            <w:pPr>
              <w:spacing w:line="3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每季加3分；全年优秀至多加12分。</w:t>
            </w:r>
          </w:p>
        </w:tc>
        <w:tc>
          <w:tcPr>
            <w:tcW w:w="567" w:type="dxa"/>
            <w:noWrap w:val="0"/>
            <w:vAlign w:val="center"/>
          </w:tcPr>
          <w:p>
            <w:pPr>
              <w:spacing w:line="3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507" w:type="dxa"/>
            <w:noWrap w:val="0"/>
            <w:vAlign w:val="top"/>
          </w:tcPr>
          <w:p>
            <w:pPr>
              <w:spacing w:line="30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noWrap w:val="0"/>
            <w:vAlign w:val="center"/>
          </w:tcPr>
          <w:p>
            <w:pPr>
              <w:spacing w:line="300" w:lineRule="exact"/>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合计</w:t>
            </w:r>
          </w:p>
        </w:tc>
        <w:tc>
          <w:tcPr>
            <w:tcW w:w="7879" w:type="dxa"/>
            <w:gridSpan w:val="4"/>
            <w:noWrap w:val="0"/>
            <w:vAlign w:val="center"/>
          </w:tcPr>
          <w:p>
            <w:pPr>
              <w:spacing w:line="300" w:lineRule="exact"/>
              <w:ind w:firstLine="3735" w:firstLineChars="1550"/>
              <w:rPr>
                <w:rFonts w:hint="eastAsia" w:ascii="仿宋_GB2312" w:hAnsi="仿宋_GB2312" w:eastAsia="仿宋_GB2312" w:cs="仿宋_GB2312"/>
                <w:b/>
                <w:color w:val="auto"/>
                <w:sz w:val="24"/>
                <w:szCs w:val="24"/>
                <w:highlight w:val="none"/>
              </w:rPr>
            </w:pPr>
          </w:p>
        </w:tc>
      </w:tr>
    </w:tbl>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p>
    <w:p>
      <w:pPr>
        <w:spacing w:line="48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附表3</w:t>
      </w:r>
    </w:p>
    <w:p>
      <w:pPr>
        <w:pStyle w:val="208"/>
        <w:spacing w:line="480" w:lineRule="exact"/>
        <w:jc w:val="center"/>
        <w:rPr>
          <w:rFonts w:hint="eastAsia" w:ascii="仿宋_GB2312" w:hAnsi="仿宋_GB2312" w:eastAsia="仿宋_GB2312" w:cs="仿宋_GB2312"/>
          <w:b/>
          <w:color w:val="auto"/>
          <w:kern w:val="2"/>
          <w:sz w:val="24"/>
          <w:szCs w:val="24"/>
          <w:highlight w:val="none"/>
        </w:rPr>
      </w:pPr>
      <w:r>
        <w:rPr>
          <w:rFonts w:hint="eastAsia" w:ascii="仿宋_GB2312" w:hAnsi="仿宋_GB2312" w:eastAsia="仿宋_GB2312" w:cs="仿宋_GB2312"/>
          <w:b/>
          <w:color w:val="auto"/>
          <w:kern w:val="2"/>
          <w:sz w:val="24"/>
          <w:szCs w:val="24"/>
          <w:highlight w:val="none"/>
        </w:rPr>
        <w:t>绍兴文理学院综合物业服务满意度测评表</w:t>
      </w:r>
    </w:p>
    <w:p>
      <w:pPr>
        <w:pStyle w:val="208"/>
        <w:spacing w:line="480" w:lineRule="exact"/>
        <w:rPr>
          <w:rFonts w:hint="eastAsia" w:ascii="仿宋_GB2312" w:hAnsi="仿宋_GB2312" w:eastAsia="仿宋_GB2312" w:cs="仿宋_GB2312"/>
          <w:color w:val="auto"/>
          <w:sz w:val="24"/>
          <w:szCs w:val="24"/>
          <w:highlight w:val="none"/>
        </w:rPr>
      </w:pPr>
    </w:p>
    <w:p>
      <w:pPr>
        <w:pStyle w:val="208"/>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尊敬的老师、同学：</w:t>
      </w:r>
    </w:p>
    <w:p>
      <w:pPr>
        <w:pStyle w:val="208"/>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您好！为使您享受到舒适、热情、安全、文明的物业服务，特向您征询意见和建议。您的意见是对我们最公正的评价，请选择您真实的意愿和想法，在“很满意”到“不满意”之间打“√”。谢谢您的合作！</w:t>
      </w:r>
    </w:p>
    <w:p>
      <w:pPr>
        <w:spacing w:line="48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【您的身份】□教职工□学生□其他</w:t>
      </w:r>
    </w:p>
    <w:p>
      <w:pPr>
        <w:spacing w:line="480" w:lineRule="exact"/>
        <w:ind w:right="105" w:rightChars="50" w:firstLine="456"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pacing w:val="-6"/>
          <w:sz w:val="24"/>
          <w:szCs w:val="24"/>
          <w:highlight w:val="none"/>
        </w:rPr>
        <w:t>请在每项对应空格内打“√”。</w:t>
      </w:r>
    </w:p>
    <w:tbl>
      <w:tblPr>
        <w:tblStyle w:val="63"/>
        <w:tblpPr w:leftFromText="180" w:rightFromText="180" w:vertAnchor="text" w:horzAnchor="page" w:tblpX="1897" w:tblpY="344"/>
        <w:tblOverlap w:val="never"/>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1563"/>
        <w:gridCol w:w="1564"/>
        <w:gridCol w:w="127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740"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测评内容</w:t>
            </w:r>
          </w:p>
        </w:tc>
        <w:tc>
          <w:tcPr>
            <w:tcW w:w="1563"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很满意</w:t>
            </w:r>
          </w:p>
        </w:tc>
        <w:tc>
          <w:tcPr>
            <w:tcW w:w="1564"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满意</w:t>
            </w:r>
          </w:p>
        </w:tc>
        <w:tc>
          <w:tcPr>
            <w:tcW w:w="1270" w:type="dxa"/>
            <w:noWrap w:val="0"/>
            <w:vAlign w:val="center"/>
          </w:tcPr>
          <w:p>
            <w:pPr>
              <w:spacing w:line="360" w:lineRule="exact"/>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不满意</w:t>
            </w:r>
          </w:p>
        </w:tc>
        <w:tc>
          <w:tcPr>
            <w:tcW w:w="1461" w:type="dxa"/>
            <w:noWrap w:val="0"/>
            <w:vAlign w:val="center"/>
          </w:tcPr>
          <w:p>
            <w:pP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如选择不满意，请在本栏填写原因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总体情况</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安全保卫</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卫生保洁</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74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水电维修维护</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绿化养护</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场馆及会务</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740" w:type="dxa"/>
            <w:noWrap w:val="0"/>
            <w:vAlign w:val="center"/>
          </w:tcPr>
          <w:p>
            <w:pPr>
              <w:spacing w:before="120" w:beforeLines="50" w:line="36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能源管理</w:t>
            </w:r>
          </w:p>
        </w:tc>
        <w:tc>
          <w:tcPr>
            <w:tcW w:w="1563"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564"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270"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c>
          <w:tcPr>
            <w:tcW w:w="1461" w:type="dxa"/>
            <w:noWrap w:val="0"/>
            <w:vAlign w:val="center"/>
          </w:tcPr>
          <w:p>
            <w:pPr>
              <w:spacing w:before="120" w:beforeLines="50" w:line="360" w:lineRule="exact"/>
              <w:rPr>
                <w:rFonts w:hint="eastAsia" w:ascii="仿宋_GB2312" w:hAnsi="仿宋_GB2312" w:eastAsia="仿宋_GB2312" w:cs="仿宋_GB2312"/>
                <w:color w:val="auto"/>
                <w:sz w:val="24"/>
                <w:szCs w:val="24"/>
                <w:highlight w:val="none"/>
              </w:rPr>
            </w:pPr>
          </w:p>
        </w:tc>
      </w:tr>
    </w:tbl>
    <w:p>
      <w:pPr>
        <w:spacing w:line="360" w:lineRule="auto"/>
        <w:jc w:val="center"/>
        <w:rPr>
          <w:rFonts w:hint="eastAsia" w:ascii="仿宋_GB2312" w:hAnsi="仿宋_GB2312" w:eastAsia="仿宋_GB2312" w:cs="仿宋_GB2312"/>
          <w:b/>
          <w:color w:val="auto"/>
          <w:sz w:val="24"/>
          <w:szCs w:val="24"/>
          <w:highlight w:val="none"/>
        </w:rPr>
      </w:pPr>
    </w:p>
    <w:p>
      <w:pPr>
        <w:spacing w:line="360" w:lineRule="auto"/>
        <w:jc w:val="center"/>
        <w:rPr>
          <w:rFonts w:hint="eastAsia" w:ascii="仿宋_GB2312" w:hAnsi="仿宋_GB2312" w:eastAsia="仿宋_GB2312" w:cs="仿宋_GB2312"/>
          <w:b/>
          <w:color w:val="auto"/>
          <w:sz w:val="24"/>
          <w:szCs w:val="24"/>
          <w:highlight w:val="none"/>
        </w:rPr>
      </w:pPr>
    </w:p>
    <w:p>
      <w:pPr>
        <w:spacing w:line="440" w:lineRule="exact"/>
        <w:ind w:right="420"/>
        <w:rPr>
          <w:rFonts w:hint="eastAsia" w:ascii="仿宋_GB2312" w:hAnsi="新宋体" w:eastAsia="仿宋_GB2312" w:cs="Arial"/>
          <w:b/>
          <w:bCs/>
          <w:color w:val="auto"/>
          <w:sz w:val="24"/>
          <w:highlight w:val="none"/>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5"/>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2" w:name="_Toc20421"/>
      <w:bookmarkStart w:id="13" w:name="_Toc28855"/>
      <w:bookmarkStart w:id="14" w:name="_Toc15367"/>
      <w:bookmarkStart w:id="15" w:name="_Toc19273"/>
      <w:bookmarkStart w:id="16" w:name="_Toc22967"/>
      <w:r>
        <w:rPr>
          <w:rFonts w:hint="eastAsia" w:ascii="仿宋_GB2312" w:hAnsi="仿宋" w:eastAsia="仿宋_GB2312" w:cs="仿宋"/>
          <w:b/>
          <w:color w:val="auto"/>
          <w:sz w:val="24"/>
          <w:highlight w:val="none"/>
        </w:rPr>
        <w:t>1.1 合同组成部分</w:t>
      </w:r>
      <w:bookmarkEnd w:id="12"/>
      <w:bookmarkEnd w:id="13"/>
      <w:bookmarkEnd w:id="14"/>
      <w:bookmarkEnd w:id="15"/>
      <w:bookmarkEnd w:id="16"/>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7" w:name="_Toc6773"/>
      <w:bookmarkStart w:id="18" w:name="_Toc18585"/>
      <w:bookmarkStart w:id="19" w:name="_Toc2918"/>
      <w:bookmarkStart w:id="20" w:name="_Toc22185"/>
      <w:bookmarkStart w:id="21" w:name="_Toc6311"/>
      <w:r>
        <w:rPr>
          <w:rFonts w:hint="eastAsia" w:ascii="仿宋_GB2312" w:hAnsi="仿宋" w:eastAsia="仿宋_GB2312" w:cs="仿宋"/>
          <w:b/>
          <w:color w:val="auto"/>
          <w:sz w:val="24"/>
          <w:highlight w:val="none"/>
        </w:rPr>
        <w:t>1.2 标的</w:t>
      </w:r>
      <w:bookmarkEnd w:id="17"/>
      <w:bookmarkEnd w:id="18"/>
      <w:bookmarkEnd w:id="19"/>
      <w:bookmarkEnd w:id="20"/>
      <w:bookmarkEnd w:id="21"/>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2" w:name="_Toc5635"/>
      <w:bookmarkStart w:id="23" w:name="_Toc13918"/>
      <w:bookmarkStart w:id="24" w:name="_Toc4929"/>
      <w:bookmarkStart w:id="25" w:name="_Toc21124"/>
      <w:bookmarkStart w:id="26" w:name="_Toc1386"/>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2"/>
      <w:bookmarkEnd w:id="23"/>
      <w:bookmarkEnd w:id="24"/>
      <w:bookmarkEnd w:id="25"/>
      <w:bookmarkEnd w:id="26"/>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7" w:name="_Toc14993"/>
      <w:bookmarkStart w:id="28" w:name="_Toc30158"/>
      <w:bookmarkStart w:id="29" w:name="_Toc30506"/>
      <w:bookmarkStart w:id="30" w:name="_Toc26916"/>
      <w:bookmarkStart w:id="31" w:name="_Toc3654"/>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7"/>
    <w:bookmarkEnd w:id="28"/>
    <w:bookmarkEnd w:id="29"/>
    <w:bookmarkEnd w:id="30"/>
    <w:bookmarkEnd w:id="31"/>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2" w:name="_Toc22618"/>
      <w:bookmarkStart w:id="33" w:name="_Toc1814"/>
      <w:bookmarkStart w:id="34" w:name="_Toc10340"/>
      <w:bookmarkStart w:id="35" w:name="_Toc3625"/>
      <w:bookmarkStart w:id="36" w:name="_Toc31421"/>
      <w:bookmarkStart w:id="37" w:name="_Toc4760"/>
      <w:bookmarkStart w:id="38" w:name="_Toc8772"/>
      <w:bookmarkStart w:id="39" w:name="_Toc11108"/>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2"/>
      <w:bookmarkEnd w:id="33"/>
      <w:bookmarkEnd w:id="34"/>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5"/>
      <w:bookmarkEnd w:id="36"/>
      <w:bookmarkEnd w:id="37"/>
      <w:bookmarkEnd w:id="38"/>
      <w:bookmarkEnd w:id="39"/>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0" w:name="_Toc5698"/>
      <w:bookmarkStart w:id="41" w:name="_Toc3079"/>
      <w:bookmarkStart w:id="42" w:name="_Toc24662"/>
      <w:bookmarkStart w:id="43" w:name="_Toc2375"/>
      <w:bookmarkStart w:id="44" w:name="_Toc8586"/>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0"/>
      <w:bookmarkEnd w:id="41"/>
      <w:bookmarkEnd w:id="42"/>
      <w:bookmarkEnd w:id="43"/>
      <w:bookmarkEnd w:id="44"/>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5" w:name="_Toc26807"/>
      <w:bookmarkStart w:id="46" w:name="_Toc32454"/>
      <w:bookmarkStart w:id="47" w:name="_Toc18683"/>
      <w:bookmarkStart w:id="48" w:name="_Toc9497"/>
      <w:bookmarkStart w:id="49" w:name="_Toc30329"/>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5"/>
    <w:bookmarkEnd w:id="46"/>
    <w:bookmarkEnd w:id="47"/>
    <w:bookmarkEnd w:id="48"/>
    <w:bookmarkEnd w:id="49"/>
    <w:p>
      <w:pPr>
        <w:spacing w:line="400" w:lineRule="exact"/>
        <w:ind w:firstLine="482" w:firstLineChars="200"/>
        <w:outlineLvl w:val="0"/>
        <w:rPr>
          <w:rFonts w:ascii="仿宋_GB2312" w:hAnsi="仿宋" w:eastAsia="仿宋_GB2312" w:cs="仿宋"/>
          <w:b/>
          <w:color w:val="auto"/>
          <w:sz w:val="24"/>
          <w:highlight w:val="none"/>
        </w:rPr>
      </w:pPr>
      <w:bookmarkStart w:id="50" w:name="_Toc15583"/>
      <w:bookmarkStart w:id="51" w:name="_Toc28375"/>
      <w:bookmarkStart w:id="52" w:name="_Toc16021"/>
      <w:r>
        <w:rPr>
          <w:rFonts w:hint="eastAsia" w:ascii="仿宋_GB2312" w:hAnsi="仿宋" w:eastAsia="仿宋_GB2312" w:cs="仿宋"/>
          <w:b/>
          <w:color w:val="auto"/>
          <w:sz w:val="24"/>
          <w:highlight w:val="none"/>
        </w:rPr>
        <w:t>1.9合同争议的解决</w:t>
      </w:r>
      <w:bookmarkEnd w:id="50"/>
      <w:bookmarkEnd w:id="51"/>
      <w:bookmarkEnd w:id="52"/>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3" w:name="_Toc11173"/>
      <w:bookmarkStart w:id="54" w:name="_Toc7245"/>
      <w:bookmarkStart w:id="55" w:name="_Toc15322"/>
      <w:r>
        <w:rPr>
          <w:rFonts w:hint="eastAsia" w:ascii="仿宋_GB2312" w:hAnsi="仿宋" w:eastAsia="仿宋_GB2312" w:cs="仿宋"/>
          <w:b/>
          <w:color w:val="auto"/>
          <w:sz w:val="24"/>
          <w:highlight w:val="none"/>
        </w:rPr>
        <w:t>2.0 合同生效</w:t>
      </w:r>
      <w:bookmarkEnd w:id="53"/>
      <w:bookmarkEnd w:id="54"/>
      <w:bookmarkEnd w:id="55"/>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6" w:name="_Toc19680"/>
      <w:bookmarkStart w:id="57" w:name="_Toc5228"/>
      <w:bookmarkStart w:id="58" w:name="_Toc14021"/>
      <w:bookmarkStart w:id="59" w:name="_Toc25079"/>
      <w:bookmarkStart w:id="60" w:name="_Toc31297"/>
      <w:r>
        <w:rPr>
          <w:rFonts w:hint="eastAsia" w:ascii="仿宋_GB2312" w:hAnsi="仿宋" w:eastAsia="仿宋_GB2312" w:cs="仿宋"/>
          <w:b/>
          <w:color w:val="auto"/>
          <w:sz w:val="24"/>
          <w:highlight w:val="none"/>
        </w:rPr>
        <w:t>2.1 定义</w:t>
      </w:r>
      <w:bookmarkEnd w:id="56"/>
      <w:bookmarkEnd w:id="57"/>
      <w:bookmarkEnd w:id="58"/>
      <w:bookmarkEnd w:id="59"/>
      <w:bookmarkEnd w:id="6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1" w:name="_Toc16752"/>
      <w:bookmarkStart w:id="62" w:name="_Toc23289"/>
      <w:bookmarkStart w:id="63" w:name="_Toc3769"/>
      <w:bookmarkStart w:id="64" w:name="_Toc19539"/>
      <w:bookmarkStart w:id="65" w:name="_Toc31402"/>
      <w:r>
        <w:rPr>
          <w:rFonts w:hint="eastAsia" w:ascii="仿宋_GB2312" w:hAnsi="仿宋" w:eastAsia="仿宋_GB2312" w:cs="仿宋"/>
          <w:b/>
          <w:color w:val="auto"/>
          <w:sz w:val="24"/>
          <w:highlight w:val="none"/>
        </w:rPr>
        <w:t>2.2 技术规范</w:t>
      </w:r>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6" w:name="_Toc12412"/>
      <w:bookmarkStart w:id="67" w:name="_Toc9161"/>
      <w:bookmarkStart w:id="68" w:name="_Toc27945"/>
      <w:bookmarkStart w:id="69" w:name="_Toc13673"/>
      <w:bookmarkStart w:id="70" w:name="_Toc4133"/>
      <w:r>
        <w:rPr>
          <w:rFonts w:hint="eastAsia" w:ascii="仿宋_GB2312" w:hAnsi="仿宋" w:eastAsia="仿宋_GB2312" w:cs="仿宋"/>
          <w:b/>
          <w:color w:val="auto"/>
          <w:sz w:val="24"/>
          <w:highlight w:val="none"/>
        </w:rPr>
        <w:t>2.3 知识产权</w:t>
      </w:r>
      <w:bookmarkEnd w:id="66"/>
      <w:bookmarkEnd w:id="67"/>
      <w:bookmarkEnd w:id="68"/>
      <w:bookmarkEnd w:id="69"/>
      <w:bookmarkEnd w:id="7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1" w:name="_Toc26555"/>
      <w:bookmarkStart w:id="72" w:name="_Toc15447"/>
      <w:bookmarkStart w:id="73" w:name="_Toc22011"/>
      <w:bookmarkStart w:id="74" w:name="_Toc32670"/>
      <w:bookmarkStart w:id="75" w:name="_Toc31233"/>
      <w:r>
        <w:rPr>
          <w:rFonts w:hint="eastAsia" w:ascii="仿宋_GB2312" w:hAnsi="仿宋" w:eastAsia="仿宋_GB2312" w:cs="仿宋"/>
          <w:b/>
          <w:color w:val="auto"/>
          <w:sz w:val="24"/>
          <w:highlight w:val="none"/>
        </w:rPr>
        <w:t>2.5 结算方式和付款条件</w:t>
      </w:r>
      <w:bookmarkEnd w:id="71"/>
      <w:bookmarkEnd w:id="72"/>
      <w:bookmarkEnd w:id="73"/>
      <w:bookmarkEnd w:id="74"/>
      <w:bookmarkEnd w:id="7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6" w:name="_Toc30507"/>
      <w:bookmarkStart w:id="77" w:name="_Toc13154"/>
      <w:bookmarkStart w:id="78" w:name="_Toc16163"/>
      <w:bookmarkStart w:id="79" w:name="_Toc13467"/>
      <w:bookmarkStart w:id="80" w:name="_Toc18990"/>
      <w:r>
        <w:rPr>
          <w:rFonts w:hint="eastAsia" w:ascii="仿宋_GB2312" w:hAnsi="仿宋" w:eastAsia="仿宋_GB2312" w:cs="仿宋"/>
          <w:b/>
          <w:color w:val="auto"/>
          <w:sz w:val="24"/>
          <w:highlight w:val="none"/>
        </w:rPr>
        <w:t>2.6 技术资料和保密义务</w:t>
      </w:r>
      <w:bookmarkEnd w:id="76"/>
      <w:bookmarkEnd w:id="77"/>
      <w:bookmarkEnd w:id="78"/>
      <w:bookmarkEnd w:id="79"/>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1" w:name="_Toc19069"/>
      <w:r>
        <w:rPr>
          <w:rFonts w:hint="eastAsia" w:ascii="仿宋_GB2312" w:hAnsi="仿宋" w:eastAsia="仿宋_GB2312" w:cs="仿宋"/>
          <w:b/>
          <w:color w:val="auto"/>
          <w:sz w:val="24"/>
          <w:highlight w:val="none"/>
        </w:rPr>
        <w:t>2.7 质量保证</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2" w:name="_Toc22267"/>
      <w:r>
        <w:rPr>
          <w:rFonts w:hint="eastAsia" w:ascii="仿宋_GB2312" w:hAnsi="仿宋" w:eastAsia="仿宋_GB2312" w:cs="仿宋"/>
          <w:b/>
          <w:color w:val="auto"/>
          <w:sz w:val="24"/>
          <w:highlight w:val="none"/>
        </w:rPr>
        <w:t>2.8 延迟履行</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3" w:name="_Toc10611"/>
      <w:r>
        <w:rPr>
          <w:rFonts w:hint="eastAsia" w:ascii="仿宋_GB2312" w:hAnsi="仿宋" w:eastAsia="仿宋_GB2312" w:cs="仿宋"/>
          <w:b/>
          <w:color w:val="auto"/>
          <w:sz w:val="24"/>
          <w:highlight w:val="none"/>
        </w:rPr>
        <w:t>2.9 合同变更</w:t>
      </w:r>
      <w:bookmarkEnd w:id="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4" w:name="_Toc23368"/>
      <w:bookmarkStart w:id="85" w:name="_Toc21830"/>
      <w:bookmarkStart w:id="86" w:name="_Toc26689"/>
      <w:bookmarkStart w:id="87" w:name="_Toc42"/>
      <w:bookmarkStart w:id="88" w:name="_Toc10663"/>
      <w:r>
        <w:rPr>
          <w:rFonts w:hint="eastAsia" w:ascii="仿宋_GB2312" w:hAnsi="仿宋" w:eastAsia="仿宋_GB2312" w:cs="仿宋"/>
          <w:b/>
          <w:color w:val="auto"/>
          <w:sz w:val="24"/>
          <w:highlight w:val="none"/>
        </w:rPr>
        <w:t>2.10 合同转让和分包</w:t>
      </w:r>
      <w:bookmarkEnd w:id="84"/>
      <w:bookmarkEnd w:id="85"/>
      <w:bookmarkEnd w:id="86"/>
      <w:bookmarkEnd w:id="87"/>
      <w:bookmarkEnd w:id="8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9" w:name="_Toc26633"/>
      <w:bookmarkStart w:id="90" w:name="_Toc25571"/>
      <w:bookmarkStart w:id="91" w:name="_Toc32494"/>
      <w:bookmarkStart w:id="92" w:name="_Toc14371"/>
      <w:bookmarkStart w:id="93" w:name="_Toc4720"/>
      <w:r>
        <w:rPr>
          <w:rFonts w:hint="eastAsia" w:ascii="仿宋_GB2312" w:hAnsi="仿宋" w:eastAsia="仿宋_GB2312" w:cs="仿宋"/>
          <w:b/>
          <w:color w:val="auto"/>
          <w:sz w:val="24"/>
          <w:highlight w:val="none"/>
        </w:rPr>
        <w:t>2.11 不可抗力</w:t>
      </w:r>
      <w:bookmarkEnd w:id="89"/>
      <w:bookmarkEnd w:id="90"/>
      <w:bookmarkEnd w:id="91"/>
      <w:bookmarkEnd w:id="92"/>
      <w:bookmarkEnd w:id="9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4" w:name="_Toc24465"/>
      <w:bookmarkStart w:id="95" w:name="_Toc3638"/>
      <w:bookmarkStart w:id="96" w:name="_Toc25783"/>
      <w:bookmarkStart w:id="97" w:name="_Toc23854"/>
      <w:bookmarkStart w:id="98" w:name="_Toc14115"/>
      <w:r>
        <w:rPr>
          <w:rFonts w:hint="eastAsia" w:ascii="仿宋_GB2312" w:hAnsi="仿宋" w:eastAsia="仿宋_GB2312" w:cs="仿宋"/>
          <w:b/>
          <w:color w:val="auto"/>
          <w:sz w:val="24"/>
          <w:highlight w:val="none"/>
        </w:rPr>
        <w:t>2.12 税费</w:t>
      </w:r>
      <w:bookmarkEnd w:id="94"/>
      <w:bookmarkEnd w:id="95"/>
      <w:bookmarkEnd w:id="96"/>
      <w:bookmarkEnd w:id="97"/>
      <w:bookmarkEnd w:id="9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9" w:name="_Toc14814"/>
      <w:bookmarkStart w:id="100" w:name="_Toc7315"/>
      <w:bookmarkStart w:id="101" w:name="_Toc30105"/>
      <w:bookmarkStart w:id="102" w:name="_Toc25525"/>
      <w:bookmarkStart w:id="103" w:name="_Toc26883"/>
      <w:r>
        <w:rPr>
          <w:rFonts w:hint="eastAsia" w:ascii="仿宋_GB2312" w:hAnsi="仿宋" w:eastAsia="仿宋_GB2312" w:cs="仿宋"/>
          <w:b/>
          <w:color w:val="auto"/>
          <w:sz w:val="24"/>
          <w:highlight w:val="none"/>
        </w:rPr>
        <w:t>2.13 乙方破产</w:t>
      </w:r>
      <w:bookmarkEnd w:id="99"/>
      <w:bookmarkEnd w:id="100"/>
      <w:bookmarkEnd w:id="101"/>
      <w:bookmarkEnd w:id="102"/>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4" w:name="_Toc2016"/>
      <w:bookmarkStart w:id="105" w:name="_Toc1123"/>
      <w:bookmarkStart w:id="106" w:name="_Toc23323"/>
      <w:r>
        <w:rPr>
          <w:rFonts w:hint="eastAsia" w:ascii="仿宋_GB2312" w:hAnsi="仿宋" w:eastAsia="仿宋_GB2312" w:cs="仿宋"/>
          <w:b/>
          <w:color w:val="auto"/>
          <w:sz w:val="24"/>
          <w:highlight w:val="none"/>
        </w:rPr>
        <w:t>2.14 合同中止、终止</w:t>
      </w:r>
      <w:bookmarkEnd w:id="104"/>
      <w:bookmarkEnd w:id="105"/>
      <w:bookmarkEnd w:id="10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7" w:name="_Toc1969"/>
      <w:bookmarkStart w:id="108" w:name="_Toc17363"/>
      <w:bookmarkStart w:id="109" w:name="_Toc14525"/>
      <w:r>
        <w:rPr>
          <w:rFonts w:hint="eastAsia" w:ascii="仿宋_GB2312" w:hAnsi="仿宋" w:eastAsia="仿宋_GB2312" w:cs="仿宋"/>
          <w:b/>
          <w:color w:val="auto"/>
          <w:sz w:val="24"/>
          <w:highlight w:val="none"/>
        </w:rPr>
        <w:t>2.15 检验和验收</w:t>
      </w:r>
      <w:bookmarkEnd w:id="107"/>
      <w:bookmarkEnd w:id="108"/>
      <w:bookmarkEnd w:id="109"/>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0" w:name="_Toc2308"/>
      <w:bookmarkStart w:id="111" w:name="_Toc9808"/>
      <w:bookmarkStart w:id="112" w:name="_Toc25198"/>
      <w:bookmarkStart w:id="113" w:name="_Toc31892"/>
      <w:bookmarkStart w:id="114" w:name="_Toc12666"/>
      <w:r>
        <w:rPr>
          <w:rFonts w:hint="eastAsia" w:ascii="仿宋_GB2312" w:hAnsi="仿宋" w:eastAsia="仿宋_GB2312" w:cs="仿宋"/>
          <w:b/>
          <w:color w:val="auto"/>
          <w:sz w:val="24"/>
          <w:highlight w:val="none"/>
        </w:rPr>
        <w:t>2.16 通知和送达</w:t>
      </w:r>
      <w:bookmarkEnd w:id="110"/>
      <w:bookmarkEnd w:id="111"/>
      <w:bookmarkEnd w:id="112"/>
      <w:bookmarkEnd w:id="113"/>
      <w:bookmarkEnd w:id="114"/>
    </w:p>
    <w:p>
      <w:pPr>
        <w:spacing w:line="560" w:lineRule="exact"/>
        <w:ind w:firstLine="480" w:firstLineChars="200"/>
        <w:rPr>
          <w:rFonts w:ascii="仿宋_GB2312" w:hAnsi="仿宋" w:eastAsia="仿宋_GB2312" w:cs="仿宋"/>
          <w:color w:val="auto"/>
          <w:sz w:val="24"/>
          <w:highlight w:val="none"/>
        </w:rPr>
      </w:pPr>
      <w:bookmarkStart w:id="115" w:name="_Toc18401"/>
      <w:bookmarkStart w:id="116"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pPr>
        <w:spacing w:line="560" w:lineRule="exact"/>
        <w:ind w:firstLine="482" w:firstLineChars="200"/>
        <w:outlineLvl w:val="0"/>
        <w:rPr>
          <w:rFonts w:ascii="仿宋_GB2312" w:hAnsi="仿宋" w:eastAsia="仿宋_GB2312" w:cs="仿宋"/>
          <w:b/>
          <w:color w:val="auto"/>
          <w:sz w:val="24"/>
          <w:highlight w:val="none"/>
        </w:rPr>
      </w:pPr>
      <w:bookmarkStart w:id="117" w:name="_Toc12254"/>
      <w:bookmarkStart w:id="118" w:name="_Toc5063"/>
      <w:bookmarkStart w:id="119" w:name="_Toc20808"/>
      <w:bookmarkStart w:id="120" w:name="_Toc28906"/>
      <w:bookmarkStart w:id="121" w:name="_Toc27644"/>
      <w:r>
        <w:rPr>
          <w:rFonts w:hint="eastAsia" w:ascii="仿宋_GB2312" w:hAnsi="仿宋" w:eastAsia="仿宋_GB2312" w:cs="仿宋"/>
          <w:b/>
          <w:color w:val="auto"/>
          <w:sz w:val="24"/>
          <w:highlight w:val="none"/>
        </w:rPr>
        <w:t>2.17 合同使用的文字和适用的法律</w:t>
      </w:r>
      <w:bookmarkEnd w:id="117"/>
      <w:bookmarkEnd w:id="118"/>
      <w:bookmarkEnd w:id="119"/>
      <w:bookmarkEnd w:id="120"/>
      <w:bookmarkEnd w:id="12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2" w:name="_Toc30599"/>
      <w:bookmarkStart w:id="123" w:name="_Toc18540"/>
      <w:bookmarkStart w:id="124" w:name="_Toc4355"/>
      <w:r>
        <w:rPr>
          <w:rFonts w:hint="eastAsia" w:ascii="仿宋_GB2312" w:hAnsi="仿宋" w:eastAsia="仿宋_GB2312" w:cs="仿宋"/>
          <w:b/>
          <w:color w:val="auto"/>
          <w:sz w:val="24"/>
          <w:highlight w:val="none"/>
        </w:rPr>
        <w:t>2.18 计量单位</w:t>
      </w:r>
      <w:bookmarkEnd w:id="122"/>
      <w:bookmarkEnd w:id="123"/>
      <w:bookmarkEnd w:id="12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5" w:name="_Toc279701263"/>
      <w:bookmarkStart w:id="126" w:name="_Toc12773"/>
      <w:bookmarkStart w:id="127" w:name="_Toc259093692"/>
      <w:bookmarkStart w:id="128" w:name="_Toc10330"/>
      <w:bookmarkStart w:id="129" w:name="_Toc487900373"/>
      <w:bookmarkStart w:id="130" w:name="_Toc18567"/>
      <w:r>
        <w:rPr>
          <w:rFonts w:hint="eastAsia" w:ascii="仿宋_GB2312" w:hAnsi="仿宋" w:eastAsia="仿宋_GB2312" w:cs="仿宋"/>
          <w:b/>
          <w:color w:val="auto"/>
          <w:sz w:val="24"/>
          <w:highlight w:val="none"/>
        </w:rPr>
        <w:t>2.19 合同使用的文字和适用的法律</w:t>
      </w:r>
      <w:bookmarkEnd w:id="125"/>
      <w:bookmarkEnd w:id="126"/>
      <w:bookmarkEnd w:id="127"/>
      <w:bookmarkEnd w:id="128"/>
      <w:bookmarkEnd w:id="129"/>
      <w:bookmarkEnd w:id="13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1" w:name="_Toc331685784"/>
      <w:r>
        <w:rPr>
          <w:rFonts w:hint="eastAsia" w:ascii="仿宋_GB2312" w:hAnsi="仿宋" w:eastAsia="仿宋_GB2312" w:cs="仿宋"/>
          <w:b/>
          <w:color w:val="auto"/>
          <w:sz w:val="24"/>
          <w:highlight w:val="none"/>
        </w:rPr>
        <w:t xml:space="preserve"> </w:t>
      </w:r>
      <w:bookmarkEnd w:id="131"/>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pPr>
              <w:spacing w:line="360" w:lineRule="auto"/>
              <w:rPr>
                <w:rFonts w:ascii="仿宋_GB2312" w:hAnsi="仿宋" w:eastAsia="仿宋_GB2312" w:cs="仿宋"/>
                <w:color w:val="auto"/>
                <w:sz w:val="24"/>
                <w:highlight w:val="none"/>
              </w:rPr>
            </w:pPr>
          </w:p>
        </w:tc>
      </w:tr>
    </w:tbl>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0分）</w:t>
      </w:r>
    </w:p>
    <w:tbl>
      <w:tblPr>
        <w:tblStyle w:val="63"/>
        <w:tblW w:w="8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10"/>
        <w:gridCol w:w="1376"/>
        <w:gridCol w:w="6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95"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序号</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评分项目</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管理体系认证（</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1.具有有效的质量管理体系认证证书得1分；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2.具有有效的环境管理体系认证证书得1分；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3.具有有效的职业健康安全管理认证证书得1分。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注：提供证书原件扫描件和全国认证可信息公共服务平台http://cx.cnca.cn/CertECloud/result/skipResultList查询截图并加盖投标人公章，否则不得分。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业绩案例</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投标人自2021年1月1日以来（以合同签订时间为准）完成的同类案例，每有1个得1分，满分3分。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注：每个案例提供合同复印件加盖投标人公章。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管理组织架构（3分）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针对投标人</w:t>
            </w:r>
            <w:r>
              <w:rPr>
                <w:rFonts w:hint="eastAsia" w:ascii="仿宋_GB2312" w:hAnsi="仿宋_GB2312" w:eastAsia="仿宋_GB2312" w:cs="仿宋_GB2312"/>
                <w:color w:val="auto"/>
                <w:kern w:val="0"/>
                <w:sz w:val="24"/>
                <w:szCs w:val="24"/>
                <w:highlight w:val="none"/>
              </w:rPr>
              <w:t>有完善的物业管理制度、</w:t>
            </w:r>
            <w:r>
              <w:rPr>
                <w:rFonts w:hint="eastAsia" w:ascii="仿宋_GB2312" w:hAnsi="仿宋_GB2312" w:eastAsia="仿宋_GB2312" w:cs="仿宋_GB2312"/>
                <w:color w:val="auto"/>
                <w:sz w:val="24"/>
                <w:szCs w:val="24"/>
                <w:highlight w:val="none"/>
              </w:rPr>
              <w:t>监督机制和管理流程</w:t>
            </w:r>
            <w:r>
              <w:rPr>
                <w:rFonts w:hint="eastAsia" w:ascii="仿宋_GB2312" w:hAnsi="仿宋_GB2312" w:eastAsia="仿宋_GB2312" w:cs="仿宋_GB2312"/>
                <w:color w:val="auto"/>
                <w:kern w:val="0"/>
                <w:sz w:val="24"/>
                <w:szCs w:val="24"/>
                <w:highlight w:val="none"/>
              </w:rPr>
              <w:t>，并建立和完善档案管理制度、</w:t>
            </w:r>
            <w:r>
              <w:rPr>
                <w:rFonts w:hint="eastAsia" w:ascii="仿宋_GB2312" w:hAnsi="仿宋_GB2312" w:eastAsia="仿宋_GB2312" w:cs="仿宋_GB2312"/>
                <w:color w:val="auto"/>
                <w:kern w:val="0"/>
                <w:sz w:val="24"/>
                <w:szCs w:val="24"/>
                <w:highlight w:val="none"/>
                <w:lang w:val="en-US" w:eastAsia="zh-CN"/>
              </w:rPr>
              <w:t>工作</w:t>
            </w:r>
            <w:r>
              <w:rPr>
                <w:rFonts w:hint="eastAsia" w:ascii="仿宋_GB2312" w:hAnsi="仿宋_GB2312" w:eastAsia="仿宋_GB2312" w:cs="仿宋_GB2312"/>
                <w:color w:val="auto"/>
                <w:kern w:val="0"/>
                <w:sz w:val="24"/>
                <w:szCs w:val="24"/>
                <w:highlight w:val="none"/>
              </w:rPr>
              <w:t>制度、物业管理制度等，体现标准化服务，管理服务水平符合国家和行业标准</w:t>
            </w:r>
            <w:r>
              <w:rPr>
                <w:rFonts w:hint="eastAsia" w:ascii="仿宋_GB2312" w:hAnsi="仿宋_GB2312" w:eastAsia="仿宋_GB2312" w:cs="仿宋_GB2312"/>
                <w:color w:val="auto"/>
                <w:sz w:val="24"/>
                <w:szCs w:val="24"/>
                <w:highlight w:val="none"/>
              </w:rPr>
              <w:t>等情况进行打分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拟派项目组人员情况</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rPr>
              <w:t>拟派</w:t>
            </w:r>
            <w:r>
              <w:rPr>
                <w:rFonts w:hint="eastAsia" w:ascii="仿宋_GB2312" w:hAnsi="仿宋_GB2312" w:eastAsia="仿宋_GB2312" w:cs="仿宋_GB2312"/>
                <w:color w:val="auto"/>
                <w:sz w:val="24"/>
                <w:szCs w:val="24"/>
                <w:highlight w:val="none"/>
              </w:rPr>
              <w:t>项目主管</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1.具有大专及以上学历的得</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分；</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lang w:val="en"/>
              </w:rPr>
            </w:pPr>
            <w:r>
              <w:rPr>
                <w:rFonts w:hint="eastAsia" w:ascii="仿宋_GB2312" w:hAnsi="仿宋_GB2312" w:eastAsia="仿宋_GB2312" w:cs="仿宋_GB2312"/>
                <w:color w:val="auto"/>
                <w:kern w:val="0"/>
                <w:sz w:val="24"/>
                <w:szCs w:val="24"/>
                <w:highlight w:val="none"/>
                <w:lang w:val="en-US" w:eastAsia="zh-CN"/>
              </w:rPr>
              <w:t>二、</w:t>
            </w:r>
            <w:r>
              <w:rPr>
                <w:rFonts w:hint="eastAsia" w:ascii="仿宋_GB2312" w:hAnsi="仿宋_GB2312" w:eastAsia="仿宋_GB2312" w:cs="仿宋_GB2312"/>
                <w:color w:val="auto"/>
                <w:kern w:val="0"/>
                <w:sz w:val="24"/>
                <w:szCs w:val="24"/>
                <w:highlight w:val="none"/>
              </w:rPr>
              <w:t>拟派</w:t>
            </w:r>
            <w:r>
              <w:rPr>
                <w:rFonts w:hint="eastAsia" w:ascii="仿宋_GB2312" w:hAnsi="仿宋_GB2312" w:eastAsia="仿宋_GB2312" w:cs="仿宋_GB2312"/>
                <w:color w:val="auto"/>
                <w:sz w:val="24"/>
                <w:szCs w:val="24"/>
                <w:highlight w:val="none"/>
              </w:rPr>
              <w:t>安保主管</w:t>
            </w:r>
            <w:r>
              <w:rPr>
                <w:rFonts w:hint="eastAsia" w:ascii="仿宋_GB2312" w:hAnsi="仿宋_GB2312" w:eastAsia="仿宋_GB2312" w:cs="仿宋_GB2312"/>
                <w:color w:val="auto"/>
                <w:kern w:val="0"/>
                <w:sz w:val="24"/>
                <w:szCs w:val="24"/>
                <w:highlight w:val="none"/>
                <w:lang w:val="e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r>
              <w:rPr>
                <w:rFonts w:hint="eastAsia" w:ascii="仿宋_GB2312" w:hAnsi="仿宋_GB2312" w:eastAsia="仿宋_GB2312" w:cs="仿宋_GB2312"/>
                <w:color w:val="auto"/>
                <w:kern w:val="0"/>
                <w:sz w:val="24"/>
                <w:szCs w:val="24"/>
                <w:highlight w:val="none"/>
                <w:lang w:val="en"/>
              </w:rPr>
              <w:t>具有大专及以上学历的得</w:t>
            </w: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val="en"/>
              </w:rPr>
              <w:t>分；</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kern w:val="0"/>
                <w:sz w:val="24"/>
                <w:szCs w:val="24"/>
                <w:highlight w:val="none"/>
                <w:lang w:val="en"/>
              </w:rPr>
            </w:pPr>
            <w:r>
              <w:rPr>
                <w:rFonts w:hint="eastAsia" w:ascii="仿宋_GB2312" w:hAnsi="仿宋_GB2312" w:eastAsia="仿宋_GB2312" w:cs="仿宋_GB2312"/>
                <w:color w:val="auto"/>
                <w:kern w:val="0"/>
                <w:sz w:val="24"/>
                <w:szCs w:val="24"/>
                <w:highlight w:val="none"/>
              </w:rPr>
              <w:t>2.</w:t>
            </w:r>
            <w:r>
              <w:rPr>
                <w:rFonts w:hint="eastAsia" w:ascii="仿宋_GB2312" w:hAnsi="仿宋_GB2312" w:eastAsia="仿宋_GB2312" w:cs="仿宋_GB2312"/>
                <w:color w:val="auto"/>
                <w:kern w:val="0"/>
                <w:sz w:val="24"/>
                <w:szCs w:val="24"/>
                <w:highlight w:val="none"/>
                <w:lang w:val="en"/>
              </w:rPr>
              <w:t>持有</w:t>
            </w:r>
            <w:r>
              <w:rPr>
                <w:rFonts w:hint="eastAsia" w:ascii="仿宋_GB2312" w:hAnsi="仿宋_GB2312" w:eastAsia="仿宋_GB2312" w:cs="仿宋_GB2312"/>
                <w:color w:val="auto"/>
                <w:kern w:val="0"/>
                <w:sz w:val="24"/>
                <w:szCs w:val="24"/>
                <w:highlight w:val="none"/>
              </w:rPr>
              <w:t>人力资源和社会保障部门颁发的</w:t>
            </w:r>
            <w:r>
              <w:rPr>
                <w:rFonts w:hint="eastAsia" w:ascii="仿宋_GB2312" w:hAnsi="仿宋_GB2312" w:eastAsia="仿宋_GB2312" w:cs="仿宋_GB2312"/>
                <w:color w:val="auto"/>
                <w:kern w:val="0"/>
                <w:sz w:val="24"/>
                <w:szCs w:val="24"/>
                <w:highlight w:val="none"/>
                <w:lang w:val="en"/>
              </w:rPr>
              <w:t>保安</w:t>
            </w:r>
            <w:r>
              <w:rPr>
                <w:rFonts w:hint="eastAsia" w:ascii="仿宋_GB2312" w:hAnsi="仿宋_GB2312" w:eastAsia="仿宋_GB2312" w:cs="仿宋_GB2312"/>
                <w:color w:val="auto"/>
                <w:kern w:val="0"/>
                <w:sz w:val="24"/>
                <w:szCs w:val="24"/>
                <w:highlight w:val="none"/>
              </w:rPr>
              <w:t>员</w:t>
            </w:r>
            <w:r>
              <w:rPr>
                <w:rFonts w:hint="eastAsia" w:ascii="仿宋_GB2312" w:hAnsi="仿宋_GB2312" w:eastAsia="仿宋_GB2312" w:cs="仿宋_GB2312"/>
                <w:color w:val="auto"/>
                <w:kern w:val="0"/>
                <w:sz w:val="24"/>
                <w:szCs w:val="24"/>
                <w:highlight w:val="none"/>
                <w:lang w:val="en"/>
              </w:rPr>
              <w:t>二级及以上证书</w:t>
            </w:r>
            <w:r>
              <w:rPr>
                <w:rFonts w:hint="eastAsia" w:ascii="仿宋_GB2312" w:hAnsi="仿宋_GB2312" w:eastAsia="仿宋_GB2312" w:cs="仿宋_GB2312"/>
                <w:color w:val="auto"/>
                <w:kern w:val="0"/>
                <w:sz w:val="24"/>
                <w:szCs w:val="24"/>
                <w:highlight w:val="none"/>
              </w:rPr>
              <w:t>的得1分</w:t>
            </w:r>
            <w:r>
              <w:rPr>
                <w:rFonts w:hint="eastAsia" w:ascii="仿宋_GB2312" w:hAnsi="仿宋_GB2312" w:eastAsia="仿宋_GB2312" w:cs="仿宋_GB2312"/>
                <w:color w:val="auto"/>
                <w:kern w:val="0"/>
                <w:sz w:val="24"/>
                <w:szCs w:val="24"/>
                <w:highlight w:val="none"/>
                <w:lang w:val="en"/>
              </w:rPr>
              <w:t>；</w:t>
            </w:r>
          </w:p>
          <w:p>
            <w:pPr>
              <w:keepNext w:val="0"/>
              <w:keepLines w:val="0"/>
              <w:pageBreakBefore w:val="0"/>
              <w:widowControl w:val="0"/>
              <w:tabs>
                <w:tab w:val="left" w:pos="0"/>
              </w:tabs>
              <w:kinsoku/>
              <w:wordWrap/>
              <w:overflowPunct/>
              <w:topLinePunct w:val="0"/>
              <w:autoSpaceDE/>
              <w:autoSpaceDN/>
              <w:bidi w:val="0"/>
              <w:adjustRightInd/>
              <w:snapToGrid w:val="0"/>
              <w:spacing w:line="440" w:lineRule="exact"/>
              <w:textAlignment w:val="auto"/>
              <w:rPr>
                <w:rFonts w:hint="eastAsia" w:ascii="仿宋_GB2312" w:hAnsi="仿宋_GB2312" w:eastAsia="仿宋_GB2312" w:cs="仿宋_GB2312"/>
                <w:color w:val="auto"/>
                <w:sz w:val="24"/>
                <w:szCs w:val="24"/>
                <w:highlight w:val="none"/>
                <w:lang w:val="en"/>
              </w:rPr>
            </w:pPr>
            <w:r>
              <w:rPr>
                <w:rFonts w:hint="eastAsia" w:ascii="仿宋_GB2312" w:hAnsi="仿宋_GB2312" w:eastAsia="仿宋_GB2312" w:cs="仿宋_GB2312"/>
                <w:color w:val="auto"/>
                <w:kern w:val="0"/>
                <w:sz w:val="24"/>
                <w:szCs w:val="24"/>
                <w:highlight w:val="none"/>
              </w:rPr>
              <w:t>3.持有人社部门或消防部门颁发的中级及以上消防安全管理员（含消防设施操作员、建（构）筑物消防员）证书的</w:t>
            </w:r>
            <w:r>
              <w:rPr>
                <w:rFonts w:hint="eastAsia" w:ascii="仿宋_GB2312" w:hAnsi="仿宋_GB2312" w:eastAsia="仿宋_GB2312" w:cs="仿宋_GB2312"/>
                <w:color w:val="auto"/>
                <w:sz w:val="24"/>
                <w:szCs w:val="24"/>
                <w:highlight w:val="none"/>
                <w:lang w:val="en"/>
              </w:rPr>
              <w:t>得</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拟派电工：</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1.具有中专及以上学历</w:t>
            </w:r>
            <w:r>
              <w:rPr>
                <w:rFonts w:hint="eastAsia" w:ascii="仿宋_GB2312" w:hAnsi="仿宋_GB2312" w:eastAsia="仿宋_GB2312" w:cs="仿宋_GB2312"/>
                <w:color w:val="auto"/>
                <w:kern w:val="0"/>
                <w:sz w:val="24"/>
                <w:szCs w:val="24"/>
                <w:highlight w:val="none"/>
                <w:lang w:val="en"/>
              </w:rPr>
              <w:t>得</w:t>
            </w:r>
            <w:r>
              <w:rPr>
                <w:rFonts w:hint="eastAsia" w:ascii="仿宋_GB2312" w:hAnsi="仿宋_GB2312" w:eastAsia="仿宋_GB2312" w:cs="仿宋_GB2312"/>
                <w:color w:val="auto"/>
                <w:kern w:val="0"/>
                <w:sz w:val="24"/>
                <w:szCs w:val="24"/>
                <w:highlight w:val="none"/>
                <w:lang w:val="en-US" w:eastAsia="zh-CN"/>
              </w:rPr>
              <w:t>0.5</w:t>
            </w:r>
            <w:r>
              <w:rPr>
                <w:rFonts w:hint="eastAsia" w:ascii="仿宋_GB2312" w:hAnsi="仿宋_GB2312" w:eastAsia="仿宋_GB2312" w:cs="仿宋_GB2312"/>
                <w:color w:val="auto"/>
                <w:kern w:val="0"/>
                <w:sz w:val="24"/>
                <w:szCs w:val="24"/>
                <w:highlight w:val="none"/>
                <w:lang w:val="en"/>
              </w:rPr>
              <w:t>分；</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持有应急管理部门颁发或监制的特种作业操作证（低压电工作业）</w:t>
            </w:r>
            <w:r>
              <w:rPr>
                <w:rFonts w:hint="eastAsia" w:ascii="仿宋_GB2312" w:hAnsi="仿宋_GB2312" w:eastAsia="仿宋_GB2312" w:cs="仿宋_GB2312"/>
                <w:color w:val="auto"/>
                <w:kern w:val="0"/>
                <w:sz w:val="24"/>
                <w:szCs w:val="24"/>
                <w:highlight w:val="none"/>
              </w:rPr>
              <w:t>的</w:t>
            </w:r>
            <w:r>
              <w:rPr>
                <w:rFonts w:hint="eastAsia" w:ascii="仿宋_GB2312" w:hAnsi="仿宋_GB2312" w:eastAsia="仿宋_GB2312" w:cs="仿宋_GB2312"/>
                <w:color w:val="auto"/>
                <w:sz w:val="24"/>
                <w:szCs w:val="24"/>
                <w:highlight w:val="none"/>
                <w:lang w:val="en"/>
              </w:rPr>
              <w:t>得</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lang w:val="en"/>
              </w:rPr>
              <w:t>分</w:t>
            </w:r>
            <w:r>
              <w:rPr>
                <w:rFonts w:hint="eastAsia" w:ascii="仿宋_GB2312" w:hAnsi="仿宋_GB2312" w:eastAsia="仿宋_GB2312" w:cs="仿宋_GB2312"/>
                <w:color w:val="auto"/>
                <w:sz w:val="24"/>
                <w:szCs w:val="24"/>
                <w:highlight w:val="none"/>
              </w:rPr>
              <w:t>。</w:t>
            </w:r>
          </w:p>
          <w:p>
            <w:pPr>
              <w:pStyle w:val="21"/>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rPr>
              <w:t>拟派保洁及场馆会务主管：</w:t>
            </w:r>
          </w:p>
          <w:p>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1.具有大专及以上学历的得1分。</w:t>
            </w:r>
          </w:p>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以上人员提供相关证书复印件和本单位社保缴纳证明均加盖投标人公章。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员工配置方案（</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拟派本项目服务团队的其他人员情况，包括人员</w:t>
            </w:r>
            <w:r>
              <w:rPr>
                <w:rFonts w:hint="eastAsia" w:ascii="仿宋_GB2312" w:hAnsi="仿宋_GB2312" w:eastAsia="仿宋_GB2312" w:cs="仿宋_GB2312"/>
                <w:color w:val="auto"/>
                <w:kern w:val="0"/>
                <w:sz w:val="24"/>
                <w:szCs w:val="24"/>
                <w:highlight w:val="none"/>
              </w:rPr>
              <w:t>岗位设置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kern w:val="0"/>
                <w:sz w:val="24"/>
                <w:szCs w:val="24"/>
                <w:highlight w:val="none"/>
              </w:rPr>
              <w:t>岗位人员配备、作息管理</w:t>
            </w:r>
            <w:r>
              <w:rPr>
                <w:rFonts w:hint="eastAsia" w:ascii="仿宋_GB2312" w:hAnsi="仿宋_GB2312" w:eastAsia="仿宋_GB2312" w:cs="仿宋_GB2312"/>
                <w:color w:val="auto"/>
                <w:sz w:val="24"/>
                <w:szCs w:val="24"/>
                <w:highlight w:val="none"/>
              </w:rPr>
              <w:t>以及服务团队人员实力情况等进行打分，0-5分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培训和考核方案（3分）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根据人员培训及管理方案，包括各岗位培训计划的详细程度，人员录用与考核有具体标准，有奖惩淘汰机制，各类人员上岗仪表、行为、态度标准统一、规范等进行打分，0-3分</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7</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物业服务方案（</w:t>
            </w:r>
            <w:r>
              <w:rPr>
                <w:rFonts w:hint="eastAsia" w:ascii="仿宋_GB2312" w:hAnsi="仿宋_GB2312" w:eastAsia="仿宋_GB2312" w:cs="仿宋_GB2312"/>
                <w:color w:val="auto"/>
                <w:sz w:val="24"/>
                <w:szCs w:val="24"/>
                <w:highlight w:val="none"/>
                <w:lang w:val="en-US" w:eastAsia="zh-CN"/>
              </w:rPr>
              <w:t>23</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1.综合管理方案：针对</w:t>
            </w:r>
            <w:r>
              <w:rPr>
                <w:rFonts w:hint="eastAsia" w:ascii="仿宋_GB2312" w:hAnsi="仿宋_GB2312" w:eastAsia="仿宋_GB2312" w:cs="仿宋_GB2312"/>
                <w:color w:val="auto"/>
                <w:sz w:val="24"/>
                <w:szCs w:val="24"/>
                <w:highlight w:val="none"/>
                <w:lang w:val="en-US" w:eastAsia="zh-CN"/>
              </w:rPr>
              <w:t>本项目物业</w:t>
            </w:r>
            <w:r>
              <w:rPr>
                <w:rFonts w:hint="eastAsia" w:ascii="仿宋_GB2312" w:hAnsi="仿宋_GB2312" w:eastAsia="仿宋_GB2312" w:cs="仿宋_GB2312"/>
                <w:color w:val="auto"/>
                <w:sz w:val="24"/>
                <w:szCs w:val="24"/>
                <w:highlight w:val="none"/>
              </w:rPr>
              <w:t>服务内容广的特点，如何体现各块业务的梳理对接和协同管理，以及如何提升校园智能化管理</w:t>
            </w:r>
            <w:r>
              <w:rPr>
                <w:rFonts w:hint="eastAsia" w:ascii="仿宋_GB2312" w:hAnsi="仿宋_GB2312" w:eastAsia="仿宋_GB2312" w:cs="仿宋_GB2312"/>
                <w:color w:val="auto"/>
                <w:sz w:val="24"/>
                <w:szCs w:val="24"/>
                <w:highlight w:val="none"/>
                <w:lang w:val="en-US" w:eastAsia="zh-CN"/>
              </w:rPr>
              <w:t>等方面进行打分，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2.安全保卫方案：结合学校特点、要求，提供完善的安全保卫方案，包括但不限于门岗、巡逻、消防、监控、车辆管理、快递及外卖管控、重大活动保障、各类突发事件处置流程等</w:t>
            </w:r>
            <w:r>
              <w:rPr>
                <w:rFonts w:hint="eastAsia" w:ascii="仿宋_GB2312" w:hAnsi="仿宋_GB2312" w:eastAsia="仿宋_GB2312" w:cs="仿宋_GB2312"/>
                <w:color w:val="auto"/>
                <w:sz w:val="24"/>
                <w:szCs w:val="24"/>
                <w:highlight w:val="none"/>
                <w:lang w:val="en-US" w:eastAsia="zh-CN"/>
              </w:rPr>
              <w:t>机芯</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3.卫生保洁方案：结合目前学校特点，提供各类场景下的卫生保洁方案，具备详细的人员分工和质量要求等方面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4.设施设备维修维护方案</w:t>
            </w:r>
            <w:r>
              <w:rPr>
                <w:rFonts w:hint="eastAsia" w:ascii="仿宋_GB2312" w:hAnsi="仿宋_GB2312" w:eastAsia="仿宋_GB2312" w:cs="仿宋_GB2312"/>
                <w:b/>
                <w:bCs/>
                <w:color w:val="auto"/>
                <w:sz w:val="24"/>
                <w:szCs w:val="24"/>
                <w:highlight w:val="none"/>
              </w:rPr>
              <w:t>（针对水电维修）</w:t>
            </w:r>
            <w:r>
              <w:rPr>
                <w:rFonts w:hint="eastAsia" w:ascii="仿宋_GB2312" w:hAnsi="仿宋_GB2312" w:eastAsia="仿宋_GB2312" w:cs="仿宋_GB2312"/>
                <w:color w:val="auto"/>
                <w:sz w:val="24"/>
                <w:szCs w:val="24"/>
                <w:highlight w:val="none"/>
              </w:rPr>
              <w:t>：针对本校园各类设备设施提供专业的维护、保养方案和校园零星维修服务方案。主要包括发生临时断水断电等紧急抢修的应急处置人员、材料、机具的安排；维修的及时率和沟通回访等方面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5.楼宇管理方案：据学校楼宇特点，提供完善的各项管理制度、服务方案，包括楼宇安全管理、节能降耗实施措施或建议、检查方案等方面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6.绿化养护方案：根据学校的要求，提供公共绿地的修剪、施肥、浇水养护、病虫害防治、灾害预防措施等详细服务方案</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7.场馆会务方案：如何根据学校教学活动和会议安排，做好场馆的安全保障，针对场馆日常及重大活动保障方面提供详细的服务方案等方面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节能、环保方案：根据投标人提供的节能环保方案，包括在垃圾分类管理和回收、危废管理、节能降耗等方面的举措进行打分，0-2分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应急事件处理方案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根据投标人提供的结合物业服务管理范围考虑各种突发事件，建立</w:t>
            </w:r>
            <w:r>
              <w:rPr>
                <w:rFonts w:hint="eastAsia" w:ascii="仿宋_GB2312" w:hAnsi="仿宋_GB2312" w:eastAsia="仿宋_GB2312" w:cs="仿宋_GB2312"/>
                <w:color w:val="auto"/>
                <w:sz w:val="24"/>
                <w:szCs w:val="24"/>
                <w:highlight w:val="none"/>
              </w:rPr>
              <w:t>突发事件</w:t>
            </w:r>
            <w:r>
              <w:rPr>
                <w:rFonts w:hint="eastAsia" w:ascii="仿宋_GB2312" w:hAnsi="仿宋_GB2312" w:eastAsia="仿宋_GB2312" w:cs="仿宋_GB2312"/>
                <w:color w:val="auto"/>
                <w:sz w:val="24"/>
                <w:szCs w:val="24"/>
                <w:highlight w:val="none"/>
                <w:lang w:val="en-US" w:eastAsia="zh-CN"/>
              </w:rPr>
              <w:t>处置制度、应急</w:t>
            </w:r>
            <w:r>
              <w:rPr>
                <w:rFonts w:hint="eastAsia" w:ascii="仿宋_GB2312" w:hAnsi="仿宋_GB2312" w:eastAsia="仿宋_GB2312" w:cs="仿宋_GB2312"/>
                <w:color w:val="auto"/>
                <w:sz w:val="24"/>
                <w:szCs w:val="24"/>
                <w:highlight w:val="none"/>
              </w:rPr>
              <w:t>预案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措施，以及疫情防控常态化背景下，如何做好各出入口管控、大型活动和考试的防疫工作以及公共区域防疫消杀工作</w:t>
            </w:r>
            <w:r>
              <w:rPr>
                <w:rFonts w:hint="eastAsia" w:ascii="仿宋_GB2312" w:hAnsi="仿宋_GB2312" w:eastAsia="仿宋_GB2312" w:cs="仿宋_GB2312"/>
                <w:color w:val="auto"/>
                <w:sz w:val="24"/>
                <w:szCs w:val="24"/>
                <w:highlight w:val="none"/>
                <w:lang w:val="en-US" w:eastAsia="zh-CN"/>
              </w:rPr>
              <w:t>等方面进行打分，0-5分。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9</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员工福利待遇（</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根据投标人提供的针对项目</w:t>
            </w:r>
            <w:r>
              <w:rPr>
                <w:rFonts w:hint="eastAsia" w:ascii="仿宋_GB2312" w:hAnsi="仿宋_GB2312" w:eastAsia="仿宋_GB2312" w:cs="仿宋_GB2312"/>
                <w:color w:val="auto"/>
                <w:sz w:val="24"/>
                <w:szCs w:val="24"/>
                <w:highlight w:val="none"/>
              </w:rPr>
              <w:t>服务</w:t>
            </w:r>
            <w:r>
              <w:rPr>
                <w:rFonts w:hint="eastAsia" w:ascii="仿宋_GB2312" w:hAnsi="仿宋_GB2312" w:eastAsia="仿宋_GB2312" w:cs="仿宋_GB2312"/>
                <w:color w:val="auto"/>
                <w:sz w:val="24"/>
                <w:szCs w:val="24"/>
                <w:highlight w:val="none"/>
                <w:lang w:val="en-US" w:eastAsia="zh-CN"/>
              </w:rPr>
              <w:t>团队</w:t>
            </w:r>
            <w:r>
              <w:rPr>
                <w:rFonts w:hint="eastAsia" w:ascii="仿宋_GB2312" w:hAnsi="仿宋_GB2312" w:eastAsia="仿宋_GB2312" w:cs="仿宋_GB2312"/>
                <w:color w:val="auto"/>
                <w:sz w:val="24"/>
                <w:szCs w:val="24"/>
                <w:highlight w:val="none"/>
              </w:rPr>
              <w:t>人员福利待遇、社会保险、职业安全等保障措施进行</w:t>
            </w:r>
            <w:r>
              <w:rPr>
                <w:rFonts w:hint="eastAsia" w:ascii="仿宋_GB2312" w:hAnsi="仿宋_GB2312" w:eastAsia="仿宋_GB2312" w:cs="仿宋_GB2312"/>
                <w:color w:val="auto"/>
                <w:sz w:val="24"/>
                <w:szCs w:val="24"/>
                <w:highlight w:val="none"/>
                <w:lang w:val="en-US" w:eastAsia="zh-CN"/>
              </w:rPr>
              <w:t>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物资设备保障方案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w:t>
            </w:r>
            <w:r>
              <w:rPr>
                <w:rFonts w:hint="eastAsia" w:ascii="仿宋_GB2312" w:hAnsi="仿宋_GB2312" w:eastAsia="仿宋_GB2312" w:cs="仿宋_GB2312"/>
                <w:color w:val="auto"/>
                <w:kern w:val="0"/>
                <w:sz w:val="24"/>
                <w:szCs w:val="24"/>
                <w:highlight w:val="none"/>
              </w:rPr>
              <w:t>拟投入本项目的物资、设备及主要工具等的配备情况</w:t>
            </w:r>
            <w:r>
              <w:rPr>
                <w:rFonts w:hint="eastAsia" w:ascii="仿宋_GB2312" w:hAnsi="仿宋_GB2312" w:eastAsia="仿宋_GB2312" w:cs="仿宋_GB2312"/>
                <w:color w:val="auto"/>
                <w:sz w:val="24"/>
                <w:szCs w:val="24"/>
                <w:highlight w:val="none"/>
                <w:lang w:val="en-US" w:eastAsia="zh-CN"/>
              </w:rPr>
              <w:t>进行打</w:t>
            </w:r>
            <w:r>
              <w:rPr>
                <w:rFonts w:hint="eastAsia" w:ascii="仿宋_GB2312" w:hAnsi="仿宋_GB2312" w:eastAsia="仿宋_GB2312" w:cs="仿宋_GB2312"/>
                <w:color w:val="auto"/>
                <w:sz w:val="24"/>
                <w:szCs w:val="24"/>
                <w:highlight w:val="none"/>
              </w:rPr>
              <w:t>分，0-3分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交接方案</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根据投标人提供物业交接方案，包含但不限于人员安置、工作移交、设备盘点交接、提前对接等方面</w:t>
            </w:r>
            <w:r>
              <w:rPr>
                <w:rFonts w:hint="eastAsia" w:ascii="仿宋_GB2312" w:hAnsi="仿宋_GB2312" w:eastAsia="仿宋_GB2312" w:cs="仿宋_GB2312"/>
                <w:color w:val="auto"/>
                <w:sz w:val="24"/>
                <w:szCs w:val="24"/>
                <w:highlight w:val="none"/>
                <w:lang w:val="en-US" w:eastAsia="zh-CN"/>
              </w:rPr>
              <w:t>进行</w:t>
            </w:r>
            <w:r>
              <w:rPr>
                <w:rFonts w:hint="eastAsia" w:ascii="仿宋_GB2312" w:hAnsi="仿宋_GB2312" w:eastAsia="仿宋_GB2312" w:cs="仿宋_GB2312"/>
                <w:color w:val="auto"/>
                <w:sz w:val="24"/>
                <w:szCs w:val="24"/>
                <w:highlight w:val="none"/>
              </w:rPr>
              <w:t>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信息化服务</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p>
        </w:tc>
        <w:tc>
          <w:tcPr>
            <w:tcW w:w="6795" w:type="dxa"/>
            <w:noWrap w:val="0"/>
            <w:vAlign w:val="center"/>
          </w:tcPr>
          <w:p>
            <w:pPr>
              <w:pStyle w:val="21"/>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投标人针对本项目能提供物业服务信息化管理，</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z w:val="24"/>
                <w:szCs w:val="24"/>
                <w:highlight w:val="none"/>
                <w:lang w:val="en-US" w:eastAsia="zh-CN"/>
              </w:rPr>
              <w:t>括</w:t>
            </w:r>
            <w:r>
              <w:rPr>
                <w:rFonts w:hint="eastAsia" w:ascii="仿宋_GB2312" w:hAnsi="仿宋_GB2312" w:eastAsia="仿宋_GB2312" w:cs="仿宋_GB2312"/>
                <w:color w:val="auto"/>
                <w:sz w:val="24"/>
                <w:szCs w:val="24"/>
                <w:highlight w:val="none"/>
              </w:rPr>
              <w:t>但不限于在线报修、服务监督管理、学生公寓管理</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功能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color w:val="auto"/>
                <w:sz w:val="24"/>
                <w:szCs w:val="24"/>
                <w:highlight w:val="none"/>
              </w:rPr>
              <w:t>电脑端和手机端</w:t>
            </w:r>
            <w:r>
              <w:rPr>
                <w:rFonts w:hint="eastAsia" w:ascii="仿宋_GB2312" w:hAnsi="仿宋_GB2312" w:eastAsia="仿宋_GB2312" w:cs="仿宋_GB2312"/>
                <w:color w:val="auto"/>
                <w:sz w:val="24"/>
                <w:szCs w:val="24"/>
                <w:highlight w:val="none"/>
                <w:lang w:val="en-US" w:eastAsia="zh-CN"/>
              </w:rPr>
              <w:t>服务应用，0-2分</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垃圾及绿化枯枝外运</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根据投标人提供的垃圾</w:t>
            </w:r>
            <w:r>
              <w:rPr>
                <w:rFonts w:hint="eastAsia" w:ascii="仿宋_GB2312" w:hAnsi="仿宋_GB2312" w:eastAsia="仿宋_GB2312" w:cs="仿宋_GB2312"/>
                <w:color w:val="auto"/>
                <w:sz w:val="24"/>
                <w:szCs w:val="24"/>
                <w:highlight w:val="none"/>
                <w:lang w:val="en-US" w:eastAsia="zh-CN"/>
              </w:rPr>
              <w:t>及绿化枯枝外运</w:t>
            </w:r>
            <w:r>
              <w:rPr>
                <w:rFonts w:hint="eastAsia" w:ascii="仿宋_GB2312" w:hAnsi="仿宋_GB2312" w:eastAsia="仿宋_GB2312" w:cs="仿宋_GB2312"/>
                <w:color w:val="auto"/>
                <w:sz w:val="24"/>
                <w:szCs w:val="24"/>
                <w:highlight w:val="none"/>
              </w:rPr>
              <w:t>服务方案，包括但不限于垃圾</w:t>
            </w:r>
            <w:r>
              <w:rPr>
                <w:rFonts w:hint="eastAsia" w:ascii="仿宋_GB2312" w:hAnsi="仿宋_GB2312" w:eastAsia="仿宋_GB2312" w:cs="仿宋_GB2312"/>
                <w:color w:val="auto"/>
                <w:sz w:val="24"/>
                <w:szCs w:val="24"/>
                <w:highlight w:val="none"/>
                <w:lang w:val="en-US" w:eastAsia="zh-CN"/>
              </w:rPr>
              <w:t>及绿化枯枝等</w:t>
            </w:r>
            <w:r>
              <w:rPr>
                <w:rFonts w:hint="eastAsia" w:ascii="仿宋_GB2312" w:hAnsi="仿宋_GB2312" w:eastAsia="仿宋_GB2312" w:cs="仿宋_GB2312"/>
                <w:color w:val="auto"/>
                <w:sz w:val="24"/>
                <w:szCs w:val="24"/>
                <w:highlight w:val="none"/>
              </w:rPr>
              <w:t>废弃物清理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分类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运输处置等进行打分，0-2分。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0" w:hRule="atLeast"/>
          <w:jc w:val="center"/>
        </w:trPr>
        <w:tc>
          <w:tcPr>
            <w:tcW w:w="710"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376"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服务承诺及优惠承诺</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（2分）</w:t>
            </w:r>
          </w:p>
        </w:tc>
        <w:tc>
          <w:tcPr>
            <w:tcW w:w="6795" w:type="dxa"/>
            <w:noWrap w:val="0"/>
            <w:vAlign w:val="center"/>
          </w:tcPr>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根据投标人承诺的服务质量指标和优惠措施（不包括价格优惠）</w:t>
            </w:r>
            <w:r>
              <w:rPr>
                <w:rFonts w:hint="eastAsia" w:ascii="仿宋_GB2312" w:hAnsi="仿宋_GB2312" w:eastAsia="仿宋_GB2312" w:cs="仿宋_GB2312"/>
                <w:color w:val="auto"/>
                <w:sz w:val="24"/>
                <w:szCs w:val="24"/>
                <w:highlight w:val="none"/>
                <w:lang w:val="en-US" w:eastAsia="zh-CN"/>
              </w:rPr>
              <w:t>等方面进行打分，</w:t>
            </w:r>
            <w:r>
              <w:rPr>
                <w:rFonts w:hint="eastAsia" w:ascii="仿宋_GB2312" w:hAnsi="仿宋_GB2312" w:eastAsia="仿宋_GB2312" w:cs="仿宋_GB2312"/>
                <w:color w:val="auto"/>
                <w:sz w:val="24"/>
                <w:szCs w:val="24"/>
                <w:highlight w:val="none"/>
              </w:rPr>
              <w:t>0-2分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w:t>
      </w:r>
      <w:r>
        <w:rPr>
          <w:rFonts w:hint="eastAsia" w:ascii="仿宋_GB2312" w:hAnsi="宋体" w:eastAsia="仿宋_GB2312"/>
          <w:b/>
          <w:bCs/>
          <w:iCs/>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
        <w:spacing w:line="800" w:lineRule="atLeast"/>
        <w:ind w:left="0" w:leftChars="0"/>
        <w:rPr>
          <w:rFonts w:ascii="仿宋_GB2312" w:hAnsi="宋体" w:eastAsia="仿宋_GB2312"/>
          <w:b/>
          <w:color w:val="auto"/>
          <w:sz w:val="36"/>
          <w:szCs w:val="36"/>
          <w:highlight w:val="none"/>
        </w:rPr>
      </w:pPr>
    </w:p>
    <w:p>
      <w:pPr>
        <w:pStyle w:val="2"/>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绍兴文理学院上虞分院综合物业服务项目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2024-04-0047</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绍兴文理学院上虞分院综合物业服务项目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绍兴文理学院上虞分院综合物业服务项目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绍兴文理学院上虞分院综合物业服务项目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2024-04-0047</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2" w:name="_Hlk101259491"/>
      <w:r>
        <w:rPr>
          <w:rFonts w:hint="eastAsia" w:ascii="仿宋_GB2312" w:hAnsi="仿宋" w:eastAsia="仿宋_GB2312" w:cs="仿宋"/>
          <w:color w:val="auto"/>
          <w:sz w:val="32"/>
          <w:szCs w:val="32"/>
          <w:highlight w:val="none"/>
        </w:rPr>
        <w:t>（如果有）</w:t>
      </w:r>
      <w:bookmarkEnd w:id="132"/>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3" w:name="_Toc465665161"/>
      <w:r>
        <w:rPr>
          <w:rFonts w:hint="eastAsia" w:ascii="仿宋_GB2312" w:hAnsi="仿宋" w:cs="仿宋"/>
          <w:color w:val="auto"/>
          <w:highlight w:val="none"/>
        </w:rPr>
        <w:t>附件</w:t>
      </w:r>
      <w:bookmarkEnd w:id="133"/>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_GB2312" w:hAnsi="仿宋" w:eastAsia="仿宋_GB2312"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4" w:name="_Hlk101131882"/>
      <w:r>
        <w:rPr>
          <w:rFonts w:hint="eastAsia" w:ascii="仿宋_GB2312" w:hAnsi="仿宋" w:eastAsia="仿宋_GB2312" w:cs="仿宋"/>
          <w:color w:val="auto"/>
          <w:kern w:val="0"/>
          <w:sz w:val="24"/>
          <w:highlight w:val="none"/>
          <w:u w:val="single"/>
        </w:rPr>
        <w:t>联合体成员X,……</w:t>
      </w:r>
      <w:bookmarkEnd w:id="134"/>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5"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5"/>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6" w:name="OLE_LINK13"/>
      <w:bookmarkStart w:id="137"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6"/>
    <w:bookmarkEnd w:id="137"/>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5"/>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D6B544"/>
    <w:multiLevelType w:val="singleLevel"/>
    <w:tmpl w:val="D9D6B544"/>
    <w:lvl w:ilvl="0" w:tentative="0">
      <w:start w:val="1"/>
      <w:numFmt w:val="decimal"/>
      <w:lvlText w:val="%1."/>
      <w:lvlJc w:val="left"/>
      <w:pPr>
        <w:tabs>
          <w:tab w:val="left" w:pos="312"/>
        </w:tabs>
      </w:p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6A0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501"/>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3440"/>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9F4270"/>
    <w:rsid w:val="073E25C4"/>
    <w:rsid w:val="07A236AA"/>
    <w:rsid w:val="0A6173D3"/>
    <w:rsid w:val="1059279E"/>
    <w:rsid w:val="11A41E46"/>
    <w:rsid w:val="1CF3670A"/>
    <w:rsid w:val="20592BE1"/>
    <w:rsid w:val="236F15BC"/>
    <w:rsid w:val="23E51264"/>
    <w:rsid w:val="26182D01"/>
    <w:rsid w:val="2ABB0150"/>
    <w:rsid w:val="2F7A0021"/>
    <w:rsid w:val="321C39BB"/>
    <w:rsid w:val="3541112F"/>
    <w:rsid w:val="38FB7C66"/>
    <w:rsid w:val="3DC11900"/>
    <w:rsid w:val="3FD9443D"/>
    <w:rsid w:val="47D76A5A"/>
    <w:rsid w:val="4A523CB1"/>
    <w:rsid w:val="4E8A5AD3"/>
    <w:rsid w:val="521009B0"/>
    <w:rsid w:val="538D1923"/>
    <w:rsid w:val="5482096A"/>
    <w:rsid w:val="5B952728"/>
    <w:rsid w:val="5E273D15"/>
    <w:rsid w:val="5F300BCF"/>
    <w:rsid w:val="6062518D"/>
    <w:rsid w:val="66BE2DB9"/>
    <w:rsid w:val="69407F34"/>
    <w:rsid w:val="6B455804"/>
    <w:rsid w:val="72E87C49"/>
    <w:rsid w:val="77A11B3A"/>
    <w:rsid w:val="7DFBB8BB"/>
    <w:rsid w:val="7EA31D5F"/>
    <w:rsid w:val="7F476A07"/>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7"/>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7"/>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7"/>
    <w:link w:val="86"/>
    <w:qFormat/>
    <w:uiPriority w:val="0"/>
    <w:pPr>
      <w:keepNext/>
      <w:widowControl/>
      <w:numPr>
        <w:ilvl w:val="0"/>
        <w:numId w:val="4"/>
      </w:numPr>
      <w:jc w:val="left"/>
      <w:outlineLvl w:val="4"/>
    </w:pPr>
    <w:rPr>
      <w:kern w:val="0"/>
      <w:sz w:val="24"/>
      <w:szCs w:val="20"/>
    </w:rPr>
  </w:style>
  <w:style w:type="paragraph" w:styleId="10">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93"/>
    <w:qFormat/>
    <w:uiPriority w:val="0"/>
    <w:pPr>
      <w:spacing w:after="120"/>
      <w:ind w:left="420" w:leftChars="200"/>
    </w:pPr>
  </w:style>
  <w:style w:type="paragraph" w:styleId="3">
    <w:name w:val="Body Text First Indent 2"/>
    <w:basedOn w:val="2"/>
    <w:link w:val="231"/>
    <w:qFormat/>
    <w:uiPriority w:val="0"/>
    <w:pPr>
      <w:ind w:firstLine="420" w:firstLineChars="200"/>
    </w:pPr>
  </w:style>
  <w:style w:type="paragraph" w:styleId="7">
    <w:name w:val="Normal Indent"/>
    <w:basedOn w:val="1"/>
    <w:link w:val="81"/>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8"/>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7"/>
    <w:qFormat/>
    <w:uiPriority w:val="0"/>
    <w:pPr>
      <w:shd w:val="clear" w:color="auto" w:fill="000080"/>
    </w:pPr>
  </w:style>
  <w:style w:type="paragraph" w:styleId="21">
    <w:name w:val="annotation text"/>
    <w:basedOn w:val="1"/>
    <w:link w:val="99"/>
    <w:qFormat/>
    <w:uiPriority w:val="0"/>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2"/>
    <w:qFormat/>
    <w:uiPriority w:val="0"/>
    <w:pPr>
      <w:spacing w:line="360" w:lineRule="auto"/>
    </w:pPr>
    <w:rPr>
      <w:rFonts w:eastAsia="仿宋_GB2312"/>
      <w:sz w:val="28"/>
    </w:r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1"/>
    <w:next w:val="21"/>
    <w:link w:val="229"/>
    <w:qFormat/>
    <w:uiPriority w:val="0"/>
    <w:pPr>
      <w:widowControl/>
      <w:spacing w:afterLines="50"/>
    </w:pPr>
    <w:rPr>
      <w:b/>
      <w:bCs/>
      <w:kern w:val="0"/>
      <w:sz w:val="24"/>
      <w:szCs w:val="20"/>
    </w:rPr>
  </w:style>
  <w:style w:type="paragraph" w:styleId="62">
    <w:name w:val="Body Text First Indent"/>
    <w:basedOn w:val="25"/>
    <w:link w:val="230"/>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7"/>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6"/>
    <w:qFormat/>
    <w:uiPriority w:val="0"/>
    <w:rPr>
      <w:rFonts w:eastAsia="仿宋_GB2312"/>
      <w:b/>
      <w:kern w:val="2"/>
      <w:sz w:val="32"/>
      <w:lang w:val="en-US" w:eastAsia="zh-CN" w:bidi="ar-SA"/>
    </w:rPr>
  </w:style>
  <w:style w:type="character" w:customStyle="1" w:styleId="85">
    <w:name w:val="标题 4 Char1"/>
    <w:link w:val="8"/>
    <w:qFormat/>
    <w:uiPriority w:val="0"/>
    <w:rPr>
      <w:rFonts w:ascii="Arial" w:hAnsi="Arial" w:eastAsia="黑体"/>
      <w:b/>
      <w:kern w:val="2"/>
      <w:sz w:val="28"/>
      <w:lang w:val="en-US" w:eastAsia="zh-CN" w:bidi="ar-SA"/>
    </w:rPr>
  </w:style>
  <w:style w:type="character" w:customStyle="1" w:styleId="86">
    <w:name w:val="标题 5 Char1"/>
    <w:link w:val="9"/>
    <w:qFormat/>
    <w:uiPriority w:val="0"/>
    <w:rPr>
      <w:rFonts w:eastAsia="宋体"/>
      <w:sz w:val="24"/>
      <w:lang w:val="en-US" w:eastAsia="zh-CN" w:bidi="ar-SA"/>
    </w:rPr>
  </w:style>
  <w:style w:type="character" w:customStyle="1" w:styleId="87">
    <w:name w:val="标题 6 Char1"/>
    <w:link w:val="10"/>
    <w:qFormat/>
    <w:uiPriority w:val="0"/>
    <w:rPr>
      <w:rFonts w:ascii="宋体" w:hAnsi="Arial" w:eastAsia="宋体"/>
      <w:sz w:val="24"/>
      <w:lang w:val="en-US" w:eastAsia="zh-CN" w:bidi="ar-SA"/>
    </w:rPr>
  </w:style>
  <w:style w:type="character" w:customStyle="1" w:styleId="88">
    <w:name w:val="标题 7 Char1"/>
    <w:link w:val="11"/>
    <w:qFormat/>
    <w:uiPriority w:val="0"/>
    <w:rPr>
      <w:rFonts w:ascii="宋体" w:hAnsi="Arial" w:eastAsia="宋体"/>
      <w:b/>
      <w:sz w:val="24"/>
      <w:lang w:val="en-US" w:eastAsia="zh-CN" w:bidi="ar-SA"/>
    </w:rPr>
  </w:style>
  <w:style w:type="character" w:customStyle="1" w:styleId="89">
    <w:name w:val="标题 8 Char1"/>
    <w:link w:val="12"/>
    <w:qFormat/>
    <w:uiPriority w:val="0"/>
    <w:rPr>
      <w:rFonts w:ascii="Arial" w:hAnsi="Arial" w:eastAsia="黑体"/>
      <w:sz w:val="24"/>
      <w:lang w:val="en-US" w:eastAsia="zh-CN" w:bidi="ar-SA"/>
    </w:rPr>
  </w:style>
  <w:style w:type="character" w:customStyle="1" w:styleId="90">
    <w:name w:val="标题 9 Char1"/>
    <w:link w:val="13"/>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1"/>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5"/>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0"/>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0"/>
    <w:qFormat/>
    <w:uiPriority w:val="0"/>
    <w:rPr>
      <w:rFonts w:ascii="Tahoma" w:hAnsi="Tahoma"/>
      <w:sz w:val="24"/>
    </w:rPr>
  </w:style>
  <w:style w:type="paragraph" w:customStyle="1" w:styleId="167">
    <w:name w:val="Char Char Char"/>
    <w:basedOn w:val="20"/>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7"/>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7"/>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62"/>
    <w:qFormat/>
    <w:uiPriority w:val="0"/>
    <w:rPr>
      <w:rFonts w:eastAsia="仿宋_GB2312"/>
      <w:kern w:val="2"/>
      <w:sz w:val="21"/>
      <w:szCs w:val="24"/>
      <w:lang w:val="en-US" w:eastAsia="zh-CN" w:bidi="ar-SA"/>
    </w:rPr>
  </w:style>
  <w:style w:type="character" w:customStyle="1" w:styleId="231">
    <w:name w:val="正文首行缩进 2 Char"/>
    <w:basedOn w:val="93"/>
    <w:link w:val="3"/>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8"/>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2"/>
    <w:qFormat/>
    <w:uiPriority w:val="0"/>
    <w:rPr>
      <w:rFonts w:ascii="仿宋_GB2312" w:eastAsia="仿宋_GB2312"/>
      <w:kern w:val="2"/>
      <w:sz w:val="28"/>
    </w:rPr>
  </w:style>
  <w:style w:type="character" w:customStyle="1" w:styleId="317">
    <w:name w:val="正文文本 3 Char"/>
    <w:basedOn w:val="70"/>
    <w:link w:val="23"/>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8"/>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8"/>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7"/>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6"/>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Style 4"/>
    <w:link w:val="1040"/>
    <w:qFormat/>
    <w:uiPriority w:val="0"/>
    <w:pPr>
      <w:spacing w:line="444" w:lineRule="auto"/>
      <w:ind w:firstLine="400"/>
    </w:pPr>
    <w:rPr>
      <w:rFonts w:ascii="宋体" w:hAnsi="宋体" w:eastAsia="宋体" w:cs="宋体"/>
      <w:sz w:val="22"/>
      <w:szCs w:val="22"/>
      <w:lang w:val="zh-CN" w:eastAsia="zh-CN" w:bidi="zh-CN"/>
    </w:rPr>
  </w:style>
  <w:style w:type="character" w:customStyle="1" w:styleId="1040">
    <w:name w:val="Char Style 5"/>
    <w:basedOn w:val="70"/>
    <w:link w:val="1039"/>
    <w:qFormat/>
    <w:uiPriority w:val="0"/>
    <w:rPr>
      <w:rFonts w:ascii="宋体" w:hAnsi="宋体" w:eastAsia="宋体" w:cs="宋体"/>
      <w:sz w:val="22"/>
      <w:szCs w:val="22"/>
      <w:lang w:val="zh-CN" w:eastAsia="zh-CN" w:bidi="zh-CN"/>
    </w:rPr>
  </w:style>
  <w:style w:type="paragraph" w:customStyle="1" w:styleId="1041">
    <w:name w:val="正文_0"/>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9121</Words>
  <Characters>51993</Characters>
  <Lines>433</Lines>
  <Paragraphs>121</Paragraphs>
  <TotalTime>8</TotalTime>
  <ScaleCrop>false</ScaleCrop>
  <LinksUpToDate>false</LinksUpToDate>
  <CharactersWithSpaces>60993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cp:lastModifiedBy>
  <cp:lastPrinted>2023-07-26T19:40:00Z</cp:lastPrinted>
  <dcterms:modified xsi:type="dcterms:W3CDTF">2024-04-18T03:01:59Z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