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bookmarkStart w:id="166" w:name="_GoBack"/>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绍兴文理学院商学院ERP与电子政务实验室电脑采购项目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2024-04-0054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绍兴文理学院商学院ERP与电子政务实验室电脑采购项目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2024-04-0054</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绍兴文理学院商学院ERP与电子政务实验室电脑采购项目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b/>
                <w:color w:val="auto"/>
                <w:szCs w:val="24"/>
                <w:highlight w:val="none"/>
                <w:lang w:val="en-US" w:eastAsia="zh-CN"/>
              </w:rPr>
              <w:t>664300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
                <w:color w:val="auto"/>
                <w:szCs w:val="24"/>
                <w:highlight w:val="none"/>
                <w:lang w:val="en-US" w:eastAsia="zh-CN"/>
              </w:rPr>
              <w:t>664300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商学院ERP与电子政务实验室电脑采购项目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664300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w:t>
            </w:r>
            <w:r>
              <w:rPr>
                <w:rFonts w:hint="eastAsia" w:ascii="仿宋_GB2312" w:hAnsi="新宋体" w:eastAsia="仿宋_GB2312"/>
                <w:color w:val="auto"/>
                <w:szCs w:val="24"/>
                <w:highlight w:val="none"/>
              </w:rPr>
              <w:t>绍兴市越城区环城西路5</w:t>
            </w:r>
            <w:r>
              <w:rPr>
                <w:rFonts w:ascii="仿宋_GB2312" w:hAnsi="新宋体" w:eastAsia="仿宋_GB2312"/>
                <w:color w:val="auto"/>
                <w:szCs w:val="24"/>
                <w:highlight w:val="none"/>
              </w:rPr>
              <w:t>08</w:t>
            </w:r>
            <w:r>
              <w:rPr>
                <w:rFonts w:hint="eastAsia" w:ascii="仿宋_GB2312" w:hAnsi="新宋体" w:eastAsia="仿宋_GB2312"/>
                <w:color w:val="auto"/>
                <w:szCs w:val="24"/>
                <w:highlight w:val="none"/>
              </w:rPr>
              <w:t>号</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rPr>
              <w:t>聂玉冰</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ascii="仿宋_GB2312" w:hAnsi="新宋体" w:eastAsia="仿宋_GB2312"/>
                <w:color w:val="auto"/>
                <w:szCs w:val="24"/>
                <w:highlight w:val="none"/>
              </w:rPr>
              <w:t>0575-88342889</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rPr>
              <w:t>杨路华</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ascii="仿宋_GB2312" w:hAnsi="新宋体" w:eastAsia="仿宋_GB2312"/>
                <w:color w:val="auto"/>
                <w:szCs w:val="24"/>
                <w:highlight w:val="none"/>
              </w:rPr>
              <w:t>0575-88341862</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A3"/>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rPr>
              <w:t>B有方案讲解演示：</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（1）在评标时安排每个供应商进行方案讲解演示。每个供应商时间不超过</w:t>
            </w:r>
            <w:r>
              <w:rPr>
                <w:rFonts w:hint="eastAsia" w:ascii="仿宋_GB2312" w:hAnsi="仿宋" w:eastAsia="仿宋_GB2312" w:cs="仿宋"/>
                <w:b/>
                <w:bCs/>
                <w:color w:val="auto"/>
                <w:sz w:val="24"/>
                <w:highlight w:val="none"/>
                <w:u w:val="single"/>
              </w:rPr>
              <w:t xml:space="preserve"> 15 </w:t>
            </w:r>
            <w:r>
              <w:rPr>
                <w:rFonts w:hint="eastAsia" w:ascii="仿宋_GB2312" w:hAnsi="仿宋" w:eastAsia="仿宋_GB2312" w:cs="仿宋"/>
                <w:b/>
                <w:bCs/>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（2）方案讲解演示可选择以下其中一种方式：</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实验室台式计算机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953"/>
      <w:bookmarkStart w:id="2" w:name="_Toc81372776"/>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highlight w:val="none"/>
          <w:lang w:eastAsia="zh-CN"/>
        </w:rPr>
      </w:pPr>
      <w:bookmarkStart w:id="4" w:name="_Toc151354173"/>
      <w:bookmarkStart w:id="5" w:name="_Toc84325981"/>
      <w:bookmarkStart w:id="6" w:name="_Toc81372964"/>
      <w:bookmarkStart w:id="7" w:name="_Toc81372787"/>
      <w:bookmarkStart w:id="8" w:name="_Toc80157775"/>
      <w:r>
        <w:rPr>
          <w:rFonts w:hint="eastAsia" w:ascii="仿宋_GB2312" w:hAnsi="新宋体" w:eastAsia="仿宋_GB2312" w:cs="Arial"/>
          <w:b/>
          <w:bCs/>
          <w:color w:val="auto"/>
          <w:sz w:val="24"/>
          <w:highlight w:val="none"/>
          <w:bdr w:val="single" w:color="auto" w:sz="4" w:space="0"/>
        </w:rPr>
        <w:t>01标</w:t>
      </w:r>
      <w:bookmarkStart w:id="9" w:name="_Toc32678"/>
      <w:bookmarkStart w:id="10" w:name="_Toc7206"/>
      <w:r>
        <w:rPr>
          <w:rFonts w:hint="eastAsia" w:ascii="仿宋_GB2312" w:hAnsi="新宋体" w:eastAsia="仿宋_GB2312" w:cs="Arial"/>
          <w:b/>
          <w:bCs/>
          <w:color w:val="auto"/>
          <w:sz w:val="24"/>
          <w:highlight w:val="none"/>
          <w:lang w:eastAsia="zh-CN"/>
        </w:rPr>
        <w:t>商学院ERP与电子政务实验室电脑采购项目</w:t>
      </w:r>
    </w:p>
    <w:p>
      <w:pPr>
        <w:pStyle w:val="117"/>
        <w:ind w:firstLine="482"/>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一、采购内容</w:t>
      </w:r>
    </w:p>
    <w:p>
      <w:pPr>
        <w:ind w:firstLine="42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本项目采购内容如下：</w:t>
      </w:r>
    </w:p>
    <w:tbl>
      <w:tblPr>
        <w:tblStyle w:val="63"/>
        <w:tblpPr w:leftFromText="180" w:rightFromText="180" w:vertAnchor="text" w:tblpXSpec="center" w:tblpY="1"/>
        <w:tblOverlap w:val="never"/>
        <w:tblW w:w="863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59"/>
        <w:gridCol w:w="3212"/>
        <w:gridCol w:w="2212"/>
        <w:gridCol w:w="1213"/>
        <w:gridCol w:w="12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jc w:val="center"/>
        </w:trPr>
        <w:tc>
          <w:tcPr>
            <w:tcW w:w="759"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序</w:t>
            </w:r>
            <w:r>
              <w:rPr>
                <w:rFonts w:hint="eastAsia" w:ascii="仿宋_GB2312" w:hAnsi="仿宋_GB2312" w:eastAsia="仿宋_GB2312" w:cs="仿宋_GB2312"/>
                <w:color w:val="auto"/>
                <w:highlight w:val="none"/>
              </w:rPr>
              <w:t>号</w:t>
            </w:r>
          </w:p>
        </w:tc>
        <w:tc>
          <w:tcPr>
            <w:tcW w:w="3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项目名称</w:t>
            </w:r>
          </w:p>
        </w:tc>
        <w:tc>
          <w:tcPr>
            <w:tcW w:w="2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简要技术要求</w:t>
            </w:r>
          </w:p>
        </w:tc>
        <w:tc>
          <w:tcPr>
            <w:tcW w:w="121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数量</w:t>
            </w:r>
          </w:p>
        </w:tc>
        <w:tc>
          <w:tcPr>
            <w:tcW w:w="124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8" w:hRule="atLeast"/>
          <w:jc w:val="center"/>
        </w:trPr>
        <w:tc>
          <w:tcPr>
            <w:tcW w:w="759"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c>
          <w:tcPr>
            <w:tcW w:w="3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实验室台式计算机</w:t>
            </w:r>
            <w:r>
              <w:rPr>
                <w:rFonts w:hint="eastAsia" w:ascii="仿宋_GB2312" w:hAnsi="仿宋_GB2312" w:eastAsia="仿宋_GB2312" w:cs="仿宋_GB2312"/>
                <w:b/>
                <w:bCs/>
                <w:color w:val="auto"/>
                <w:highlight w:val="none"/>
              </w:rPr>
              <w:t>（核心产品）</w:t>
            </w:r>
          </w:p>
        </w:tc>
        <w:tc>
          <w:tcPr>
            <w:tcW w:w="2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详见技术需求</w:t>
            </w:r>
          </w:p>
        </w:tc>
        <w:tc>
          <w:tcPr>
            <w:tcW w:w="121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91</w:t>
            </w:r>
          </w:p>
        </w:tc>
        <w:tc>
          <w:tcPr>
            <w:tcW w:w="124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8" w:hRule="atLeast"/>
          <w:jc w:val="center"/>
        </w:trPr>
        <w:tc>
          <w:tcPr>
            <w:tcW w:w="759"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w:t>
            </w:r>
          </w:p>
        </w:tc>
        <w:tc>
          <w:tcPr>
            <w:tcW w:w="3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 w:hAnsi="仿宋" w:eastAsia="仿宋" w:cs="仿宋"/>
                <w:color w:val="auto"/>
                <w:sz w:val="24"/>
                <w:highlight w:val="none"/>
                <w:lang w:bidi="ar"/>
              </w:rPr>
              <w:t>管理软件</w:t>
            </w:r>
          </w:p>
        </w:tc>
        <w:tc>
          <w:tcPr>
            <w:tcW w:w="2212"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详见技术需求</w:t>
            </w:r>
          </w:p>
        </w:tc>
        <w:tc>
          <w:tcPr>
            <w:tcW w:w="121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9</w:t>
            </w:r>
            <w:r>
              <w:rPr>
                <w:rFonts w:ascii="仿宋_GB2312" w:hAnsi="仿宋_GB2312" w:eastAsia="仿宋_GB2312" w:cs="仿宋_GB2312"/>
                <w:color w:val="auto"/>
                <w:highlight w:val="none"/>
              </w:rPr>
              <w:t>1</w:t>
            </w:r>
          </w:p>
        </w:tc>
        <w:tc>
          <w:tcPr>
            <w:tcW w:w="1243" w:type="dxa"/>
            <w:tcBorders>
              <w:tl2br w:val="nil"/>
              <w:tr2bl w:val="nil"/>
            </w:tcBorders>
            <w:shd w:val="clear" w:color="auto" w:fill="auto"/>
            <w:vAlign w:val="center"/>
          </w:tcPr>
          <w:p>
            <w:pPr>
              <w:widowControl/>
              <w:spacing w:line="288"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套</w:t>
            </w:r>
          </w:p>
        </w:tc>
      </w:tr>
    </w:tbl>
    <w:p>
      <w:pPr>
        <w:pStyle w:val="117"/>
        <w:ind w:firstLine="482"/>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二、详细技术参数</w:t>
      </w:r>
    </w:p>
    <w:p>
      <w:pPr>
        <w:pStyle w:val="117"/>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2.1机房硬件详细技术参数</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82"/>
        <w:gridCol w:w="2130"/>
        <w:gridCol w:w="5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序号</w:t>
            </w:r>
          </w:p>
        </w:tc>
        <w:tc>
          <w:tcPr>
            <w:tcW w:w="1191" w:type="dxa"/>
            <w:shd w:val="clear" w:color="auto" w:fill="auto"/>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一级指标</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二级指标</w:t>
            </w:r>
          </w:p>
        </w:tc>
        <w:tc>
          <w:tcPr>
            <w:tcW w:w="4661" w:type="dxa"/>
            <w:shd w:val="clear" w:color="auto" w:fill="auto"/>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10" w:leftChars="0" w:firstLine="0" w:firstLineChars="0"/>
              <w:jc w:val="center"/>
              <w:textAlignment w:val="auto"/>
              <w:rPr>
                <w:rFonts w:ascii="仿宋_GB2312" w:hAnsi="仿宋_GB2312" w:eastAsia="仿宋_GB2312" w:cs="仿宋_GB2312"/>
                <w:color w:val="auto"/>
                <w:highlight w:val="none"/>
              </w:rPr>
            </w:pPr>
          </w:p>
        </w:tc>
        <w:tc>
          <w:tcPr>
            <w:tcW w:w="1191" w:type="dxa"/>
            <w:shd w:val="clear" w:color="auto" w:fill="auto"/>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CPU规格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CPU信息</w:t>
            </w:r>
          </w:p>
        </w:tc>
        <w:tc>
          <w:tcPr>
            <w:tcW w:w="4661" w:type="dxa"/>
            <w:shd w:val="clear" w:color="auto" w:fill="auto"/>
            <w:vAlign w:val="center"/>
          </w:tcPr>
          <w:p>
            <w:pPr>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（1）CPU性能不低于IntelCoreI7-13700</w:t>
            </w:r>
          </w:p>
          <w:p>
            <w:pPr>
              <w:rPr>
                <w:rFonts w:ascii="仿宋_GB2312" w:hAnsi="仿宋_GB2312" w:eastAsia="仿宋_GB2312" w:cs="仿宋_GB2312"/>
                <w:color w:val="auto"/>
                <w:highlight w:val="none"/>
              </w:rPr>
            </w:pPr>
            <w:r>
              <w:rPr>
                <w:rFonts w:hint="eastAsia" w:ascii="仿宋" w:hAnsi="仿宋" w:eastAsia="仿宋" w:cs="仿宋"/>
                <w:color w:val="auto"/>
                <w:szCs w:val="21"/>
                <w:highlight w:val="none"/>
                <w:lang w:bidi="ar"/>
              </w:rPr>
              <w:t>（</w:t>
            </w:r>
            <w:r>
              <w:rPr>
                <w:rFonts w:ascii="仿宋" w:hAnsi="仿宋" w:eastAsia="仿宋" w:cs="仿宋"/>
                <w:color w:val="auto"/>
                <w:szCs w:val="21"/>
                <w:highlight w:val="none"/>
                <w:lang w:bidi="ar"/>
              </w:rPr>
              <w:t>2）</w:t>
            </w:r>
            <w:r>
              <w:rPr>
                <w:rFonts w:hint="eastAsia" w:ascii="仿宋" w:hAnsi="仿宋" w:eastAsia="仿宋" w:cs="仿宋"/>
                <w:color w:val="auto"/>
                <w:szCs w:val="21"/>
                <w:highlight w:val="none"/>
                <w:lang w:bidi="ar"/>
              </w:rPr>
              <w:t>不低于</w:t>
            </w:r>
            <w:r>
              <w:rPr>
                <w:rFonts w:ascii="仿宋" w:hAnsi="仿宋" w:eastAsia="仿宋" w:cs="仿宋"/>
                <w:color w:val="auto"/>
                <w:szCs w:val="21"/>
                <w:highlight w:val="none"/>
                <w:lang w:bidi="ar"/>
              </w:rPr>
              <w:t>16核心，主频</w:t>
            </w:r>
            <w:r>
              <w:rPr>
                <w:rFonts w:hint="eastAsia" w:ascii="仿宋" w:hAnsi="仿宋" w:eastAsia="仿宋" w:cs="仿宋"/>
                <w:color w:val="auto"/>
                <w:szCs w:val="21"/>
                <w:highlight w:val="none"/>
                <w:lang w:bidi="ar"/>
              </w:rPr>
              <w:t>不低于</w:t>
            </w:r>
            <w:r>
              <w:rPr>
                <w:rFonts w:ascii="仿宋" w:hAnsi="仿宋" w:eastAsia="仿宋" w:cs="仿宋"/>
                <w:color w:val="auto"/>
                <w:szCs w:val="21"/>
                <w:highlight w:val="none"/>
                <w:lang w:bidi="ar"/>
              </w:rPr>
              <w:t>2.1GHz,缓存</w:t>
            </w:r>
            <w:r>
              <w:rPr>
                <w:rFonts w:hint="eastAsia" w:ascii="仿宋" w:hAnsi="仿宋" w:eastAsia="仿宋" w:cs="仿宋"/>
                <w:color w:val="auto"/>
                <w:szCs w:val="21"/>
                <w:highlight w:val="none"/>
                <w:lang w:bidi="ar"/>
              </w:rPr>
              <w:t>不低于</w:t>
            </w:r>
            <w:r>
              <w:rPr>
                <w:rFonts w:ascii="仿宋" w:hAnsi="仿宋" w:eastAsia="仿宋" w:cs="仿宋"/>
                <w:color w:val="auto"/>
                <w:szCs w:val="21"/>
                <w:highlight w:val="none"/>
                <w:lang w:bidi="ar"/>
              </w:rPr>
              <w:t>30MB，24条线程及以上，热设计功耗</w:t>
            </w:r>
            <w:r>
              <w:rPr>
                <w:rFonts w:hint="eastAsia" w:ascii="仿宋" w:hAnsi="仿宋" w:eastAsia="仿宋" w:cs="仿宋"/>
                <w:color w:val="auto"/>
                <w:szCs w:val="21"/>
                <w:highlight w:val="none"/>
                <w:lang w:bidi="ar"/>
              </w:rPr>
              <w:t>不低于</w:t>
            </w:r>
            <w:r>
              <w:rPr>
                <w:rFonts w:ascii="仿宋" w:hAnsi="仿宋" w:eastAsia="仿宋" w:cs="仿宋"/>
                <w:color w:val="auto"/>
                <w:szCs w:val="21"/>
                <w:highlight w:val="none"/>
                <w:lang w:bidi="ar"/>
              </w:rPr>
              <w:t>65W，最高速率5.2GHz，最大内存通道数2个,</w:t>
            </w:r>
            <w:r>
              <w:rPr>
                <w:rFonts w:hint="eastAsia" w:ascii="仿宋" w:hAnsi="仿宋" w:eastAsia="仿宋" w:cs="仿宋"/>
                <w:color w:val="auto"/>
                <w:szCs w:val="21"/>
                <w:highlight w:val="none"/>
                <w:lang w:bidi="ar"/>
              </w:rPr>
              <w:t>位宽≥</w:t>
            </w:r>
            <w:r>
              <w:rPr>
                <w:rFonts w:ascii="仿宋" w:hAnsi="仿宋" w:eastAsia="仿宋" w:cs="仿宋"/>
                <w:color w:val="auto"/>
                <w:szCs w:val="21"/>
                <w:highlight w:val="none"/>
                <w:lang w:bidi="ar"/>
              </w:rPr>
              <w:t>16bits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shd w:val="clear" w:color="auto" w:fill="auto"/>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内存规格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★内存配置容量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w:t>
            </w:r>
            <w:r>
              <w:rPr>
                <w:rFonts w:hint="eastAsia" w:ascii="仿宋" w:hAnsi="仿宋" w:eastAsia="仿宋" w:cs="仿宋"/>
                <w:color w:val="auto"/>
                <w:szCs w:val="21"/>
                <w:highlight w:val="none"/>
                <w:lang w:bidi="ar"/>
              </w:rPr>
              <w:t>64GB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shd w:val="clear" w:color="auto" w:fill="auto"/>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内存类型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 DDR4 3200MH以上内存类型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shd w:val="clear" w:color="auto" w:fill="auto"/>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内存条</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配置数量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shd w:val="clear" w:color="auto" w:fill="auto"/>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主板规格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主板集成模块</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shd w:val="clear" w:color="auto" w:fill="auto"/>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主板支持的CPU和内存情况</w:t>
            </w:r>
          </w:p>
        </w:tc>
        <w:tc>
          <w:tcPr>
            <w:tcW w:w="4661" w:type="dxa"/>
            <w:shd w:val="clear" w:color="auto" w:fill="auto"/>
            <w:vAlign w:val="center"/>
          </w:tcPr>
          <w:p>
            <w:pPr>
              <w:rPr>
                <w:rFonts w:ascii="仿宋" w:hAnsi="仿宋" w:eastAsia="仿宋" w:cs="仿宋"/>
                <w:color w:val="auto"/>
                <w:szCs w:val="21"/>
                <w:highlight w:val="none"/>
                <w:lang w:bidi="ar"/>
              </w:rPr>
            </w:pPr>
            <w:r>
              <w:rPr>
                <w:rFonts w:hint="eastAsia" w:ascii="仿宋" w:hAnsi="仿宋" w:eastAsia="仿宋" w:cs="仿宋"/>
                <w:color w:val="auto"/>
                <w:kern w:val="0"/>
                <w:szCs w:val="21"/>
                <w:highlight w:val="none"/>
                <w:lang w:bidi="ar"/>
              </w:rPr>
              <w:t>主板支持</w:t>
            </w:r>
            <w:r>
              <w:rPr>
                <w:rFonts w:hint="eastAsia" w:ascii="仿宋" w:hAnsi="仿宋" w:eastAsia="仿宋" w:cs="仿宋"/>
                <w:color w:val="auto"/>
                <w:szCs w:val="21"/>
                <w:highlight w:val="none"/>
                <w:lang w:bidi="ar"/>
              </w:rPr>
              <w:t>所投</w:t>
            </w:r>
            <w:r>
              <w:rPr>
                <w:rFonts w:ascii="仿宋" w:hAnsi="仿宋" w:eastAsia="仿宋" w:cs="仿宋"/>
                <w:color w:val="auto"/>
                <w:szCs w:val="21"/>
                <w:highlight w:val="none"/>
                <w:lang w:bidi="ar"/>
              </w:rPr>
              <w:t>CPU</w:t>
            </w:r>
            <w:r>
              <w:rPr>
                <w:rFonts w:hint="eastAsia" w:ascii="仿宋" w:hAnsi="仿宋" w:eastAsia="仿宋" w:cs="仿宋"/>
                <w:color w:val="auto"/>
                <w:szCs w:val="21"/>
                <w:highlight w:val="none"/>
                <w:lang w:bidi="ar"/>
              </w:rPr>
              <w:t>型号</w:t>
            </w:r>
            <w:r>
              <w:rPr>
                <w:rFonts w:hint="eastAsia" w:ascii="仿宋" w:hAnsi="仿宋" w:eastAsia="仿宋" w:cs="仿宋"/>
                <w:color w:val="auto"/>
                <w:szCs w:val="21"/>
                <w:highlight w:val="none"/>
                <w:lang w:bidi="ar"/>
              </w:rPr>
              <w:t>，内存支持</w:t>
            </w:r>
            <w:r>
              <w:rPr>
                <w:rFonts w:hint="eastAsia" w:ascii="仿宋" w:hAnsi="仿宋" w:eastAsia="仿宋" w:cs="仿宋"/>
                <w:color w:val="auto"/>
                <w:szCs w:val="21"/>
                <w:highlight w:val="none"/>
                <w:lang w:bidi="ar"/>
              </w:rPr>
              <w:t>≥64G</w:t>
            </w:r>
          </w:p>
          <w:p>
            <w:pPr>
              <w:rPr>
                <w:rFonts w:ascii="仿宋_GB2312" w:hAnsi="仿宋_GB2312" w:eastAsia="仿宋_GB2312" w:cs="仿宋_GB2312"/>
                <w:color w:val="auto"/>
                <w:highlight w:val="none"/>
              </w:rPr>
            </w:pPr>
            <w:r>
              <w:rPr>
                <w:rFonts w:hint="eastAsia" w:ascii="仿宋" w:hAnsi="仿宋" w:eastAsia="仿宋" w:cs="仿宋"/>
                <w:color w:val="auto"/>
                <w:szCs w:val="21"/>
                <w:highlight w:val="none"/>
                <w:lang w:bidi="ar"/>
              </w:rPr>
              <w:t>DDR43200MHz。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shd w:val="clear" w:color="auto" w:fill="auto"/>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▲主板内置PCle插槽数量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支持PCle插槽数量不少于2个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shd w:val="clear" w:color="auto" w:fill="auto"/>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主板其他</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内置接口</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SATA接口≥1、M.2接口≥2、USB 接口≥9，</w:t>
            </w:r>
            <w:r>
              <w:rPr>
                <w:rFonts w:hint="eastAsia" w:ascii="仿宋" w:hAnsi="仿宋" w:eastAsia="仿宋" w:cs="仿宋"/>
                <w:color w:val="auto"/>
                <w:szCs w:val="21"/>
                <w:highlight w:val="none"/>
                <w:lang w:bidi="ar"/>
              </w:rPr>
              <w:t>占用M.2其他不占用。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▲单内存插槽最大可支持容量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▲内存插槽满配置时提供的最高内存总容量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w:t>
            </w:r>
            <w:r>
              <w:rPr>
                <w:rFonts w:hint="eastAsia" w:ascii="仿宋" w:hAnsi="仿宋" w:eastAsia="仿宋" w:cs="仿宋"/>
                <w:color w:val="auto"/>
                <w:szCs w:val="21"/>
                <w:highlight w:val="none"/>
                <w:lang w:bidi="ar"/>
              </w:rPr>
              <w:t>64</w:t>
            </w:r>
            <w:r>
              <w:rPr>
                <w:rFonts w:hint="eastAsia" w:ascii="仿宋_GB2312" w:hAnsi="仿宋_GB2312" w:eastAsia="仿宋_GB2312" w:cs="仿宋_GB2312"/>
                <w:color w:val="auto"/>
                <w:highlight w:val="none"/>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存储设备规格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固态盘数量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▲固态存储容量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固态存储形态</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采用插卡或板载等形态，M.2 插卡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存储设备其他参数要求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固态盘应符合 SJ/T 11654 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显卡类型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显示设备规格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▲显示屏屏占比</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显示屏分辨率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尺寸</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屏幕比例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显示器</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外观颜色</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可视角度</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水平≥170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防蓝光</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低频闪</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防炫目</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外设规格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键盘按</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键数目</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键盘连接方式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键盘键程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键盘按键压力</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有线键盘连接线</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键盘颜色</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键盘其他</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键盘外观结构、连接方式， 主要功能、</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鼠标连接</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方式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有线鼠标</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连接线</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鼠标DPI分辨率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鼠标颜色</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鼠标其他要求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网络设备规格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有线网卡数量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外部接口规格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USB接口数量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机箱前面板应提供不少于 3 个 USB 接 口（含 2 个 USB3.0 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USB母座接口要求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视频接口数量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音频接口数量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整机基础规格</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整机外观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 产品表面不应有凹痕、划伤、裂缝、变形和污染等。表面涂层均匀，不应起泡、龟裂、脱落和磨损，金属零部件无锈蚀及其它机械损伤；</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状态指</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示灯</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在产品显著位置提供状态指示功能，如运行状态等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整机结构</w:t>
            </w:r>
          </w:p>
        </w:tc>
        <w:tc>
          <w:tcPr>
            <w:tcW w:w="4661" w:type="dxa"/>
            <w:shd w:val="clear" w:color="auto" w:fill="auto"/>
            <w:vAlign w:val="center"/>
          </w:tcPr>
          <w:p>
            <w:pPr>
              <w:numPr>
                <w:ilvl w:val="0"/>
                <w:numId w:val="7"/>
              </w:num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机箱应符合 GB/T 4208、GB/T 26246的相关规定；</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 产品内部结构应符合通用部件的安装需求；</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 所有输入输出接口应符合相关国家或行业标准；</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d) 产品零部件应紧固无松动，可插拔部件应可靠连接，开关、按钮和其它控制部件应灵活可靠，布局应方便使用；</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e) 所有I/O连接器及需插接线缆的部位应预留采购人操作空间，方便插拔解锁与插拔线缆；</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f) 可插拔板卡插槽部位应预留安装、拆卸或更换板卡空间；</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g) 拆装可能接触到的金属剪口或金属尖角部位应做防划伤处理，以保证安全；</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h) 整机内部走线应规整，固线结构和位置要合理可靠并做防割线处理，需便于理线和插拔操作，走线应不影响系统各主要部件组装和拆卸；</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i) 如需通过孔走线，过线孔应做放割线处理；</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j）各插头位置和插拔方向应合理，应做到插拔无障碍设计，具备防呆设计，有效避免误操作；</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k）各主要部件拆装无障碍，使用常规工具拆装，无特殊拆装工具需求；</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l）各主要部件拆装步骤要少，各自拆装需避免相互干扰；</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m) 对于整机或零部件外表面为高亮面的，应粘贴保护膜，保护膜需粘贴牢固，运输、组装等过程不易脱落，撕下无残留；</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n) 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机箱防护要求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整机噪音</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产品工作在空闲状态下，产品的声功率级应不超过 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整机散热</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在环境温度 25℃及处理器满载情况下，产品表面温度应符合如下要求：</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a)出风口在机箱后面板情况下，出风口温度不高于55°C;</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b)可触及面温度不高于 45℃;</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C)显示器表面温度：显示屏不高于38℃, 显示屏上下灯带位置温度（如涉及）不高于 40°C, 出风口温度不高干45°C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整机能效</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限定值</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产品能效限定值应达到 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机身材质</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机身颜色</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机箱尺寸容量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机箱体积应不大于 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CPU 性能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CPU 物理核数</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CPU 主频</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≥2.1GHz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CPU末级缓存容量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CPU支持</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的内存最</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高速率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内存性能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内存读写</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速率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显卡性能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显示分辨率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显卡显示芯片核心频率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显存等</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效频率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显卡可支持多屏同时显示数量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显示设备性能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刷新率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位深</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色域</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色准</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显示屏响应时间</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亮度</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显示屏亮度一致性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对比度</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其他参数</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网络设备性能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有线网卡速率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最高速率应不低于1000Mbps,应支持10Mbps、100Mbps、1000Mbps速率自适应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主板功能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内存扩展接口(板载内存不涉及)</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主板USB瞬间过流保护</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主板防</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静电保护</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1/0接口功能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提供基于标准USB接口外设连接功能、基于音频输入输出接口的音频扩展功能、基于PCle接口板卡扩展功能、基于HDMI或VGA或Type-C或DVI或DP等接口外接显示器扩展功能、基于存储接口对产品进行增容功能等。产品1/0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显卡功能</w:t>
            </w: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显卡外接</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显示接口</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显卡至少支持VGA、HDMI、DVI、DP、 Type-C中1种显示接口，并与显示器接口相匹配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显示设备 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显示器接口</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显示器支架</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显示器应提供显示器支架，支持屏幕旋转、升降等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显示器</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参数调节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a)提供OSD选单按钮用于调节色彩、模式等 ；</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存储功能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存储功能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网络设备 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网络功能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数据传输</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蓝牙协议</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若支持蓝牙模块，蓝牙协议不低于5.C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有线网卡接口类型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网络设</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备拆装</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网络设备支持物理拆装，包括蓝牙模块等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外部</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接口功能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音频接口类型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视频接口类型</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至少支持 VGA、HDMI、DVI、DP、Type-C中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HDMI、DP、Type-C 显示接口要求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若提供 HDMI 或 DP 或 Type-C 作为显示接口，应支持音频和视频同步输出</w:t>
            </w:r>
          </w:p>
          <w:p>
            <w:pPr>
              <w:rPr>
                <w:rFonts w:ascii="仿宋_GB2312" w:hAns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电源功能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电源线适配能力</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电源功率</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≥400W内置电源，最高 92%能效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操作系统</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及软件功</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能</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中文信息处理要求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操作系统备份及还原功能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固件备份还原能力</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操作系统及驱动升级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固件升级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BI0S支持关闭通讯接口</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固件查看信息</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固件设置</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启动顺序</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固件设置口令</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固件设置</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网络引导</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存储设备可靠性</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固态存储寿命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TBW ≥1200TB(条件：2T硬盘容量)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显示设备</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可靠性</w:t>
            </w: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显示屏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屏幕失效点</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外设可靠性</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键盘按键寿命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鼠标按键寿命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键盘鼠标</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线材寿命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风扇寿命</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整机可靠性要求</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电磁兼容性要求的抗扰度</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环境条件要求的气候环境适应性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环境条件要求的振动适应性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环境条件要求的冲击适应性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环境条件要求的碰撞适应性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环境条件要求的运输包装件跌落适应性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MTBF测试</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MTBF(m1)≥3万小时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 要求</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常用软件</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数据库兼容</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中间件兼容</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平台软件</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包装及运输要求</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标志、包装、运输和贮存</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服务要求</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配置检查工具</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服务响应</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a）供应商提供电话、电子邮件、远程连接等多种形式服务；</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b)供应商提供同城4h、异地12h技术响应服务，2 个工作日解决问题，对于未能解决的问题和故障应提供可行的升级方案，并提供周转设备或更换设备；</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c)建立全国技术服务体系和服务团体，符合专业服务体系标准要求，提供原厂中文服务；</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d)服务周期内提供产品的维修、换件和升级服务；</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E)拆除旧机房原来电脑等设备，并按要求搬运到指定教室，并做好标签，改造机房网络，音箱，投影，监控等包含线路改造费用，网线需用超五类国标，直至整个机房设备能正常运行。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服务周期</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 设备停产后应继续提供质量保障服务（含备品备件），服务终止时间与最后一批设备交付时间间隔不低于6年；</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 产品停止服务时间应提前1年告知；</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预装操作系统</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培训服务</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典型问题</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解决手册</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厂家升级软件与扩容服务</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整机质量</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服务要求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免费服务周期（含换件和维修）应不小于5年。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合格证书要求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开箱组装/使用指导要求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驱动下载</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服务要求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兼容适配软件下载服务要求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供应链合 规性</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产品部件</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保障</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供应商保障产品主要部件，提供6年的备件服务能力(自购买之日起),或提供可兼容原设备的升级换代产品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供应链</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质量</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抗干扰性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供应能力证明</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供应商中标后提供供应链稳定承诺书，确保产品的部件在产品服务周期内稳定供货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关键部件 安全要求</w:t>
            </w:r>
          </w:p>
        </w:tc>
        <w:tc>
          <w:tcPr>
            <w:tcW w:w="1978" w:type="dxa"/>
            <w:vAlign w:val="center"/>
          </w:tcPr>
          <w:p>
            <w:pPr>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关键部件</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安全要求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restart"/>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整机安全性要求</w:t>
            </w: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密码算法实现</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USB端口</w:t>
            </w:r>
          </w:p>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管控</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信息安全基本要求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a)产品应符合GB/T 39276的5.2的规定 ；</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b)生产厂商应建立漏洞跟踪表，保证产品版本涉及到的漏洞(如驱动程序等)可查看；</w:t>
            </w:r>
          </w:p>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o)产品不得包含已知的恶意代码或漏洞，不存在未声明的指令、功能、接口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固件安全启动</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1191" w:type="dxa"/>
            <w:vMerge w:val="continue"/>
            <w:vAlign w:val="center"/>
          </w:tcPr>
          <w:p>
            <w:pPr>
              <w:jc w:val="center"/>
              <w:rPr>
                <w:rFonts w:ascii="仿宋_GB2312" w:hAnsi="仿宋_GB2312" w:eastAsia="仿宋_GB2312" w:cs="仿宋_GB2312"/>
                <w:color w:val="auto"/>
                <w:highlight w:val="none"/>
              </w:rPr>
            </w:pPr>
          </w:p>
        </w:tc>
        <w:tc>
          <w:tcPr>
            <w:tcW w:w="1978" w:type="dxa"/>
            <w:vAlign w:val="center"/>
          </w:tcPr>
          <w:p>
            <w:pPr>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限用物质的限量要求</w:t>
            </w:r>
          </w:p>
        </w:tc>
        <w:tc>
          <w:tcPr>
            <w:tcW w:w="4661" w:type="dxa"/>
            <w:shd w:val="clear" w:color="auto" w:fill="auto"/>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2" w:type="dxa"/>
            <w:vAlign w:val="center"/>
          </w:tcPr>
          <w:p>
            <w:pPr>
              <w:numPr>
                <w:ilvl w:val="0"/>
                <w:numId w:val="6"/>
              </w:numPr>
              <w:ind w:left="635" w:leftChars="0" w:firstLineChars="0"/>
              <w:jc w:val="center"/>
              <w:rPr>
                <w:rFonts w:ascii="仿宋_GB2312" w:hAnsi="仿宋_GB2312" w:eastAsia="仿宋_GB2312" w:cs="仿宋_GB2312"/>
                <w:color w:val="auto"/>
                <w:highlight w:val="none"/>
              </w:rPr>
            </w:pPr>
          </w:p>
        </w:tc>
        <w:tc>
          <w:tcPr>
            <w:tcW w:w="7830" w:type="dxa"/>
            <w:gridSpan w:val="3"/>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highlight w:val="none"/>
              </w:rPr>
              <w:t>提供节能产品认证证书</w:t>
            </w:r>
          </w:p>
        </w:tc>
      </w:tr>
    </w:tbl>
    <w:p>
      <w:pPr>
        <w:pStyle w:val="117"/>
        <w:keepNext w:val="0"/>
        <w:keepLines w:val="0"/>
        <w:pageBreakBefore w:val="0"/>
        <w:widowControl/>
        <w:kinsoku/>
        <w:wordWrap/>
        <w:overflowPunct/>
        <w:topLinePunct w:val="0"/>
        <w:autoSpaceDE/>
        <w:autoSpaceDN/>
        <w:bidi w:val="0"/>
        <w:adjustRightInd/>
        <w:snapToGrid/>
        <w:spacing w:before="157" w:beforeLines="50" w:after="157" w:afterLines="50" w:line="440" w:lineRule="exact"/>
        <w:ind w:firstLine="480"/>
        <w:textAlignment w:val="auto"/>
        <w:rPr>
          <w:rFonts w:ascii="宋体" w:hAnsi="宋体" w:cs="宋体"/>
          <w:color w:val="auto"/>
          <w:szCs w:val="21"/>
          <w:highlight w:val="none"/>
          <w:lang w:bidi="ar"/>
        </w:rPr>
      </w:pPr>
      <w:r>
        <w:rPr>
          <w:rFonts w:hint="eastAsia" w:ascii="仿宋_GB2312" w:hAnsi="仿宋_GB2312" w:eastAsia="仿宋_GB2312" w:cs="仿宋_GB2312"/>
          <w:color w:val="auto"/>
          <w:sz w:val="24"/>
          <w:highlight w:val="none"/>
        </w:rPr>
        <w:t>2.2机房软件详细技术参数</w:t>
      </w:r>
    </w:p>
    <w:tbl>
      <w:tblPr>
        <w:tblStyle w:val="63"/>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9"/>
        <w:gridCol w:w="1306"/>
        <w:gridCol w:w="5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D8D8D8"/>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序号</w:t>
            </w:r>
          </w:p>
        </w:tc>
        <w:tc>
          <w:tcPr>
            <w:tcW w:w="1279" w:type="dxa"/>
            <w:shd w:val="clear" w:color="auto" w:fill="D8D8D8"/>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一级指标</w:t>
            </w:r>
          </w:p>
        </w:tc>
        <w:tc>
          <w:tcPr>
            <w:tcW w:w="1306" w:type="dxa"/>
            <w:shd w:val="clear" w:color="auto" w:fill="D8D8D8"/>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二级指标</w:t>
            </w:r>
          </w:p>
        </w:tc>
        <w:tc>
          <w:tcPr>
            <w:tcW w:w="5259" w:type="dxa"/>
            <w:shd w:val="clear" w:color="auto" w:fill="D8D8D8"/>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w:t>
            </w:r>
          </w:p>
        </w:tc>
        <w:tc>
          <w:tcPr>
            <w:tcW w:w="1279" w:type="dxa"/>
            <w:vMerge w:val="restart"/>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管理软件</w:t>
            </w: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基本要求</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为保证系统兼容性和稳定性，要求所投软件与硬件产品兼容。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2</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管理平台访问方式</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管理软件系统支持B/S管理架构，支持移动设备通过网页方式对机房进行远程管理，包括远程开关机、时间同步、系统切换、消息广播等操作。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3</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Linux系统支持</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支持对Ubuntu、Redhat、Centos、Fedora等linux系统的立即还原和ip地址自动分配。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4</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还原功能</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支持主流操作系统（Win10/Win11）的立即还原和还原点瞬间创建；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5</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操作系统多引导启动</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支持在计算机本地硬盘的MBR分区系统和GPT分区系统混合安装，可支持60个以上的不同操作系统；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6</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多磁盘管理</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支持对客户端内多块硬盘进行分区、系统装载、还原、还原方式设置，满足多硬盘系统还原和管理；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7</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网络同传</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支持从WINDOWS界面对1000台以上的电脑进行数据差异拷贝，非增量拷贝、变量拷贝、进度同步等，可灵活选择同传系统和分区，并且根据网络状况可选择广播、组播、单播等方式；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8</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lang w:bidi="ar"/>
              </w:rPr>
            </w:pPr>
            <w:r>
              <w:rPr>
                <w:rFonts w:hint="eastAsia" w:ascii="仿宋_GB2312" w:hAnsi="仿宋_GB2312" w:eastAsia="仿宋_GB2312" w:cs="仿宋_GB2312"/>
                <w:color w:val="auto"/>
                <w:sz w:val="21"/>
                <w:szCs w:val="21"/>
                <w:highlight w:val="none"/>
                <w:lang w:bidi="ar"/>
              </w:rPr>
              <w:t>网络故障</w:t>
            </w:r>
          </w:p>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排查</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支持差异拷贝接收端网络环境检测，可检测接收端网卡连接速度和最慢机，提前发现问题网点，排查处理影响差异拷贝的终端，</w:t>
            </w:r>
            <w:r>
              <w:rPr>
                <w:rFonts w:hint="eastAsia" w:ascii="仿宋_GB2312" w:hAnsi="仿宋_GB2312" w:eastAsia="仿宋_GB2312" w:cs="仿宋_GB2312"/>
                <w:b/>
                <w:bCs/>
                <w:color w:val="auto"/>
                <w:sz w:val="21"/>
                <w:szCs w:val="21"/>
                <w:highlight w:val="none"/>
                <w:lang w:bidi="ar"/>
              </w:rPr>
              <w:t>提供可检测接收端连接速度和最慢机的功能界面截图</w:t>
            </w:r>
            <w:r>
              <w:rPr>
                <w:rFonts w:hint="eastAsia" w:ascii="仿宋_GB2312" w:hAnsi="仿宋_GB2312" w:eastAsia="仿宋_GB2312" w:cs="仿宋_GB2312"/>
                <w:color w:val="auto"/>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9</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lang w:bidi="ar"/>
              </w:rPr>
            </w:pPr>
            <w:r>
              <w:rPr>
                <w:rFonts w:hint="eastAsia" w:ascii="仿宋_GB2312" w:hAnsi="仿宋_GB2312" w:eastAsia="仿宋_GB2312" w:cs="仿宋_GB2312"/>
                <w:color w:val="auto"/>
                <w:sz w:val="21"/>
                <w:szCs w:val="21"/>
                <w:highlight w:val="none"/>
                <w:lang w:bidi="ar"/>
              </w:rPr>
              <w:t>个人桌面</w:t>
            </w:r>
          </w:p>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创建</w:t>
            </w:r>
          </w:p>
        </w:tc>
        <w:tc>
          <w:tcPr>
            <w:tcW w:w="5259" w:type="dxa"/>
            <w:shd w:val="clear" w:color="auto" w:fill="auto"/>
            <w:vAlign w:val="center"/>
          </w:tcPr>
          <w:p>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管理员可给师生单独分配用户和密码，师生可凭此用户和密码在教学的电脑上创建自己独立的备课系统，其他人员不可见，也不影响正常的教学系统；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10</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上网行为监管</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能够针对学生软件使用、上网操作进行记录，并支持按照应用、访问网址进行查询，能够根据时间段进行搜索，搜索时间精确到秒，针对上网操作，能够展示网址及网站标题信息，支持表格导出；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11</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密码找回</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提供产品密码找回功能，如出现密码遗忘的情况可以通过密文进行密码找回，避免密码遗忘后无法管理的情况；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12</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▲网络流量管控</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支持流量限制策略，能够设定上行流量、下行流量，并可设置流量限制生效时间；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13</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系统快速部署</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支持将当前的教学系统，无需新增分区的情况下瞬间复制一个不保护的系统，用于学生自主实验或计算机等级考试；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14</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特定文件夹不还原</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支持文件夹穿透，可在当前保护的分区下设定一个开放的文件夹,保存更新设置，重启分区还原其它数据，此文件夹中的数据不还原；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15</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▲软件统一注册</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支持X86机器的硬件虚拟化功能，针对硬件识别码的软件可实现同传后无需注册的功能，大幅度降低激活软件带来的工作量；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80"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16</w:t>
            </w:r>
          </w:p>
        </w:tc>
        <w:tc>
          <w:tcPr>
            <w:tcW w:w="1279" w:type="dxa"/>
            <w:vMerge w:val="continue"/>
            <w:shd w:val="clear" w:color="auto" w:fill="auto"/>
            <w:vAlign w:val="center"/>
          </w:tcPr>
          <w:p>
            <w:pPr>
              <w:jc w:val="center"/>
              <w:rPr>
                <w:rFonts w:hint="eastAsia" w:ascii="仿宋_GB2312" w:hAnsi="仿宋_GB2312" w:eastAsia="仿宋_GB2312" w:cs="仿宋_GB2312"/>
                <w:color w:val="auto"/>
                <w:sz w:val="21"/>
                <w:szCs w:val="21"/>
                <w:highlight w:val="none"/>
              </w:rPr>
            </w:pPr>
          </w:p>
        </w:tc>
        <w:tc>
          <w:tcPr>
            <w:tcW w:w="1306" w:type="dxa"/>
            <w:shd w:val="clear" w:color="auto" w:fill="auto"/>
            <w:vAlign w:val="center"/>
          </w:tcPr>
          <w:p>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bidi="ar"/>
              </w:rPr>
              <w:t>课表与系统管理</w:t>
            </w:r>
          </w:p>
        </w:tc>
        <w:tc>
          <w:tcPr>
            <w:tcW w:w="5259" w:type="dxa"/>
            <w:shd w:val="clear" w:color="auto" w:fill="auto"/>
            <w:vAlign w:val="center"/>
          </w:tcPr>
          <w:p>
            <w:pPr>
              <w:pStyle w:val="1039"/>
              <w:widowControl/>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支持学期课表的编辑，可设置学期开始和结束时间，按学期课表时间自动启动相应的操作系统，支持操作系统拖拽式导入学期课表；</w:t>
            </w:r>
          </w:p>
        </w:tc>
      </w:tr>
    </w:tbl>
    <w:p>
      <w:pPr>
        <w:pStyle w:val="117"/>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三、其他要求：</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1、★投标人需要对机房内根据采购人的要求，拆除旧机房内的设施设备（桌椅、多媒体设备、原网络电源线等）做好标签，并搬运到指定地点，并按采购人的要求对机房按国标要求提供插座、水晶头、电源线等布置安装调试至正常运行；按照采购人要求将原有监控、音响、投影、网络等线路进行改造；按照采购人要求将废旧设施设备放到指定地点，建筑垃圾清运处置由投标人自行处理。此次机房内所需拆装搬迁、维护检测及所用到线材配件包含在此投标报价中，不再另行结算。</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2、本项目投标人需要对招标文件中采购人要求的一切事宜及项目实施安全责任。项目中标人需指定1名项目经理，负责与学校项目负责老师现场进行对接，包括对整个机房设备完成安装和调试、与其他设备的配合调试；提供设备供货、运输、保管、安装、调试、验收、检测、培训及相关服务等。</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投标人投标提供的设备必须是厂商原装的、全新的，配置与装箱单相符；数量、质量及性能不低于投标文件；应准确无误地表明设备型号、规格、制造厂及生产或出厂日期。所有组件不允许出厂后加装改装，维护客户的权益。</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4、投标人应派技术人员负责设备的安装、调试，调试所需专用工具、设施、物料等由投标人自备、自费运到现场，完工后自费清理搬走。</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5、</w:t>
      </w:r>
      <w:r>
        <w:rPr>
          <w:rFonts w:hint="eastAsia" w:ascii="仿宋_GB2312" w:hAnsi="仿宋_GB2312" w:eastAsia="仿宋_GB2312" w:cs="仿宋_GB2312"/>
          <w:b/>
          <w:bCs/>
          <w:color w:val="auto"/>
          <w:sz w:val="24"/>
          <w:highlight w:val="none"/>
        </w:rPr>
        <w:t>交货期：为不影响学校正常教育教学秩序，在签订采购合同签订后15个工作日完成全部设备供货、安装和调试，配合采购人组织验收所需材料。</w:t>
      </w:r>
      <w:r>
        <w:rPr>
          <w:rFonts w:hint="eastAsia" w:ascii="仿宋_GB2312" w:hAnsi="仿宋_GB2312" w:eastAsia="仿宋_GB2312" w:cs="仿宋_GB2312"/>
          <w:bCs/>
          <w:color w:val="auto"/>
          <w:sz w:val="24"/>
          <w:highlight w:val="none"/>
        </w:rPr>
        <w:t xml:space="preserve"> </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6、★质保期：按文件中要求执行，保修期从验收合格当天开始计算，供货时需提供针对本项目电脑（核心产品）原厂盖章五年质保服务承诺函。质保期内，按国家有关产品“三包”规定执行“三包”。</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7、售后服务：中标方按质保期限免费上门服务，半小时响应，1小时内及时派技术人员到达现场处理设备质量问题。24小时内不能修复的，则无偿提供备机或备用零件供采购人使用。中标方服务维修人员均经过良好的系统技术培训，并有丰富的现场维修经验。</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8、付款方式：按《浙江省财政厅关于进一步发挥政府采购政策功能全力推动经济稳进提质的通知》（浙财采监〔2022〕3号）</w:t>
      </w:r>
      <w:r>
        <w:rPr>
          <w:rFonts w:hint="eastAsia" w:ascii="仿宋_GB2312" w:hAnsi="仿宋_GB2312" w:eastAsia="仿宋_GB2312" w:cs="仿宋_GB2312"/>
          <w:bCs/>
          <w:color w:val="auto"/>
          <w:sz w:val="24"/>
          <w:highlight w:val="none"/>
          <w:lang w:val="en-US" w:eastAsia="zh-CN"/>
        </w:rPr>
        <w:t>等</w:t>
      </w:r>
      <w:r>
        <w:rPr>
          <w:rFonts w:hint="eastAsia" w:ascii="仿宋_GB2312" w:hAnsi="仿宋_GB2312" w:eastAsia="仿宋_GB2312" w:cs="仿宋_GB2312"/>
          <w:bCs/>
          <w:color w:val="auto"/>
          <w:sz w:val="24"/>
          <w:highlight w:val="none"/>
        </w:rPr>
        <w:t>文件要求执行，具体付款方式由双方协商后在合同中明确。</w:t>
      </w:r>
    </w:p>
    <w:p>
      <w:pPr>
        <w:pStyle w:val="117"/>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9、中标方负责本项目的安装、调试，培训，售后及过程中的安全工作，报价包括全部费用报价，如有遗漏应当视同包含在报价中，不得影响整个系统验收使用。</w:t>
      </w:r>
    </w:p>
    <w:p>
      <w:pPr>
        <w:spacing w:line="440" w:lineRule="exact"/>
        <w:ind w:right="420"/>
        <w:rPr>
          <w:rFonts w:hint="eastAsia" w:ascii="仿宋_GB2312" w:hAnsi="新宋体" w:eastAsia="仿宋_GB2312" w:cs="Arial"/>
          <w:b/>
          <w:bCs/>
          <w:color w:val="auto"/>
          <w:sz w:val="24"/>
          <w:highlight w:val="none"/>
          <w:lang w:eastAsia="zh-CN"/>
        </w:rPr>
      </w:pPr>
    </w:p>
    <w:p>
      <w:pPr>
        <w:spacing w:line="440" w:lineRule="exact"/>
        <w:ind w:right="420"/>
        <w:rPr>
          <w:rFonts w:hint="eastAsia" w:ascii="仿宋_GB2312" w:hAnsi="新宋体" w:eastAsia="仿宋_GB2312" w:cs="Arial"/>
          <w:b/>
          <w:bCs/>
          <w:color w:val="auto"/>
          <w:sz w:val="24"/>
          <w:highlight w:val="none"/>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2232"/>
      <w:bookmarkStart w:id="12" w:name="_Toc3029"/>
      <w:bookmarkStart w:id="13" w:name="_Toc2405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4300"/>
      <w:bookmarkStart w:id="15" w:name="_Toc27126"/>
      <w:bookmarkStart w:id="16" w:name="_Toc21295"/>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3292"/>
      <w:bookmarkStart w:id="18" w:name="_Toc21551"/>
      <w:bookmarkStart w:id="19" w:name="_Toc21631"/>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22618"/>
      <w:bookmarkStart w:id="21" w:name="_Toc1814"/>
      <w:bookmarkStart w:id="22" w:name="_Toc10340"/>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2846"/>
      <w:bookmarkStart w:id="24" w:name="_Toc19304"/>
      <w:bookmarkStart w:id="25" w:name="_Toc32071"/>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7250"/>
      <w:bookmarkStart w:id="27" w:name="_Toc19554"/>
      <w:bookmarkStart w:id="28" w:name="_Toc21423"/>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15583"/>
      <w:bookmarkStart w:id="30" w:name="_Toc16021"/>
      <w:bookmarkStart w:id="31" w:name="_Toc28375"/>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2" w:name="_Toc15322"/>
      <w:bookmarkStart w:id="33" w:name="_Toc11173"/>
      <w:bookmarkStart w:id="34" w:name="_Toc7245"/>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19614"/>
      <w:bookmarkStart w:id="36" w:name="_Ref467379101"/>
      <w:bookmarkStart w:id="37" w:name="_Toc279701240"/>
      <w:bookmarkStart w:id="38" w:name="_Ref467379195"/>
      <w:bookmarkStart w:id="39" w:name="_Toc259093669"/>
      <w:bookmarkStart w:id="40" w:name="_Toc487900349"/>
      <w:bookmarkStart w:id="41" w:name="_Toc28763"/>
      <w:bookmarkStart w:id="42" w:name="_Ref467379225"/>
      <w:bookmarkStart w:id="43" w:name="_Ref467379109"/>
      <w:bookmarkStart w:id="44" w:name="_Toc16917"/>
      <w:bookmarkStart w:id="45" w:name="_Ref467378463"/>
      <w:bookmarkStart w:id="46" w:name="_Ref467379205"/>
      <w:bookmarkStart w:id="47" w:name="_Ref467379214"/>
      <w:bookmarkStart w:id="48" w:name="_Ref467378404"/>
      <w:bookmarkStart w:id="49" w:name="_Ref467378499"/>
      <w:bookmarkStart w:id="50" w:name="_Ref467379094"/>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487900350"/>
      <w:bookmarkStart w:id="55" w:name="_Toc259093670"/>
      <w:bookmarkStart w:id="56" w:name="_Toc279701241"/>
      <w:bookmarkStart w:id="57" w:name="_Toc13336"/>
      <w:bookmarkStart w:id="58" w:name="_Toc27635"/>
      <w:bookmarkStart w:id="59" w:name="_Toc32504"/>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31634"/>
      <w:bookmarkStart w:id="61" w:name="_Toc27853"/>
      <w:bookmarkStart w:id="62" w:name="_Toc487900351"/>
      <w:bookmarkStart w:id="63" w:name="_Toc259093671"/>
      <w:bookmarkStart w:id="64" w:name="_Toc279701242"/>
      <w:bookmarkStart w:id="65" w:name="_Toc9829"/>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11932"/>
      <w:bookmarkStart w:id="67" w:name="_Toc4194"/>
      <w:bookmarkStart w:id="68" w:name="_Toc29149"/>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Toc259093674"/>
      <w:bookmarkStart w:id="70" w:name="_Ref467378541"/>
      <w:bookmarkStart w:id="71" w:name="_Ref467379536"/>
      <w:bookmarkStart w:id="72" w:name="_Toc279701245"/>
      <w:bookmarkStart w:id="73" w:name="_Ref467379542"/>
      <w:bookmarkStart w:id="74" w:name="_Ref467378591"/>
      <w:bookmarkStart w:id="75" w:name="_Ref467379527"/>
      <w:bookmarkStart w:id="76" w:name="_Toc487900354"/>
      <w:bookmarkStart w:id="77" w:name="_Toc30272"/>
      <w:bookmarkStart w:id="78" w:name="_Toc26182"/>
      <w:bookmarkStart w:id="79" w:name="_Toc19074"/>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79701247"/>
      <w:bookmarkStart w:id="83" w:name="_Toc259093676"/>
      <w:bookmarkStart w:id="84" w:name="_Ref467379793"/>
      <w:bookmarkStart w:id="85" w:name="_Ref467379807"/>
      <w:bookmarkStart w:id="86" w:name="_Toc48790035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Toc259093677"/>
      <w:bookmarkStart w:id="89" w:name="_Ref467379863"/>
      <w:bookmarkStart w:id="90" w:name="_Toc487900358"/>
      <w:bookmarkStart w:id="91" w:name="_Toc279701248"/>
      <w:bookmarkStart w:id="92" w:name="_Ref467379852"/>
      <w:bookmarkStart w:id="93" w:name="_Ref467379923"/>
      <w:bookmarkStart w:id="94" w:name="_Toc3225"/>
      <w:bookmarkStart w:id="95" w:name="_Toc774"/>
      <w:bookmarkStart w:id="96" w:name="_Toc16110"/>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59093681"/>
      <w:bookmarkStart w:id="100" w:name="_Toc279701252"/>
      <w:bookmarkStart w:id="101" w:name="_Toc487900362"/>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279701254"/>
      <w:bookmarkStart w:id="105" w:name="_Toc259093683"/>
      <w:bookmarkStart w:id="106" w:name="_Ref467378121"/>
      <w:bookmarkStart w:id="107" w:name="_Toc487900364"/>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59093688"/>
      <w:bookmarkStart w:id="109" w:name="_Toc279701259"/>
      <w:bookmarkStart w:id="110" w:name="_Toc487900369"/>
    </w:p>
    <w:p>
      <w:pPr>
        <w:spacing w:line="560" w:lineRule="exact"/>
        <w:ind w:firstLine="482" w:firstLineChars="200"/>
        <w:outlineLvl w:val="0"/>
        <w:rPr>
          <w:rFonts w:ascii="仿宋_GB2312" w:hAnsi="仿宋" w:eastAsia="仿宋_GB2312" w:cs="仿宋"/>
          <w:b/>
          <w:color w:val="auto"/>
          <w:sz w:val="24"/>
          <w:highlight w:val="none"/>
        </w:rPr>
      </w:pPr>
      <w:bookmarkStart w:id="111" w:name="_Toc22955"/>
      <w:bookmarkStart w:id="112" w:name="_Toc15237"/>
      <w:bookmarkStart w:id="113" w:name="_Toc10366"/>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4066"/>
      <w:bookmarkStart w:id="115" w:name="_Toc16508"/>
      <w:bookmarkStart w:id="116" w:name="_Toc13566"/>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279701255"/>
      <w:bookmarkStart w:id="118" w:name="_Toc689"/>
      <w:bookmarkStart w:id="119" w:name="_Toc30676"/>
      <w:bookmarkStart w:id="120" w:name="_Toc487900365"/>
      <w:bookmarkStart w:id="121" w:name="_Toc259093684"/>
      <w:bookmarkStart w:id="122" w:name="_Toc6969"/>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7102"/>
      <w:bookmarkStart w:id="124" w:name="_Toc279701258"/>
      <w:bookmarkStart w:id="125" w:name="_Toc259093687"/>
      <w:bookmarkStart w:id="126" w:name="_Toc16959"/>
      <w:bookmarkStart w:id="127" w:name="_Toc487900368"/>
      <w:bookmarkStart w:id="128" w:name="_Toc829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15387"/>
      <w:bookmarkStart w:id="130" w:name="_Toc6134"/>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125"/>
      <w:bookmarkStart w:id="133" w:name="_Toc6596"/>
      <w:bookmarkStart w:id="134" w:name="_Toc14563"/>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59093690"/>
      <w:bookmarkStart w:id="136" w:name="_Toc487900371"/>
      <w:bookmarkStart w:id="137" w:name="_Toc279701261"/>
      <w:bookmarkStart w:id="138" w:name="_Toc25182"/>
      <w:bookmarkStart w:id="139" w:name="_Toc19604"/>
      <w:bookmarkStart w:id="140" w:name="_Toc1128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79701262"/>
      <w:bookmarkStart w:id="145"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128"/>
      <w:bookmarkStart w:id="147"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18540"/>
      <w:bookmarkStart w:id="149" w:name="_Toc4355"/>
      <w:bookmarkStart w:id="150" w:name="_Toc30599"/>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279701263"/>
      <w:bookmarkStart w:id="152" w:name="_Toc18567"/>
      <w:bookmarkStart w:id="153" w:name="_Toc10330"/>
      <w:bookmarkStart w:id="154" w:name="_Toc487900373"/>
      <w:bookmarkStart w:id="155" w:name="_Toc259093692"/>
      <w:bookmarkStart w:id="156" w:name="_Toc1277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6885"/>
      <w:bookmarkStart w:id="158" w:name="_Toc19890"/>
      <w:bookmarkStart w:id="159" w:name="_Toc14001"/>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87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3"/>
        <w:gridCol w:w="1206"/>
        <w:gridCol w:w="683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673"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206"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w:t>
            </w:r>
          </w:p>
        </w:tc>
        <w:tc>
          <w:tcPr>
            <w:tcW w:w="6837"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评分内容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3"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p>
        </w:tc>
        <w:tc>
          <w:tcPr>
            <w:tcW w:w="120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技术参数（28分）</w:t>
            </w:r>
          </w:p>
        </w:tc>
        <w:tc>
          <w:tcPr>
            <w:tcW w:w="683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技术参数响应情况：对应于招标文件第三部分招标项目范围及要求——8.招标项目设备名称及数量——“</w:t>
            </w:r>
            <w:r>
              <w:rPr>
                <w:rFonts w:hint="eastAsia" w:ascii="仿宋_GB2312" w:hAnsi="仿宋_GB2312" w:eastAsia="仿宋_GB2312" w:cs="仿宋_GB2312"/>
                <w:color w:val="auto"/>
                <w:sz w:val="22"/>
                <w:szCs w:val="22"/>
                <w:highlight w:val="none"/>
                <w:lang w:val="en-US" w:eastAsia="zh-CN"/>
              </w:rPr>
              <w:t>二、</w:t>
            </w:r>
            <w:r>
              <w:rPr>
                <w:rFonts w:hint="eastAsia" w:ascii="仿宋_GB2312" w:hAnsi="仿宋_GB2312" w:eastAsia="仿宋_GB2312" w:cs="仿宋_GB2312"/>
                <w:color w:val="auto"/>
                <w:sz w:val="22"/>
                <w:szCs w:val="22"/>
                <w:highlight w:val="none"/>
              </w:rPr>
              <w:t>详细技术参数”，完全满足指标参数得28分。打“★”号的性能指标为实质性指标，若出现负偏离作无效标处理；打“▲”为主要性能指标，每有一项负偏离扣2分；</w:t>
            </w:r>
            <w:r>
              <w:rPr>
                <w:rFonts w:hint="eastAsia" w:ascii="仿宋_GB2312" w:hAnsi="仿宋_GB2312" w:eastAsia="仿宋_GB2312" w:cs="仿宋_GB2312"/>
                <w:color w:val="auto"/>
                <w:sz w:val="22"/>
                <w:szCs w:val="22"/>
                <w:highlight w:val="none"/>
              </w:rPr>
              <w:t>其他指标，每有一项负偏离扣1分，</w:t>
            </w:r>
            <w:r>
              <w:rPr>
                <w:rFonts w:hint="eastAsia" w:ascii="仿宋_GB2312" w:hAnsi="仿宋_GB2312" w:eastAsia="仿宋_GB2312" w:cs="仿宋_GB2312"/>
                <w:color w:val="auto"/>
                <w:sz w:val="22"/>
                <w:szCs w:val="22"/>
                <w:highlight w:val="none"/>
              </w:rPr>
              <w:t>扣完为止。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673"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p>
        </w:tc>
        <w:tc>
          <w:tcPr>
            <w:tcW w:w="120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业绩分</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（4分）</w:t>
            </w:r>
          </w:p>
        </w:tc>
        <w:tc>
          <w:tcPr>
            <w:tcW w:w="683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投标人自2021年1月1日以来（以合同签订时间为准）完成的同类案例，每有1个得1分，满分</w:t>
            </w:r>
            <w:r>
              <w:rPr>
                <w:rFonts w:hint="eastAsia" w:ascii="仿宋_GB2312" w:hAnsi="仿宋_GB2312" w:eastAsia="仿宋_GB2312" w:cs="仿宋_GB2312"/>
                <w:color w:val="auto"/>
                <w:sz w:val="22"/>
                <w:szCs w:val="22"/>
                <w:highlight w:val="none"/>
                <w:lang w:val="en-US" w:eastAsia="zh-CN"/>
              </w:rPr>
              <w:t>4</w:t>
            </w:r>
            <w:r>
              <w:rPr>
                <w:rFonts w:hint="eastAsia" w:ascii="仿宋_GB2312" w:hAnsi="仿宋_GB2312" w:eastAsia="仿宋_GB2312" w:cs="仿宋_GB2312"/>
                <w:color w:val="auto"/>
                <w:sz w:val="22"/>
                <w:szCs w:val="22"/>
                <w:highlight w:val="none"/>
              </w:rPr>
              <w:t>分。</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注：每个案例提供合同复印件加盖投标人公章。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673"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p>
        </w:tc>
        <w:tc>
          <w:tcPr>
            <w:tcW w:w="120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lang w:bidi="ar"/>
              </w:rPr>
            </w:pPr>
            <w:r>
              <w:rPr>
                <w:rFonts w:hint="eastAsia" w:ascii="仿宋_GB2312" w:hAnsi="仿宋_GB2312" w:eastAsia="仿宋_GB2312" w:cs="仿宋_GB2312"/>
                <w:color w:val="auto"/>
                <w:sz w:val="22"/>
                <w:szCs w:val="22"/>
                <w:highlight w:val="none"/>
                <w:lang w:bidi="ar"/>
              </w:rPr>
              <w:t>产品质量控制</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（3分）</w:t>
            </w:r>
          </w:p>
        </w:tc>
        <w:tc>
          <w:tcPr>
            <w:tcW w:w="6837" w:type="dxa"/>
            <w:tcBorders>
              <w:bottom w:val="single" w:color="auto" w:sz="4" w:space="0"/>
            </w:tcBorders>
            <w:noWrap/>
            <w:vAlign w:val="center"/>
          </w:tcPr>
          <w:p>
            <w:pPr>
              <w:pStyle w:val="117"/>
              <w:keepNext w:val="0"/>
              <w:keepLines w:val="0"/>
              <w:pageBreakBefore w:val="0"/>
              <w:kinsoku/>
              <w:wordWrap/>
              <w:overflowPunct/>
              <w:topLinePunct w:val="0"/>
              <w:autoSpaceDE/>
              <w:autoSpaceDN/>
              <w:bidi w:val="0"/>
              <w:adjustRightInd/>
              <w:snapToGrid/>
              <w:spacing w:after="0"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2"/>
                <w:sz w:val="22"/>
                <w:szCs w:val="22"/>
                <w:highlight w:val="none"/>
                <w:lang w:val="en-US" w:eastAsia="zh-CN" w:bidi="ar-SA"/>
              </w:rPr>
              <w:t>投标人按采购人要求提供的有明确的产品质量保证目标，具备完整的质量管控和保证措施，具备完整的项目风险控制手段和机制，具有详细的应急方案等进行打分（0-3分）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673"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4</w:t>
            </w:r>
          </w:p>
        </w:tc>
        <w:tc>
          <w:tcPr>
            <w:tcW w:w="120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供货方案（3分）</w:t>
            </w:r>
          </w:p>
        </w:tc>
        <w:tc>
          <w:tcPr>
            <w:tcW w:w="683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lang w:bidi="ar"/>
              </w:rPr>
            </w:pPr>
            <w:r>
              <w:rPr>
                <w:rFonts w:hint="eastAsia" w:ascii="仿宋_GB2312" w:hAnsi="仿宋_GB2312" w:eastAsia="仿宋_GB2312" w:cs="仿宋_GB2312"/>
                <w:color w:val="auto"/>
                <w:sz w:val="22"/>
                <w:szCs w:val="22"/>
                <w:highlight w:val="none"/>
              </w:rPr>
              <w:t>根据投标人提供的详细供货方案，包括设备供货计划，供货组织保障、时间节点安排等情况进行打分，0-3分。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673"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5</w:t>
            </w:r>
          </w:p>
        </w:tc>
        <w:tc>
          <w:tcPr>
            <w:tcW w:w="120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实施方案（5分）</w:t>
            </w:r>
          </w:p>
        </w:tc>
        <w:tc>
          <w:tcPr>
            <w:tcW w:w="683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lang w:bidi="ar"/>
              </w:rPr>
            </w:pPr>
            <w:r>
              <w:rPr>
                <w:rFonts w:hint="eastAsia" w:ascii="仿宋_GB2312" w:hAnsi="仿宋_GB2312" w:eastAsia="仿宋_GB2312" w:cs="仿宋_GB2312"/>
                <w:color w:val="auto"/>
                <w:sz w:val="22"/>
                <w:szCs w:val="22"/>
                <w:highlight w:val="none"/>
              </w:rPr>
              <w:t>根据投标人提供的实施方案，包括项目人员组成、废旧设施设备拆除、建筑垃圾清运、项目安全措施、布线安装调试、软硬件功能调试、技术质量控制措施等情况进行打分，0-5分。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673"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6</w:t>
            </w:r>
          </w:p>
        </w:tc>
        <w:tc>
          <w:tcPr>
            <w:tcW w:w="1206"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管理软件功能演示</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（12分）</w:t>
            </w:r>
          </w:p>
        </w:tc>
        <w:tc>
          <w:tcPr>
            <w:tcW w:w="6837" w:type="dxa"/>
            <w:tcBorders>
              <w:top w:val="single" w:color="auto" w:sz="4" w:space="0"/>
            </w:tcBorders>
            <w:noWrap/>
            <w:vAlign w:val="center"/>
          </w:tcPr>
          <w:p>
            <w:pPr>
              <w:pStyle w:val="19"/>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本项目要求进行管理软件功能演示，演示时间不超过15分钟，根据演示情况进行打分</w:t>
            </w:r>
            <w:r>
              <w:rPr>
                <w:rFonts w:hint="eastAsia" w:ascii="仿宋_GB2312" w:hAnsi="仿宋_GB2312" w:eastAsia="仿宋_GB2312" w:cs="仿宋_GB2312"/>
                <w:b/>
                <w:bCs/>
                <w:color w:val="auto"/>
                <w:sz w:val="22"/>
                <w:szCs w:val="22"/>
                <w:highlight w:val="none"/>
              </w:rPr>
              <w:t>（仅以PPT或图片演示不得分）</w:t>
            </w:r>
            <w:r>
              <w:rPr>
                <w:rFonts w:hint="eastAsia" w:ascii="仿宋_GB2312" w:hAnsi="仿宋_GB2312" w:eastAsia="仿宋_GB2312" w:cs="仿宋_GB2312"/>
                <w:color w:val="auto"/>
                <w:sz w:val="22"/>
                <w:szCs w:val="22"/>
                <w:highlight w:val="none"/>
              </w:rPr>
              <w:t>，具体演示要求详见前附表，演示内容如下：</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1、支持密码遗忘后快速找回功能，可通过加密密文等方式进行密码快速找回功能，0-3分。</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2、能够针对学生软件使用、上网操作进行记录，并支持按照应用、访问网址进行查询，能够根据时间段进行搜索，搜索时间精确到秒，针对上网操作，能够展示网址及网站标题信息，支持表格导出，0-3分。</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3、支持教学过程中的网络限制策略，能够设定禁用外网或禁用全部网络，并支持设置例外，例外类型包括ip地址、网址、端口，并设置生效时间区间，能够精确到秒，支持按天执行、按周执行、按月执行，0-3分。</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支持教学过程中的程序限制策略，支持黑名单、白名单两种模式，能够根据手动添加、应用进程、系统自带进程进行设置，并能够通过客户端实时识别操作系统进程进行控制，并设置生效时间区间，能够精确到秒，支持按天执行、按周执行、按月执行，0-3分。</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注：在演示中未得分的功能项，在打分项“技术参数”中不再重复扣分。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673"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7</w:t>
            </w:r>
          </w:p>
        </w:tc>
        <w:tc>
          <w:tcPr>
            <w:tcW w:w="1206"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售后服务（3分）</w:t>
            </w:r>
          </w:p>
        </w:tc>
        <w:tc>
          <w:tcPr>
            <w:tcW w:w="6837"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投标人提供的售后服务方案,对服务承诺的保障机制，培训计划，售后服务技术和维护能力，升级服务，对故障的响应，解决问题的方案，维护人员和服务机构的设立情况，对其服务承诺等方面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673"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8</w:t>
            </w:r>
          </w:p>
        </w:tc>
        <w:tc>
          <w:tcPr>
            <w:tcW w:w="1206"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备品备件（2分）</w:t>
            </w:r>
          </w:p>
        </w:tc>
        <w:tc>
          <w:tcPr>
            <w:tcW w:w="6837" w:type="dxa"/>
            <w:noWrap/>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根据投标人对设备的原厂零配件、备件情况及保障措施情况等方面进行</w:t>
            </w:r>
            <w:r>
              <w:rPr>
                <w:rFonts w:hint="eastAsia" w:ascii="仿宋_GB2312" w:hAnsi="仿宋_GB2312" w:eastAsia="仿宋_GB2312" w:cs="仿宋_GB2312"/>
                <w:color w:val="auto"/>
                <w:sz w:val="22"/>
                <w:szCs w:val="22"/>
                <w:highlight w:val="none"/>
                <w:lang w:val="en-US" w:eastAsia="zh-CN"/>
              </w:rPr>
              <w:t>打分</w:t>
            </w:r>
            <w:r>
              <w:rPr>
                <w:rFonts w:hint="eastAsia" w:ascii="仿宋_GB2312" w:hAnsi="仿宋_GB2312" w:eastAsia="仿宋_GB2312" w:cs="仿宋_GB2312"/>
                <w:color w:val="auto"/>
                <w:sz w:val="22"/>
                <w:szCs w:val="22"/>
                <w:highlight w:val="none"/>
              </w:rPr>
              <w:t>,0-2分。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即：投标报价得分=(评标基准价／投标报价)×40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绍兴文理学院商学院ERP与电子政务实验室电脑采购项目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2024-04-0054</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绍兴文理学院商学院ERP与电子政务实验室电脑采购项目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2024-04-0054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绍兴文理学院商学院ERP与电子政务实验室电脑采购项目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2024-04-0054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绍兴文理学院商学院ERP与电子政务实验室电脑采购项目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2024-04-0054</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4"/>
      <w:bookmarkStart w:id="165"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bookmarkEnd w:id="166"/>
    <w:sectPr>
      <w:footerReference r:id="rId9" w:type="default"/>
      <w:footerReference r:id="rId10" w:type="even"/>
      <w:pgSz w:w="11906" w:h="16838"/>
      <w:pgMar w:top="1560" w:right="1418" w:bottom="1843"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2024-04-0054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10AFD01"/>
    <w:multiLevelType w:val="singleLevel"/>
    <w:tmpl w:val="310AFD01"/>
    <w:lvl w:ilvl="0" w:tentative="0">
      <w:start w:val="1"/>
      <w:numFmt w:val="decimal"/>
      <w:lvlText w:val="%1"/>
      <w:lvlJc w:val="left"/>
      <w:pPr>
        <w:tabs>
          <w:tab w:val="left" w:pos="420"/>
        </w:tabs>
        <w:ind w:left="635" w:hanging="425"/>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7B8B4B7"/>
    <w:multiLevelType w:val="singleLevel"/>
    <w:tmpl w:val="67B8B4B7"/>
    <w:lvl w:ilvl="0" w:tentative="0">
      <w:start w:val="1"/>
      <w:numFmt w:val="lowerLetter"/>
      <w:suff w:val="space"/>
      <w:lvlText w:val="%1)"/>
      <w:lvlJc w:val="left"/>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7"/>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8020E14"/>
    <w:rsid w:val="19CF064A"/>
    <w:rsid w:val="2989420F"/>
    <w:rsid w:val="29A83F96"/>
    <w:rsid w:val="2FA54326"/>
    <w:rsid w:val="368054A0"/>
    <w:rsid w:val="56DF3CA2"/>
    <w:rsid w:val="580D25F6"/>
    <w:rsid w:val="60617BB3"/>
    <w:rsid w:val="6A261A93"/>
    <w:rsid w:val="6EDB63E4"/>
    <w:rsid w:val="72E87C49"/>
    <w:rsid w:val="7341725F"/>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link w:val="230"/>
    <w:qFormat/>
    <w:uiPriority w:val="0"/>
    <w:pPr>
      <w:spacing w:after="120" w:line="240" w:lineRule="auto"/>
      <w:ind w:firstLine="420" w:firstLineChars="100"/>
    </w:pPr>
    <w:rPr>
      <w:rFonts w:eastAsia="宋体"/>
      <w:sz w:val="21"/>
    </w:rPr>
  </w:style>
  <w:style w:type="paragraph" w:styleId="25">
    <w:name w:val="Body Text Indent"/>
    <w:basedOn w:val="1"/>
    <w:next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4</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cp:lastModifiedBy>
  <cp:lastPrinted>2023-07-24T23:14:00Z</cp:lastPrinted>
  <dcterms:modified xsi:type="dcterms:W3CDTF">2024-04-25T07:30:50Z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