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绍兴市奥体中心</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保安、保洁等物业管理服务项目</w:t>
      </w:r>
    </w:p>
    <w:p>
      <w:pPr>
        <w:jc w:val="both"/>
        <w:outlineLvl w:val="0"/>
        <w:rPr>
          <w:rFonts w:hint="eastAsia" w:ascii="仿宋_GB2312" w:hAnsi="仿宋_GB2312" w:eastAsia="仿宋_GB2312" w:cs="仿宋_GB2312"/>
          <w:b/>
          <w:sz w:val="72"/>
          <w:szCs w:val="72"/>
          <w:highlight w:val="none"/>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center"/>
        <w:outlineLvl w:val="0"/>
        <w:rPr>
          <w:rFonts w:hint="eastAsia" w:ascii="仿宋_GB2312" w:hAnsi="仿宋_GB2312" w:eastAsia="仿宋_GB2312" w:cs="仿宋_GB2312"/>
          <w:sz w:val="44"/>
          <w:highlight w:val="none"/>
        </w:rPr>
      </w:pPr>
    </w:p>
    <w:p>
      <w:pPr>
        <w:jc w:val="center"/>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2024-01-0013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绍兴市奥体中心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eastAsia="zh-CN"/>
              </w:rPr>
              <w:t>一</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7"/>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绍兴市奥体中心保安、保洁等物业管理服务项目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7"/>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2024-01-0013</w:t>
            </w:r>
          </w:p>
          <w:p>
            <w:pPr>
              <w:pStyle w:val="97"/>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绍兴市奥体中心保安、保洁等物业管理服务项目</w:t>
            </w:r>
          </w:p>
          <w:p>
            <w:pPr>
              <w:pStyle w:val="97"/>
              <w:spacing w:afterLines="0" w:line="240" w:lineRule="auto"/>
              <w:ind w:firstLine="482" w:firstLineChars="200"/>
              <w:rPr>
                <w:rFonts w:hint="default" w:ascii="仿宋_GB2312" w:hAnsi="新宋体" w:eastAsia="微软雅黑"/>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val="0"/>
                <w:bCs/>
                <w:szCs w:val="24"/>
                <w:highlight w:val="none"/>
              </w:rPr>
              <w:t>30441</w:t>
            </w:r>
            <w:r>
              <w:rPr>
                <w:rFonts w:hint="eastAsia" w:ascii="仿宋_GB2312" w:hAnsi="新宋体" w:eastAsia="仿宋_GB2312"/>
                <w:b w:val="0"/>
                <w:bCs/>
                <w:szCs w:val="24"/>
                <w:highlight w:val="none"/>
                <w:lang w:val="en-US" w:eastAsia="zh-CN"/>
              </w:rPr>
              <w:t>00</w:t>
            </w:r>
          </w:p>
          <w:p>
            <w:pPr>
              <w:pStyle w:val="97"/>
              <w:spacing w:afterLines="0" w:line="440" w:lineRule="exact"/>
              <w:ind w:firstLine="482"/>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val="0"/>
                <w:bCs/>
                <w:szCs w:val="24"/>
                <w:highlight w:val="none"/>
              </w:rPr>
              <w:t>30441</w:t>
            </w:r>
            <w:r>
              <w:rPr>
                <w:rFonts w:hint="eastAsia" w:ascii="仿宋_GB2312" w:hAnsi="新宋体" w:eastAsia="仿宋_GB2312"/>
                <w:b w:val="0"/>
                <w:bCs/>
                <w:szCs w:val="24"/>
                <w:highlight w:val="none"/>
                <w:lang w:val="en-US" w:eastAsia="zh-CN"/>
              </w:rPr>
              <w:t>00</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7"/>
              <w:spacing w:afterLines="0" w:line="440" w:lineRule="exact"/>
              <w:ind w:right="-508" w:rightChars="-242" w:firstLine="482"/>
              <w:rPr>
                <w:rFonts w:hint="eastAsia"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保安、保洁等物业管理服务项目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预算金额（元）:</w:t>
            </w:r>
            <w:r>
              <w:rPr>
                <w:rFonts w:hint="eastAsia" w:ascii="仿宋_GB2312" w:hAnsi="新宋体" w:eastAsia="仿宋_GB2312"/>
                <w:b w:val="0"/>
                <w:bCs/>
                <w:szCs w:val="24"/>
                <w:highlight w:val="none"/>
              </w:rPr>
              <w:t>30441</w:t>
            </w:r>
            <w:r>
              <w:rPr>
                <w:rFonts w:hint="eastAsia" w:ascii="仿宋_GB2312" w:hAnsi="新宋体" w:eastAsia="仿宋_GB2312"/>
                <w:b w:val="0"/>
                <w:bCs/>
                <w:szCs w:val="24"/>
                <w:highlight w:val="none"/>
                <w:lang w:val="en-US" w:eastAsia="zh-CN"/>
              </w:rPr>
              <w:t>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主要内容：简要规格描述、项目基本概况介绍、用途详见采购文件。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7"/>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7"/>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绍兴市奥体中心</w:t>
            </w:r>
            <w:r>
              <w:rPr>
                <w:rFonts w:ascii="仿宋_GB2312" w:hAnsi="新宋体" w:eastAsia="仿宋_GB2312"/>
                <w:szCs w:val="24"/>
                <w:highlight w:val="none"/>
              </w:rPr>
              <w:t> </w:t>
            </w:r>
          </w:p>
          <w:p>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地址：绍兴市越城区洋江西路899号</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传真：0575-89119002</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项目联系人（询问）：包君明</w:t>
            </w:r>
          </w:p>
          <w:p>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项目联系方式（询问）：0575-89119002</w:t>
            </w:r>
          </w:p>
          <w:p>
            <w:pPr>
              <w:pStyle w:val="97"/>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质疑联系人：</w:t>
            </w:r>
            <w:r>
              <w:rPr>
                <w:rFonts w:hint="eastAsia" w:ascii="仿宋_GB2312" w:hAnsi="新宋体" w:eastAsia="仿宋_GB2312"/>
                <w:szCs w:val="24"/>
                <w:highlight w:val="none"/>
                <w:lang w:val="en-US" w:eastAsia="zh-CN"/>
              </w:rPr>
              <w:t xml:space="preserve"> </w:t>
            </w:r>
            <w:r>
              <w:rPr>
                <w:rFonts w:hint="eastAsia" w:ascii="仿宋_GB2312" w:hAnsi="新宋体" w:eastAsia="仿宋_GB2312"/>
                <w:szCs w:val="24"/>
                <w:highlight w:val="none"/>
              </w:rPr>
              <w:t>孔如良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质疑联系方式：0575-89117714</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7"/>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7"/>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扰乱公共资源交易市场秩序行为：</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19</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2.2.4法定代表人身份证明书；</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2.2.6廉政承诺书（格式见第六部分附件）；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2.2.8供应商应提供针对项目的完整技术解决方案：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2.2.15培训计划（如有）；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2.2.16验收方案；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2.2.17</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2.2.18投标人需要说明的其他文件和说明（格式自拟）。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24"/>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24"/>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1"/>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4325929"/>
      <w:bookmarkStart w:id="2" w:name="_Toc81372953"/>
      <w:bookmarkStart w:id="3" w:name="_Toc81372776"/>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highlight w:val="none"/>
        </w:rPr>
      </w:pPr>
    </w:p>
    <w:p>
      <w:pPr>
        <w:pStyle w:val="33"/>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1372787"/>
      <w:bookmarkStart w:id="6" w:name="_Toc80157775"/>
      <w:bookmarkStart w:id="7" w:name="_Toc84325981"/>
      <w:bookmarkStart w:id="8" w:name="_Toc81372964"/>
    </w:p>
    <w:p>
      <w:pPr>
        <w:keepNext w:val="0"/>
        <w:keepLines w:val="0"/>
        <w:pageBreakBefore w:val="0"/>
        <w:tabs>
          <w:tab w:val="left" w:pos="3780"/>
        </w:tabs>
        <w:kinsoku/>
        <w:wordWrap/>
        <w:overflowPunct/>
        <w:topLinePunct w:val="0"/>
        <w:autoSpaceDE/>
        <w:autoSpaceDN/>
        <w:bidi w:val="0"/>
        <w:adjustRightInd w:val="0"/>
        <w:snapToGrid w:val="0"/>
        <w:spacing w:line="440" w:lineRule="exact"/>
        <w:ind w:firstLine="482" w:firstLineChars="200"/>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bdr w:val="single" w:color="auto" w:sz="4" w:space="0"/>
        </w:rPr>
        <w:t>01标</w:t>
      </w:r>
      <w:bookmarkStart w:id="9" w:name="_Toc7206"/>
      <w:bookmarkStart w:id="10" w:name="_Toc32678"/>
      <w:r>
        <w:rPr>
          <w:rFonts w:hint="eastAsia" w:ascii="仿宋_GB2312" w:hAnsi="仿宋_GB2312" w:eastAsia="仿宋_GB2312" w:cs="仿宋_GB2312"/>
          <w:b/>
          <w:bCs/>
          <w:sz w:val="24"/>
          <w:szCs w:val="24"/>
          <w:highlight w:val="none"/>
          <w:lang w:eastAsia="zh-CN"/>
        </w:rPr>
        <w:t>保安、保洁等物业管理服务项目</w:t>
      </w:r>
    </w:p>
    <w:bookmarkEnd w:id="4"/>
    <w:bookmarkEnd w:id="9"/>
    <w:bookmarkEnd w:id="10"/>
    <w:p>
      <w:pPr>
        <w:keepNext w:val="0"/>
        <w:keepLines w:val="0"/>
        <w:pageBreakBefore w:val="0"/>
        <w:kinsoku/>
        <w:wordWrap/>
        <w:overflowPunct/>
        <w:topLinePunct w:val="0"/>
        <w:autoSpaceDE/>
        <w:autoSpaceDN/>
        <w:bidi w:val="0"/>
        <w:adjustRightInd/>
        <w:snapToGrid/>
        <w:spacing w:after="0" w:line="44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物业概况及范围</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sz w:val="24"/>
          <w:szCs w:val="24"/>
        </w:rPr>
        <w:t>绍兴市奥体中心占地总面积约351亩，总建筑面积达14万平方米，位于绍兴市镜湖新区核心区域，解放大道西、洋江西路北侧。中心以河为界，分南北二区，共有三个单体建筑组成，北区有体育会展馆和射击射箭馆及配套管理用房，南区有游泳馆。场外包括南北向跨河地面桥、高架桥并列各一座、室外会展广场、大型停车场、市民健身广场、景观及相应配套管理用房。绍兴市棒垒球体育文化中心体育功能运营部分，主要指体能训练中心（游泳馆、球类馆等）、棒球主副馆、垒球主副馆及场外等，建筑面积约6万平方米。</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（一）保安、消（监）控、高配等服务</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1、保安服务（确保人员、财产及交通安全）</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（1）人员要求：</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①男性，人数不少于30人,其中保安队长1人。</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②保安人员应五官端正，身体健康，统一着装，佩带胸牌。责任心强，能适应夜间工作及倒班，初中以上文化，会基本的电脑操作。无不良社会记录和违法犯罪记录。</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③人员的月更替率不得超过8%。</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（2）主要服务内容：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①门岗及来客来车登记。</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②24小时监控值班</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③按规定线路及重点部位24小时内不定时巡逻检查。</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④维护车辆行驶、停泊秩序。</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⑤消防安全。</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⑥报刊、信件收发。</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（3）保安要求：</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①通过现有的管理手段，采取“人防”与“技防”相结合的管理模式，实施全天候保安管理，切实做好安全防范措施。</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②运用报警监控系统及巡更系统，发现异常情况，及时报告与妥善处置。</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③协助公安机关做好区域内的治安案件的处理。</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（4）岗位设置及人员要求：</w:t>
      </w:r>
    </w:p>
    <w:tbl>
      <w:tblPr>
        <w:tblStyle w:val="63"/>
        <w:tblW w:w="9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14"/>
        <w:gridCol w:w="687"/>
        <w:gridCol w:w="710"/>
        <w:gridCol w:w="4397"/>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岗位性质</w:t>
            </w:r>
          </w:p>
        </w:tc>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早班人数</w:t>
            </w:r>
          </w:p>
        </w:tc>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中班人数</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晚班人数</w:t>
            </w:r>
          </w:p>
        </w:tc>
        <w:tc>
          <w:tcPr>
            <w:tcW w:w="43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ind w:firstLine="1440" w:firstLineChars="6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简要职责</w:t>
            </w:r>
          </w:p>
        </w:tc>
        <w:tc>
          <w:tcPr>
            <w:tcW w:w="2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奥体南岗</w:t>
            </w:r>
          </w:p>
        </w:tc>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97" w:type="dxa"/>
            <w:vMerge w:val="restart"/>
            <w:tcBorders>
              <w:top w:val="single" w:color="auto" w:sz="4" w:space="0"/>
              <w:left w:val="single" w:color="auto" w:sz="4" w:space="0"/>
              <w:right w:val="single" w:color="auto" w:sz="4" w:space="0"/>
            </w:tcBorders>
            <w:vAlign w:val="center"/>
          </w:tcPr>
          <w:p>
            <w:pPr>
              <w:pStyle w:val="117"/>
              <w:keepNext w:val="0"/>
              <w:keepLines w:val="0"/>
              <w:pageBreakBefore w:val="0"/>
              <w:numPr>
                <w:ilvl w:val="0"/>
                <w:numId w:val="6"/>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要求保安24小时在岗，做好人员、车辆进出的秩序维护工作。</w:t>
            </w:r>
          </w:p>
          <w:p>
            <w:pPr>
              <w:pStyle w:val="117"/>
              <w:keepNext w:val="0"/>
              <w:keepLines w:val="0"/>
              <w:pageBreakBefore w:val="0"/>
              <w:numPr>
                <w:ilvl w:val="0"/>
                <w:numId w:val="6"/>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做好安防反恐的第一道防线工作。</w:t>
            </w:r>
          </w:p>
        </w:tc>
        <w:tc>
          <w:tcPr>
            <w:tcW w:w="2103"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男性，初中以上文化水平，懂一定的电脑操作。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奥体北岗</w:t>
            </w:r>
          </w:p>
        </w:tc>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9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c>
          <w:tcPr>
            <w:tcW w:w="210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射击馆7号门</w:t>
            </w:r>
          </w:p>
        </w:tc>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9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c>
          <w:tcPr>
            <w:tcW w:w="210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棒球馆门岗</w:t>
            </w:r>
          </w:p>
        </w:tc>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9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c>
          <w:tcPr>
            <w:tcW w:w="210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垒球馆门岗</w:t>
            </w:r>
          </w:p>
        </w:tc>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97"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c>
          <w:tcPr>
            <w:tcW w:w="2103"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固定岗</w:t>
            </w:r>
          </w:p>
        </w:tc>
        <w:tc>
          <w:tcPr>
            <w:tcW w:w="21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ind w:firstLine="960" w:firstLineChars="4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3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1.位于射击馆9号门、奥体游泳馆8号门、体育馆检录大厅、训练馆门岗、体能训练中心游泳馆门岗、体能训练中心球类馆门岗6个固定区域。</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2.保持区域内的设施和各类消防设施的完好，保证消防通道的畅通。</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3.负责附近区域停车管理设施的巡视检查和维护，发现问题及时报告。</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4.负责进出人员登记、引导工作。</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5.本岗位12小时工作制</w:t>
            </w:r>
          </w:p>
        </w:tc>
        <w:tc>
          <w:tcPr>
            <w:tcW w:w="2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男性，初中以上文化水平。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场地管理</w:t>
            </w:r>
          </w:p>
        </w:tc>
        <w:tc>
          <w:tcPr>
            <w:tcW w:w="21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ind w:firstLine="960" w:firstLineChars="4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1.协助场馆经营人员对奥体体育馆及训练馆进行场馆管理，阻止不文明行为。</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2.保障安全经营工作。</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3.本岗位12小时工作制</w:t>
            </w:r>
          </w:p>
        </w:tc>
        <w:tc>
          <w:tcPr>
            <w:tcW w:w="2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男性，初中以上文化水平。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机动巡逻岗</w:t>
            </w:r>
          </w:p>
        </w:tc>
        <w:tc>
          <w:tcPr>
            <w:tcW w:w="7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6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3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1.视具体情况到以上各岗位进行相关工作。</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2.巡逻时发现违规、违章、可疑情况及时进行劝阻或制止，并及时向上级汇报。</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3.负责处理各种报警、按时到达现场确认，维护秩序，保护现场，并向上级报告。</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4.按照巡逻路线对区域进行巡视、签到。</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5.密切配合消监控，做好与消控室值班人员的协调配合工作，及时处理安全隐患。</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6.发现车辆事故及通道堵塞等情况，应进行劝解，疏导，并立即上报。</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7.熟悉区域内建筑布局、设施及环境的情况，熟练掌握各种突发情况的处置方法。</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8.对奥体中心及棒垒球中心的本班人员工作进行指导检查。</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9.保证每2小时一次对整个场馆（灯光、水表等）巡逻检查。</w:t>
            </w:r>
          </w:p>
        </w:tc>
        <w:tc>
          <w:tcPr>
            <w:tcW w:w="2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男性，中专以上文化水平。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w:t>
            </w:r>
          </w:p>
        </w:tc>
        <w:tc>
          <w:tcPr>
            <w:tcW w:w="21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napToGrid/>
              <w:spacing w:line="440" w:lineRule="exact"/>
              <w:ind w:firstLine="1200" w:firstLineChars="5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43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tc>
        <w:tc>
          <w:tcPr>
            <w:tcW w:w="2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队长</w:t>
            </w:r>
          </w:p>
        </w:tc>
        <w:tc>
          <w:tcPr>
            <w:tcW w:w="211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ind w:firstLine="1200" w:firstLineChars="5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3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全面负责统筹各岗位工作及人员调度并开展安保、消防工作，配合领导开展其他工作。</w:t>
            </w:r>
          </w:p>
        </w:tc>
        <w:tc>
          <w:tcPr>
            <w:tcW w:w="2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男性，中专以上文化水平。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1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31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早班7：00-15：00；中班15：00-23：00；晚班23：00-7：00；8小时制。</w:t>
            </w:r>
          </w:p>
        </w:tc>
      </w:tr>
    </w:tbl>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2、消（监）控管理（要求：4个消监控室消防设施完好率为100%）</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（1）消（监）控岗位：总人数15人</w:t>
      </w:r>
      <w:r>
        <w:rPr>
          <w:rFonts w:hint="eastAsia" w:ascii="仿宋_GB2312" w:hAnsi="仿宋_GB2312" w:eastAsia="仿宋_GB2312" w:cs="仿宋_GB2312"/>
          <w:sz w:val="24"/>
          <w:szCs w:val="24"/>
          <w:lang w:eastAsia="zh-CN"/>
        </w:rPr>
        <w:t>（含</w:t>
      </w:r>
      <w:r>
        <w:rPr>
          <w:rFonts w:hint="eastAsia" w:ascii="仿宋_GB2312" w:hAnsi="仿宋_GB2312" w:eastAsia="仿宋_GB2312" w:cs="仿宋_GB2312"/>
          <w:sz w:val="24"/>
          <w:szCs w:val="24"/>
        </w:rPr>
        <w:t>消（监）控负责人1名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，其中体育馆消（监）控室配备6人，实行双岗制，游泳馆、射击馆和垒球馆消（监）控室各配备3人，实行单岗制。（4个消控室都已加装智慧消防设备）</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（2）消（监）控员素质要求：</w:t>
      </w:r>
      <w:r>
        <w:rPr>
          <w:rFonts w:hint="eastAsia" w:ascii="仿宋_GB2312" w:hAnsi="仿宋_GB2312" w:eastAsia="仿宋_GB2312" w:cs="仿宋_GB2312"/>
          <w:color w:val="auto"/>
          <w:sz w:val="24"/>
          <w:szCs w:val="24"/>
          <w:highlight w:val="none"/>
          <w:lang w:val="en-US" w:eastAsia="zh-CN"/>
        </w:rPr>
        <w:t>持有人社部门颁发的建（构）筑物消防员证书或消防设施操作员证书</w:t>
      </w:r>
      <w:r>
        <w:rPr>
          <w:rFonts w:hint="eastAsia" w:ascii="仿宋_GB2312" w:hAnsi="仿宋_GB2312" w:eastAsia="仿宋_GB2312" w:cs="仿宋_GB2312"/>
          <w:sz w:val="24"/>
          <w:szCs w:val="24"/>
        </w:rPr>
        <w:t>；接受过相应培训；身体健康；统一着装，佩带胸牌，仪容仪表整洁端庄。</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（3）消防系统一般主要有：</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①湿式消防系统：自动喷淋系统，消防栓系统(消防泵)。</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②消防联动机构：消防送风和排烟风机的功能和联动试验；空气系统新风机和排气机的功能和联动试验；消防电梯的功能试验。</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火灾报警系统：自动报警系统（包括感温式火灾报警、感烟式火灾报警、感光式火灾报警），手动报警系统（包括电铃报警、破碎玻璃报警、紧急电话报警）。除消防系统外，(公共)灭火器、手推灭火器由招标方配备、更换，日常巡检、维护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负责。消防疏散示意图范围安装在主要出入口，由</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负责。</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）消防工作的展开：</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①进行消防宣传。宣传的形式有：消防轮训，利用标语或牌示进行宣传，发放消防须知(防火手册)。宣传的内容有：消防工作的原则，消防法规，消防须知 。</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②建立三级防火组织，并确立相应的防火责任人：管理公司总经理、部门经理、班组长。 </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③明确防火责任人的职责，根据《中华人民共和国消防条例》的规定，制定防火制度。</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④定期组织及安排消防检查，根据查出的火险隐患发出消防整改通知书，限期整改。</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⑤制定防火工作措施，从制度（根据招标方要求完善消防安全管理制度）上预防火灾事故的发生。</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⑥发动大家，及时消除火灾苗头和隐患。</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⑦建立自防、自救组织。包括：建立义务消防队；建立专职消防队；抓好消防训练，每年组织一次消防演习。</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⑧明确火灾紧急疏散程序。做好疏散的准备工作，人员疏散为主为先，转移危险品、抢救贵重财产在后。</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⑨建立消防档案。⑩制订灭火方案及重点部位保卫方案。</w:t>
      </w:r>
    </w:p>
    <w:p>
      <w:pPr>
        <w:keepNext w:val="0"/>
        <w:keepLines w:val="0"/>
        <w:pageBreakBefore w:val="0"/>
        <w:numPr>
          <w:ilvl w:val="0"/>
          <w:numId w:val="7"/>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机房监控:</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①负责监控值班工作，到岗后查看上一班值班记录及应交接注意事项。</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②打开监控屏，查验监控设施设备是否运行正常，调整监控探头定格至有效监控范围。</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③爱护机房设备，禁止非工作人员进入机房随意拨动、操作设备。</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④认真填写值班记录，按规定时间保存录像，详细登记技防设施工作情况，严禁睡觉或打瞌睡。</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⑤下班前做好机房的卫生保洁工作。</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（6）保证24小时值班，设施设备运行正常。设备房环境整洁。</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3、高配服务（要求：4个高配房确保场馆高低压配电系统的正常运行）</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（1）高配岗位：总人数12人</w:t>
      </w:r>
      <w:r>
        <w:rPr>
          <w:rFonts w:hint="eastAsia" w:ascii="仿宋_GB2312" w:hAnsi="仿宋_GB2312" w:eastAsia="仿宋_GB2312" w:cs="仿宋_GB2312"/>
          <w:sz w:val="24"/>
          <w:szCs w:val="24"/>
          <w:lang w:eastAsia="zh-CN"/>
        </w:rPr>
        <w:t>（含</w:t>
      </w:r>
      <w:r>
        <w:rPr>
          <w:rFonts w:hint="eastAsia" w:ascii="仿宋_GB2312" w:hAnsi="仿宋_GB2312" w:eastAsia="仿宋_GB2312" w:cs="仿宋_GB2312"/>
          <w:sz w:val="24"/>
          <w:szCs w:val="24"/>
        </w:rPr>
        <w:t>高配负责人1名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，体育馆、游泳馆、射击馆和垒球馆4个高配房各配备3人，实行单岗制。</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（2）高配员工的人员素质：</w:t>
      </w:r>
      <w:r>
        <w:rPr>
          <w:rFonts w:hint="eastAsia" w:ascii="仿宋_GB2312" w:hAnsi="仿宋_GB2312" w:eastAsia="仿宋_GB2312" w:cs="仿宋_GB2312"/>
          <w:color w:val="auto"/>
          <w:sz w:val="24"/>
          <w:szCs w:val="24"/>
        </w:rPr>
        <w:t>持有应急管理部门颁发或监制的特种作业操作证（</w:t>
      </w: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高压电</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工作业）</w:t>
      </w:r>
      <w:r>
        <w:rPr>
          <w:rFonts w:hint="eastAsia" w:ascii="仿宋_GB2312" w:hAnsi="仿宋_GB2312" w:eastAsia="仿宋_GB2312" w:cs="仿宋_GB2312"/>
          <w:sz w:val="24"/>
          <w:szCs w:val="24"/>
        </w:rPr>
        <w:t>。身体健康；统一着装，佩带胸牌、仪容仪表整洁端庄。</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（3）保证24小时值班，每1小时检查设备的运转情况，并做好相应记录，确保场馆高低压配电系统及设施设备正常运行，保持设备房环境整洁。</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4、其他管理与服务设置和要求</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（1）本项目负责人1名（由保安队长兼任）, 消（监）控负责人1名（由消控岗兼任），高配负责人1名（由高配岗兼任）。</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（2）对讲机等设备等费用</w:t>
      </w:r>
      <w:r>
        <w:rPr>
          <w:rFonts w:hint="eastAsia" w:ascii="仿宋_GB2312" w:hAnsi="仿宋_GB2312" w:eastAsia="仿宋_GB2312" w:cs="仿宋_GB2312"/>
          <w:sz w:val="24"/>
          <w:szCs w:val="24"/>
          <w:lang w:eastAsia="zh-CN"/>
        </w:rPr>
        <w:t>包含在投标报价内</w:t>
      </w:r>
      <w:r>
        <w:rPr>
          <w:rFonts w:hint="eastAsia" w:ascii="仿宋_GB2312" w:hAnsi="仿宋_GB2312" w:eastAsia="仿宋_GB2312" w:cs="仿宋_GB2312"/>
          <w:sz w:val="24"/>
          <w:szCs w:val="24"/>
        </w:rPr>
        <w:t>。</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（3）管理与服务所需的各类服装、工具、部分材料等费用</w:t>
      </w:r>
      <w:r>
        <w:rPr>
          <w:rFonts w:hint="eastAsia" w:ascii="仿宋_GB2312" w:hAnsi="仿宋_GB2312" w:eastAsia="仿宋_GB2312" w:cs="仿宋_GB2312"/>
          <w:sz w:val="24"/>
          <w:szCs w:val="24"/>
          <w:lang w:eastAsia="zh-CN"/>
        </w:rPr>
        <w:t>包含在投标报价内</w:t>
      </w:r>
      <w:r>
        <w:rPr>
          <w:rFonts w:hint="eastAsia" w:ascii="仿宋_GB2312" w:hAnsi="仿宋_GB2312" w:eastAsia="仿宋_GB2312" w:cs="仿宋_GB2312"/>
          <w:sz w:val="24"/>
          <w:szCs w:val="24"/>
        </w:rPr>
        <w:t>。</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参照全国城市物业管理评分标准，制定和落实与本物业相对应的服务质量考核标准，实现目标管理。</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bCs/>
          <w:sz w:val="24"/>
          <w:szCs w:val="24"/>
          <w:lang w:eastAsia="zh-CN"/>
        </w:rPr>
        <w:t>中标人</w:t>
      </w:r>
      <w:r>
        <w:rPr>
          <w:rFonts w:hint="eastAsia" w:ascii="仿宋_GB2312" w:hAnsi="仿宋_GB2312" w:eastAsia="仿宋_GB2312" w:cs="仿宋_GB2312"/>
          <w:bCs/>
          <w:sz w:val="24"/>
          <w:szCs w:val="24"/>
        </w:rPr>
        <w:t>用工需符合国家相关规定，做好上岗及常规业务培训。</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（6）赛事活动期间确保6名保安进行安保服务。</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（二）保洁服务</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1、总人数34人，其中保洁1名主管，保洁工人33人，人员工作时间8小时，每周休息1天。具体岗位见下表。</w:t>
      </w:r>
    </w:p>
    <w:tbl>
      <w:tblPr>
        <w:tblStyle w:val="63"/>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39"/>
        <w:gridCol w:w="992"/>
        <w:gridCol w:w="993"/>
        <w:gridCol w:w="1134"/>
        <w:gridCol w:w="992"/>
        <w:gridCol w:w="992"/>
        <w:gridCol w:w="99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93"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区域</w:t>
            </w:r>
          </w:p>
        </w:tc>
        <w:tc>
          <w:tcPr>
            <w:tcW w:w="939"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体育会展馆</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射击射箭馆</w:t>
            </w:r>
          </w:p>
        </w:tc>
        <w:tc>
          <w:tcPr>
            <w:tcW w:w="993"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奥体游泳馆</w:t>
            </w:r>
          </w:p>
        </w:tc>
        <w:tc>
          <w:tcPr>
            <w:tcW w:w="1134"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奥体场外及地下室</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棒球主副馆</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垒球主副馆</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体能训练馆</w:t>
            </w:r>
          </w:p>
        </w:tc>
        <w:tc>
          <w:tcPr>
            <w:tcW w:w="8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PA技工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93"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岗位数</w:t>
            </w:r>
          </w:p>
        </w:tc>
        <w:tc>
          <w:tcPr>
            <w:tcW w:w="939"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993"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134"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9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892"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bl>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2、人员要求：现场管理人员要管理规范，招聘人员年龄符合《《中华人民共和国劳动法》》规定；着装统一，挂牌上岗，形象良好，具有敬业爱岗、文明礼貌、身体健康、操作熟练、细心认真、服务态度良好等素质。</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3、质量标准和工作要求</w:t>
      </w:r>
    </w:p>
    <w:tbl>
      <w:tblPr>
        <w:tblStyle w:val="63"/>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26"/>
        <w:gridCol w:w="72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内容</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时间</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质量标准、工作要求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洗</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间</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1．洗手间内洗手池盆、拖把应保持干净，洗手盆台面无积水、无污迹；水龙头、镜面光亮，使用正常。</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2．每日清洗抽水马桶、便器、小便池，保持无污垢、无锈迹、无异味。</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3．室内空气要保持新鲜，厕所无异味；通风器设备要清洁，确保运作正常。</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4．保持所有卫生设施正常使用、定时更换厕纸，无滴漏现象，不得随便关闭厕所。需要修理的龙头、管道等应及时报告。</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5．地面、墙面、天花板、门、窗、隔断板等保持干净，地面无积水、所有表面保持干净，无污垢、无灰尘、无污迹、无锈迹。</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6．要保持所有照明灯、开关使用正常，有故障或损坏及时报修。</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7．每天巡视保洁次数不少于6次。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梯</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间</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1．经常对电梯进行清洁保养，定期对电梯壁进行上光，保持电梯内空气清新，地毯无积尘、无杂物，四壁干净无手印、无污迹、镜面光亮。</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2．每天早上7：00时之前更换或彻底清洁地毯一次，上、下午各吸尘一次，随脏随吸。</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3．发现电梯间内照明、设备等异常情况及时报告。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楼</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梯</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间</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道</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1．保持楼梯间、楼梯、扶栏、扶手，窗台、墙角清洁无积尘，禁止摆放各种物品、堆积物，保证畅通整洁。</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2．楼层包干区每日清扫二次，经常清理垃圾及堆积物，保持清洁无堆积物、门窗无积尘、无蛛网、烟筒随脏随清，保证通道整洁畅通。</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3．各种应急灯、电灯、插座、开关、消防栓、灭火器均应无积尘，完好无损，故障或损坏应及时报修。</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4．废弃纸，废纸板及时清理送规定地点，集中处理。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共</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放</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区</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1.每天进行清扫，对地面进行循环尘推，尤其对各场馆外墙2米及以下要进行清扫，保持整洁。其它部位，如门窗、框、玻璃、柱面、墙面、开关、柜台等要经常清洁，保持光亮、明净、整洁、完好无损。</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2.遇到下雨天，在大厅进出口处要放置伞架，铺上防滑地毯，增加拖地次数。</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保持大厅地面干净，无痰迹、无烟蒂、纸屑和垃圾灰尘。</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玻璃大门无手印及无灰尘，保持光亮，完好无损。</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室内垃圾筒外围保持光亮、清洁，无痰迹、无烟蒂。</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保持更衣室干净整洁，无垃圾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室</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及</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议</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室</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办公室四周无灰尘、无蜘蛛网、天花板光洁明亮、墙面整洁、墙饰干净，室内空气新鲜无虫害。</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地面：表面、接缝、角落、边线等处应洁净，无杂物、灰尘、印迹、污垢、污渍等现象。</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墙面：表面、接缝、顶角、边线等处应洁净，无灰尘、印迹、污垢、污渍、划痕等现象。</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门、窗</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（1）窗台、门框、窗框、玻璃与门框四角的结合处等部位，应无灰尘、印迹、污垢等。门框底部应无积污。</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（2）门、窗的玻璃表面光洁、透光性好、镜面人像清晰。</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（3）金属的门、门框、窗框、扶手、拉手等应无氧化斑点，色泽光亮，并保持其金属质感。桌、椅保持表面光滑，无灰尘、污迹。</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5.会议室内保持干净，保证每次会后地毯吸尘一次，每年清洗一次。</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6.每次会后都要清理卫生一次，如一次性杯、纸屑、杂物全部清除，保持地面、墙面、桌面干净，门窗干净、光亮。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环</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境</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路</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面</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1．地面无纸屑、杂物、落叶和烟蒂，雨后无积水。</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2．草坪灯隔日擦拭，花盆内无烟蒂等杂物，草坪内无杂物（树叶）。</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3．栏杆、铁栅下、标准灯下，大理石外围常擦、常扫、保持清洁。</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4．及时清运袋装垃圾，公共部位无明显灰尘污痕。</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5．室外道路、花坛中，无废弃物，无有碍观瞻的张贴物、悬挂物。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停车场</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停车场卫生做到每日清扫，随脏随扫。地面无纸屑、杂物、落叶和烟蒂，雨后无积水。</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地上及地下车库卫生做到每日清扫，随脏随扫，每周一大扫。确保车库整洁，车库通道畅通，经常打扫，做到无尘、无烟蒂、无杂物、无蛛网、无污迹。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PA技工</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花岗岩大理石地面晶面处理。</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玻璃镜面清洁保养。</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地毯清洁保养。</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不锈钢上油保养。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7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其他</w:t>
            </w:r>
          </w:p>
        </w:tc>
        <w:tc>
          <w:tcPr>
            <w:tcW w:w="7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每日</w:t>
            </w:r>
          </w:p>
        </w:tc>
        <w:tc>
          <w:tcPr>
            <w:tcW w:w="7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做好垃圾分类工作。</w:t>
            </w:r>
          </w:p>
        </w:tc>
      </w:tr>
    </w:tbl>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（三）其他管理与服务设置和要求</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（1）管理与服务所需的各类服装、工具、部分材料</w:t>
      </w:r>
      <w:r>
        <w:rPr>
          <w:rFonts w:hint="eastAsia" w:ascii="仿宋_GB2312" w:hAnsi="仿宋_GB2312" w:eastAsia="仿宋_GB2312" w:cs="仿宋_GB2312"/>
          <w:sz w:val="24"/>
          <w:szCs w:val="24"/>
          <w:lang w:eastAsia="zh-CN"/>
        </w:rPr>
        <w:t>等费用均包含在投标报价内</w:t>
      </w:r>
      <w:r>
        <w:rPr>
          <w:rFonts w:hint="eastAsia" w:ascii="仿宋_GB2312" w:hAnsi="仿宋_GB2312" w:eastAsia="仿宋_GB2312" w:cs="仿宋_GB2312"/>
          <w:sz w:val="24"/>
          <w:szCs w:val="24"/>
        </w:rPr>
        <w:t>。</w:t>
      </w:r>
    </w:p>
    <w:p>
      <w:pPr>
        <w:keepNext w:val="0"/>
        <w:keepLines w:val="0"/>
        <w:pageBreakBefore w:val="0"/>
        <w:kinsoku/>
        <w:wordWrap/>
        <w:overflowPunct/>
        <w:topLinePunct w:val="0"/>
        <w:autoSpaceDE/>
        <w:autoSpaceDN/>
        <w:bidi w:val="0"/>
        <w:adjustRightInd/>
        <w:snapToGrid/>
        <w:spacing w:line="440" w:lineRule="exact"/>
        <w:ind w:firstLine="240" w:firstLine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（2）要求每天清运垃圾，垃圾清运费</w:t>
      </w:r>
      <w:r>
        <w:rPr>
          <w:rFonts w:hint="eastAsia" w:ascii="仿宋_GB2312" w:hAnsi="仿宋_GB2312" w:eastAsia="仿宋_GB2312" w:cs="仿宋_GB2312"/>
          <w:sz w:val="24"/>
          <w:szCs w:val="24"/>
          <w:lang w:eastAsia="zh-CN"/>
        </w:rPr>
        <w:t>包含在投标报价内</w:t>
      </w:r>
      <w:r>
        <w:rPr>
          <w:rFonts w:hint="eastAsia" w:ascii="仿宋_GB2312" w:hAnsi="仿宋_GB2312" w:eastAsia="仿宋_GB2312" w:cs="仿宋_GB2312"/>
          <w:sz w:val="24"/>
          <w:szCs w:val="24"/>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（3）保洁工具</w:t>
      </w:r>
      <w:r>
        <w:rPr>
          <w:rFonts w:hint="eastAsia" w:ascii="仿宋_GB2312" w:hAnsi="仿宋_GB2312" w:eastAsia="仿宋_GB2312" w:cs="仿宋_GB2312"/>
          <w:sz w:val="24"/>
          <w:szCs w:val="24"/>
          <w:lang w:eastAsia="zh-CN"/>
        </w:rPr>
        <w:t>由中标人提供，费用包含在投标报价内</w:t>
      </w:r>
      <w:r>
        <w:rPr>
          <w:rFonts w:hint="eastAsia" w:ascii="仿宋_GB2312" w:hAnsi="仿宋_GB2312" w:eastAsia="仿宋_GB2312" w:cs="仿宋_GB2312"/>
          <w:sz w:val="24"/>
          <w:szCs w:val="24"/>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（4）要求</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 xml:space="preserve">配备洗地机、扫地车、吸尘器等设备，以减少人力及专业PA工具和材料。 </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（四）</w:t>
      </w:r>
      <w:r>
        <w:rPr>
          <w:rFonts w:hint="eastAsia" w:ascii="仿宋_GB2312" w:hAnsi="仿宋_GB2312" w:eastAsia="仿宋_GB2312" w:cs="仿宋_GB2312"/>
          <w:b/>
          <w:bCs/>
          <w:sz w:val="24"/>
          <w:szCs w:val="24"/>
        </w:rPr>
        <w:t>管理扣罚规则</w:t>
      </w:r>
    </w:p>
    <w:p>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绍兴市奥体中心保安、消监控、高配、保洁等物业管理服务项目月考核表</w:t>
      </w:r>
    </w:p>
    <w:tbl>
      <w:tblPr>
        <w:tblStyle w:val="63"/>
        <w:tblW w:w="907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78"/>
        <w:gridCol w:w="4000"/>
        <w:gridCol w:w="567"/>
        <w:gridCol w:w="297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trPr>
        <w:tc>
          <w:tcPr>
            <w:tcW w:w="9072" w:type="dxa"/>
            <w:gridSpan w:val="5"/>
            <w:tcBorders>
              <w:top w:val="nil"/>
              <w:left w:val="nil"/>
              <w:right w:val="nil"/>
            </w:tcBorders>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 xml:space="preserve">被检单位：                                        检查时间：            年    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exact"/>
        </w:trPr>
        <w:tc>
          <w:tcPr>
            <w:tcW w:w="678"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项目</w:t>
            </w: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内容和要求</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分值</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扣分标准</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扣分</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扣分</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28" w:hRule="exact"/>
        </w:trPr>
        <w:tc>
          <w:tcPr>
            <w:tcW w:w="678" w:type="dxa"/>
            <w:vMerge w:val="restart"/>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整体</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管理</w:t>
            </w: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安保人员要经常性巡逻检查，积极配合业主、管理工作到位。各种工作安排记录、设备管理台账记录、日常检查记录完整。</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发现不足一次扣1分。</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41"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按规着装，仪表端庄、精神饱满；服务规范，礼貌热情；上班时间不做与工作无关的事情(玩手机、游戏、聊天等)。</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发现不足一次扣1分，扣完为止</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6"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门岗、消控、高配值班人员脱岗，值班电话长时间无人接听。</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发现一次扣1分。</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对业主物业管理部门指派的工作及交办事宜高度重视，执行力强。</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发现不足一次扣2分。</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物业使用者对物业服务工作的满意度。</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有责投诉一次扣2分，扣完为止</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8"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因管理责任导致的盗窃事件、刑事案件和治安事件发生</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发现一次扣5分。</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做好中心场馆内外公共区域、办公室、功能用房、厕所、走廊、楼梯、外墙、玻璃门窗及马路、绿化带等的卫生保洁。 </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发现一处区域不干净，扣</w:t>
            </w:r>
            <w:r>
              <w:rPr>
                <w:rFonts w:hint="eastAsia" w:ascii="仿宋_GB2312" w:hAnsi="仿宋_GB2312" w:eastAsia="仿宋_GB2312" w:cs="仿宋_GB2312"/>
                <w:sz w:val="24"/>
                <w:szCs w:val="24"/>
              </w:rPr>
              <w:t>1</w:t>
            </w:r>
            <w:r>
              <w:rPr>
                <w:rFonts w:hint="eastAsia" w:ascii="仿宋_GB2312" w:hAnsi="仿宋_GB2312" w:eastAsia="仿宋_GB2312" w:cs="仿宋_GB2312"/>
                <w:bCs/>
                <w:sz w:val="24"/>
                <w:szCs w:val="24"/>
              </w:rPr>
              <w:t xml:space="preserve">分。 </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4" w:hRule="exact"/>
        </w:trPr>
        <w:tc>
          <w:tcPr>
            <w:tcW w:w="678" w:type="dxa"/>
            <w:vMerge w:val="restart"/>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分项</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管理</w:t>
            </w: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按制度管理进出人员、进出车辆、有序停放，做好来客登记询问、联系引导、传达收发信件等工作。</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发现不足一次扣1分，扣完为止。</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1"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按要求和相关标准做好赛事、会务安保等工作，按相关要求对安保人员进行培训及消防反恐等演练。</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发现不足一次扣2分，扣完为止。</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8"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要求定时对场馆的通用设施设备进行巡查、发现异常立即上报等工作。</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常用类设施设备损坏、异常未及时发现、上报等，半天内未完成，发现一次扣2分，扣完为止。</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要求扫地车每天清扫场外道路及铺障路面等区域，并保持干净整洁。</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发现一天不清扫扣1分，扣完为止。</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7" w:hRule="exact"/>
        </w:trPr>
        <w:tc>
          <w:tcPr>
            <w:tcW w:w="678" w:type="dxa"/>
            <w:vMerge w:val="continue"/>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c>
          <w:tcPr>
            <w:tcW w:w="4000"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要求每天清运垃圾，做好场馆内外垃圾分类等管理服务工作。</w:t>
            </w:r>
          </w:p>
        </w:tc>
        <w:tc>
          <w:tcPr>
            <w:tcW w:w="567"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10</w:t>
            </w:r>
          </w:p>
        </w:tc>
        <w:tc>
          <w:tcPr>
            <w:tcW w:w="2977" w:type="dxa"/>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垃圾清运不及时、</w:t>
            </w:r>
            <w:r>
              <w:rPr>
                <w:rFonts w:hint="eastAsia" w:ascii="仿宋_GB2312" w:hAnsi="仿宋_GB2312" w:eastAsia="仿宋_GB2312" w:cs="仿宋_GB2312"/>
                <w:sz w:val="24"/>
                <w:szCs w:val="24"/>
              </w:rPr>
              <w:t>不到位，发现一次扣2分，</w:t>
            </w:r>
            <w:r>
              <w:rPr>
                <w:rFonts w:hint="eastAsia" w:ascii="仿宋_GB2312" w:hAnsi="仿宋_GB2312" w:eastAsia="仿宋_GB2312" w:cs="仿宋_GB2312"/>
                <w:bCs/>
                <w:sz w:val="24"/>
                <w:szCs w:val="24"/>
              </w:rPr>
              <w:t>垃圾</w:t>
            </w:r>
            <w:r>
              <w:rPr>
                <w:rFonts w:hint="eastAsia" w:ascii="仿宋_GB2312" w:hAnsi="仿宋_GB2312" w:eastAsia="仿宋_GB2312" w:cs="仿宋_GB2312"/>
                <w:sz w:val="24"/>
                <w:szCs w:val="24"/>
              </w:rPr>
              <w:t>分类受上级检查考核扣分或被批评的每次扣2分。</w:t>
            </w:r>
          </w:p>
        </w:tc>
        <w:tc>
          <w:tcPr>
            <w:tcW w:w="850" w:type="dxa"/>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8" w:hRule="atLeast"/>
        </w:trPr>
        <w:tc>
          <w:tcPr>
            <w:tcW w:w="5245" w:type="dxa"/>
            <w:gridSpan w:val="3"/>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检查人：</w:t>
            </w:r>
          </w:p>
        </w:tc>
        <w:tc>
          <w:tcPr>
            <w:tcW w:w="3827" w:type="dxa"/>
            <w:gridSpan w:val="2"/>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实际得分：</w:t>
            </w:r>
          </w:p>
        </w:tc>
      </w:tr>
    </w:tbl>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考核结果与物业管理服务项目挂钩，经费结算办法为： </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A、月考核总分：95（含）分以上，全额发放服务费；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B、月考核总分：95-90（含）分，扣罚1%当月服务费；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C、月考核总分：90-85（含）分，扣罚2%当月服务费；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D、月考核总分：85-80（含）分，扣罚3%当月服务费；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E、月考核总分：80-75（含）分，扣罚4%当月服务费；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F、月考核总分：75-70（含）分，扣罚5%当月服务费；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G、月考核总分：70分以下，扣罚10%当月服务费</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H、连续两次月考核70分以下，或一月中被媒体、网络等曝光、投诉，经查实承包人有严重过失的，</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方有权终止物业管理服务合同，合同因此终止的，双方按实际服务期限结算服务费。</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（五）服务</w:t>
      </w:r>
      <w:r>
        <w:rPr>
          <w:rFonts w:hint="eastAsia" w:ascii="仿宋_GB2312" w:hAnsi="仿宋_GB2312" w:eastAsia="仿宋_GB2312" w:cs="仿宋_GB2312"/>
          <w:b/>
          <w:sz w:val="24"/>
          <w:szCs w:val="24"/>
          <w:lang w:eastAsia="zh-CN"/>
        </w:rPr>
        <w:t>期限</w:t>
      </w:r>
      <w:r>
        <w:rPr>
          <w:rFonts w:hint="eastAsia" w:ascii="仿宋_GB2312" w:hAnsi="仿宋_GB2312" w:eastAsia="仿宋_GB2312" w:cs="仿宋_GB2312"/>
          <w:b/>
          <w:sz w:val="24"/>
          <w:szCs w:val="24"/>
        </w:rPr>
        <w:t>和付款方式</w:t>
      </w:r>
    </w:p>
    <w:p>
      <w:pPr>
        <w:pStyle w:val="23"/>
        <w:keepNext w:val="0"/>
        <w:keepLines w:val="0"/>
        <w:pageBreakBefore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服务期限：</w:t>
      </w:r>
      <w:r>
        <w:rPr>
          <w:rFonts w:hint="eastAsia" w:ascii="仿宋_GB2312" w:hAnsi="仿宋_GB2312" w:eastAsia="仿宋_GB2312" w:cs="仿宋_GB2312"/>
          <w:sz w:val="24"/>
          <w:szCs w:val="24"/>
        </w:rPr>
        <w:t>2024年3月1日-2024年12月31日</w:t>
      </w:r>
      <w:r>
        <w:rPr>
          <w:rFonts w:hint="eastAsia" w:ascii="仿宋_GB2312" w:hAnsi="仿宋_GB2312" w:eastAsia="仿宋_GB2312" w:cs="仿宋_GB2312"/>
          <w:sz w:val="24"/>
          <w:szCs w:val="24"/>
          <w:lang w:eastAsia="zh-CN"/>
        </w:rPr>
        <w:t>。</w:t>
      </w:r>
    </w:p>
    <w:p>
      <w:pPr>
        <w:pStyle w:val="23"/>
        <w:keepNext w:val="0"/>
        <w:keepLines w:val="0"/>
        <w:pageBreakBefore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如本次招投标流程时间上和前期合同到期日（202</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年</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月</w:t>
      </w:r>
      <w:r>
        <w:rPr>
          <w:rFonts w:hint="eastAsia" w:ascii="仿宋_GB2312" w:hAnsi="仿宋_GB2312" w:eastAsia="仿宋_GB2312" w:cs="仿宋_GB2312"/>
          <w:color w:val="auto"/>
          <w:sz w:val="24"/>
          <w:szCs w:val="24"/>
          <w:lang w:val="en-US" w:eastAsia="zh-CN"/>
        </w:rPr>
        <w:t>29</w:t>
      </w:r>
      <w:r>
        <w:rPr>
          <w:rFonts w:hint="eastAsia" w:ascii="仿宋_GB2312" w:hAnsi="仿宋_GB2312" w:eastAsia="仿宋_GB2312" w:cs="仿宋_GB2312"/>
          <w:color w:val="auto"/>
          <w:sz w:val="24"/>
          <w:szCs w:val="24"/>
        </w:rPr>
        <w:t>日）存在时间差，在新中标人单位合同签订日前，仍旧由原服务单位供应商提供服务，费用按本次中标金额为基础计算，按天计费。相关费用包含在本次中标金额中，由中标人支付给原服务单位供应商。</w:t>
      </w:r>
    </w:p>
    <w:p>
      <w:pPr>
        <w:pStyle w:val="23"/>
        <w:keepNext w:val="0"/>
        <w:keepLines w:val="0"/>
        <w:pageBreakBefore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）付款方式：</w:t>
      </w:r>
      <w:r>
        <w:rPr>
          <w:rFonts w:hint="eastAsia" w:ascii="仿宋_GB2312" w:hAnsi="仿宋_GB2312" w:eastAsia="仿宋_GB2312" w:cs="仿宋_GB2312"/>
          <w:color w:val="auto"/>
          <w:sz w:val="24"/>
          <w:szCs w:val="24"/>
        </w:rPr>
        <w:t>按《浙江省财政厅关于进一步发挥政府采购政策 功能全力推动经济稳进提质的通知》（浙财采监〔2022〕3号）等文件要求执行，具体付款方式由双方协商后在合同中明确</w:t>
      </w:r>
      <w:r>
        <w:rPr>
          <w:rFonts w:hint="eastAsia" w:ascii="仿宋_GB2312" w:hAnsi="仿宋_GB2312" w:eastAsia="仿宋_GB2312" w:cs="仿宋_GB2312"/>
          <w:sz w:val="24"/>
          <w:szCs w:val="24"/>
        </w:rPr>
        <w:t>。</w:t>
      </w:r>
    </w:p>
    <w:p>
      <w:pPr>
        <w:pStyle w:val="23"/>
        <w:keepNext w:val="0"/>
        <w:keepLines w:val="0"/>
        <w:pageBreakBefore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根据每月考核结果，按月支付相关服务费用。</w:t>
      </w:r>
    </w:p>
    <w:p>
      <w:pPr>
        <w:pStyle w:val="23"/>
        <w:keepNext w:val="0"/>
        <w:keepLines w:val="0"/>
        <w:pageBreakBefore w:val="0"/>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中标人需要与原服务供应商做好衔接工作，在过渡期产生的费用，由中标人按照本次中标总价按具体天数折算给原服务供应商，在三个工作日内交接完毕，不得无故拖延。</w:t>
      </w:r>
    </w:p>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0"/>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4"/>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09"/>
        <w:spacing w:before="120" w:line="22" w:lineRule="atLeast"/>
        <w:rPr>
          <w:rFonts w:hAnsi="仿宋" w:cs="仿宋"/>
          <w:szCs w:val="24"/>
          <w:highlight w:val="none"/>
        </w:rPr>
      </w:pPr>
    </w:p>
    <w:p>
      <w:pPr>
        <w:pStyle w:val="309"/>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81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（政府采购方式）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1" w:name="_Toc22967"/>
      <w:bookmarkStart w:id="12" w:name="_Toc20421"/>
      <w:bookmarkStart w:id="13" w:name="_Toc28855"/>
      <w:bookmarkStart w:id="14" w:name="_Toc15367"/>
      <w:bookmarkStart w:id="15" w:name="_Toc19273"/>
      <w:r>
        <w:rPr>
          <w:rFonts w:hint="eastAsia" w:ascii="仿宋_GB2312" w:hAnsi="仿宋" w:eastAsia="仿宋_GB2312" w:cs="仿宋"/>
          <w:b/>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6" w:name="_Toc22185"/>
      <w:bookmarkStart w:id="17" w:name="_Toc6773"/>
      <w:bookmarkStart w:id="18" w:name="_Toc2918"/>
      <w:bookmarkStart w:id="19" w:name="_Toc6311"/>
      <w:bookmarkStart w:id="20" w:name="_Toc18585"/>
      <w:r>
        <w:rPr>
          <w:rFonts w:hint="eastAsia" w:ascii="仿宋_GB2312" w:hAnsi="仿宋" w:eastAsia="仿宋_GB2312" w:cs="仿宋"/>
          <w:b/>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1"/>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1" w:name="_Toc1386"/>
      <w:bookmarkStart w:id="22" w:name="_Toc13918"/>
      <w:bookmarkStart w:id="23" w:name="_Toc21124"/>
      <w:bookmarkStart w:id="24" w:name="_Toc4929"/>
      <w:bookmarkStart w:id="25" w:name="_Toc5635"/>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6" w:name="_Toc30158"/>
      <w:bookmarkStart w:id="27" w:name="_Toc30506"/>
      <w:bookmarkStart w:id="28" w:name="_Toc26916"/>
      <w:bookmarkStart w:id="29" w:name="_Toc14993"/>
      <w:bookmarkStart w:id="30" w:name="_Toc3654"/>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highlight w:val="none"/>
        </w:rPr>
      </w:pPr>
      <w:bookmarkStart w:id="31" w:name="_Toc10340"/>
      <w:bookmarkStart w:id="32" w:name="_Toc1814"/>
      <w:bookmarkStart w:id="33" w:name="_Toc22618"/>
      <w:bookmarkStart w:id="34" w:name="_Toc31421"/>
      <w:bookmarkStart w:id="35" w:name="_Toc8772"/>
      <w:bookmarkStart w:id="36" w:name="_Toc4760"/>
      <w:bookmarkStart w:id="37" w:name="_Toc11108"/>
      <w:bookmarkStart w:id="38" w:name="_Toc3625"/>
      <w:r>
        <w:rPr>
          <w:rFonts w:hint="eastAsia" w:ascii="仿宋_GB2312" w:hAnsi="仿宋" w:eastAsia="仿宋_GB2312" w:cs="仿宋"/>
          <w:b/>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9" w:name="_Toc24662"/>
      <w:bookmarkStart w:id="40" w:name="_Toc3079"/>
      <w:bookmarkStart w:id="41" w:name="_Toc8586"/>
      <w:bookmarkStart w:id="42" w:name="_Toc2375"/>
      <w:bookmarkStart w:id="43" w:name="_Toc5698"/>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4" w:name="_Toc18683"/>
      <w:bookmarkStart w:id="45" w:name="_Toc9497"/>
      <w:bookmarkStart w:id="46" w:name="_Toc26807"/>
      <w:bookmarkStart w:id="47" w:name="_Toc30329"/>
      <w:bookmarkStart w:id="48" w:name="_Toc32454"/>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highlight w:val="none"/>
        </w:rPr>
      </w:pPr>
      <w:bookmarkStart w:id="49" w:name="_Toc15583"/>
      <w:bookmarkStart w:id="50" w:name="_Toc16021"/>
      <w:bookmarkStart w:id="51" w:name="_Toc28375"/>
      <w:r>
        <w:rPr>
          <w:rFonts w:hint="eastAsia" w:ascii="仿宋_GB2312" w:hAnsi="仿宋" w:eastAsia="仿宋_GB2312" w:cs="仿宋"/>
          <w:b/>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highlight w:val="none"/>
          <w:u w:val="single"/>
        </w:rPr>
        <w:t xml:space="preserve">      </w:t>
      </w:r>
      <w:r>
        <w:rPr>
          <w:rFonts w:hint="eastAsia" w:ascii="仿宋_GB2312" w:hAnsi="仿宋" w:eastAsia="仿宋_GB2312" w:cs="仿宋"/>
          <w:sz w:val="24"/>
          <w:highlight w:val="none"/>
        </w:rPr>
        <w:t>条款规定的方式解决：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1.9.1 将争议提交</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仲裁委员会依申请仲裁时其现行有效的仲裁规则裁决；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1.9.2 向</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人民法院起诉。</w:t>
      </w:r>
    </w:p>
    <w:p>
      <w:pPr>
        <w:spacing w:line="400" w:lineRule="exact"/>
        <w:ind w:firstLine="482" w:firstLineChars="200"/>
        <w:outlineLvl w:val="0"/>
        <w:rPr>
          <w:rFonts w:ascii="仿宋_GB2312" w:hAnsi="仿宋" w:eastAsia="仿宋_GB2312" w:cs="仿宋"/>
          <w:b/>
          <w:sz w:val="24"/>
          <w:highlight w:val="none"/>
        </w:rPr>
      </w:pPr>
      <w:bookmarkStart w:id="52" w:name="_Toc11173"/>
      <w:bookmarkStart w:id="53" w:name="_Toc7245"/>
      <w:bookmarkStart w:id="54" w:name="_Toc15322"/>
      <w:r>
        <w:rPr>
          <w:rFonts w:hint="eastAsia" w:ascii="仿宋_GB2312" w:hAnsi="仿宋" w:eastAsia="仿宋_GB2312" w:cs="仿宋"/>
          <w:b/>
          <w:sz w:val="24"/>
          <w:highlight w:val="none"/>
        </w:rPr>
        <w:t>2.0 合同生效</w:t>
      </w:r>
      <w:bookmarkEnd w:id="52"/>
      <w:bookmarkEnd w:id="53"/>
      <w:bookmarkEnd w:id="54"/>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0"/>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5" w:name="_Toc31297"/>
      <w:bookmarkStart w:id="56" w:name="_Toc19680"/>
      <w:bookmarkStart w:id="57" w:name="_Toc5228"/>
      <w:bookmarkStart w:id="58" w:name="_Toc25079"/>
      <w:bookmarkStart w:id="59" w:name="_Toc14021"/>
      <w:r>
        <w:rPr>
          <w:rFonts w:hint="eastAsia" w:ascii="仿宋_GB2312" w:hAnsi="仿宋" w:eastAsia="仿宋_GB2312" w:cs="仿宋"/>
          <w:b/>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0" w:name="_Toc23289"/>
      <w:bookmarkStart w:id="61" w:name="_Toc31402"/>
      <w:bookmarkStart w:id="62" w:name="_Toc3769"/>
      <w:bookmarkStart w:id="63" w:name="_Toc16752"/>
      <w:bookmarkStart w:id="64" w:name="_Toc19539"/>
      <w:r>
        <w:rPr>
          <w:rFonts w:hint="eastAsia" w:ascii="仿宋_GB2312" w:hAnsi="仿宋" w:eastAsia="仿宋_GB2312" w:cs="仿宋"/>
          <w:b/>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5" w:name="_Toc4133"/>
      <w:bookmarkStart w:id="66" w:name="_Toc9161"/>
      <w:bookmarkStart w:id="67" w:name="_Toc13673"/>
      <w:bookmarkStart w:id="68" w:name="_Toc27945"/>
      <w:bookmarkStart w:id="69" w:name="_Toc12412"/>
      <w:r>
        <w:rPr>
          <w:rFonts w:hint="eastAsia" w:ascii="仿宋_GB2312" w:hAnsi="仿宋" w:eastAsia="仿宋_GB2312" w:cs="仿宋"/>
          <w:b/>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0" w:name="_Toc15447"/>
      <w:bookmarkStart w:id="71" w:name="_Toc22011"/>
      <w:bookmarkStart w:id="72" w:name="_Toc31233"/>
      <w:bookmarkStart w:id="73" w:name="_Toc32670"/>
      <w:bookmarkStart w:id="74" w:name="_Toc26555"/>
      <w:r>
        <w:rPr>
          <w:rFonts w:hint="eastAsia" w:ascii="仿宋_GB2312" w:hAnsi="仿宋" w:eastAsia="仿宋_GB2312" w:cs="仿宋"/>
          <w:b/>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5" w:name="_Toc16163"/>
      <w:bookmarkStart w:id="76" w:name="_Toc30507"/>
      <w:bookmarkStart w:id="77" w:name="_Toc18990"/>
      <w:bookmarkStart w:id="78" w:name="_Toc13154"/>
      <w:bookmarkStart w:id="79" w:name="_Toc13467"/>
      <w:r>
        <w:rPr>
          <w:rFonts w:hint="eastAsia" w:ascii="仿宋_GB2312" w:hAnsi="仿宋" w:eastAsia="仿宋_GB2312" w:cs="仿宋"/>
          <w:b/>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3" w:name="_Toc23368"/>
      <w:bookmarkStart w:id="84" w:name="_Toc10663"/>
      <w:bookmarkStart w:id="85" w:name="_Toc26689"/>
      <w:bookmarkStart w:id="86" w:name="_Toc21830"/>
      <w:bookmarkStart w:id="87" w:name="_Toc42"/>
      <w:r>
        <w:rPr>
          <w:rFonts w:hint="eastAsia" w:ascii="仿宋_GB2312" w:hAnsi="仿宋" w:eastAsia="仿宋_GB2312" w:cs="仿宋"/>
          <w:b/>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8" w:name="_Toc26633"/>
      <w:bookmarkStart w:id="89" w:name="_Toc25571"/>
      <w:bookmarkStart w:id="90" w:name="_Toc32494"/>
      <w:bookmarkStart w:id="91" w:name="_Toc14371"/>
      <w:bookmarkStart w:id="92" w:name="_Toc4720"/>
      <w:r>
        <w:rPr>
          <w:rFonts w:hint="eastAsia" w:ascii="仿宋_GB2312" w:hAnsi="仿宋" w:eastAsia="仿宋_GB2312" w:cs="仿宋"/>
          <w:b/>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3" w:name="_Toc14115"/>
      <w:bookmarkStart w:id="94" w:name="_Toc25783"/>
      <w:bookmarkStart w:id="95" w:name="_Toc23854"/>
      <w:bookmarkStart w:id="96" w:name="_Toc3638"/>
      <w:bookmarkStart w:id="97" w:name="_Toc24465"/>
      <w:r>
        <w:rPr>
          <w:rFonts w:hint="eastAsia" w:ascii="仿宋_GB2312" w:hAnsi="仿宋" w:eastAsia="仿宋_GB2312" w:cs="仿宋"/>
          <w:b/>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8" w:name="_Toc14814"/>
      <w:bookmarkStart w:id="99" w:name="_Toc30105"/>
      <w:bookmarkStart w:id="100" w:name="_Toc26883"/>
      <w:bookmarkStart w:id="101" w:name="_Toc25525"/>
      <w:bookmarkStart w:id="102" w:name="_Toc7315"/>
      <w:r>
        <w:rPr>
          <w:rFonts w:hint="eastAsia" w:ascii="仿宋_GB2312" w:hAnsi="仿宋" w:eastAsia="仿宋_GB2312" w:cs="仿宋"/>
          <w:b/>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3" w:name="_Toc2016"/>
      <w:bookmarkStart w:id="104" w:name="_Toc23323"/>
      <w:bookmarkStart w:id="105" w:name="_Toc1123"/>
      <w:r>
        <w:rPr>
          <w:rFonts w:hint="eastAsia" w:ascii="仿宋_GB2312" w:hAnsi="仿宋" w:eastAsia="仿宋_GB2312" w:cs="仿宋"/>
          <w:b/>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6" w:name="_Toc1969"/>
      <w:bookmarkStart w:id="107" w:name="_Toc17363"/>
      <w:bookmarkStart w:id="108" w:name="_Toc14525"/>
      <w:r>
        <w:rPr>
          <w:rFonts w:hint="eastAsia" w:ascii="仿宋_GB2312" w:hAnsi="仿宋" w:eastAsia="仿宋_GB2312" w:cs="仿宋"/>
          <w:b/>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9" w:name="_Toc9808"/>
      <w:bookmarkStart w:id="110" w:name="_Toc2308"/>
      <w:bookmarkStart w:id="111" w:name="_Toc31892"/>
      <w:bookmarkStart w:id="112" w:name="_Toc12666"/>
      <w:bookmarkStart w:id="113" w:name="_Toc25198"/>
      <w:r>
        <w:rPr>
          <w:rFonts w:hint="eastAsia" w:ascii="仿宋_GB2312" w:hAnsi="仿宋" w:eastAsia="仿宋_GB2312" w:cs="仿宋"/>
          <w:b/>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highlight w:val="none"/>
        </w:rPr>
      </w:pPr>
      <w:bookmarkStart w:id="114" w:name="_Toc27674"/>
      <w:bookmarkStart w:id="115" w:name="_Toc18401"/>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highlight w:val="none"/>
        </w:rPr>
      </w:pPr>
      <w:bookmarkStart w:id="116" w:name="_Toc28906"/>
      <w:bookmarkStart w:id="117" w:name="_Toc12254"/>
      <w:bookmarkStart w:id="118" w:name="_Toc27644"/>
      <w:bookmarkStart w:id="119" w:name="_Toc5063"/>
      <w:bookmarkStart w:id="120" w:name="_Toc20808"/>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1" w:name="_Toc4355"/>
      <w:bookmarkStart w:id="122" w:name="_Toc18540"/>
      <w:bookmarkStart w:id="123" w:name="_Toc30599"/>
      <w:r>
        <w:rPr>
          <w:rFonts w:hint="eastAsia" w:ascii="仿宋_GB2312" w:hAnsi="仿宋" w:eastAsia="仿宋_GB2312" w:cs="仿宋"/>
          <w:b/>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4" w:name="_Toc18567"/>
      <w:bookmarkStart w:id="125" w:name="_Toc10330"/>
      <w:bookmarkStart w:id="126" w:name="_Toc12773"/>
      <w:bookmarkStart w:id="127" w:name="_Toc279701263"/>
      <w:bookmarkStart w:id="128" w:name="_Toc487900373"/>
      <w:bookmarkStart w:id="129" w:name="_Toc259093692"/>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80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80</w:t>
      </w:r>
      <w:r>
        <w:rPr>
          <w:rFonts w:hint="eastAsia" w:ascii="仿宋_GB2312" w:hAnsi="宋体" w:eastAsia="仿宋_GB2312"/>
          <w:b/>
          <w:bCs/>
          <w:iCs/>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1413"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评分项</w:t>
            </w:r>
          </w:p>
        </w:tc>
        <w:tc>
          <w:tcPr>
            <w:tcW w:w="641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评审依据及标准</w:t>
            </w:r>
          </w:p>
        </w:tc>
        <w:tc>
          <w:tcPr>
            <w:tcW w:w="78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管理体系</w:t>
            </w:r>
          </w:p>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认证</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投标人具有有效期内的质量管理体系认证证书、环境管理体系认证证书、生活垃圾分类服务能力认证证书、职业健康安全管理体系认证证书、物业管理服务认证证书的，每有一本得1分，最高得5分。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注：提供证书原件扫描件和全国认证认可信息公共服务平台http://cx.cnca.cn/CertECloud/result/skipResultList查询截图并加盖投标人公章，否则不得分。</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业绩案例</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投标人自2021年1月1日以来（以合同签订时间为准）完成的同类案例，每有一个得1分，最高得</w:t>
            </w:r>
            <w:r>
              <w:rPr>
                <w:rFonts w:hint="eastAsia" w:ascii="仿宋_GB2312"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lang w:val="en-US" w:eastAsia="zh-CN"/>
              </w:rPr>
              <w:t>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注：每个案例提供合同复印件加盖投标人公章。</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eastAsia="仿宋_GB2312" w:cs="Times New Roman"/>
                <w:color w:val="auto"/>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3</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主要人员综合素质</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一、拟派项目负责人：</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1、具有本科及以上学历的，得2分。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2、持有人社部门颁发的人力资源管理师二级及以上证书的，得2分。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3、持有市场监督管理部门颁发的安全管理和作业人员证（特种设备安全管理）的，得2分。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二、拟派保安队长持有人社部门颁发的劳动关系协调员资格证书的，得2分。</w:t>
            </w:r>
          </w:p>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三、拟派消（监）控负责人持有人社部门或消防部门颁发的消防安全管理员（含消防设施操作员、建（构）筑物消防员）证书的，得2分。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三、拟派团队人员中持有人社部门颁发的应急救援员证书或紧急救援员证的，每提供一本得1分，最高得3分。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注：以上人员不得兼任，提供以上相关人员本单位的社保证明材料及相关证书材料复印件并加盖投标人公章,否则不得分。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4</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总体管理方案</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投标人提供总体管理方案，包括但不限于项目现状分析、总体管理方案、服务指标及措施等，0-6分。</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保安服务方案</w:t>
            </w:r>
          </w:p>
        </w:tc>
        <w:tc>
          <w:tcPr>
            <w:tcW w:w="6416" w:type="dxa"/>
            <w:vAlign w:val="center"/>
          </w:tcPr>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根据投标人提供的保安服务方案进行打分，包括但不限于物业服务区域内的日常治安管理、巡逻检查、消防安全的日常维护等，0-6分。</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6</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保洁服务方案</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根据投标人提供的保洁服务方案进行打分，包括但不限于公共区域及设施的保洁方案；灭“四害”消杀等，0-6分。</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7</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信息化能力</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根据投标人针对本项目拟投入信息化系统进行打分，包括但不限于垃圾分类收运、垃圾分类投放、分类处置、数据采集与对接等功能，需提供系统介绍和主要功能截图或相关承诺，0-</w:t>
            </w:r>
            <w:r>
              <w:rPr>
                <w:rFonts w:hint="eastAsia" w:ascii="仿宋_GB2312" w:eastAsia="仿宋_GB2312" w:cs="Times New Roman"/>
                <w:color w:val="auto"/>
                <w:sz w:val="24"/>
                <w:highlight w:val="none"/>
                <w:lang w:val="en-US" w:eastAsia="zh-CN"/>
              </w:rPr>
              <w:t>5</w:t>
            </w:r>
            <w:r>
              <w:rPr>
                <w:rFonts w:hint="eastAsia" w:ascii="仿宋_GB2312" w:hAnsi="Times New Roman" w:eastAsia="仿宋_GB2312" w:cs="Times New Roman"/>
                <w:color w:val="auto"/>
                <w:sz w:val="24"/>
                <w:highlight w:val="none"/>
                <w:lang w:val="en-US" w:eastAsia="zh-CN"/>
              </w:rPr>
              <w:t xml:space="preserve">分。  </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8</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设备投入</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配备满足本项目管理要求的各种规格车辆情况，包括密封式桶装垃圾车（总质量3吨及以上，曲臂式升降平台设备、商用清洁机器人（消杀版）、高压冲洗车、驾驶式洗地机。每类设备得1分，不重复累计，最高得5分。（投标文件中提供设备购置发票或租赁合同复印件并加盖投标人公章）。</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9</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员工培训方案</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根据投标人提供的员工培训方案进行打分，包括但不限于职业技能培训教育能力或认定资质；培训的频次、内容等，0-6分。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10</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垃圾服务方案</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根据投标人提供的垃圾服务方案进行打分，包括但不限于垃圾、废弃物清理；垃圾分类；垃圾运输处置等，0-</w:t>
            </w:r>
            <w:r>
              <w:rPr>
                <w:rFonts w:hint="eastAsia" w:ascii="仿宋_GB2312" w:eastAsia="仿宋_GB2312" w:cs="Times New Roman"/>
                <w:color w:val="auto"/>
                <w:sz w:val="24"/>
                <w:highlight w:val="none"/>
                <w:lang w:val="en-US" w:eastAsia="zh-CN"/>
              </w:rPr>
              <w:t>6</w:t>
            </w:r>
            <w:r>
              <w:rPr>
                <w:rFonts w:hint="eastAsia" w:ascii="仿宋_GB2312" w:hAnsi="Times New Roman" w:eastAsia="仿宋_GB2312" w:cs="Times New Roman"/>
                <w:color w:val="auto"/>
                <w:sz w:val="24"/>
                <w:highlight w:val="none"/>
                <w:lang w:val="en-US" w:eastAsia="zh-CN"/>
              </w:rPr>
              <w:t>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eastAsia="仿宋_GB2312" w:cs="Times New Roman"/>
                <w:color w:val="auto"/>
                <w:sz w:val="24"/>
                <w:highlight w:val="none"/>
                <w:lang w:val="en-US" w:eastAsia="zh-CN"/>
              </w:rPr>
              <w:t>6</w:t>
            </w:r>
            <w:bookmarkStart w:id="137" w:name="_GoBack"/>
            <w:bookmarkEnd w:id="1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11</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应急处理措施和方案</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根据投标人提出的针对防台、防汛、防火、防震、突发事件处置的应急方案及措施进行打分，0-5分。</w:t>
            </w:r>
          </w:p>
        </w:tc>
        <w:tc>
          <w:tcPr>
            <w:tcW w:w="786"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12</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稳定员工队伍的措施</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根据投标人提供的稳定员工队伍的措施进行打分，包括但不限于员工福利待遇，工会福利等方面，0-5分。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13</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停车场运作机制</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投标人提供停车场管理流程及协调机制方案，方案包括并不限于停车场管理、投诉处理等。0-5分。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14</w:t>
            </w:r>
          </w:p>
        </w:tc>
        <w:tc>
          <w:tcPr>
            <w:tcW w:w="1413" w:type="dxa"/>
            <w:vAlign w:val="center"/>
          </w:tcPr>
          <w:p>
            <w:pPr>
              <w:jc w:val="cente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工作组织实施方案</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根据投标人提供的工作组织实施方案进行打分，包含但不限于管理流程，包括运作流程图、激励机制、监督机制、自我约束机制、信息反馈渠道及处理机制，管理指标承诺达到物业管理标准等，0-5分。</w:t>
            </w:r>
          </w:p>
        </w:tc>
        <w:tc>
          <w:tcPr>
            <w:tcW w:w="786" w:type="dxa"/>
            <w:vAlign w:val="center"/>
          </w:tcPr>
          <w:p>
            <w:pPr>
              <w:jc w:val="center"/>
              <w:rPr>
                <w:rFonts w:hint="default"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5</w:t>
            </w:r>
          </w:p>
        </w:tc>
      </w:tr>
    </w:tbl>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0"/>
          <w:szCs w:val="20"/>
          <w:highlight w:val="none"/>
          <w:shd w:val="clear" w:color="auto" w:fill="FFFFFF"/>
        </w:rPr>
        <w:t> </w:t>
      </w: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 </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20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20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绍兴市奥体中心</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绍兴市奥体中心保安、保洁等物业管理服务项目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2024-01-0013</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1"/>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1"/>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1"/>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7"/>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绍兴市奥体中心</w:t>
      </w:r>
      <w:r>
        <w:rPr>
          <w:rFonts w:hint="eastAsia" w:ascii="仿宋_GB2312" w:hAnsi="仿宋" w:eastAsia="仿宋_GB2312" w:cs="仿宋"/>
          <w:szCs w:val="24"/>
          <w:highlight w:val="none"/>
          <w:u w:val="single"/>
        </w:rPr>
        <w:t>、绍兴市公共资源交易中心</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绍兴市奥体中心</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绍兴市奥体中心保安、保洁等物业管理服务项目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2024-01-0013</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绍兴市奥体中心</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绍兴市奥体中心保安、保洁等物业管理服务项目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2024-01-0013</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绍兴市奥体中心</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315"/>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绍兴市奥体中心</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绍兴市奥体中心保安、保洁等物业管理服务项目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2024-01-0013</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1" w:name="_Hlk101259491"/>
      <w:r>
        <w:rPr>
          <w:rFonts w:hint="eastAsia" w:ascii="仿宋_GB2312" w:hAnsi="仿宋" w:eastAsia="仿宋_GB2312" w:cs="仿宋"/>
          <w:sz w:val="32"/>
          <w:szCs w:val="32"/>
          <w:highlight w:val="none"/>
        </w:rPr>
        <w:t>（如果有）</w:t>
      </w:r>
      <w:bookmarkEnd w:id="131"/>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140"/>
        <w:rPr>
          <w:rFonts w:hAnsi="仿宋" w:cs="仿宋"/>
          <w:b/>
          <w:color w:val="auto"/>
          <w:highlight w:val="none"/>
        </w:rPr>
      </w:pPr>
    </w:p>
    <w:p>
      <w:pPr>
        <w:pStyle w:val="315"/>
        <w:rPr>
          <w:rFonts w:ascii="仿宋_GB2312" w:eastAsia="仿宋_GB2312"/>
          <w:highlight w:val="none"/>
        </w:rPr>
      </w:pPr>
    </w:p>
    <w:p>
      <w:pPr>
        <w:pStyle w:val="315"/>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2" w:name="_Toc465665161"/>
      <w:r>
        <w:rPr>
          <w:rFonts w:hint="eastAsia" w:ascii="仿宋_GB2312" w:hAnsi="仿宋" w:cs="仿宋"/>
          <w:highlight w:val="none"/>
        </w:rPr>
        <w:t>附件</w:t>
      </w:r>
      <w:bookmarkEnd w:id="132"/>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14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3" w:name="_Hlk101131882"/>
      <w:r>
        <w:rPr>
          <w:rFonts w:hint="eastAsia" w:ascii="仿宋_GB2312" w:hAnsi="仿宋" w:eastAsia="仿宋_GB2312" w:cs="仿宋"/>
          <w:kern w:val="0"/>
          <w:sz w:val="24"/>
          <w:highlight w:val="none"/>
          <w:u w:val="single"/>
        </w:rPr>
        <w:t>联合体成员X,……</w:t>
      </w:r>
      <w:bookmarkEnd w:id="133"/>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4"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4"/>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5" w:name="OLE_LINK13"/>
      <w:bookmarkStart w:id="136" w:name="OLE_LINK14"/>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5"/>
    <w:bookmarkEnd w:id="136"/>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2024-01-0013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AA0D2"/>
    <w:multiLevelType w:val="singleLevel"/>
    <w:tmpl w:val="A18AA0D2"/>
    <w:lvl w:ilvl="0" w:tentative="0">
      <w:start w:val="5"/>
      <w:numFmt w:val="decimal"/>
      <w:suff w:val="nothing"/>
      <w:lvlText w:val="（%1）"/>
      <w:lvlJc w:val="left"/>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6BF01C29"/>
    <w:multiLevelType w:val="multilevel"/>
    <w:tmpl w:val="6BF01C29"/>
    <w:lvl w:ilvl="0" w:tentative="0">
      <w:start w:val="1"/>
      <w:numFmt w:val="decimal"/>
      <w:lvlText w:val="%1."/>
      <w:lvlJc w:val="left"/>
      <w:pPr>
        <w:ind w:left="360" w:hanging="360"/>
      </w:pPr>
      <w:rPr>
        <w:rFonts w:hint="default"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2"/>
  </w:num>
  <w:num w:numId="4">
    <w:abstractNumId w:val="6"/>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6F730A"/>
    <w:rsid w:val="02ED18A8"/>
    <w:rsid w:val="03973080"/>
    <w:rsid w:val="03A92378"/>
    <w:rsid w:val="06347AD6"/>
    <w:rsid w:val="0BB66081"/>
    <w:rsid w:val="0CCC0614"/>
    <w:rsid w:val="0EC73CBB"/>
    <w:rsid w:val="10E13271"/>
    <w:rsid w:val="12673BDD"/>
    <w:rsid w:val="12E77EAF"/>
    <w:rsid w:val="132A7240"/>
    <w:rsid w:val="143C4CC3"/>
    <w:rsid w:val="14FB4CF0"/>
    <w:rsid w:val="156A779B"/>
    <w:rsid w:val="16610A3D"/>
    <w:rsid w:val="16FD2A66"/>
    <w:rsid w:val="171A4BA4"/>
    <w:rsid w:val="19A84266"/>
    <w:rsid w:val="1C1B6A4E"/>
    <w:rsid w:val="1C630679"/>
    <w:rsid w:val="1D2E539D"/>
    <w:rsid w:val="1E7A5314"/>
    <w:rsid w:val="1F783D50"/>
    <w:rsid w:val="20343288"/>
    <w:rsid w:val="20DC375B"/>
    <w:rsid w:val="20E96F35"/>
    <w:rsid w:val="237F5946"/>
    <w:rsid w:val="23AD2E0D"/>
    <w:rsid w:val="24160A64"/>
    <w:rsid w:val="24BE55D5"/>
    <w:rsid w:val="250A361A"/>
    <w:rsid w:val="27CF28C5"/>
    <w:rsid w:val="281403AA"/>
    <w:rsid w:val="28C05D8B"/>
    <w:rsid w:val="2B0648B2"/>
    <w:rsid w:val="2B710F04"/>
    <w:rsid w:val="2B7A20E1"/>
    <w:rsid w:val="2BCE6AC7"/>
    <w:rsid w:val="2EBC13E0"/>
    <w:rsid w:val="326775CE"/>
    <w:rsid w:val="331F385F"/>
    <w:rsid w:val="34242317"/>
    <w:rsid w:val="34C71A6F"/>
    <w:rsid w:val="35D421F1"/>
    <w:rsid w:val="37F12C1A"/>
    <w:rsid w:val="38176E9C"/>
    <w:rsid w:val="38E10FE0"/>
    <w:rsid w:val="39A8144C"/>
    <w:rsid w:val="3BEF62E9"/>
    <w:rsid w:val="3C592EDE"/>
    <w:rsid w:val="3E1744A2"/>
    <w:rsid w:val="43931164"/>
    <w:rsid w:val="44353810"/>
    <w:rsid w:val="459375CB"/>
    <w:rsid w:val="47E67918"/>
    <w:rsid w:val="48237E23"/>
    <w:rsid w:val="48F30A4A"/>
    <w:rsid w:val="4C011499"/>
    <w:rsid w:val="4ED701A0"/>
    <w:rsid w:val="507206F5"/>
    <w:rsid w:val="512C581F"/>
    <w:rsid w:val="52324A13"/>
    <w:rsid w:val="538D2B0D"/>
    <w:rsid w:val="55A13923"/>
    <w:rsid w:val="568A1872"/>
    <w:rsid w:val="577F7DC9"/>
    <w:rsid w:val="581B26E1"/>
    <w:rsid w:val="58443516"/>
    <w:rsid w:val="58EA122E"/>
    <w:rsid w:val="5B784BE0"/>
    <w:rsid w:val="5C7F34EE"/>
    <w:rsid w:val="5E001FA1"/>
    <w:rsid w:val="60126884"/>
    <w:rsid w:val="620D7D01"/>
    <w:rsid w:val="63196CDE"/>
    <w:rsid w:val="632353B0"/>
    <w:rsid w:val="63E16B9C"/>
    <w:rsid w:val="65B25CA0"/>
    <w:rsid w:val="65EE2DCE"/>
    <w:rsid w:val="677A34E3"/>
    <w:rsid w:val="68637E6E"/>
    <w:rsid w:val="69A56BA1"/>
    <w:rsid w:val="69B965BF"/>
    <w:rsid w:val="6AE6492D"/>
    <w:rsid w:val="6B6D5621"/>
    <w:rsid w:val="719A0F60"/>
    <w:rsid w:val="72E87C49"/>
    <w:rsid w:val="75273C7A"/>
    <w:rsid w:val="763A3561"/>
    <w:rsid w:val="766F48A1"/>
    <w:rsid w:val="7B4103A5"/>
    <w:rsid w:val="7BC039EC"/>
    <w:rsid w:val="7C23788B"/>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1"/>
    <w:link w:val="230"/>
    <w:qFormat/>
    <w:uiPriority w:val="0"/>
    <w:pPr>
      <w:spacing w:after="120" w:line="240" w:lineRule="auto"/>
      <w:ind w:firstLine="420" w:firstLineChars="100"/>
    </w:pPr>
    <w:rPr>
      <w:rFonts w:eastAsia="宋体"/>
      <w:sz w:val="21"/>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6"/>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3"/>
    <w:qFormat/>
    <w:uiPriority w:val="0"/>
    <w:rPr>
      <w:rFonts w:eastAsia="仿宋_GB2312"/>
      <w:b/>
      <w:kern w:val="44"/>
      <w:sz w:val="44"/>
      <w:lang w:val="en-US" w:eastAsia="zh-CN" w:bidi="ar-SA"/>
    </w:rPr>
  </w:style>
  <w:style w:type="character" w:customStyle="1" w:styleId="81">
    <w:name w:val="正文缩进 Char"/>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4"/>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5"/>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20</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2023-12-20T02:12:00Z</cp:lastPrinted>
  <dcterms:modified xsi:type="dcterms:W3CDTF">2024-01-30T08:16:56Z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