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kern w:val="1"/>
          <w:sz w:val="32"/>
          <w:szCs w:val="32"/>
          <w:highlight w:val="none"/>
          <w:lang w:val="en-US" w:eastAsia="zh-CN"/>
        </w:rPr>
        <w:t>茶叶公用品牌相关标识、标牌设计制作采购项目</w:t>
      </w:r>
      <w:r>
        <w:rPr>
          <w:rFonts w:hint="eastAsia" w:ascii="宋体" w:hAnsi="宋体" w:eastAsia="宋体" w:cs="宋体"/>
          <w:b/>
          <w:bCs w:val="0"/>
          <w:color w:val="auto"/>
          <w:kern w:val="1"/>
          <w:sz w:val="32"/>
          <w:szCs w:val="32"/>
          <w:highlight w:val="none"/>
          <w:lang w:eastAsia="zh-CN"/>
        </w:rPr>
        <w:t>要素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项目内容及规模：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1"/>
          <w:sz w:val="24"/>
          <w:szCs w:val="24"/>
          <w:highlight w:val="none"/>
          <w:lang w:val="en-US" w:eastAsia="zh-CN"/>
        </w:rPr>
        <w:t>茶叶公用品牌相关标识、标牌设计制作采购项目，采购预算为40万元整。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二、投标人资质要求：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1、符合《中华人民共和国政府采购法》第二十二条之供应商资格规定；</w:t>
      </w:r>
    </w:p>
    <w:p>
      <w:pPr>
        <w:pStyle w:val="2"/>
        <w:spacing w:line="360" w:lineRule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>落实政府采购政策需满足的资格要求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</w:rPr>
        <w:t xml:space="preserve">本项目属于专门面向中小企业采购的项目,供应商应为中、小、微型企业或监狱企业或残疾人福利性单位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、未被“信用中国”（www.creditchina.gov.cn）、中国政府采购（www.ccgp.gov.cn）列入失信被执行人、重大税收违法案件当事人名单、政府采购严重违法失信行为记录名单；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、评标办法：综合评分法</w:t>
      </w:r>
    </w:p>
    <w:p>
      <w:pPr>
        <w:spacing w:line="360" w:lineRule="auto"/>
        <w:ind w:firstLine="480" w:firstLineChars="200"/>
        <w:rPr>
          <w:rFonts w:hint="eastAsia" w:ascii="仿宋" w:hAnsi="仿宋" w:eastAsia="仿宋_GB2312"/>
          <w:color w:val="auto"/>
          <w:sz w:val="24"/>
        </w:rPr>
      </w:pPr>
      <w:r>
        <w:rPr>
          <w:rFonts w:hint="eastAsia" w:ascii="仿宋" w:hAnsi="仿宋" w:eastAsia="仿宋_GB2312"/>
          <w:color w:val="auto"/>
          <w:sz w:val="24"/>
        </w:rPr>
        <w:t>1、采用</w:t>
      </w:r>
      <w:r>
        <w:rPr>
          <w:rFonts w:hint="eastAsia" w:ascii="仿宋" w:hAnsi="仿宋" w:eastAsia="仿宋_GB2312"/>
          <w:color w:val="auto"/>
          <w:sz w:val="24"/>
          <w:u w:val="single"/>
        </w:rPr>
        <w:t>　综合评分法　</w:t>
      </w:r>
      <w:r>
        <w:rPr>
          <w:rFonts w:hint="eastAsia" w:ascii="仿宋" w:hAnsi="仿宋" w:eastAsia="仿宋_GB2312"/>
          <w:color w:val="auto"/>
          <w:sz w:val="24"/>
        </w:rPr>
        <w:t>。即在符合招标文件要求的前提下，择定最高得分者为第一中标候选人，即预中标人。</w:t>
      </w:r>
    </w:p>
    <w:p>
      <w:pPr>
        <w:spacing w:line="360" w:lineRule="auto"/>
        <w:ind w:firstLine="480" w:firstLineChars="200"/>
        <w:rPr>
          <w:rFonts w:hint="eastAsia" w:ascii="仿宋" w:hAnsi="仿宋" w:eastAsia="仿宋_GB2312"/>
          <w:color w:val="auto"/>
          <w:sz w:val="24"/>
        </w:rPr>
      </w:pPr>
      <w:r>
        <w:rPr>
          <w:rFonts w:hint="eastAsia" w:ascii="仿宋" w:hAnsi="仿宋" w:eastAsia="仿宋_GB2312"/>
          <w:color w:val="auto"/>
          <w:sz w:val="24"/>
        </w:rPr>
        <w:t>2、 合格投标人的评标得分为各项目汇总得分，中标候选资格按评标得分由高到低顺序排列，得分相同的，按投标报价由低到高顺序排列；得分且投标报价相同的，按技术指标由高到低顺序排列。排名第一的的投标人为中标候选人。</w:t>
      </w:r>
      <w:r>
        <w:rPr>
          <w:rFonts w:hint="eastAsia" w:ascii="仿宋" w:hAnsi="仿宋" w:eastAsia="仿宋_GB2312"/>
          <w:bCs/>
          <w:color w:val="auto"/>
          <w:sz w:val="24"/>
        </w:rPr>
        <w:t>评分过程中采用四舍五入</w:t>
      </w:r>
      <w:r>
        <w:rPr>
          <w:rFonts w:hint="eastAsia" w:ascii="仿宋" w:hAnsi="仿宋" w:eastAsia="仿宋_GB2312"/>
          <w:color w:val="auto"/>
          <w:sz w:val="24"/>
        </w:rPr>
        <w:t>法，并保留小数2位。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Arial" w:hAnsi="宋体" w:eastAsia="仿宋_GB2312" w:cs="Arial"/>
          <w:b/>
          <w:color w:val="auto"/>
          <w:sz w:val="24"/>
        </w:rPr>
      </w:pPr>
      <w:r>
        <w:rPr>
          <w:rFonts w:hint="eastAsia" w:ascii="仿宋" w:hAnsi="仿宋" w:eastAsia="仿宋_GB2312"/>
          <w:color w:val="auto"/>
          <w:sz w:val="24"/>
        </w:rPr>
        <w:t>3、</w:t>
      </w:r>
      <w:r>
        <w:rPr>
          <w:rFonts w:hint="eastAsia" w:ascii="Arial" w:hAnsi="宋体" w:eastAsia="仿宋_GB2312" w:cs="Arial"/>
          <w:b/>
          <w:color w:val="auto"/>
          <w:sz w:val="24"/>
        </w:rPr>
        <w:t>评标办法</w:t>
      </w:r>
    </w:p>
    <w:p>
      <w:pPr>
        <w:spacing w:line="360" w:lineRule="auto"/>
        <w:ind w:firstLine="480" w:firstLineChars="200"/>
        <w:rPr>
          <w:rFonts w:hint="eastAsia" w:ascii="宋体" w:eastAsia="仿宋_GB2312"/>
          <w:color w:val="auto"/>
          <w:sz w:val="24"/>
        </w:rPr>
      </w:pPr>
      <w:r>
        <w:rPr>
          <w:rFonts w:hint="eastAsia" w:ascii="宋体" w:hAnsi="宋体" w:eastAsia="仿宋_GB2312"/>
          <w:color w:val="auto"/>
          <w:sz w:val="24"/>
        </w:rPr>
        <w:t>（1）满分为100分。总得分=技术得分+商务得分；</w:t>
      </w:r>
    </w:p>
    <w:p>
      <w:pPr>
        <w:spacing w:line="360" w:lineRule="auto"/>
        <w:ind w:firstLine="480" w:firstLineChars="200"/>
        <w:rPr>
          <w:rFonts w:hint="eastAsia" w:ascii="宋体" w:hAnsi="宋体" w:eastAsia="仿宋_GB2312" w:cs="宋体"/>
          <w:color w:val="auto"/>
          <w:sz w:val="24"/>
        </w:rPr>
      </w:pPr>
      <w:r>
        <w:rPr>
          <w:rFonts w:hint="eastAsia" w:ascii="宋体" w:hAnsi="宋体" w:eastAsia="仿宋_GB2312"/>
          <w:color w:val="auto"/>
          <w:sz w:val="24"/>
        </w:rPr>
        <w:t>（2）</w:t>
      </w:r>
      <w:r>
        <w:rPr>
          <w:rFonts w:hint="eastAsia" w:ascii="宋体" w:hAnsi="宋体" w:eastAsia="仿宋_GB2312" w:cs="宋体"/>
          <w:color w:val="auto"/>
          <w:sz w:val="24"/>
        </w:rPr>
        <w:t>技术得分=技术评分</w:t>
      </w:r>
      <w:r>
        <w:rPr>
          <w:rFonts w:hint="eastAsia" w:ascii="宋体" w:eastAsia="仿宋_GB2312" w:cs="宋体"/>
          <w:color w:val="auto"/>
          <w:sz w:val="24"/>
        </w:rPr>
        <w:t>，</w:t>
      </w:r>
      <w:r>
        <w:rPr>
          <w:rFonts w:hint="eastAsia" w:ascii="宋体" w:hAnsi="宋体" w:eastAsia="仿宋_GB2312" w:cs="宋体"/>
          <w:color w:val="auto"/>
          <w:sz w:val="24"/>
        </w:rPr>
        <w:t>技术评分=所有评委的有效评分的算术平均数。</w:t>
      </w:r>
    </w:p>
    <w:p>
      <w:pPr>
        <w:spacing w:line="360" w:lineRule="auto"/>
        <w:ind w:firstLine="480" w:firstLineChars="200"/>
        <w:rPr>
          <w:rFonts w:hint="eastAsia" w:ascii="宋体" w:eastAsia="仿宋_GB2312"/>
          <w:color w:val="auto"/>
          <w:sz w:val="24"/>
        </w:rPr>
      </w:pPr>
      <w:r>
        <w:rPr>
          <w:rFonts w:hint="eastAsia" w:ascii="宋体" w:hAnsi="宋体" w:eastAsia="仿宋_GB2312"/>
          <w:color w:val="auto"/>
          <w:sz w:val="24"/>
        </w:rPr>
        <w:t>（3）商务得分=（评标基准价/投标报价）*价格权值*100，评标基准价=通过技术评审入围的最低投标报价，价格权值=30%；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eastAsia="仿宋_GB2312"/>
          <w:color w:val="auto"/>
          <w:sz w:val="24"/>
        </w:rPr>
      </w:pPr>
      <w:r>
        <w:rPr>
          <w:rFonts w:hint="eastAsia" w:ascii="宋体" w:hAnsi="宋体" w:eastAsia="仿宋_GB2312"/>
          <w:color w:val="auto"/>
          <w:sz w:val="24"/>
        </w:rPr>
        <w:t>（4）技术分评</w:t>
      </w:r>
      <w:r>
        <w:rPr>
          <w:rFonts w:hint="eastAsia" w:ascii="宋体" w:eastAsia="仿宋_GB2312"/>
          <w:color w:val="auto"/>
          <w:sz w:val="24"/>
        </w:rPr>
        <w:t>分细则（70分）</w:t>
      </w:r>
    </w:p>
    <w:p>
      <w:pPr>
        <w:pStyle w:val="2"/>
        <w:rPr>
          <w:rFonts w:hint="eastAsia" w:ascii="宋体" w:eastAsia="仿宋_GB2312"/>
          <w:color w:val="auto"/>
          <w:sz w:val="24"/>
        </w:rPr>
      </w:pPr>
    </w:p>
    <w:p>
      <w:pPr>
        <w:rPr>
          <w:rFonts w:hint="eastAsia" w:ascii="宋体" w:eastAsia="仿宋_GB2312"/>
          <w:color w:val="auto"/>
          <w:sz w:val="24"/>
        </w:rPr>
      </w:pPr>
    </w:p>
    <w:p>
      <w:pPr>
        <w:pStyle w:val="2"/>
        <w:rPr>
          <w:rFonts w:hint="eastAsia" w:ascii="宋体" w:eastAsia="仿宋_GB2312"/>
          <w:color w:val="auto"/>
          <w:sz w:val="24"/>
        </w:rPr>
      </w:pPr>
    </w:p>
    <w:p>
      <w:pPr>
        <w:rPr>
          <w:rFonts w:hint="eastAsia" w:ascii="宋体" w:eastAsia="仿宋_GB2312"/>
          <w:color w:val="auto"/>
          <w:sz w:val="24"/>
        </w:rPr>
      </w:pPr>
    </w:p>
    <w:p>
      <w:pPr>
        <w:pStyle w:val="2"/>
        <w:rPr>
          <w:rFonts w:hint="eastAsia" w:ascii="宋体" w:eastAsia="仿宋_GB2312"/>
          <w:color w:val="auto"/>
          <w:sz w:val="24"/>
        </w:rPr>
      </w:pP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="1045" w:tblpY="1257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97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评分细则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制作人员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投标人项目团队中具有专业工种上岗证书（如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脚手架架子工、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电工证、焊工证、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机械设备安装</w:t>
            </w:r>
            <w:r>
              <w:rPr>
                <w:rFonts w:hint="eastAsia" w:ascii="仿宋" w:hAnsi="仿宋" w:eastAsia="仿宋" w:cs="宋体"/>
                <w:color w:val="auto"/>
                <w:sz w:val="24"/>
              </w:rPr>
              <w:t>等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）的，每提供个证书得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分，最高得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auto"/>
                <w:sz w:val="24"/>
              </w:rPr>
              <w:t>分。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（注：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>同一人员拥有不同证书的，只按一个证书计分，不得累加计分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提供人员相关证书复印件以及投标人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上述人员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签订的劳务合同复印件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并加盖投标人CA签章，否则不得分。）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机械设备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投标人对本项目拟投入的设备情况进行评分（可自有或租赁）：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每提供一个自有或租赁设备得2分，最高得8分。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（若为自有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设备投标文件中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复印件加盖投标人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CA签章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若为租赁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同时提供租赁合同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复印件加盖投标人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CA签章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材料提供不全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不得分。）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240" w:firstLineChars="100"/>
              <w:rPr>
                <w:rFonts w:hint="default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设计方案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根据投标人对本项目的设计方案效果图进行综合评分，是否符合茶文化的主题，要求提供三维立体效果图，数量不少于10张。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spacing w:line="420" w:lineRule="exact"/>
              <w:jc w:val="center"/>
              <w:rPr>
                <w:rFonts w:hint="default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0-8分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根据投标人提供的平面设计图的规范性，可行性进行综合评分。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spacing w:line="420" w:lineRule="exact"/>
              <w:jc w:val="center"/>
              <w:rPr>
                <w:rFonts w:hint="default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lang w:val="en-US" w:eastAsia="zh-CN"/>
              </w:rPr>
              <w:t>0-6分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现场踏勘</w:t>
            </w: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根据投标人对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现场的</w:t>
            </w:r>
            <w:r>
              <w:rPr>
                <w:rFonts w:ascii="仿宋" w:hAnsi="仿宋" w:eastAsia="仿宋"/>
                <w:color w:val="auto"/>
                <w:sz w:val="24"/>
              </w:rPr>
              <w:t>考察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内容，</w:t>
            </w:r>
            <w:r>
              <w:rPr>
                <w:rFonts w:ascii="仿宋" w:hAnsi="仿宋" w:eastAsia="仿宋"/>
                <w:color w:val="auto"/>
                <w:sz w:val="24"/>
              </w:rPr>
              <w:t>环境的熟悉程度，满足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修复要求</w:t>
            </w:r>
            <w:r>
              <w:rPr>
                <w:rFonts w:ascii="仿宋" w:hAnsi="仿宋" w:eastAsia="仿宋"/>
                <w:color w:val="auto"/>
                <w:sz w:val="24"/>
              </w:rPr>
              <w:t>，提供勘察报告，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勘察报告需包含现场勘查图片，根</w:t>
            </w:r>
            <w:r>
              <w:rPr>
                <w:rFonts w:ascii="仿宋" w:hAnsi="仿宋" w:eastAsia="仿宋"/>
                <w:color w:val="auto"/>
                <w:sz w:val="24"/>
              </w:rPr>
              <w:t>据勘察报告进行综合打分，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最高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</w:tabs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0-</w:t>
            </w:r>
            <w:r>
              <w:rPr>
                <w:rFonts w:ascii="仿宋" w:hAnsi="仿宋" w:eastAsia="仿宋" w:cs="仿宋"/>
                <w:snapToGrid w:val="0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施工方案</w:t>
            </w:r>
          </w:p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由评审委员会根据投标人施工方案的科学性、严密性、合理性进行评定。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0-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4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项目实施服务保障</w:t>
            </w:r>
          </w:p>
          <w:p>
            <w:pPr>
              <w:pStyle w:val="8"/>
              <w:rPr>
                <w:rFonts w:hint="eastAsia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技术保障措施：根据投标人提供的技术服务机构、技术服务人员计划、服务保障措施、设计服务保障措施等进行综合评分。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</w:p>
          <w:p>
            <w:pPr>
              <w:pStyle w:val="8"/>
              <w:rPr>
                <w:rFonts w:hint="eastAsia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进度保障措施：根据投标人进度控制计划、项目跟进等措施综合打分。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0-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rPr>
                <w:rFonts w:hint="eastAsia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质量保障措施：根据投标人提供的质量目标、质量控制、质量保证承诺进行综合评分。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0-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4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服务情况</w:t>
            </w:r>
          </w:p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对本项目的了解程度和重难点分析情况。根据本项目涉及内容的理解程度、总体设计、组织实施、独到优势等情况综合评定对比打分。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对项目实施中风险说明及风险规避处置措施情况进行打分。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0-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autoSpaceDE/>
              <w:autoSpaceDN/>
              <w:adjustRightInd/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服务承诺情况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根据售后服务方案、措施、响应等情况综合打分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0-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售后服务情况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质保期在招标文件要求的基础上每延长半年得1分，最高得2分。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0-2分</w:t>
            </w:r>
          </w:p>
        </w:tc>
      </w:tr>
    </w:tbl>
    <w:p>
      <w:pPr>
        <w:pStyle w:val="8"/>
        <w:rPr>
          <w:rFonts w:hint="eastAsia"/>
        </w:rPr>
      </w:pPr>
    </w:p>
    <w:p>
      <w:pPr>
        <w:bidi w:val="0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采购需求</w:t>
      </w:r>
    </w:p>
    <w:p>
      <w:pPr>
        <w:spacing w:line="360" w:lineRule="auto"/>
        <w:ind w:firstLine="240" w:firstLineChars="100"/>
        <w:rPr>
          <w:rFonts w:hint="default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1、项目概况：为宣传西施石笕茶公用品牌，打造茶叶市场一条街，营造公用品牌氛围，在市茶叶公用品牌管理服务中心周围制作相关“西施石笕”“茶叶市场一条街”等标识、标牌。</w:t>
      </w:r>
    </w:p>
    <w:p>
      <w:pPr>
        <w:pStyle w:val="2"/>
        <w:ind w:firstLine="240" w:firstLineChars="100"/>
        <w:rPr>
          <w:rFonts w:hint="default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2、服务要求：标识、标牌的设计、制作和安装服务。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3、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工期要求：自合同签订后</w:t>
      </w:r>
      <w:r>
        <w:rPr>
          <w:rFonts w:hint="eastAsia" w:ascii="宋体" w:hAnsi="宋体" w:eastAsia="仿宋_GB2312"/>
          <w:color w:val="auto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天内完成。</w:t>
      </w:r>
    </w:p>
    <w:p>
      <w:pPr>
        <w:pStyle w:val="2"/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仿宋_GB2312" w:cs="Times New Roman"/>
          <w:color w:val="auto"/>
          <w:kern w:val="2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仿宋_GB2312" w:cs="Times New Roman"/>
          <w:color w:val="auto"/>
          <w:kern w:val="2"/>
          <w:sz w:val="24"/>
          <w:szCs w:val="22"/>
          <w:lang w:val="en-US" w:eastAsia="zh-CN" w:bidi="ar-SA"/>
        </w:rPr>
        <w:t>（1）</w:t>
      </w:r>
      <w:r>
        <w:rPr>
          <w:rFonts w:hint="eastAsia" w:ascii="宋体" w:hAnsi="宋体" w:eastAsia="仿宋_GB2312" w:cs="Times New Roman"/>
          <w:color w:val="auto"/>
          <w:kern w:val="2"/>
          <w:sz w:val="24"/>
          <w:szCs w:val="22"/>
          <w:highlight w:val="none"/>
          <w:lang w:val="en-US" w:eastAsia="zh-CN" w:bidi="ar-SA"/>
        </w:rPr>
        <w:t>中标单位逾期交货的，每逾期一天，中标单位向采购人偿付合同金额的0.5%作为滞纳金，若中标单位逾期交货15天，采购人有权解除合同，解除合同的通知至到达中标单位时生效。</w:t>
      </w:r>
    </w:p>
    <w:p>
      <w:pPr>
        <w:spacing w:line="360" w:lineRule="auto"/>
        <w:ind w:firstLine="240" w:firstLineChars="100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合同供货安装时间如遇下列情况，经甲方书面确认后，供货安装时间可相应顺延:合同履行中发生重大变更而确实影响到供货安装进度（属中标人组织生产、安装等失误引起的供货安装进度滞后由中标人负责）。</w:t>
      </w:r>
    </w:p>
    <w:p>
      <w:pPr>
        <w:spacing w:line="360" w:lineRule="auto"/>
        <w:ind w:firstLine="240" w:firstLineChars="100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）不可抗力因素。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非中标人原因而确实影响到供货安装进度的。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除上述外，中标人不得以任何理由变更供货安装时间。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 xml:space="preserve">    4、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 xml:space="preserve"> 技术要求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 材料、零配件等方面技术要求:所有采用的金属材料、非金属材料、零配件、密封材料及结构胶等应符合有关材料的国家或行业标准。标识牌使用不锈钢、外框的结构部分厚度及面板厚度不得少于规定厚度，涂层厚度不得少于规定值，以保证涂层质量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）不锈钢取材应取自同一品牌，以满足项目和谐统一的要求，在供货过程中，不得改变材料的牌号或供应厂家。材质应满足复杂形状的加工要求，材质不受损、稳定性应满足长期使用要求。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）螺丝等金属配件采用不锈钢材料，所有金属零配件必须满足强度要求，不能有妨碍组装的缺陷，外露的金属零配件没有容易造成手部受伤的毛口、毛刺、尖角存在。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）所有不锈钢构件采用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201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号不锈钢，金属元素成分符合GB/T 3280-1992、GB/T4239-1991规定。表面发纹处理，平整无乡痕，纹理均匀、清晰、顺畅。阻燃防火引用标准：GB8624-1997 《建筑材料燃烧性能分级方法》。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）汽车烤漆：表面涂层参照YS-T429.2-2000国家标准，涂层厚度≥35μ m，三涂。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6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）喷漆处理要求：</w:t>
      </w:r>
    </w:p>
    <w:p>
      <w:pPr>
        <w:spacing w:line="360" w:lineRule="auto"/>
        <w:ind w:firstLine="480" w:firstLineChars="200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1）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喷漆及检验：采用环保型优质油漆烤漆处理，油漆颜色要符合设计方案要求.烤漆房须无尘埃颗粒,条件理想,烤漆表面涂层厚度大于或等于35微米。三涂三烤后作烘干处理。</w:t>
      </w:r>
    </w:p>
    <w:p>
      <w:pPr>
        <w:spacing w:line="360" w:lineRule="auto"/>
        <w:ind w:firstLine="480" w:firstLineChars="200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2）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喷漆使用材料规格:氟碳涂层: 内含不小于70%KAYAR500或HYLA5000；聚脂烤漆: 表面涂层厚度:不小于40微米(三涂三烤) ；喷塑: 表面涂层厚度: 不小于30微米；烤漆过程须时刻检验实时效果,框架表面不能产生颗粒状物,气泡.颜色要均匀，质检部门对产品作好检验,合格产品进入下道工序。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）所有标识安装应保证安全、牢固、美观，在项目实施过程中，安装方法的调整不得影响工程造价；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8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）标识安装需破坏招标人现场的（如绿化、墙体、装修），投标人应予以完全恢复，并不得变更工程造价；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9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）本表所列标识项目，其图文内容多少的变更不得影响工程造价；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10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）所有折边工艺外露部分必须封边；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）所有安装配件必须是国标配件；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4、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质保期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 质保期从整个项目产品安装调试完毕，并经验收合格之日开始计算。除非招标人另有要求，保修期内的服务均为免费上门服务。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）本项目的质保期为验收合格之日起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年，货物在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1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年内损坏的（非人为造成）由中标人全权负责，如造成招标人相应的经济损失由中标人承担。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）保修期内，与维修相关的所有费用、安全由投标人自负。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5、履约保证金及</w:t>
      </w:r>
      <w:r>
        <w:rPr>
          <w:rFonts w:hint="eastAsia" w:ascii="宋体" w:hAnsi="宋体" w:eastAsia="仿宋_GB2312"/>
          <w:color w:val="auto"/>
          <w:sz w:val="24"/>
          <w:highlight w:val="none"/>
          <w:lang w:eastAsia="zh-CN"/>
        </w:rPr>
        <w:t>付款方式</w:t>
      </w:r>
    </w:p>
    <w:p>
      <w:pPr>
        <w:spacing w:line="360" w:lineRule="auto"/>
        <w:ind w:firstLine="240" w:firstLineChars="100"/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highlight w:val="none"/>
          <w:lang w:val="en-US" w:eastAsia="zh-CN"/>
        </w:rPr>
        <w:t>（1）合同签订前中标人需向采购人缴纳合同价1%的履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约保证金，项目验收合格后15个工作日内无息退还；</w:t>
      </w:r>
    </w:p>
    <w:p>
      <w:pPr>
        <w:spacing w:line="360" w:lineRule="auto"/>
        <w:ind w:firstLine="240" w:firstLineChars="100"/>
        <w:rPr>
          <w:rFonts w:hint="eastAsia" w:ascii="宋体" w:hAnsi="宋体" w:eastAsia="仿宋_GB2312"/>
          <w:color w:val="auto"/>
          <w:sz w:val="24"/>
          <w:lang w:eastAsia="zh-CN"/>
        </w:rPr>
      </w:pPr>
      <w:r>
        <w:rPr>
          <w:rFonts w:hint="eastAsia" w:ascii="宋体" w:hAnsi="宋体" w:eastAsia="仿宋_GB2312"/>
          <w:color w:val="auto"/>
          <w:sz w:val="24"/>
          <w:lang w:eastAsia="zh-CN"/>
        </w:rPr>
        <w:t>（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仿宋_GB2312"/>
          <w:color w:val="auto"/>
          <w:sz w:val="24"/>
          <w:lang w:eastAsia="zh-CN"/>
        </w:rPr>
        <w:t>）付款方式：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设计方案确认，施工图完成，支付中标价的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0%，布展完成经验收合格后支付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剩余的60%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其他要求：</w:t>
      </w:r>
    </w:p>
    <w:p>
      <w:pPr>
        <w:numPr>
          <w:ilvl w:val="0"/>
          <w:numId w:val="0"/>
        </w:numPr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仿宋_GB2312"/>
          <w:color w:val="auto"/>
          <w:sz w:val="24"/>
          <w:lang w:val="en-US" w:eastAsia="zh-CN"/>
        </w:rPr>
        <w:t>★投标人提供的现场勘踏报告须加盖业主公章，无业主盖章的作无效标处理。</w:t>
      </w:r>
    </w:p>
    <w:p>
      <w:pPr>
        <w:pStyle w:val="2"/>
        <w:ind w:firstLine="241" w:firstLineChars="1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注：★为实质性响应项，不满足则投标无效。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>7、最高限价</w:t>
      </w:r>
    </w:p>
    <w:p>
      <w:pPr>
        <w:spacing w:line="360" w:lineRule="auto"/>
        <w:rPr>
          <w:rFonts w:hint="eastAsia" w:ascii="宋体" w:hAnsi="宋体" w:eastAsia="仿宋_GB2312"/>
          <w:color w:val="auto"/>
          <w:sz w:val="24"/>
          <w:lang w:val="en-US" w:eastAsia="zh-CN"/>
        </w:rPr>
      </w:pPr>
      <w:r>
        <w:rPr>
          <w:rFonts w:hint="eastAsia" w:ascii="宋体" w:hAnsi="宋体" w:eastAsia="仿宋_GB2312"/>
          <w:color w:val="auto"/>
          <w:sz w:val="24"/>
          <w:lang w:val="en-US" w:eastAsia="zh-CN"/>
        </w:rPr>
        <w:t xml:space="preserve">    本次采购最高限价为人民币肆拾万元（¥400000.00）整，任何超过最高限价的报价将被认定为无效报价。（报价包括制作、运输、安装、税金等一切费用）</w:t>
      </w:r>
    </w:p>
    <w:p>
      <w:pPr>
        <w:rPr>
          <w:rFonts w:hint="eastAsia" w:ascii="仿宋_GB2312" w:eastAsia="仿宋_GB2312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B7E0"/>
    <w:multiLevelType w:val="singleLevel"/>
    <w:tmpl w:val="85A6B7E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jQ2MzEzMTY3NTJmMGQyZjA0NzlkYmQwMWQyNzQifQ=="/>
  </w:docVars>
  <w:rsids>
    <w:rsidRoot w:val="517B1A44"/>
    <w:rsid w:val="00643BE3"/>
    <w:rsid w:val="0168353A"/>
    <w:rsid w:val="01E52B01"/>
    <w:rsid w:val="02F5547A"/>
    <w:rsid w:val="052878D5"/>
    <w:rsid w:val="077A6BE4"/>
    <w:rsid w:val="07865C7B"/>
    <w:rsid w:val="07C65AC9"/>
    <w:rsid w:val="07F03291"/>
    <w:rsid w:val="08CC28E3"/>
    <w:rsid w:val="09497E1A"/>
    <w:rsid w:val="09F40AF9"/>
    <w:rsid w:val="0A670558"/>
    <w:rsid w:val="0C430B50"/>
    <w:rsid w:val="0C6136B9"/>
    <w:rsid w:val="0CB437FC"/>
    <w:rsid w:val="0D2C3CDA"/>
    <w:rsid w:val="0EEF3211"/>
    <w:rsid w:val="100D4D49"/>
    <w:rsid w:val="10C1760B"/>
    <w:rsid w:val="11B23990"/>
    <w:rsid w:val="134A310C"/>
    <w:rsid w:val="15E72E94"/>
    <w:rsid w:val="1778728D"/>
    <w:rsid w:val="178D5376"/>
    <w:rsid w:val="17B80644"/>
    <w:rsid w:val="17C57205"/>
    <w:rsid w:val="17EE4066"/>
    <w:rsid w:val="1CB57848"/>
    <w:rsid w:val="1CBD66FD"/>
    <w:rsid w:val="1D525097"/>
    <w:rsid w:val="1D756FD8"/>
    <w:rsid w:val="1E4F60AC"/>
    <w:rsid w:val="1F8359DC"/>
    <w:rsid w:val="1F866953"/>
    <w:rsid w:val="22266AF2"/>
    <w:rsid w:val="22CA1B74"/>
    <w:rsid w:val="2317137B"/>
    <w:rsid w:val="25070E5D"/>
    <w:rsid w:val="25401ACB"/>
    <w:rsid w:val="26CF1507"/>
    <w:rsid w:val="27897A5A"/>
    <w:rsid w:val="27B23302"/>
    <w:rsid w:val="29003BF9"/>
    <w:rsid w:val="2A1F77AE"/>
    <w:rsid w:val="2B2B126E"/>
    <w:rsid w:val="2BED42EC"/>
    <w:rsid w:val="2C735D6A"/>
    <w:rsid w:val="2D1C36E1"/>
    <w:rsid w:val="2DC0604D"/>
    <w:rsid w:val="2DDD0733"/>
    <w:rsid w:val="2DFD73AC"/>
    <w:rsid w:val="2E081A6B"/>
    <w:rsid w:val="2E0C31CC"/>
    <w:rsid w:val="2F120B2A"/>
    <w:rsid w:val="2FA33530"/>
    <w:rsid w:val="3034062C"/>
    <w:rsid w:val="32290665"/>
    <w:rsid w:val="323668DE"/>
    <w:rsid w:val="32CC7242"/>
    <w:rsid w:val="333A7D3B"/>
    <w:rsid w:val="34580D8D"/>
    <w:rsid w:val="366E1A79"/>
    <w:rsid w:val="36AC716F"/>
    <w:rsid w:val="390436A9"/>
    <w:rsid w:val="39FB2393"/>
    <w:rsid w:val="3A59585F"/>
    <w:rsid w:val="3AA032E6"/>
    <w:rsid w:val="3AAC3BE1"/>
    <w:rsid w:val="3ABB3E24"/>
    <w:rsid w:val="3BB52F69"/>
    <w:rsid w:val="3C3A346E"/>
    <w:rsid w:val="3C7143EE"/>
    <w:rsid w:val="3CD13DD3"/>
    <w:rsid w:val="3CED04E1"/>
    <w:rsid w:val="3DDF5C28"/>
    <w:rsid w:val="3E10407D"/>
    <w:rsid w:val="3FBB0422"/>
    <w:rsid w:val="3FC30FEB"/>
    <w:rsid w:val="40AD420F"/>
    <w:rsid w:val="41C2018E"/>
    <w:rsid w:val="42870A90"/>
    <w:rsid w:val="438A0837"/>
    <w:rsid w:val="439042A8"/>
    <w:rsid w:val="469A445B"/>
    <w:rsid w:val="46E97F6B"/>
    <w:rsid w:val="46FA61CA"/>
    <w:rsid w:val="47593987"/>
    <w:rsid w:val="477C493B"/>
    <w:rsid w:val="485540ED"/>
    <w:rsid w:val="49180694"/>
    <w:rsid w:val="491C2B5F"/>
    <w:rsid w:val="49A14604"/>
    <w:rsid w:val="49F47B99"/>
    <w:rsid w:val="4B165A7F"/>
    <w:rsid w:val="4C1A4723"/>
    <w:rsid w:val="4D793D0A"/>
    <w:rsid w:val="4E731A75"/>
    <w:rsid w:val="4ED16359"/>
    <w:rsid w:val="50F519C7"/>
    <w:rsid w:val="51117283"/>
    <w:rsid w:val="51363DAD"/>
    <w:rsid w:val="517B1A44"/>
    <w:rsid w:val="51CD58F1"/>
    <w:rsid w:val="52650DED"/>
    <w:rsid w:val="52EF06B7"/>
    <w:rsid w:val="536966BB"/>
    <w:rsid w:val="53724474"/>
    <w:rsid w:val="53F90824"/>
    <w:rsid w:val="547B481D"/>
    <w:rsid w:val="55015A73"/>
    <w:rsid w:val="55272D67"/>
    <w:rsid w:val="55DF6C5E"/>
    <w:rsid w:val="55E71B19"/>
    <w:rsid w:val="55F83D27"/>
    <w:rsid w:val="56BF65F2"/>
    <w:rsid w:val="56CE4A87"/>
    <w:rsid w:val="5AB507C9"/>
    <w:rsid w:val="5B61236E"/>
    <w:rsid w:val="5B7C4AB2"/>
    <w:rsid w:val="5BF94355"/>
    <w:rsid w:val="5C6E3115"/>
    <w:rsid w:val="5D9E1657"/>
    <w:rsid w:val="5DCD7847"/>
    <w:rsid w:val="5E5D100D"/>
    <w:rsid w:val="5ED52E57"/>
    <w:rsid w:val="5EE404C5"/>
    <w:rsid w:val="604D4C6F"/>
    <w:rsid w:val="607B6DCC"/>
    <w:rsid w:val="62AE40EB"/>
    <w:rsid w:val="632443AD"/>
    <w:rsid w:val="63293771"/>
    <w:rsid w:val="64AA2690"/>
    <w:rsid w:val="64FB113D"/>
    <w:rsid w:val="65190E21"/>
    <w:rsid w:val="65C43C25"/>
    <w:rsid w:val="66FB3677"/>
    <w:rsid w:val="678A0557"/>
    <w:rsid w:val="67D6379C"/>
    <w:rsid w:val="686703E5"/>
    <w:rsid w:val="68960FC3"/>
    <w:rsid w:val="69201173"/>
    <w:rsid w:val="6B19231D"/>
    <w:rsid w:val="6C0134DD"/>
    <w:rsid w:val="6C2C0F77"/>
    <w:rsid w:val="6E0220C9"/>
    <w:rsid w:val="6E6C09B6"/>
    <w:rsid w:val="6F141779"/>
    <w:rsid w:val="70932B72"/>
    <w:rsid w:val="714D2D21"/>
    <w:rsid w:val="72D1172F"/>
    <w:rsid w:val="731735E6"/>
    <w:rsid w:val="73F5782C"/>
    <w:rsid w:val="745F3497"/>
    <w:rsid w:val="74683D03"/>
    <w:rsid w:val="7479254B"/>
    <w:rsid w:val="74B66E2F"/>
    <w:rsid w:val="753B10E2"/>
    <w:rsid w:val="75461F61"/>
    <w:rsid w:val="75952EE8"/>
    <w:rsid w:val="75DB3494"/>
    <w:rsid w:val="77AE3DED"/>
    <w:rsid w:val="77D23F80"/>
    <w:rsid w:val="7806700A"/>
    <w:rsid w:val="78CC6A0B"/>
    <w:rsid w:val="79B55907"/>
    <w:rsid w:val="7A28432B"/>
    <w:rsid w:val="7A590988"/>
    <w:rsid w:val="7B9D48A5"/>
    <w:rsid w:val="7BD3324D"/>
    <w:rsid w:val="7C183F2B"/>
    <w:rsid w:val="7C444D20"/>
    <w:rsid w:val="7E105802"/>
    <w:rsid w:val="7E12037C"/>
    <w:rsid w:val="7EAB1087"/>
    <w:rsid w:val="7EBA4C2C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after="120" w:afterLines="0"/>
    </w:pPr>
    <w:rPr>
      <w:rFonts w:ascii="Times New Roman" w:hAnsi="Times New Roman"/>
      <w:color w:val="000000"/>
      <w:kern w:val="0"/>
      <w:szCs w:val="21"/>
    </w:rPr>
  </w:style>
  <w:style w:type="paragraph" w:styleId="3">
    <w:name w:val="Body Text 3"/>
    <w:basedOn w:val="1"/>
    <w:qFormat/>
    <w:uiPriority w:val="0"/>
    <w:pPr>
      <w:spacing w:after="120"/>
      <w:ind w:left="425" w:hanging="425"/>
    </w:pPr>
    <w:rPr>
      <w:rFonts w:ascii="Calibri" w:hAnsi="Calibri"/>
      <w:sz w:val="16"/>
      <w:szCs w:val="16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customStyle="1" w:styleId="8">
    <w:name w:val="表格文字"/>
    <w:basedOn w:val="9"/>
    <w:next w:val="2"/>
    <w:qFormat/>
    <w:uiPriority w:val="0"/>
    <w:pPr>
      <w:spacing w:line="420" w:lineRule="atLeast"/>
      <w:textAlignment w:val="baseline"/>
    </w:pPr>
    <w:rPr>
      <w:szCs w:val="24"/>
    </w:rPr>
  </w:style>
  <w:style w:type="paragraph" w:customStyle="1" w:styleId="9">
    <w:name w:val="表格文字（两侧对齐）"/>
    <w:basedOn w:val="1"/>
    <w:qFormat/>
    <w:uiPriority w:val="0"/>
    <w:pPr>
      <w:autoSpaceDE/>
      <w:autoSpaceDN/>
      <w:adjustRightInd/>
      <w:snapToGrid w:val="0"/>
    </w:pPr>
    <w:rPr>
      <w:color w:val="auto"/>
      <w:sz w:val="20"/>
      <w:szCs w:val="24"/>
    </w:rPr>
  </w:style>
  <w:style w:type="paragraph" w:customStyle="1" w:styleId="10">
    <w:name w:val="Body Text First Indent 2"/>
    <w:basedOn w:val="1"/>
    <w:qFormat/>
    <w:uiPriority w:val="0"/>
    <w:pPr>
      <w:autoSpaceDE/>
      <w:autoSpaceDN/>
      <w:adjustRightInd/>
      <w:spacing w:after="120"/>
      <w:ind w:left="420" w:leftChars="200" w:firstLine="420"/>
    </w:pPr>
    <w:rPr>
      <w:rFonts w:cs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3610</Words>
  <Characters>3906</Characters>
  <Lines>0</Lines>
  <Paragraphs>0</Paragraphs>
  <TotalTime>46</TotalTime>
  <ScaleCrop>false</ScaleCrop>
  <LinksUpToDate>false</LinksUpToDate>
  <CharactersWithSpaces>3949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2022-03-16T02:00:00Z</dcterms:created>
  <dc:creator>Administrator</dc:creator>
  <cp:lastModifiedBy>WPS_1656465707</cp:lastModifiedBy>
  <dcterms:modified xsi:type="dcterms:W3CDTF">2022-11-11T08:44:28Z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74EDFAE2EA404FEB87390FA428C07A09</vt:lpwstr>
  </property>
</Properties>
</file>