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绍兴市第七人民医院后勤服务岗位人员劳务派遣服务项目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r>
        <w:rPr>
          <w:rFonts w:hint="eastAsia" w:ascii="仿宋" w:hAnsi="仿宋" w:eastAsia="仿宋" w:cs="仿宋"/>
          <w:b/>
          <w:sz w:val="28"/>
          <w:szCs w:val="28"/>
        </w:rPr>
        <w:t>招标编号:CGSHZJ-2024-N000977</w:t>
      </w:r>
    </w:p>
    <w:tbl>
      <w:tblPr>
        <w:tblStyle w:val="62"/>
        <w:tblW w:w="78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6"/>
        <w:gridCol w:w="5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绍兴市第七人民医院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872132593"/>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绍兴衡业工程管理咨询有限公司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hint="eastAsia" w:ascii="仿宋" w:hAnsi="仿宋" w:eastAsia="仿宋" w:cs="仿宋"/>
                <w:spacing w:val="93"/>
                <w:kern w:val="0"/>
                <w:sz w:val="28"/>
                <w:szCs w:val="28"/>
                <w:fitText w:val="1680" w:id="1"/>
              </w:rPr>
            </w:pPr>
          </w:p>
        </w:tc>
        <w:tc>
          <w:tcPr>
            <w:tcW w:w="5445" w:type="dxa"/>
          </w:tcPr>
          <w:p>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绍兴市政务服务办公室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rPr>
          <w:rFonts w:hint="eastAsia" w:ascii="仿宋" w:hAnsi="仿宋" w:eastAsia="仿宋" w:cs="仿宋"/>
          <w:b/>
          <w:sz w:val="36"/>
          <w:szCs w:val="20"/>
        </w:rPr>
      </w:pPr>
      <w:r>
        <w:rPr>
          <w:rFonts w:hint="eastAsia" w:ascii="仿宋" w:hAnsi="仿宋" w:eastAsia="仿宋" w:cs="仿宋"/>
          <w:b/>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绍兴市第七人民医院后勤服务岗位人员劳务派遣服务项目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 年 月 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rPr>
        <w:t>CGSHZJ-2024-N000977</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rPr>
        <w:t>绍兴市第七人民医院后勤服务岗位人员劳务派遣服务项目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4130000.00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4130000.00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bookmarkStart w:id="169" w:name="_GoBack"/>
      <w:bookmarkEnd w:id="169"/>
      <w:r>
        <w:rPr>
          <w:rFonts w:hint="eastAsia" w:ascii="仿宋" w:hAnsi="仿宋" w:eastAsia="仿宋" w:cs="仿宋"/>
          <w:b w:val="0"/>
          <w:bCs/>
          <w:color w:val="auto"/>
          <w:sz w:val="24"/>
        </w:rPr>
        <w:t>后勤服务岗位人员劳务派遣服务项目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预算金额：4130000.00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 w:val="0"/>
          <w:bCs/>
          <w:color w:val="auto"/>
          <w:sz w:val="24"/>
        </w:rPr>
        <w:t>后勤服务岗位人员劳务派遣服务</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sym w:font="Wingdings 2" w:char="0052"/>
      </w:r>
      <w:r>
        <w:rPr>
          <w:rFonts w:hint="eastAsia" w:ascii="仿宋" w:hAnsi="仿宋" w:eastAsia="仿宋" w:cs="仿宋"/>
          <w:b/>
          <w:color w:val="auto"/>
          <w:sz w:val="24"/>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r>
        <w:rPr>
          <w:rFonts w:hint="eastAsia" w:ascii="仿宋" w:hAnsi="仿宋" w:eastAsia="仿宋" w:cs="仿宋"/>
          <w:color w:val="auto"/>
          <w:sz w:val="24"/>
          <w:highlight w:val="none"/>
          <w:lang w:eastAsia="zh-CN"/>
        </w:rPr>
        <w:t>，绍兴市迪荡新城惠利街20号鼎盛时代大厦绍兴市公共资源交易中心四楼</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lang w:eastAsia="zh-CN"/>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称：绍兴市第七人民医院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址：绍兴市越城区胜利西路1234号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钟海平</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0575-85397778</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唐亮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质疑联系方式：0575-85397715</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绍兴衡业工程管理咨询有限公司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绍兴市越城区凤林文创园2号楼南面2楼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许静丽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15068509660</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孟琴波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15988282224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绍兴市第七人民医院后勤服务岗位人员劳务派遣服务项目</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其他未列明行业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bCs/>
                <w:snapToGrid w:val="0"/>
                <w:kern w:val="28"/>
                <w:sz w:val="24"/>
              </w:rPr>
            </w:pPr>
            <w:r>
              <w:rPr>
                <w:rFonts w:hint="eastAsia" w:ascii="仿宋" w:hAnsi="仿宋" w:eastAsia="仿宋" w:cs="仿宋"/>
                <w:b/>
                <w:bCs/>
                <w:snapToGrid w:val="0"/>
                <w:kern w:val="28"/>
                <w:sz w:val="24"/>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中标人须向采购代理机构按如下标准和规定交纳</w:t>
            </w:r>
            <w:r>
              <w:rPr>
                <w:rFonts w:hint="eastAsia" w:ascii="仿宋" w:hAnsi="仿宋" w:eastAsia="仿宋" w:cs="仿宋"/>
                <w:snapToGrid w:val="0"/>
                <w:kern w:val="28"/>
                <w:sz w:val="24"/>
                <w:lang w:val="en-US" w:eastAsia="zh-CN"/>
              </w:rPr>
              <w:t>代理</w:t>
            </w:r>
            <w:r>
              <w:rPr>
                <w:rFonts w:hint="eastAsia" w:ascii="仿宋" w:hAnsi="仿宋" w:eastAsia="仿宋" w:cs="仿宋"/>
                <w:snapToGrid w:val="0"/>
                <w:kern w:val="28"/>
                <w:sz w:val="24"/>
              </w:rPr>
              <w:t>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lang w:eastAsia="zh-CN"/>
              </w:rPr>
            </w:pPr>
            <w:r>
              <w:rPr>
                <w:rFonts w:hint="eastAsia" w:ascii="仿宋" w:hAnsi="仿宋" w:eastAsia="仿宋" w:cs="仿宋"/>
                <w:snapToGrid w:val="0"/>
                <w:kern w:val="28"/>
                <w:sz w:val="24"/>
              </w:rPr>
              <w:t>①代理服务费</w:t>
            </w:r>
            <w:r>
              <w:rPr>
                <w:rFonts w:hint="eastAsia" w:ascii="仿宋" w:hAnsi="仿宋" w:eastAsia="仿宋" w:cs="仿宋"/>
                <w:snapToGrid w:val="0"/>
                <w:kern w:val="28"/>
                <w:sz w:val="24"/>
                <w:lang w:val="en-US" w:eastAsia="zh-CN"/>
              </w:rPr>
              <w:t>收费标准</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按《年度招标采购委托代理服务》规定的收费标准收取</w:t>
            </w:r>
            <w:r>
              <w:rPr>
                <w:rFonts w:hint="eastAsia" w:ascii="仿宋" w:hAnsi="仿宋" w:eastAsia="仿宋" w:cs="仿宋"/>
                <w:color w:val="auto"/>
                <w:sz w:val="24"/>
                <w:highlight w:val="none"/>
                <w:lang w:eastAsia="zh-CN"/>
              </w:rPr>
              <w:t>（50万元以下部分按1%收取，50-100万元部分按0.8%收取，100-150万元部分按0.6%收取，150万元以上部分按0.4%收取）</w:t>
            </w:r>
            <w:r>
              <w:rPr>
                <w:rFonts w:hint="eastAsia" w:ascii="仿宋" w:hAnsi="仿宋" w:eastAsia="仿宋" w:cs="仿宋"/>
                <w:snapToGrid w:val="0"/>
                <w:kern w:val="28"/>
                <w:sz w:val="24"/>
              </w:rPr>
              <w:t>；代理服务费低于2500元的按2500元收取</w:t>
            </w:r>
            <w:r>
              <w:rPr>
                <w:rFonts w:hint="eastAsia" w:ascii="仿宋" w:hAnsi="仿宋" w:eastAsia="仿宋" w:cs="仿宋"/>
                <w:snapToGrid w:val="0"/>
                <w:kern w:val="28"/>
                <w:sz w:val="24"/>
                <w:lang w:eastAsia="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②</w:t>
            </w:r>
            <w:r>
              <w:rPr>
                <w:rFonts w:hint="eastAsia" w:ascii="仿宋" w:hAnsi="仿宋" w:eastAsia="仿宋" w:cs="仿宋"/>
                <w:snapToGrid w:val="0"/>
                <w:kern w:val="28"/>
                <w:sz w:val="24"/>
                <w:lang w:val="en-US" w:eastAsia="zh-CN"/>
              </w:rPr>
              <w:t>代理</w:t>
            </w:r>
            <w:r>
              <w:rPr>
                <w:rFonts w:hint="eastAsia" w:ascii="仿宋" w:hAnsi="仿宋" w:eastAsia="仿宋" w:cs="仿宋"/>
                <w:snapToGrid w:val="0"/>
                <w:kern w:val="28"/>
                <w:sz w:val="24"/>
              </w:rPr>
              <w:t>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w:t>
            </w:r>
            <w:r>
              <w:rPr>
                <w:rFonts w:hint="eastAsia" w:ascii="仿宋" w:hAnsi="仿宋" w:eastAsia="仿宋" w:cs="仿宋"/>
                <w:snapToGrid w:val="0"/>
                <w:kern w:val="28"/>
                <w:sz w:val="24"/>
                <w:lang w:val="en-US" w:eastAsia="zh-CN"/>
              </w:rPr>
              <w:t>代理</w:t>
            </w:r>
            <w:r>
              <w:rPr>
                <w:rFonts w:hint="eastAsia" w:ascii="仿宋" w:hAnsi="仿宋" w:eastAsia="仿宋" w:cs="仿宋"/>
                <w:snapToGrid w:val="0"/>
                <w:kern w:val="28"/>
                <w:sz w:val="24"/>
              </w:rPr>
              <w:t>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公司名称：绍兴衡业工程管理咨询有限公司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开户行：中国民生银行股份有限公司绍兴越北小微企业专营</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rPr>
              <w:t>③</w:t>
            </w:r>
            <w:r>
              <w:rPr>
                <w:rFonts w:hint="eastAsia" w:ascii="仿宋" w:hAnsi="仿宋" w:eastAsia="仿宋" w:cs="仿宋"/>
                <w:snapToGrid w:val="0"/>
                <w:kern w:val="28"/>
                <w:sz w:val="24"/>
                <w:lang w:val="en-US" w:eastAsia="zh-CN"/>
              </w:rPr>
              <w:t>代理</w:t>
            </w:r>
            <w:r>
              <w:rPr>
                <w:rFonts w:hint="eastAsia" w:ascii="仿宋" w:hAnsi="仿宋" w:eastAsia="仿宋" w:cs="仿宋"/>
                <w:snapToGrid w:val="0"/>
                <w:kern w:val="28"/>
                <w:sz w:val="24"/>
              </w:rPr>
              <w:t>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3.4支持科技创新创新发展</w:t>
      </w:r>
    </w:p>
    <w:p>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★4.特别说明：</w:t>
      </w:r>
    </w:p>
    <w:p>
      <w:pPr>
        <w:spacing w:line="440" w:lineRule="exact"/>
        <w:rPr>
          <w:rFonts w:ascii="仿宋_GB2312" w:hAnsi="仿宋" w:eastAsia="仿宋_GB2312"/>
          <w:sz w:val="24"/>
        </w:rPr>
      </w:pPr>
      <w:r>
        <w:rPr>
          <w:rFonts w:hint="eastAsia" w:ascii="仿宋_GB2312" w:hAnsi="仿宋" w:eastAsia="仿宋_GB2312" w:cs="Times New Roman"/>
          <w:sz w:val="24"/>
        </w:rPr>
        <w:t>4.1供应商投标所使用的资格、信誉、荣誉、业绩与企业认证必须为投标单位所拥有。供应商投标所使用的</w:t>
      </w:r>
      <w:r>
        <w:rPr>
          <w:rFonts w:hint="eastAsia" w:ascii="仿宋_GB2312" w:hAnsi="仿宋" w:eastAsia="仿宋_GB2312"/>
          <w:sz w:val="24"/>
        </w:rPr>
        <w:t>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403820"/>
      <w:bookmarkEnd w:id="20"/>
      <w:bookmarkStart w:id="21" w:name="_Hlt74730295"/>
      <w:bookmarkEnd w:id="21"/>
      <w:bookmarkStart w:id="22" w:name="_Hlt68057669"/>
      <w:bookmarkEnd w:id="22"/>
      <w:bookmarkStart w:id="23" w:name="_Hlt74729768"/>
      <w:bookmarkEnd w:id="23"/>
      <w:bookmarkStart w:id="24" w:name="_Hlt68072990"/>
      <w:bookmarkEnd w:id="24"/>
      <w:bookmarkStart w:id="25" w:name="_Hlt68072998"/>
      <w:bookmarkEnd w:id="25"/>
      <w:bookmarkStart w:id="26" w:name="_Hlt75236101"/>
      <w:bookmarkEnd w:id="26"/>
      <w:bookmarkStart w:id="27" w:name="_Hlt74714665"/>
      <w:bookmarkEnd w:id="27"/>
      <w:bookmarkStart w:id="28" w:name="_Hlt68073093"/>
      <w:bookmarkEnd w:id="28"/>
      <w:bookmarkStart w:id="29" w:name="_Hlt75236011"/>
      <w:bookmarkEnd w:id="29"/>
      <w:bookmarkStart w:id="30" w:name="_Hlt74707468"/>
      <w:bookmarkEnd w:id="30"/>
      <w:bookmarkStart w:id="31" w:name="_Hlt75236290"/>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bookmarkStart w:id="36" w:name="第五部分"/>
      <w:bookmarkStart w:id="37" w:name="_Toc86217003"/>
      <w:r>
        <w:rPr>
          <w:rFonts w:hint="eastAsia" w:ascii="仿宋" w:hAnsi="仿宋" w:eastAsia="仿宋" w:cs="仿宋"/>
          <w:b/>
          <w:bCs/>
          <w:color w:val="000000" w:themeColor="text1"/>
          <w:sz w:val="24"/>
          <w:szCs w:val="24"/>
          <w:highlight w:val="none"/>
          <w:bdr w:val="single" w:color="auto" w:sz="4" w:space="0"/>
          <w14:textFill>
            <w14:solidFill>
              <w14:schemeClr w14:val="tx1"/>
            </w14:solidFill>
          </w14:textFill>
        </w:rPr>
        <w:t>01标</w:t>
      </w:r>
      <w:bookmarkStart w:id="38" w:name="_Toc7206"/>
      <w:bookmarkStart w:id="39" w:name="_Toc32678"/>
      <w:r>
        <w:rPr>
          <w:rFonts w:hint="eastAsia" w:ascii="仿宋" w:hAnsi="仿宋" w:eastAsia="仿宋" w:cs="仿宋"/>
          <w:b/>
          <w:bCs/>
          <w:color w:val="000000" w:themeColor="text1"/>
          <w:sz w:val="24"/>
          <w:szCs w:val="24"/>
          <w:highlight w:val="none"/>
          <w:lang w:eastAsia="zh-CN"/>
          <w14:textFill>
            <w14:solidFill>
              <w14:schemeClr w14:val="tx1"/>
            </w14:solidFill>
          </w14:textFill>
        </w:rPr>
        <w:t>绍兴市第七人民医院后勤服务岗位人员劳务派遣服务项目</w:t>
      </w:r>
    </w:p>
    <w:bookmarkEnd w:id="38"/>
    <w:bookmarkEnd w:id="39"/>
    <w:p>
      <w:pPr>
        <w:pStyle w:val="19"/>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本次</w:t>
      </w:r>
      <w:r>
        <w:rPr>
          <w:rFonts w:hint="eastAsia" w:ascii="仿宋" w:hAnsi="仿宋" w:eastAsia="仿宋" w:cs="仿宋"/>
          <w:bCs/>
          <w:strike w:val="0"/>
          <w:dstrike w:val="0"/>
          <w:color w:val="000000" w:themeColor="text1"/>
          <w:sz w:val="24"/>
          <w:szCs w:val="24"/>
          <w:lang w:val="en-US" w:eastAsia="zh-CN"/>
          <w14:textFill>
            <w14:solidFill>
              <w14:schemeClr w14:val="tx1"/>
            </w14:solidFill>
          </w14:textFill>
        </w:rPr>
        <w:t>招标</w:t>
      </w:r>
      <w:r>
        <w:rPr>
          <w:rFonts w:hint="eastAsia" w:ascii="仿宋" w:hAnsi="仿宋" w:eastAsia="仿宋" w:cs="仿宋"/>
          <w:bCs/>
          <w:color w:val="000000" w:themeColor="text1"/>
          <w:sz w:val="24"/>
          <w:szCs w:val="24"/>
          <w14:textFill>
            <w14:solidFill>
              <w14:schemeClr w14:val="tx1"/>
            </w14:solidFill>
          </w14:textFill>
        </w:rPr>
        <w:t>项目期限为自合同</w:t>
      </w:r>
      <w:r>
        <w:rPr>
          <w:rFonts w:hint="eastAsia" w:ascii="仿宋" w:hAnsi="仿宋" w:eastAsia="仿宋" w:cs="仿宋"/>
          <w:bCs/>
          <w:color w:val="000000" w:themeColor="text1"/>
          <w:sz w:val="24"/>
          <w:szCs w:val="24"/>
          <w:lang w:val="en-US" w:eastAsia="zh-CN"/>
          <w14:textFill>
            <w14:solidFill>
              <w14:schemeClr w14:val="tx1"/>
            </w14:solidFill>
          </w14:textFill>
        </w:rPr>
        <w:t>生效</w:t>
      </w:r>
      <w:r>
        <w:rPr>
          <w:rFonts w:hint="eastAsia" w:ascii="仿宋" w:hAnsi="仿宋" w:eastAsia="仿宋" w:cs="仿宋"/>
          <w:bCs/>
          <w:color w:val="000000" w:themeColor="text1"/>
          <w:sz w:val="24"/>
          <w:szCs w:val="24"/>
          <w14:textFill>
            <w14:solidFill>
              <w14:schemeClr w14:val="tx1"/>
            </w14:solidFill>
          </w14:textFill>
        </w:rPr>
        <w:t>之日起</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Cs/>
          <w:color w:val="000000" w:themeColor="text1"/>
          <w:sz w:val="24"/>
          <w:szCs w:val="24"/>
          <w:highlight w:val="none"/>
          <w14:textFill>
            <w14:solidFill>
              <w14:schemeClr w14:val="tx1"/>
            </w14:solidFill>
          </w14:textFill>
        </w:rPr>
        <w:t>年，</w:t>
      </w:r>
      <w:r>
        <w:rPr>
          <w:rFonts w:hint="eastAsia" w:ascii="仿宋" w:hAnsi="仿宋" w:eastAsia="仿宋" w:cs="仿宋"/>
          <w:bCs/>
          <w:color w:val="000000" w:themeColor="text1"/>
          <w:sz w:val="24"/>
          <w:szCs w:val="24"/>
          <w14:textFill>
            <w14:solidFill>
              <w14:schemeClr w14:val="tx1"/>
            </w14:solidFill>
          </w14:textFill>
        </w:rPr>
        <w:t>总预算</w:t>
      </w:r>
      <w:r>
        <w:rPr>
          <w:rFonts w:hint="eastAsia" w:ascii="仿宋" w:hAnsi="仿宋" w:eastAsia="仿宋" w:cs="仿宋"/>
          <w:bCs/>
          <w:color w:val="000000" w:themeColor="text1"/>
          <w:sz w:val="24"/>
          <w:szCs w:val="24"/>
          <w:highlight w:val="none"/>
          <w14:textFill>
            <w14:solidFill>
              <w14:schemeClr w14:val="tx1"/>
            </w14:solidFill>
          </w14:textFill>
        </w:rPr>
        <w:t>上限为</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413</w:t>
      </w:r>
      <w:r>
        <w:rPr>
          <w:rFonts w:hint="eastAsia" w:ascii="仿宋" w:hAnsi="仿宋" w:eastAsia="仿宋" w:cs="仿宋"/>
          <w:bCs/>
          <w:color w:val="000000" w:themeColor="text1"/>
          <w:sz w:val="24"/>
          <w:szCs w:val="24"/>
          <w:highlight w:val="none"/>
          <w14:textFill>
            <w14:solidFill>
              <w14:schemeClr w14:val="tx1"/>
            </w14:solidFill>
          </w14:textFill>
        </w:rPr>
        <w:t>万元，</w:t>
      </w:r>
      <w:r>
        <w:rPr>
          <w:rFonts w:hint="eastAsia" w:ascii="仿宋" w:hAnsi="仿宋" w:eastAsia="仿宋" w:cs="仿宋"/>
          <w:color w:val="000000" w:themeColor="text1"/>
          <w:sz w:val="24"/>
          <w:szCs w:val="24"/>
          <w14:textFill>
            <w14:solidFill>
              <w14:schemeClr w14:val="tx1"/>
            </w14:solidFill>
          </w14:textFill>
        </w:rPr>
        <w:t>纳入本次招标的服务内容包括</w:t>
      </w:r>
      <w:r>
        <w:rPr>
          <w:rFonts w:hint="eastAsia" w:ascii="仿宋" w:hAnsi="仿宋" w:eastAsia="仿宋" w:cs="仿宋"/>
          <w:bCs/>
          <w:color w:val="000000" w:themeColor="text1"/>
          <w:sz w:val="24"/>
          <w:szCs w:val="24"/>
          <w14:textFill>
            <w14:solidFill>
              <w14:schemeClr w14:val="tx1"/>
            </w14:solidFill>
          </w14:textFill>
        </w:rPr>
        <w:t>护工服务、</w:t>
      </w:r>
      <w:r>
        <w:rPr>
          <w:rFonts w:hint="eastAsia" w:ascii="仿宋" w:hAnsi="仿宋" w:eastAsia="仿宋" w:cs="仿宋"/>
          <w:bCs/>
          <w:color w:val="000000" w:themeColor="text1"/>
          <w:sz w:val="24"/>
          <w:szCs w:val="24"/>
          <w:lang w:eastAsia="zh-CN"/>
          <w14:textFill>
            <w14:solidFill>
              <w14:schemeClr w14:val="tx1"/>
            </w14:solidFill>
          </w14:textFill>
        </w:rPr>
        <w:t>各类后勤人员服务</w:t>
      </w:r>
      <w:r>
        <w:rPr>
          <w:rFonts w:hint="eastAsia" w:ascii="仿宋" w:hAnsi="仿宋" w:eastAsia="仿宋" w:cs="仿宋"/>
          <w:color w:val="000000" w:themeColor="text1"/>
          <w:sz w:val="24"/>
          <w:szCs w:val="24"/>
          <w14:textFill>
            <w14:solidFill>
              <w14:schemeClr w14:val="tx1"/>
            </w14:solidFill>
          </w14:textFill>
        </w:rPr>
        <w:t>及医院各项临时性相关服务等。</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w:t>
      </w:r>
      <w:r>
        <w:rPr>
          <w:rFonts w:hint="eastAsia" w:ascii="仿宋" w:hAnsi="仿宋" w:eastAsia="仿宋" w:cs="仿宋"/>
          <w:b/>
          <w:color w:val="000000" w:themeColor="text1"/>
          <w:sz w:val="24"/>
          <w:szCs w:val="24"/>
          <w:lang w:val="en-US"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服务要求</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按照三级甲等专科医院的卫生标准，提供规范的护工服务</w:t>
      </w:r>
      <w:r>
        <w:rPr>
          <w:rFonts w:hint="eastAsia" w:ascii="仿宋" w:hAnsi="仿宋" w:eastAsia="仿宋" w:cs="仿宋"/>
          <w:color w:val="000000" w:themeColor="text1"/>
          <w:sz w:val="24"/>
          <w:szCs w:val="24"/>
          <w:lang w:eastAsia="zh-CN"/>
          <w14:textFill>
            <w14:solidFill>
              <w14:schemeClr w14:val="tx1"/>
            </w14:solidFill>
          </w14:textFill>
        </w:rPr>
        <w:t>，后勤人员服务</w:t>
      </w:r>
      <w:r>
        <w:rPr>
          <w:rFonts w:hint="eastAsia" w:ascii="仿宋" w:hAnsi="仿宋" w:eastAsia="仿宋" w:cs="仿宋"/>
          <w:color w:val="000000" w:themeColor="text1"/>
          <w:sz w:val="24"/>
          <w:szCs w:val="24"/>
          <w14:textFill>
            <w14:solidFill>
              <w14:schemeClr w14:val="tx1"/>
            </w14:solidFill>
          </w14:textFill>
        </w:rPr>
        <w:t>并配合医院做好各类检查和突发性公卫事件的应急</w:t>
      </w:r>
      <w:r>
        <w:rPr>
          <w:rFonts w:hint="eastAsia" w:ascii="仿宋" w:hAnsi="仿宋" w:eastAsia="仿宋" w:cs="仿宋"/>
          <w:color w:val="000000" w:themeColor="text1"/>
          <w:sz w:val="24"/>
          <w:szCs w:val="24"/>
          <w:lang w:eastAsia="zh-CN"/>
          <w14:textFill>
            <w14:solidFill>
              <w14:schemeClr w14:val="tx1"/>
            </w14:solidFill>
          </w14:textFill>
        </w:rPr>
        <w:t>人员紧缺服务</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w:t>
      </w:r>
      <w:r>
        <w:rPr>
          <w:rFonts w:hint="eastAsia" w:ascii="仿宋" w:hAnsi="仿宋" w:eastAsia="仿宋" w:cs="仿宋"/>
          <w:b/>
          <w:color w:val="000000" w:themeColor="text1"/>
          <w:sz w:val="24"/>
          <w:szCs w:val="24"/>
          <w:lang w:val="en-US"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服务内容：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w:t>
      </w:r>
      <w:r>
        <w:rPr>
          <w:rFonts w:hint="eastAsia" w:ascii="仿宋" w:hAnsi="仿宋" w:eastAsia="仿宋" w:cs="仿宋"/>
          <w:b w:val="0"/>
          <w:bCs/>
          <w:color w:val="000000" w:themeColor="text1"/>
          <w:sz w:val="24"/>
          <w:szCs w:val="24"/>
          <w:lang w:val="en-US" w:eastAsia="zh-CN"/>
          <w14:textFill>
            <w14:solidFill>
              <w14:schemeClr w14:val="tx1"/>
            </w14:solidFill>
          </w14:textFill>
        </w:rPr>
        <w:t>1精神科保安（</w:t>
      </w:r>
      <w:r>
        <w:rPr>
          <w:rFonts w:hint="eastAsia" w:ascii="仿宋" w:hAnsi="仿宋" w:eastAsia="仿宋" w:cs="仿宋"/>
          <w:b w:val="0"/>
          <w:bCs/>
          <w:color w:val="000000" w:themeColor="text1"/>
          <w:sz w:val="24"/>
          <w:szCs w:val="24"/>
          <w14:textFill>
            <w14:solidFill>
              <w14:schemeClr w14:val="tx1"/>
            </w14:solidFill>
          </w14:textFill>
        </w:rPr>
        <w:t>护工</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服务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接受医疗护理相关基本安全知识（包括感染控制）、生活护理技能培训；在护士指导下协助做好患者生活护理及科室其他事务/辅助工作；服务要求详见6.</w:t>
      </w:r>
      <w:r>
        <w:rPr>
          <w:rFonts w:hint="eastAsia" w:ascii="仿宋" w:hAnsi="仿宋" w:eastAsia="仿宋" w:cs="仿宋"/>
          <w:color w:val="000000" w:themeColor="text1"/>
          <w:sz w:val="24"/>
          <w:szCs w:val="24"/>
          <w:lang w:val="en-US" w:eastAsia="zh-CN"/>
          <w14:textFill>
            <w14:solidFill>
              <w14:schemeClr w14:val="tx1"/>
            </w14:solidFill>
          </w14:textFill>
        </w:rPr>
        <w:t>1保安（</w:t>
      </w:r>
      <w:r>
        <w:rPr>
          <w:rFonts w:hint="eastAsia" w:ascii="仿宋" w:hAnsi="仿宋" w:eastAsia="仿宋" w:cs="仿宋"/>
          <w:color w:val="000000" w:themeColor="text1"/>
          <w:sz w:val="24"/>
          <w:szCs w:val="24"/>
          <w14:textFill>
            <w14:solidFill>
              <w14:schemeClr w14:val="tx1"/>
            </w14:solidFill>
          </w14:textFill>
        </w:rPr>
        <w:t>护工</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服务，由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出具详细管理方案。</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2.2锅炉工服务：</w:t>
      </w:r>
      <w:r>
        <w:rPr>
          <w:rFonts w:hint="eastAsia" w:ascii="仿宋" w:hAnsi="仿宋" w:eastAsia="仿宋" w:cs="仿宋"/>
          <w:color w:val="000000" w:themeColor="text1"/>
          <w:sz w:val="24"/>
          <w:szCs w:val="24"/>
          <w14:textFill>
            <w14:solidFill>
              <w14:schemeClr w14:val="tx1"/>
            </w14:solidFill>
          </w14:textFill>
        </w:rPr>
        <w:t>服务要求详见6.2</w:t>
      </w:r>
      <w:r>
        <w:rPr>
          <w:rFonts w:hint="eastAsia" w:ascii="仿宋" w:hAnsi="仿宋" w:eastAsia="仿宋" w:cs="仿宋"/>
          <w:color w:val="000000" w:themeColor="text1"/>
          <w:sz w:val="24"/>
          <w:szCs w:val="24"/>
          <w:lang w:eastAsia="zh-CN"/>
          <w14:textFill>
            <w14:solidFill>
              <w14:schemeClr w14:val="tx1"/>
            </w14:solidFill>
          </w14:textFill>
        </w:rPr>
        <w:t>锅炉工</w:t>
      </w:r>
      <w:r>
        <w:rPr>
          <w:rFonts w:hint="eastAsia" w:ascii="仿宋" w:hAnsi="仿宋" w:eastAsia="仿宋" w:cs="仿宋"/>
          <w:color w:val="000000" w:themeColor="text1"/>
          <w:sz w:val="24"/>
          <w:szCs w:val="24"/>
          <w14:textFill>
            <w14:solidFill>
              <w14:schemeClr w14:val="tx1"/>
            </w14:solidFill>
          </w14:textFill>
        </w:rPr>
        <w:t>服务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yellow"/>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2.3机修人员服务：服务要求详见6.3机修人员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FF"/>
          <w:sz w:val="24"/>
          <w:szCs w:val="24"/>
          <w:lang w:val="en-US" w:eastAsia="zh-CN"/>
        </w:rPr>
      </w:pPr>
      <w:r>
        <w:rPr>
          <w:rFonts w:hint="eastAsia" w:ascii="仿宋" w:hAnsi="仿宋" w:eastAsia="仿宋" w:cs="仿宋"/>
          <w:color w:val="000000" w:themeColor="text1"/>
          <w:sz w:val="24"/>
          <w:szCs w:val="24"/>
          <w:lang w:val="en-US" w:eastAsia="zh-CN"/>
          <w14:textFill>
            <w14:solidFill>
              <w14:schemeClr w14:val="tx1"/>
            </w14:solidFill>
          </w14:textFill>
        </w:rPr>
        <w:t>2.4 高配电工服务：服务要求详见6.4高配电工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2.5挂号室人员服务：服务要求详见6.5挂号室人员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2.6药剂科工勤服务：服务要求详见6.6药剂科工勤服务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2.7医生助理（报告员）：服务要求详见6.7医生助理（报告员）</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2.8供应室（清洗工）服务：服务要求详见6.8供应室（清洗工）</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2.9急诊驾驶员服务：服务要求详见6.9急诊驾驶员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3</w:t>
      </w:r>
      <w:r>
        <w:rPr>
          <w:rFonts w:hint="eastAsia" w:ascii="仿宋" w:hAnsi="仿宋" w:eastAsia="仿宋" w:cs="仿宋"/>
          <w:b/>
          <w:color w:val="000000" w:themeColor="text1"/>
          <w:sz w:val="24"/>
          <w:szCs w:val="24"/>
          <w:lang w:val="en-US"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岗位设置：</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3.1暂定</w:t>
      </w:r>
      <w:r>
        <w:rPr>
          <w:rFonts w:hint="default"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lang w:val="en-US" w:eastAsia="zh-CN"/>
          <w14:textFill>
            <w14:solidFill>
              <w14:schemeClr w14:val="tx1"/>
            </w14:solidFill>
          </w14:textFill>
        </w:rPr>
        <w:t>类</w:t>
      </w:r>
      <w:r>
        <w:rPr>
          <w:rFonts w:hint="eastAsia" w:ascii="仿宋" w:hAnsi="仿宋" w:eastAsia="仿宋" w:cs="仿宋"/>
          <w:color w:val="000000" w:themeColor="text1"/>
          <w:sz w:val="24"/>
          <w:szCs w:val="24"/>
          <w14:textFill>
            <w14:solidFill>
              <w14:schemeClr w14:val="tx1"/>
            </w14:solidFill>
          </w14:textFill>
        </w:rPr>
        <w:t>岗</w:t>
      </w:r>
      <w:r>
        <w:rPr>
          <w:rFonts w:hint="eastAsia" w:ascii="仿宋" w:hAnsi="仿宋" w:eastAsia="仿宋" w:cs="仿宋"/>
          <w:color w:val="000000" w:themeColor="text1"/>
          <w:sz w:val="24"/>
          <w:szCs w:val="24"/>
          <w:lang w:val="en-US" w:eastAsia="zh-CN"/>
          <w14:textFill>
            <w14:solidFill>
              <w14:schemeClr w14:val="tx1"/>
            </w14:solidFill>
          </w14:textFill>
        </w:rPr>
        <w:t>位</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具体岗位费用详见下表。1</w:t>
      </w:r>
      <w:r>
        <w:rPr>
          <w:rFonts w:hint="eastAsia" w:ascii="仿宋" w:hAnsi="仿宋" w:eastAsia="仿宋" w:cs="仿宋"/>
          <w:color w:val="000000" w:themeColor="text1"/>
          <w:sz w:val="24"/>
          <w:szCs w:val="24"/>
          <w14:textFill>
            <w14:solidFill>
              <w14:schemeClr w14:val="tx1"/>
            </w14:solidFill>
          </w14:textFill>
        </w:rPr>
        <w:t>年总预算</w:t>
      </w:r>
      <w:r>
        <w:rPr>
          <w:rFonts w:hint="eastAsia" w:ascii="仿宋" w:hAnsi="仿宋" w:eastAsia="仿宋" w:cs="仿宋"/>
          <w:color w:val="000000" w:themeColor="text1"/>
          <w:sz w:val="24"/>
          <w:szCs w:val="24"/>
          <w:lang w:val="en-US" w:eastAsia="zh-CN"/>
          <w14:textFill>
            <w14:solidFill>
              <w14:schemeClr w14:val="tx1"/>
            </w14:solidFill>
          </w14:textFill>
        </w:rPr>
        <w:t>上限413</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lang w:eastAsia="zh-CN"/>
          <w14:textFill>
            <w14:solidFill>
              <w14:schemeClr w14:val="tx1"/>
            </w14:solidFill>
          </w14:textFill>
        </w:rPr>
        <w:t>。</w:t>
      </w:r>
    </w:p>
    <w:tbl>
      <w:tblPr>
        <w:tblStyle w:val="6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03"/>
        <w:gridCol w:w="976"/>
        <w:gridCol w:w="1479"/>
        <w:gridCol w:w="1374"/>
        <w:gridCol w:w="887"/>
        <w:gridCol w:w="60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岗位</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人数</w:t>
            </w:r>
          </w:p>
        </w:tc>
        <w:tc>
          <w:tcPr>
            <w:tcW w:w="14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开始时间</w:t>
            </w:r>
          </w:p>
        </w:tc>
        <w:tc>
          <w:tcPr>
            <w:tcW w:w="1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结束时间</w:t>
            </w:r>
          </w:p>
        </w:tc>
        <w:tc>
          <w:tcPr>
            <w:tcW w:w="149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月服务费用</w:t>
            </w:r>
          </w:p>
        </w:tc>
        <w:tc>
          <w:tcPr>
            <w:tcW w:w="91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采购月数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精神科保安（护工）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479"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2024.7.1</w:t>
            </w:r>
          </w:p>
        </w:tc>
        <w:tc>
          <w:tcPr>
            <w:tcW w:w="137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2025.6.30</w:t>
            </w: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供应室清洗工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4100.00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锅炉工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高配房</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机修</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药剂科小工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特检科医生助理</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特检科小工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挂号人员</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急诊驾驶员</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479"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精六病区保安（护工）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2024.11 </w:t>
            </w: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精四病区保安（护工）</w:t>
            </w:r>
          </w:p>
        </w:tc>
        <w:tc>
          <w:tcPr>
            <w:tcW w:w="97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2024.11 </w:t>
            </w: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精一病区保安（护工）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2024.11 </w:t>
            </w: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精二病区保安（护工）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2024.11 </w:t>
            </w:r>
          </w:p>
        </w:tc>
        <w:tc>
          <w:tcPr>
            <w:tcW w:w="1374" w:type="dxa"/>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精七病区保安（护工）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2025.2 </w:t>
            </w:r>
          </w:p>
        </w:tc>
        <w:tc>
          <w:tcPr>
            <w:tcW w:w="1374" w:type="dxa"/>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精六病区保安（护工）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2025.2 </w:t>
            </w:r>
          </w:p>
        </w:tc>
        <w:tc>
          <w:tcPr>
            <w:tcW w:w="1374" w:type="dxa"/>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康复病区保安（护工）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2025.4 </w:t>
            </w:r>
          </w:p>
        </w:tc>
        <w:tc>
          <w:tcPr>
            <w:tcW w:w="1374" w:type="dxa"/>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康复病区保安（护工）</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2025.6 </w:t>
            </w:r>
          </w:p>
        </w:tc>
        <w:tc>
          <w:tcPr>
            <w:tcW w:w="1374" w:type="dxa"/>
            <w:shd w:val="clear" w:color="auto" w:fill="auto"/>
            <w:noWrap/>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i w:val="0"/>
                <w:iCs w:val="0"/>
                <w:color w:val="000000"/>
                <w:sz w:val="24"/>
                <w:szCs w:val="24"/>
                <w:u w:val="none"/>
              </w:rPr>
            </w:pP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5300.00</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97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14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3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49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91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937" w:type="dxa"/>
            <w:gridSpan w:val="7"/>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加班费等（按医院相关标准执行，按实结算）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937" w:type="dxa"/>
            <w:gridSpan w:val="7"/>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岗位费用合计（包含、工资、福利、社保、补贴等）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937" w:type="dxa"/>
            <w:gridSpan w:val="7"/>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管理费、杂费、税金等（按不超过岗位费用总数的12%计）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419" w:type="dxa"/>
            <w:gridSpan w:val="5"/>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总计（项目总预算上限）</w:t>
            </w:r>
          </w:p>
        </w:tc>
        <w:tc>
          <w:tcPr>
            <w:tcW w:w="1518"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4130000.00</w:t>
            </w:r>
          </w:p>
        </w:tc>
      </w:tr>
    </w:tbl>
    <w:p>
      <w:pPr>
        <w:keepNext w:val="0"/>
        <w:keepLines w:val="0"/>
        <w:pageBreakBefore w:val="0"/>
        <w:kinsoku/>
        <w:wordWrap/>
        <w:overflowPunct/>
        <w:topLinePunct w:val="0"/>
        <w:autoSpaceDE/>
        <w:autoSpaceDN/>
        <w:bidi w:val="0"/>
        <w:adjustRightInd w:val="0"/>
        <w:snapToGrid w:val="0"/>
        <w:spacing w:line="360" w:lineRule="auto"/>
        <w:ind w:right="0" w:rightChars="0"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4.1</w:t>
      </w:r>
      <w:r>
        <w:rPr>
          <w:rFonts w:hint="eastAsia" w:ascii="仿宋" w:hAnsi="仿宋" w:eastAsia="仿宋" w:cs="仿宋"/>
          <w:b/>
          <w:color w:val="000000" w:themeColor="text1"/>
          <w:sz w:val="24"/>
          <w:szCs w:val="24"/>
          <w:lang w:val="zh-CN"/>
          <w14:textFill>
            <w14:solidFill>
              <w14:schemeClr w14:val="tx1"/>
            </w14:solidFill>
          </w14:textFill>
        </w:rPr>
        <w:t>用工要求</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val="zh-CN"/>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项目负责人</w:t>
      </w:r>
      <w:r>
        <w:rPr>
          <w:rFonts w:hint="eastAsia" w:ascii="仿宋" w:hAnsi="仿宋" w:eastAsia="仿宋" w:cs="仿宋"/>
          <w:color w:val="000000" w:themeColor="text1"/>
          <w:sz w:val="24"/>
          <w:szCs w:val="24"/>
          <w:highlight w:val="none"/>
          <w:lang w:val="zh-CN"/>
          <w14:textFill>
            <w14:solidFill>
              <w14:schemeClr w14:val="tx1"/>
            </w14:solidFill>
          </w14:textFill>
        </w:rPr>
        <w:t>：派遣到医院的项目</w:t>
      </w:r>
      <w:r>
        <w:rPr>
          <w:rFonts w:hint="eastAsia" w:ascii="仿宋" w:hAnsi="仿宋" w:eastAsia="仿宋" w:cs="仿宋"/>
          <w:color w:val="000000" w:themeColor="text1"/>
          <w:sz w:val="24"/>
          <w:szCs w:val="24"/>
          <w:highlight w:val="none"/>
          <w:lang w:val="en-US" w:eastAsia="zh-CN"/>
          <w14:textFill>
            <w14:solidFill>
              <w14:schemeClr w14:val="tx1"/>
            </w14:solidFill>
          </w14:textFill>
        </w:rPr>
        <w:t>负责人</w:t>
      </w:r>
      <w:r>
        <w:rPr>
          <w:rFonts w:hint="eastAsia" w:ascii="仿宋" w:hAnsi="仿宋" w:eastAsia="仿宋" w:cs="仿宋"/>
          <w:color w:val="000000" w:themeColor="text1"/>
          <w:sz w:val="24"/>
          <w:szCs w:val="24"/>
          <w:highlight w:val="none"/>
          <w:lang w:val="zh-CN"/>
          <w14:textFill>
            <w14:solidFill>
              <w14:schemeClr w14:val="tx1"/>
            </w14:solidFill>
          </w14:textFill>
        </w:rPr>
        <w:t>需有在三级医院从事项目管理一年以上经验，</w:t>
      </w:r>
      <w:r>
        <w:rPr>
          <w:rFonts w:hint="eastAsia" w:ascii="仿宋" w:hAnsi="仿宋" w:eastAsia="仿宋" w:cs="仿宋"/>
          <w:b/>
          <w:bCs/>
          <w:color w:val="000000" w:themeColor="text1"/>
          <w:sz w:val="24"/>
          <w:szCs w:val="24"/>
          <w:highlight w:val="none"/>
          <w:lang w:val="zh-CN"/>
          <w14:textFill>
            <w14:solidFill>
              <w14:schemeClr w14:val="tx1"/>
            </w14:solidFill>
          </w14:textFill>
        </w:rPr>
        <w:t>并常驻医院</w:t>
      </w:r>
      <w:r>
        <w:rPr>
          <w:rFonts w:hint="eastAsia" w:ascii="仿宋" w:hAnsi="仿宋" w:eastAsia="仿宋" w:cs="仿宋"/>
          <w:color w:val="000000" w:themeColor="text1"/>
          <w:sz w:val="24"/>
          <w:szCs w:val="24"/>
          <w:highlight w:val="none"/>
          <w:lang w:val="zh-CN"/>
          <w14:textFill>
            <w14:solidFill>
              <w14:schemeClr w14:val="tx1"/>
            </w14:solidFill>
          </w14:textFill>
        </w:rPr>
        <w:t>；项目</w:t>
      </w:r>
      <w:r>
        <w:rPr>
          <w:rFonts w:hint="eastAsia" w:ascii="仿宋" w:hAnsi="仿宋" w:eastAsia="仿宋" w:cs="仿宋"/>
          <w:color w:val="000000" w:themeColor="text1"/>
          <w:sz w:val="24"/>
          <w:szCs w:val="24"/>
          <w:highlight w:val="none"/>
          <w:lang w:val="en-US" w:eastAsia="zh-CN"/>
          <w14:textFill>
            <w14:solidFill>
              <w14:schemeClr w14:val="tx1"/>
            </w14:solidFill>
          </w14:textFill>
        </w:rPr>
        <w:t>负责人</w:t>
      </w:r>
      <w:r>
        <w:rPr>
          <w:rFonts w:hint="eastAsia" w:ascii="仿宋" w:hAnsi="仿宋" w:eastAsia="仿宋" w:cs="仿宋"/>
          <w:color w:val="000000" w:themeColor="text1"/>
          <w:sz w:val="24"/>
          <w:szCs w:val="24"/>
          <w:highlight w:val="none"/>
          <w:lang w:val="zh-CN"/>
          <w14:textFill>
            <w14:solidFill>
              <w14:schemeClr w14:val="tx1"/>
            </w14:solidFill>
          </w14:textFill>
        </w:rPr>
        <w:t>负责</w:t>
      </w:r>
      <w:r>
        <w:rPr>
          <w:rFonts w:hint="eastAsia" w:ascii="仿宋" w:hAnsi="仿宋" w:eastAsia="仿宋" w:cs="仿宋"/>
          <w:color w:val="000000" w:themeColor="text1"/>
          <w:sz w:val="24"/>
          <w:szCs w:val="24"/>
          <w:highlight w:val="none"/>
          <w:lang w:val="en-US" w:eastAsia="zh-CN"/>
          <w14:textFill>
            <w14:solidFill>
              <w14:schemeClr w14:val="tx1"/>
            </w14:solidFill>
          </w14:textFill>
        </w:rPr>
        <w:t>管理和协调</w:t>
      </w:r>
      <w:r>
        <w:rPr>
          <w:rFonts w:hint="eastAsia" w:ascii="仿宋" w:hAnsi="仿宋" w:eastAsia="仿宋" w:cs="仿宋"/>
          <w:color w:val="000000" w:themeColor="text1"/>
          <w:sz w:val="24"/>
          <w:szCs w:val="24"/>
          <w:highlight w:val="none"/>
          <w:lang w:val="zh-CN"/>
          <w14:textFill>
            <w14:solidFill>
              <w14:schemeClr w14:val="tx1"/>
            </w14:solidFill>
          </w14:textFill>
        </w:rPr>
        <w:t>所有事务，应具有医院护工管理经验，熟悉各岗位的操作流</w:t>
      </w:r>
      <w:r>
        <w:rPr>
          <w:rFonts w:hint="eastAsia" w:ascii="仿宋" w:hAnsi="仿宋" w:eastAsia="仿宋" w:cs="仿宋"/>
          <w:color w:val="000000" w:themeColor="text1"/>
          <w:sz w:val="24"/>
          <w:szCs w:val="24"/>
          <w:lang w:val="zh-CN"/>
          <w14:textFill>
            <w14:solidFill>
              <w14:schemeClr w14:val="tx1"/>
            </w14:solidFill>
          </w14:textFill>
        </w:rPr>
        <w:t>程，懂得护理及其他相关专业知识和医院的消毒标准及处理流程；未经医院允许，供应商不得擅自更换项目</w:t>
      </w:r>
      <w:r>
        <w:rPr>
          <w:rFonts w:hint="eastAsia" w:ascii="仿宋" w:hAnsi="仿宋" w:eastAsia="仿宋" w:cs="仿宋"/>
          <w:color w:val="000000" w:themeColor="text1"/>
          <w:sz w:val="24"/>
          <w:szCs w:val="24"/>
          <w:lang w:val="en-US" w:eastAsia="zh-CN"/>
          <w14:textFill>
            <w14:solidFill>
              <w14:schemeClr w14:val="tx1"/>
            </w14:solidFill>
          </w14:textFill>
        </w:rPr>
        <w:t>负责人</w:t>
      </w:r>
      <w:r>
        <w:rPr>
          <w:rFonts w:hint="eastAsia" w:ascii="仿宋" w:hAnsi="仿宋" w:eastAsia="仿宋" w:cs="仿宋"/>
          <w:color w:val="000000" w:themeColor="text1"/>
          <w:sz w:val="24"/>
          <w:szCs w:val="24"/>
          <w:lang w:val="zh-CN"/>
          <w14:textFill>
            <w14:solidFill>
              <w14:schemeClr w14:val="tx1"/>
            </w14:solidFill>
          </w14:textFill>
        </w:rPr>
        <w:t>。</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.2年龄要求：服务人员年龄结构为18周岁以上，女性原则在60周岁及以下，男性原则在65周岁及以下；要求女性在50周岁及以下，男性在60周岁及以下的人数占比大于总人数的50%；具体要求详见“</w:t>
      </w:r>
      <w:r>
        <w:rPr>
          <w:rFonts w:hint="eastAsia" w:ascii="仿宋" w:hAnsi="仿宋" w:eastAsia="仿宋" w:cs="仿宋"/>
          <w:color w:val="000000" w:themeColor="text1"/>
          <w:sz w:val="24"/>
          <w:szCs w:val="24"/>
          <w:lang w:val="en-US" w:eastAsia="zh-CN"/>
          <w14:textFill>
            <w14:solidFill>
              <w14:schemeClr w14:val="tx1"/>
            </w14:solidFill>
          </w14:textFill>
        </w:rPr>
        <w:t>6.具体要求</w:t>
      </w:r>
      <w:r>
        <w:rPr>
          <w:rFonts w:hint="eastAsia" w:ascii="仿宋" w:hAnsi="仿宋" w:eastAsia="仿宋" w:cs="仿宋"/>
          <w:color w:val="000000" w:themeColor="text1"/>
          <w:sz w:val="24"/>
          <w:szCs w:val="24"/>
          <w:lang w:val="zh-CN"/>
          <w14:textFill>
            <w14:solidFill>
              <w14:schemeClr w14:val="tx1"/>
            </w14:solidFill>
          </w14:textFill>
        </w:rPr>
        <w:t>”，身体情况能满足岗位需要。</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.3薪金发放：供应商的用工必须按《中</w:t>
      </w:r>
      <w:r>
        <w:rPr>
          <w:rFonts w:hint="eastAsia" w:ascii="仿宋" w:hAnsi="仿宋" w:eastAsia="仿宋" w:cs="仿宋"/>
          <w:color w:val="000000" w:themeColor="text1"/>
          <w:sz w:val="24"/>
          <w:szCs w:val="24"/>
          <w:highlight w:val="none"/>
          <w:lang w:val="zh-CN"/>
          <w14:textFill>
            <w14:solidFill>
              <w14:schemeClr w14:val="tx1"/>
            </w14:solidFill>
          </w14:textFill>
        </w:rPr>
        <w:t>华人民共和国劳动法》和绍兴市人民政府有关各部门规定，与员工签订正式劳动合同，</w:t>
      </w:r>
      <w:r>
        <w:rPr>
          <w:rFonts w:hint="eastAsia" w:ascii="仿宋" w:hAnsi="仿宋" w:eastAsia="仿宋" w:cs="仿宋"/>
          <w:color w:val="000000" w:themeColor="text1"/>
          <w:sz w:val="24"/>
          <w:szCs w:val="24"/>
          <w:highlight w:val="none"/>
          <w:lang w:val="zh-CN" w:eastAsia="zh-CN"/>
          <w14:textFill>
            <w14:solidFill>
              <w14:schemeClr w14:val="tx1"/>
            </w14:solidFill>
          </w14:textFill>
        </w:rPr>
        <w:t>由采购人根据每月</w:t>
      </w:r>
      <w:r>
        <w:rPr>
          <w:rFonts w:hint="eastAsia" w:ascii="仿宋" w:hAnsi="仿宋" w:eastAsia="仿宋" w:cs="仿宋"/>
          <w:color w:val="000000" w:themeColor="text1"/>
          <w:sz w:val="24"/>
          <w:szCs w:val="24"/>
          <w:highlight w:val="none"/>
          <w:lang w:val="zh-CN"/>
          <w14:textFill>
            <w14:solidFill>
              <w14:schemeClr w14:val="tx1"/>
            </w14:solidFill>
          </w14:textFill>
        </w:rPr>
        <w:t>绩效考核发放给供应商，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lang w:val="zh-CN"/>
          <w14:textFill>
            <w14:solidFill>
              <w14:schemeClr w14:val="tx1"/>
            </w14:solidFill>
          </w14:textFill>
        </w:rPr>
        <w:t>按实发放招聘员工的一切工资、福利，包括节假日加班费用及高温津贴等等，依法缴纳各种</w:t>
      </w:r>
      <w:r>
        <w:rPr>
          <w:rFonts w:hint="eastAsia" w:ascii="仿宋" w:hAnsi="仿宋" w:eastAsia="仿宋" w:cs="仿宋"/>
          <w:color w:val="000000" w:themeColor="text1"/>
          <w:sz w:val="24"/>
          <w:szCs w:val="24"/>
          <w:lang w:val="zh-CN"/>
          <w14:textFill>
            <w14:solidFill>
              <w14:schemeClr w14:val="tx1"/>
            </w14:solidFill>
          </w14:textFill>
        </w:rPr>
        <w:t>社会保险及其他相关费用，保证员工的最低月工资不低于绍兴市最低工资标准，并将上述所有费用包含在</w:t>
      </w:r>
      <w:r>
        <w:rPr>
          <w:rFonts w:hint="eastAsia" w:ascii="仿宋" w:hAnsi="仿宋" w:eastAsia="仿宋" w:cs="仿宋"/>
          <w:color w:val="000000" w:themeColor="text1"/>
          <w:sz w:val="24"/>
          <w:szCs w:val="24"/>
          <w:lang w:val="en-US" w:eastAsia="zh-CN"/>
          <w14:textFill>
            <w14:solidFill>
              <w14:schemeClr w14:val="tx1"/>
            </w14:solidFill>
          </w14:textFill>
        </w:rPr>
        <w:t>报价</w:t>
      </w:r>
      <w:r>
        <w:rPr>
          <w:rFonts w:hint="eastAsia" w:ascii="仿宋" w:hAnsi="仿宋" w:eastAsia="仿宋" w:cs="仿宋"/>
          <w:color w:val="000000" w:themeColor="text1"/>
          <w:sz w:val="24"/>
          <w:szCs w:val="24"/>
          <w:lang w:val="zh-CN"/>
          <w14:textFill>
            <w14:solidFill>
              <w14:schemeClr w14:val="tx1"/>
            </w14:solidFill>
          </w14:textFill>
        </w:rPr>
        <w:t>总价中。</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.4工作时间：全年365天运行，其工作时间必须符合《中华人民共和国劳动法》规定，并满足采购人的工作要求，包括双休日及</w:t>
      </w:r>
      <w:r>
        <w:rPr>
          <w:rFonts w:hint="eastAsia" w:ascii="仿宋" w:hAnsi="仿宋" w:eastAsia="仿宋" w:cs="仿宋"/>
          <w:color w:val="000000" w:themeColor="text1"/>
          <w:sz w:val="24"/>
          <w:szCs w:val="24"/>
          <w:lang w:val="en-US" w:eastAsia="zh-CN"/>
          <w14:textFill>
            <w14:solidFill>
              <w14:schemeClr w14:val="tx1"/>
            </w14:solidFill>
          </w14:textFill>
        </w:rPr>
        <w:t>法定假日</w:t>
      </w:r>
      <w:r>
        <w:rPr>
          <w:rFonts w:hint="eastAsia" w:ascii="仿宋" w:hAnsi="仿宋" w:eastAsia="仿宋" w:cs="仿宋"/>
          <w:color w:val="000000" w:themeColor="text1"/>
          <w:sz w:val="24"/>
          <w:szCs w:val="24"/>
          <w:lang w:val="zh-CN"/>
          <w14:textFill>
            <w14:solidFill>
              <w14:schemeClr w14:val="tx1"/>
            </w14:solidFill>
          </w14:textFill>
        </w:rPr>
        <w:t>。体检要求：所有员工入职前均须体检，体检合格方能上岗，相关费用由供应商负责。</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b/>
          <w:color w:val="000000" w:themeColor="text1"/>
          <w:sz w:val="24"/>
          <w:szCs w:val="24"/>
          <w:lang w:val="zh-CN"/>
          <w14:textFill>
            <w14:solidFill>
              <w14:schemeClr w14:val="tx1"/>
            </w14:solidFill>
          </w14:textFill>
        </w:rPr>
      </w:pPr>
      <w:r>
        <w:rPr>
          <w:rFonts w:hint="eastAsia" w:ascii="仿宋" w:hAnsi="仿宋" w:eastAsia="仿宋" w:cs="仿宋"/>
          <w:b/>
          <w:color w:val="000000" w:themeColor="text1"/>
          <w:sz w:val="24"/>
          <w:szCs w:val="24"/>
          <w:lang w:val="zh-CN"/>
          <w14:textFill>
            <w14:solidFill>
              <w14:schemeClr w14:val="tx1"/>
            </w14:solidFill>
          </w14:textFill>
        </w:rPr>
        <w:t>4.2管理要求</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.1坚持“以病人为中心”的宗旨，结合医疗工作的特性，供应商按照医院的具体要求并在相关职能科室的督导下开展各种工作。</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.2供应商必须有健全的组织机构，完善的质量监督体系，良好的企业员工形象，所有人员由</w:t>
      </w:r>
      <w:r>
        <w:rPr>
          <w:rFonts w:hint="eastAsia" w:ascii="仿宋" w:hAnsi="仿宋" w:eastAsia="仿宋" w:cs="仿宋"/>
          <w:color w:val="000000" w:themeColor="text1"/>
          <w:sz w:val="24"/>
          <w:szCs w:val="24"/>
          <w:lang w:val="en-US" w:eastAsia="zh-CN"/>
          <w14:textFill>
            <w14:solidFill>
              <w14:schemeClr w14:val="tx1"/>
            </w14:solidFill>
          </w14:textFill>
        </w:rPr>
        <w:t>供应商</w:t>
      </w:r>
      <w:r>
        <w:rPr>
          <w:rFonts w:hint="eastAsia" w:ascii="仿宋" w:hAnsi="仿宋" w:eastAsia="仿宋" w:cs="仿宋"/>
          <w:color w:val="000000" w:themeColor="text1"/>
          <w:sz w:val="24"/>
          <w:szCs w:val="24"/>
          <w:lang w:val="zh-CN"/>
          <w14:textFill>
            <w14:solidFill>
              <w14:schemeClr w14:val="tx1"/>
            </w14:solidFill>
          </w14:textFill>
        </w:rPr>
        <w:t>统一招聘、统一培训、统一管理。</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.3科学、合理地安排各区域的服务人员及工作时间，采用动态管理方式，保持医院的正常运行；保证病人的安全；确保标本、报告等物品及时、准确送达；护工提供24小时的优质服务。</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.4制订切实可行的管理制度，包括员工招聘、培训制度；员工岗位责任制；</w:t>
      </w:r>
      <w:r>
        <w:rPr>
          <w:rFonts w:hint="eastAsia" w:ascii="仿宋" w:hAnsi="仿宋" w:eastAsia="仿宋" w:cs="仿宋"/>
          <w:color w:val="000000" w:themeColor="text1"/>
          <w:sz w:val="24"/>
          <w:szCs w:val="24"/>
          <w:highlight w:val="none"/>
          <w:lang w:val="zh-CN"/>
          <w14:textFill>
            <w14:solidFill>
              <w14:schemeClr w14:val="tx1"/>
            </w14:solidFill>
          </w14:textFill>
        </w:rPr>
        <w:t>员工劳动纪律和行为规范；员工奖惩制度；各类检查、考核制度；设备、工具使用、存放、保养制度；工作应急预案。</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b/>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lang w:val="zh-CN"/>
          <w14:textFill>
            <w14:solidFill>
              <w14:schemeClr w14:val="tx1"/>
            </w14:solidFill>
          </w14:textFill>
        </w:rPr>
        <w:t>4.3培训要求</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zh-CN"/>
          <w14:textFill>
            <w14:solidFill>
              <w14:schemeClr w14:val="tx1"/>
            </w14:solidFill>
          </w14:textFill>
        </w:rPr>
        <w:t>.1</w:t>
      </w:r>
      <w:r>
        <w:rPr>
          <w:rFonts w:hint="eastAsia" w:ascii="仿宋" w:hAnsi="仿宋" w:eastAsia="仿宋" w:cs="仿宋"/>
          <w:color w:val="000000" w:themeColor="text1"/>
          <w:sz w:val="24"/>
          <w:szCs w:val="24"/>
          <w:highlight w:val="none"/>
          <w:lang w:val="zh-CN" w:eastAsia="zh-CN"/>
          <w14:textFill>
            <w14:solidFill>
              <w14:schemeClr w14:val="tx1"/>
            </w14:solidFill>
          </w14:textFill>
        </w:rPr>
        <w:t>由职能部门</w:t>
      </w:r>
      <w:r>
        <w:rPr>
          <w:rFonts w:hint="eastAsia" w:ascii="仿宋" w:hAnsi="仿宋" w:eastAsia="仿宋" w:cs="仿宋"/>
          <w:color w:val="000000" w:themeColor="text1"/>
          <w:sz w:val="24"/>
          <w:szCs w:val="24"/>
          <w:highlight w:val="none"/>
          <w:lang w:val="zh-CN"/>
          <w14:textFill>
            <w14:solidFill>
              <w14:schemeClr w14:val="tx1"/>
            </w14:solidFill>
          </w14:textFill>
        </w:rPr>
        <w:t>进行</w:t>
      </w:r>
      <w:r>
        <w:rPr>
          <w:rFonts w:hint="eastAsia" w:ascii="仿宋" w:hAnsi="仿宋" w:eastAsia="仿宋" w:cs="仿宋"/>
          <w:color w:val="000000" w:themeColor="text1"/>
          <w:sz w:val="24"/>
          <w:szCs w:val="24"/>
          <w:lang w:val="zh-CN"/>
          <w14:textFill>
            <w14:solidFill>
              <w14:schemeClr w14:val="tx1"/>
            </w14:solidFill>
          </w14:textFill>
        </w:rPr>
        <w:t>岗前、岗中培训，服务人员100%经过岗前培训合格才能上岗。</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val="zh-CN"/>
          <w14:textFill>
            <w14:solidFill>
              <w14:schemeClr w14:val="tx1"/>
            </w14:solidFill>
          </w14:textFill>
        </w:rPr>
        <w:t>.2对服务人员进行院感知识的培训，特别是新进人员，要求通过培训后才能上岗。</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b/>
          <w:color w:val="000000" w:themeColor="text1"/>
          <w:sz w:val="24"/>
          <w:szCs w:val="24"/>
          <w:lang w:val="zh-CN"/>
          <w14:textFill>
            <w14:solidFill>
              <w14:schemeClr w14:val="tx1"/>
            </w14:solidFill>
          </w14:textFill>
        </w:rPr>
      </w:pPr>
      <w:r>
        <w:rPr>
          <w:rFonts w:hint="eastAsia" w:ascii="仿宋" w:hAnsi="仿宋" w:eastAsia="仿宋" w:cs="仿宋"/>
          <w:b/>
          <w:color w:val="000000" w:themeColor="text1"/>
          <w:sz w:val="24"/>
          <w:szCs w:val="24"/>
          <w:lang w:val="zh-CN"/>
          <w14:textFill>
            <w14:solidFill>
              <w14:schemeClr w14:val="tx1"/>
            </w14:solidFill>
          </w14:textFill>
        </w:rPr>
        <w:t>4.4监督要求</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14:textFill>
            <w14:solidFill>
              <w14:schemeClr w14:val="tx1"/>
            </w14:solidFill>
          </w14:textFill>
        </w:rPr>
        <w:t>.1各病区及科室的劳务派遣服务员工由各科室进行考勤并参与考核；各相关职能科室做好对人员的考核工作。</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14:textFill>
            <w14:solidFill>
              <w14:schemeClr w14:val="tx1"/>
            </w14:solidFill>
          </w14:textFill>
        </w:rPr>
        <w:t>.2供应商有责任配合医院接受上级领导部门的监督、检查，并提供必须的材料。</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14:textFill>
            <w14:solidFill>
              <w14:schemeClr w14:val="tx1"/>
            </w14:solidFill>
          </w14:textFill>
        </w:rPr>
        <w:t>.3供应商在项目运作中必须定期向医院汇报工作情况，主动接受医院领导和相关部门的监督，根据医院要求进行整改。对于科室提出的不满意员工，经调查核实，供应商须在7日内调整完毕。</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14:textFill>
            <w14:solidFill>
              <w14:schemeClr w14:val="tx1"/>
            </w14:solidFill>
          </w14:textFill>
        </w:rPr>
        <w:t>.4严格控制各类服务人员数量-各岗位人员设置要求固定，不得缺岗、拼岗、脱岗，医院将不定期抽查投入的人员数量。</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0" w:firstLineChars="196"/>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14:textFill>
            <w14:solidFill>
              <w14:schemeClr w14:val="tx1"/>
            </w14:solidFill>
          </w14:textFill>
        </w:rPr>
        <w:t xml:space="preserve">.6供应商必须协助医院调查、处理有关投诉，并根据医院要求及时处理。     </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lang w:val="zh-CN"/>
          <w14:textFill>
            <w14:solidFill>
              <w14:schemeClr w14:val="tx1"/>
            </w14:solidFill>
          </w14:textFill>
        </w:rPr>
        <w:t>4.</w:t>
      </w:r>
      <w:r>
        <w:rPr>
          <w:rFonts w:hint="eastAsia" w:ascii="仿宋" w:hAnsi="仿宋" w:eastAsia="仿宋" w:cs="仿宋"/>
          <w:b/>
          <w:color w:val="000000" w:themeColor="text1"/>
          <w:sz w:val="24"/>
          <w:szCs w:val="24"/>
          <w:lang w:val="en-US" w:eastAsia="zh-CN"/>
          <w14:textFill>
            <w14:solidFill>
              <w14:schemeClr w14:val="tx1"/>
            </w14:solidFill>
          </w14:textFill>
        </w:rPr>
        <w:t>5</w:t>
      </w:r>
      <w:r>
        <w:rPr>
          <w:rFonts w:hint="eastAsia" w:ascii="仿宋" w:hAnsi="仿宋" w:eastAsia="仿宋" w:cs="仿宋"/>
          <w:b/>
          <w:color w:val="000000" w:themeColor="text1"/>
          <w:sz w:val="24"/>
          <w:szCs w:val="24"/>
          <w:lang w:val="zh-CN"/>
          <w14:textFill>
            <w14:solidFill>
              <w14:schemeClr w14:val="tx1"/>
            </w14:solidFill>
          </w14:textFill>
        </w:rPr>
        <w:t>禁烟要求：</w:t>
      </w:r>
      <w:r>
        <w:rPr>
          <w:rFonts w:hint="eastAsia" w:ascii="仿宋" w:hAnsi="仿宋" w:eastAsia="仿宋" w:cs="仿宋"/>
          <w:color w:val="000000" w:themeColor="text1"/>
          <w:sz w:val="24"/>
          <w:szCs w:val="24"/>
          <w:lang w:val="zh-CN"/>
          <w14:textFill>
            <w14:solidFill>
              <w14:schemeClr w14:val="tx1"/>
            </w14:solidFill>
          </w14:textFill>
        </w:rPr>
        <w:t>严禁服务人员在院内吸烟，部分工作人员上班需佩戴“禁烟巡查</w:t>
      </w:r>
      <w:r>
        <w:rPr>
          <w:rFonts w:hint="eastAsia" w:ascii="仿宋" w:hAnsi="仿宋" w:eastAsia="仿宋" w:cs="仿宋"/>
          <w:color w:val="000000" w:themeColor="text1"/>
          <w:sz w:val="24"/>
          <w:szCs w:val="24"/>
          <w:highlight w:val="none"/>
          <w:lang w:val="zh-CN"/>
          <w14:textFill>
            <w14:solidFill>
              <w14:schemeClr w14:val="tx1"/>
            </w14:solidFill>
          </w14:textFill>
        </w:rPr>
        <w:t>员”标志，在看到有在公共场所吸烟的应予以劝止。</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4.</w:t>
      </w:r>
      <w:r>
        <w:rPr>
          <w:rFonts w:hint="eastAsia" w:ascii="仿宋" w:hAnsi="仿宋" w:eastAsia="仿宋" w:cs="仿宋"/>
          <w:b/>
          <w:color w:val="000000" w:themeColor="text1"/>
          <w:sz w:val="24"/>
          <w:szCs w:val="24"/>
          <w:highlight w:val="none"/>
          <w:lang w:val="en-US" w:eastAsia="zh-CN"/>
          <w14:textFill>
            <w14:solidFill>
              <w14:schemeClr w14:val="tx1"/>
            </w14:solidFill>
          </w14:textFill>
        </w:rPr>
        <w:t>6</w:t>
      </w:r>
      <w:r>
        <w:rPr>
          <w:rFonts w:hint="eastAsia" w:ascii="仿宋" w:hAnsi="仿宋" w:eastAsia="仿宋" w:cs="仿宋"/>
          <w:b/>
          <w:color w:val="000000" w:themeColor="text1"/>
          <w:sz w:val="24"/>
          <w:szCs w:val="24"/>
          <w:highlight w:val="none"/>
          <w14:textFill>
            <w14:solidFill>
              <w14:schemeClr w14:val="tx1"/>
            </w14:solidFill>
          </w14:textFill>
        </w:rPr>
        <w:t>质量要求</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优质服务且必须符合国家法律法规、行业标准及本表文所有条款要求。</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5</w:t>
      </w:r>
      <w:r>
        <w:rPr>
          <w:rFonts w:hint="eastAsia" w:ascii="仿宋" w:hAnsi="仿宋" w:eastAsia="仿宋" w:cs="仿宋"/>
          <w:b/>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color w:val="000000" w:themeColor="text1"/>
          <w:sz w:val="24"/>
          <w:szCs w:val="24"/>
          <w:highlight w:val="none"/>
          <w:lang w:val="zh-CN"/>
          <w14:textFill>
            <w14:solidFill>
              <w14:schemeClr w14:val="tx1"/>
            </w14:solidFill>
          </w14:textFill>
        </w:rPr>
        <w:t>经费结算：</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5.1</w:t>
      </w:r>
      <w:r>
        <w:rPr>
          <w:rFonts w:hint="eastAsia" w:ascii="仿宋" w:hAnsi="仿宋" w:eastAsia="仿宋" w:cs="仿宋"/>
          <w:color w:val="000000" w:themeColor="text1"/>
          <w:sz w:val="24"/>
          <w:szCs w:val="24"/>
          <w:highlight w:val="none"/>
          <w:lang w:eastAsia="zh-CN"/>
          <w14:textFill>
            <w14:solidFill>
              <w14:schemeClr w14:val="tx1"/>
            </w14:solidFill>
          </w14:textFill>
        </w:rPr>
        <w:t>由</w:t>
      </w:r>
      <w:r>
        <w:rPr>
          <w:rFonts w:hint="eastAsia" w:ascii="仿宋" w:hAnsi="仿宋" w:eastAsia="仿宋" w:cs="仿宋"/>
          <w:color w:val="000000" w:themeColor="text1"/>
          <w:sz w:val="24"/>
          <w:szCs w:val="24"/>
          <w:highlight w:val="none"/>
          <w:lang w:val="zh-CN"/>
          <w14:textFill>
            <w14:solidFill>
              <w14:schemeClr w14:val="tx1"/>
            </w14:solidFill>
          </w14:textFill>
        </w:rPr>
        <w:t>医院承担完成服务内容所需要的一切费用，包括但不限于工具、材料、通讯、服装、胸卡、办公设备、桌椅柜子、巡检器材、人工、保险、社保、加班费、利润、税金、政策性文件规定及合同包含的所有风险、责任等。除非因特殊原因并经双方协商同意，供应商不得再要求追加任何费用。</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5.2付款方式：按照浙财采监[2020]3号文件精神执行，具体支付条款双方协商。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b/>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6.具体要求</w:t>
      </w:r>
      <w:r>
        <w:rPr>
          <w:rFonts w:hint="eastAsia" w:ascii="仿宋" w:hAnsi="仿宋" w:eastAsia="仿宋" w:cs="仿宋"/>
          <w:b/>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6.</w:t>
      </w:r>
      <w:r>
        <w:rPr>
          <w:rFonts w:hint="eastAsia" w:ascii="仿宋" w:hAnsi="仿宋" w:eastAsia="仿宋" w:cs="仿宋"/>
          <w:b/>
          <w:color w:val="000000" w:themeColor="text1"/>
          <w:sz w:val="24"/>
          <w:szCs w:val="24"/>
          <w:highlight w:val="none"/>
          <w:lang w:val="en-US" w:eastAsia="zh-CN"/>
          <w14:textFill>
            <w14:solidFill>
              <w14:schemeClr w14:val="tx1"/>
            </w14:solidFill>
          </w14:textFill>
        </w:rPr>
        <w:t>1保安（</w:t>
      </w:r>
      <w:r>
        <w:rPr>
          <w:rFonts w:hint="eastAsia" w:ascii="仿宋" w:hAnsi="仿宋" w:eastAsia="仿宋" w:cs="仿宋"/>
          <w:b/>
          <w:color w:val="000000" w:themeColor="text1"/>
          <w:sz w:val="24"/>
          <w:szCs w:val="24"/>
          <w:highlight w:val="none"/>
          <w14:textFill>
            <w14:solidFill>
              <w14:schemeClr w14:val="tx1"/>
            </w14:solidFill>
          </w14:textFill>
        </w:rPr>
        <w:t>护工</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14:textFill>
            <w14:solidFill>
              <w14:schemeClr w14:val="tx1"/>
            </w14:solidFill>
          </w14:textFill>
        </w:rPr>
        <w:t>服务</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护工服务：按需对</w:t>
      </w:r>
      <w:r>
        <w:rPr>
          <w:rFonts w:hint="eastAsia" w:ascii="仿宋" w:hAnsi="仿宋" w:eastAsia="仿宋" w:cs="仿宋"/>
          <w:color w:val="000000" w:themeColor="text1"/>
          <w:sz w:val="24"/>
          <w:szCs w:val="24"/>
          <w:highlight w:val="none"/>
          <w:lang w:val="zh-CN" w:eastAsia="zh-CN"/>
          <w14:textFill>
            <w14:solidFill>
              <w14:schemeClr w14:val="tx1"/>
            </w14:solidFill>
          </w14:textFill>
        </w:rPr>
        <w:t>精一病区</w:t>
      </w:r>
      <w:r>
        <w:rPr>
          <w:rFonts w:hint="eastAsia" w:ascii="仿宋" w:hAnsi="仿宋" w:eastAsia="仿宋" w:cs="仿宋"/>
          <w:color w:val="000000" w:themeColor="text1"/>
          <w:sz w:val="24"/>
          <w:szCs w:val="24"/>
          <w:highlight w:val="none"/>
          <w:lang w:val="en-US" w:eastAsia="zh-CN"/>
          <w14:textFill>
            <w14:solidFill>
              <w14:schemeClr w14:val="tx1"/>
            </w14:solidFill>
          </w14:textFill>
        </w:rPr>
        <w:t>-康复病区</w:t>
      </w:r>
      <w:r>
        <w:rPr>
          <w:rFonts w:hint="eastAsia" w:ascii="仿宋" w:hAnsi="仿宋" w:eastAsia="仿宋" w:cs="仿宋"/>
          <w:color w:val="000000" w:themeColor="text1"/>
          <w:sz w:val="24"/>
          <w:szCs w:val="24"/>
          <w:highlight w:val="none"/>
          <w:lang w:val="zh-CN"/>
          <w14:textFill>
            <w14:solidFill>
              <w14:schemeClr w14:val="tx1"/>
            </w14:solidFill>
          </w14:textFill>
        </w:rPr>
        <w:t>等精神科病区配置护工人数，医院提出的各科室基本配置，供应商必须对此安全响应，各科室护工人员的调配须由供应商与各科室护士长积极沟通，服从院方的安排调度。</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72" w:firstLineChars="196"/>
        <w:rPr>
          <w:rFonts w:hint="eastAsia" w:ascii="仿宋" w:hAnsi="仿宋" w:eastAsia="仿宋" w:cs="仿宋"/>
          <w:b/>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lang w:val="zh-CN"/>
          <w14:textFill>
            <w14:solidFill>
              <w14:schemeClr w14:val="tx1"/>
            </w14:solidFill>
          </w14:textFill>
        </w:rPr>
        <w:t>病区保安（护工）工作职责</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要求所有服务区域按照医院的标准提供护工服务，全面做好由医生、护士交办的日常生活照料、协助检查、治疗、隔离消毒等各项工作，具体服务要求如下：</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认真履行义务消防员职责,发现火情应及时报告，奋力扑救。</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配合科室做好约束病人等相关工作。</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发现治安、刑事案件时应立即保护现场,通知科室负责人并协助处理。</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处理临时突发事件,如有纠纷等突发事件发生,应通知科室负责人并协助处理。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提前上班，查看病区环境，清点仓库间物品，保持仓库间整齐干净。定期整理仓库间物品，做到物品安放有序，帐物清楚。</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巡视病房，及时解决病人生活所需，担任病人生活护理和部分简单的基础护理工作，为病人提供主动热情的服务，确保病房工作的安全有序，及时应接病人呼唤，协助生活自理能力下降的病人进食、起床活动及递送便器。</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做好病人入院前的准备工作和出院后床单位的整理以及终末消毒工作。协助护士做好被服、家俱的管理。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及时收集送检各种临时化验标本，护送病人做好各种辅助检查和其他外送病人工作。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 xml:space="preserve">负责白天病区所有临时性的药房取药，负责领取病区所需的物资设备。   </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6.2锅炉工服务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需持有锅炉工证。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工作职责：</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1、对锅炉房以及相关设备开展经常性检查，提高对锅炉运行系统的全面认识，实行标准步骤，以达到高标准的保养，以达到最好状态运行。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2、在规定时间内，对可能来自医院各部门以及上级的要求做出反应，接到电话后三分钟内作出应答。</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3、认真做好交接班工作，保证填好所有的记事本、工作记录和设备运行记录，并检查交接班的操作记录。</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4、经常性巡视所有锅炉相关设备，做必要的调整维护，以达到最高的养护标准。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5、每天检查燃料和盐类化合物的消耗数量，以保证采购工作的正常进行。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6、司炉工必须严格按照省技术监督局制定的安全操作规程作业，在运行、维护、操作中，应确保工作的安全有效。</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7、在不影响工作质量的条件下，尽量减少费用开支，提出一切可以降低成本的合理化建议，加强设备缺陷管理，及时发现、正确汇报、迅速处理、记录档案。</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8、严格按照消防有关规定进行作业。</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9、认真配合技术监督局和环保局的安全检测和环保测试工作。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10、及时向部门负责人报告紧急情况，保持工作场所干净整齐。</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6.3机修人员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持有维修电工证或焊工证。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工作职责：</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1、在科长领导下，负责机修的行政业务等管理工作。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2、掌握全院供电线路情况，按照有关规定，搞好设备，线路的定期维修保养，保证供电设备和二路供电的正常运转。</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3、掌握全院各主要管线和设施(弱电、供暖、供汽、供水、供氧、吸引系统等)情况，定期维修、保养，保证各管线的畅通，及其设施的正常运行。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4、教育机修工严格执行《机修组工作制度》和安全操作规程，防止发生差错事故，保证生产安全和工作质量。</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5、教育机修工做好节约用电、合理用电、安全用电工作，经常宣传安全、节约用电知识，并制止违章用电行为以及协助有关部门做好全院的谁汽的节约工作。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6、紧密配合临床、教学、科研工作，开展技术革新，做好修旧利废、节约用料、杜绝浪费现象。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6.4高配房电工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持有高压电工作业证。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工作职责：</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1、通过对医院电力设备的经常性检查，提高对电力系统的全面认识，实行标准步骤，以达到最高标准的运行供电。</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2、在规定时间内，对来自电力部门与上级的要求做出反应，所有此类要求及所采取措施应一道记录在册。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3、认真做好接班工作，保证填写好所有的记事本，工作记录和日志。交接班时主要内容：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（1）设备运行情况及变更。</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（2）事故或异常情况的发生及处理过程经过。</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（3）检查前一班的操作记录。</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（4）有关钥匙、常用工具清点。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4、保持控制室、高压室、低压室、变压室室内设备的正常状态。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5、经常性巡视检查在用设备的运作情况，提出一切可降低部和医院成本的合理化建议。</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6、禁止无关人员进入变电所，有关人员进入做好登记。</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变电所工人员在操作中，严格按照电力局安全规程进行作业，不得违障操作。在运行、维护、操作中，应确保工作的安全有效，并尽量把对商人的影响减少到最小。在任何情况下都不允许将任何人的健康和安全置于危险之中。</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8、及时迅速的向班组长报告紧急或异常情况，不得隐瞒不报。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9、加强设备缺陷管理，及时发现、正确汇报、迅速处理、记录入档。</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10、认真配合电力局的年度安全检测，做好工作票及操作票的填写。</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11、保持工作场所干净整齐干燥。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6.5挂号室人员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1、遵守国家法律法规和医院规章制度，依法执业、廉洁自律，遵守职业道德和医德医风规范，严格执行中央八项规定和《医疗卫生行风建设“九不准”》。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2、仔细输入门诊病人首页的相关内容。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3、挂牌上岗，着装整齐，工作细心负责，态度热情和蔼，语言文明，解释耐心。</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4、根据自己的使用权限，履行自己的工作职责。上机收费前要将当日的发票起始号输入电脑，结束当天收费时要将使用发票的未位号输入电脑，保存数据后安全地退出电脑操作系统。</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5、熟记各种医疗收费标准，严格遵守微机操作规程，尽量减少排长队现象。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6、严格执行现金管理制度，当天收费当日结算，现金和收入日报表应及时足额上交，做到每日核对现金。</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发生退费，手续要规范，整张发票退费，属退药费的，必须由药剂科收回病人的药品，并在票据上注明药已收回，然后收费员再将药款退给病人；属检查、治疗退费的，必须由检查治疗科室相关人员注明该病人未做该项检查、治疗，并说明未做的原因，然后收费员再将检查、治疗费退给病人。作废票据必须齐全，原始凭证与收入日报表一并上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8、每日下班之时要将发票、现金放入保险箱，违者所引起的损失由个人自负。</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9、每天编制门诊挂号、门诊医药收入日报表，上报医院财务科。</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10、实行首问负责制。</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11、完成领导交给的其他工作任务。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6.6药剂科工勤人员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1、药库库房勤杂工作，协助药品清点、记录、搬运。</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2、协助门诊药房药品、瓶养的整理、清点、上架、运送。</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3、做好住院药房药品下送药品、工具和回收药品、工具的登记工作，分类堆放，保证运送安全。</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4、要做好运送工具的清洁工作。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5、协助做好实在部门的清洁整理等工作。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sz w:val="24"/>
          <w:szCs w:val="24"/>
          <w:highlight w:val="none"/>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6.7医生助理（报告员）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z w:val="24"/>
          <w:szCs w:val="24"/>
          <w:lang w:val="en-US" w:eastAsia="zh-CN"/>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协助医生完成检查，并准确录入报告单内容。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2、与病人核对相关信息，确认检查项目；做到三查三对①查对申请单与病员信息是否一致；②查对电脑病员信息与申请单病员信息是否一致；③查对检查项目是否遗漏；</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3、维持诊室秩序，按序叫号；</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4、检查并及时补给诊室所缺物资，如：卫生纸、耦合剂等；</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5、机房整洁工作，仪器清洁、探头消毒工作。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6.8供应室（清洗工）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1、上班时间：8：00-11：30，13：30-16：30。</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2、上班时衣帽整齐，穿工作衣裤，戴帽子，操作时穿防护服，戴手套、口罩；使用到水枪气枪时需戴好防护面屏。严格按要求做好手卫生。</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3、按要求配置需使用含氯消毒剂、除锈液，并做好测试登记。</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4、做好污染物品的分类、清点、清洗工作，包括污染器械和污染敷料。</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对门诊楼和康复楼各临床科室做好下收下送。根据申请单认真核对临床科室回收的物品数量，清洗消毒灭菌完毕再进行发放，做到回收和发放的数量吻合；保持与全院各临床科室良好沟通的服务形象。及时反馈临床科室的意见，不断提高工作质量。</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6、用消毒湿巾擦拭回收污物车辆及用具，用500mg/L含氯消毒液浸泡消毒清洗用具：整理箱等，保持去污区的清洁整齐。</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7、常规洗班工人两位，工作中互相协作。由年资低的洗班工人辅助年资高的洗班工人工作。所有工作需遵守工作流程，符合规范要求；质控护士做好督查质控工作。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8、清洁干燥柜及传递窗的内舱。</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9、随时保持接收台的清洁，做好一手清工作。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10、每天下送完毕，用消毒湿巾及时完成使用车辆的清洗、消毒处理，定位放置。</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11、和洗收2每周一去制剂室领取消毒液和设备仓库领取一次性物品，并整理，摆放整齐。</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12、周日不锈钢设备，台面，柜面等清洁上油。</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13、清洗消毒室内拖鞋及去污区专用鞋。</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yellow"/>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14、下班关好污染区域门窗、水、电源。</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6.9急诊驾驶员</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1、积极参加业务学习，熟练掌握驾驶技能，不断提高驾驶水平。</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2、服从120调度指令，不得私自出车和绕道办私事或半途购物。</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3、密切配合，协助医护人员，安全完成每趟急救任务。</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4、根据病人病情及急救医生意见行驶速度、转送医院。</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5、正确使用GPS、警灯警报器操作。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6、认真做好接班前车辆检查和下班后加满油料、清洗车辆、检查保养及认真填写交接班台账记录。</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7、保持车辆整洁卫生、检查随车设备是否固定牢固</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8、驾驶车辆时不得穿拖鞋开车，严禁聊天、打游戏、看视频等违规行为。</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9、上班期间严禁饮酒，不得开英雄车、赌气车、霸王车、特权车。</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10、上班时统一着院前急救服装，佩戴工作牌。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7．其他要求</w:t>
      </w:r>
    </w:p>
    <w:p>
      <w:pPr>
        <w:pStyle w:val="318"/>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lang w:val="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7.1</w:t>
      </w:r>
      <w:r>
        <w:rPr>
          <w:rFonts w:hint="eastAsia" w:ascii="仿宋" w:hAnsi="仿宋" w:eastAsia="仿宋" w:cs="仿宋"/>
          <w:b/>
          <w:color w:val="000000" w:themeColor="text1"/>
          <w:sz w:val="24"/>
          <w:szCs w:val="24"/>
          <w:lang w:val="zh-CN"/>
          <w14:textFill>
            <w14:solidFill>
              <w14:schemeClr w14:val="tx1"/>
            </w14:solidFill>
          </w14:textFill>
        </w:rPr>
        <w:t>责任界定：</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人事关系：在服务期间，供应商所有服务人员仅与供应商建立劳动合同关系，且用工须符合《中华人民共和国劳动法》规定，供应商工作人员与医院方无任何劳动人事关系，供应商应与其工作人员签订规范的用工合同。</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eastAsia="zh-CN"/>
          <w14:textFill>
            <w14:solidFill>
              <w14:schemeClr w14:val="tx1"/>
            </w14:solidFill>
          </w14:textFill>
        </w:rPr>
        <w:t>因供应商的劳动用工、提供服务或其服务领域发生因人身财产损害等所引发的一切纠纷责任均由供应商承担，劳务派遣服务公司应及时妥善处理，保证不对医院造成任何负面影响。</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val="zh-CN" w:eastAsia="zh-CN"/>
          <w14:textFill>
            <w14:solidFill>
              <w14:schemeClr w14:val="tx1"/>
            </w14:solidFill>
          </w14:textFill>
        </w:rPr>
        <w:t>供应商应切实保障其雇聘工作人员的全部劳动者权利，某些岗位可能存在劳务派遣的争议，供应商应向工作人员明确不属于劳务派遣，并承担该可能存在争议岗位工作人员的劳动者权利保障责任，相应责任与医院无涉。</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eastAsia="zh-CN"/>
          <w14:textFill>
            <w14:solidFill>
              <w14:schemeClr w14:val="tx1"/>
            </w14:solidFill>
          </w14:textFill>
        </w:rPr>
        <w:t>除医院对事故的发生或扩大存在过错外，供应商人员发生任何事故或与供应商发生人事、劳动争议的，均由供应商自行全权负责（如供应商应对其员工投保人身意外险），相关责任费用由供应商自行承担，保证医院不因此承担责任或受到损失，否则医院有权向供应商追偿。</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5、除医院对事故的发生或扩大存在过错外，供应商应对本公司人员以及第三方的安全保障全权负责，在供应商的责任区内由于供应商原因导致自己员工或第三方的事故由供应商负责，医院不承担任何责任。</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6、在服务期内供应商应保证服务责任区域内的设施、设备良好的运营状况和环境状况，并接受医院或其授权人员的检查，对由供应商养护不当、操作失误等引起或造成设施、设备的损坏，由供应商全额赔偿。</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派遣员工发生工伤事故后,采购人应在事发后12小时内通知供应商,并及时救治。供应商应要求医疗机构按工伤保险规定治疗和用药，并由供应商作为用人单位按《工伤保险条例》等规定承担费用。若派遣员工超过法定退休年龄在工作过程中受伤的，所发生的费用由保险公司承担外，其余费用由供应商承担费用。</w:t>
      </w:r>
    </w:p>
    <w:p>
      <w:pPr>
        <w:pStyle w:val="318"/>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7.2</w:t>
      </w:r>
      <w:r>
        <w:rPr>
          <w:rFonts w:hint="eastAsia" w:ascii="仿宋" w:hAnsi="仿宋" w:eastAsia="仿宋" w:cs="仿宋"/>
          <w:b/>
          <w:color w:val="000000" w:themeColor="text1"/>
          <w:sz w:val="24"/>
          <w:szCs w:val="24"/>
          <w:highlight w:val="none"/>
          <w:lang w:val="zh-CN"/>
          <w14:textFill>
            <w14:solidFill>
              <w14:schemeClr w14:val="tx1"/>
            </w14:solidFill>
          </w14:textFill>
        </w:rPr>
        <w:t>提供方案：</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服务人员服从医院管理，遵守安全规范和制度。针对医院特点编写拟采取的护工管理方案、组织计划、人员安排、时间安排、设备安排、验收标准、考核方案等，如遇重大、紧急事项的应急措施等。管理方案具体要求如下（该方案必须在</w:t>
      </w:r>
      <w:r>
        <w:rPr>
          <w:rFonts w:hint="eastAsia" w:ascii="仿宋" w:hAnsi="仿宋" w:eastAsia="仿宋" w:cs="仿宋"/>
          <w:color w:val="000000" w:themeColor="text1"/>
          <w:sz w:val="24"/>
          <w:szCs w:val="24"/>
          <w:lang w:val="en-US" w:eastAsia="zh-CN"/>
          <w14:textFill>
            <w14:solidFill>
              <w14:schemeClr w14:val="tx1"/>
            </w14:solidFill>
          </w14:textFill>
        </w:rPr>
        <w:t>响应遴选</w:t>
      </w:r>
      <w:r>
        <w:rPr>
          <w:rFonts w:hint="eastAsia" w:ascii="仿宋" w:hAnsi="仿宋" w:eastAsia="仿宋" w:cs="仿宋"/>
          <w:color w:val="000000" w:themeColor="text1"/>
          <w:sz w:val="24"/>
          <w:szCs w:val="24"/>
          <w:lang w:val="zh-CN"/>
          <w14:textFill>
            <w14:solidFill>
              <w14:schemeClr w14:val="tx1"/>
            </w14:solidFill>
          </w14:textFill>
        </w:rPr>
        <w:t>时提供）：</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总体方案：结合医院实际，提供劳务派遣服务项目的总体设计方案，包括服务理念，实现目标，经营模式，组织架构等方面。</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eastAsia="zh-CN"/>
          <w14:textFill>
            <w14:solidFill>
              <w14:schemeClr w14:val="tx1"/>
            </w14:solidFill>
          </w14:textFill>
        </w:rPr>
        <w:t>项目实施方案：针对本项目制订详细的实施方案，包括管理制度、实施流程、机构设置、职责分工、质量控制、绩效分配、考核反馈等，具有科学性、合理性、规范性。</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val="zh-CN" w:eastAsia="zh-CN"/>
          <w14:textFill>
            <w14:solidFill>
              <w14:schemeClr w14:val="tx1"/>
            </w14:solidFill>
          </w14:textFill>
        </w:rPr>
        <w:t>人员配置方案：提供管理人员配备和其他员工的配置方案；按照医院的要求须明确列出各区域工作人员数量及工作职责及时间安排。</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eastAsia="zh-CN"/>
          <w14:textFill>
            <w14:solidFill>
              <w14:schemeClr w14:val="tx1"/>
            </w14:solidFill>
          </w14:textFill>
        </w:rPr>
        <w:t>各项派遣具体方案设计：包括护工管理方案等。</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val="zh-CN" w:eastAsia="zh-CN"/>
          <w14:textFill>
            <w14:solidFill>
              <w14:schemeClr w14:val="tx1"/>
            </w14:solidFill>
          </w14:textFill>
        </w:rPr>
        <w:t>应急响应方案：提供针对各类检查和突发性公卫事件等临时性任务的应急响应方案，并具有可操作性。</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lang w:val="zh-CN" w:eastAsia="zh-CN"/>
          <w14:textFill>
            <w14:solidFill>
              <w14:schemeClr w14:val="tx1"/>
            </w14:solidFill>
          </w14:textFill>
        </w:rPr>
        <w:t>合理化建议：提供针对本项目的合理化建议及优惠承诺。</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lang w:val="zh-CN" w:eastAsia="zh-CN"/>
          <w14:textFill>
            <w14:solidFill>
              <w14:schemeClr w14:val="tx1"/>
            </w14:solidFill>
          </w14:textFill>
        </w:rPr>
        <w:t>质量管理及考核方案：提供切实可行的质量管理、考核计划及奖罚措施。</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lang w:val="zh-CN" w:eastAsia="zh-CN"/>
          <w14:textFill>
            <w14:solidFill>
              <w14:schemeClr w14:val="tx1"/>
            </w14:solidFill>
          </w14:textFill>
        </w:rPr>
        <w:t>公司资信要求：按</w:t>
      </w:r>
      <w:r>
        <w:rPr>
          <w:rFonts w:hint="eastAsia" w:ascii="仿宋" w:hAnsi="仿宋" w:eastAsia="仿宋" w:cs="仿宋"/>
          <w:color w:val="000000" w:themeColor="text1"/>
          <w:sz w:val="24"/>
          <w:szCs w:val="24"/>
          <w:lang w:val="en-US" w:eastAsia="zh-CN"/>
          <w14:textFill>
            <w14:solidFill>
              <w14:schemeClr w14:val="tx1"/>
            </w14:solidFill>
          </w14:textFill>
        </w:rPr>
        <w:t>招标</w:t>
      </w:r>
      <w:r>
        <w:rPr>
          <w:rFonts w:hint="eastAsia" w:ascii="仿宋" w:hAnsi="仿宋" w:eastAsia="仿宋" w:cs="仿宋"/>
          <w:color w:val="000000" w:themeColor="text1"/>
          <w:sz w:val="24"/>
          <w:szCs w:val="24"/>
          <w:lang w:val="zh-CN" w:eastAsia="zh-CN"/>
          <w14:textFill>
            <w14:solidFill>
              <w14:schemeClr w14:val="tx1"/>
            </w14:solidFill>
          </w14:textFill>
        </w:rPr>
        <w:t>文件要求提供。</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lang w:val="zh-CN" w:eastAsia="zh-CN"/>
          <w14:textFill>
            <w14:solidFill>
              <w14:schemeClr w14:val="tx1"/>
            </w14:solidFill>
          </w14:textFill>
        </w:rPr>
        <w:t>档案要求：医院劳务派遣档案的建立与保存；合同期内可提供给医方的文件资料清单；合同终止时，保留给院方的资料清单；合同终止时，各项服务的财产分割方式；</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8.考核及评价办法</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为强化管理，确保派遣业务规范化运作，确保后勤服务质量不断提升，塑造良好的整体后勤形象，特制定劳务派遣日常监管考核评价办法，详细细则等招标完成后双方协商实施。</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zh-CN" w:eastAsia="zh-CN"/>
          <w14:textFill>
            <w14:solidFill>
              <w14:schemeClr w14:val="tx1"/>
            </w14:solidFill>
          </w14:textFill>
        </w:rPr>
        <w:t xml:space="preserve">供应商须提供符合医院要求的服务质量承诺书，并以此作为每月考核依据。 </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eastAsia="zh-CN"/>
          <w14:textFill>
            <w14:solidFill>
              <w14:schemeClr w14:val="tx1"/>
            </w14:solidFill>
          </w14:textFill>
        </w:rPr>
        <w:t>以上服务人员工作各职能部门或相关科室负责监管。</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val="zh-CN" w:eastAsia="zh-CN"/>
          <w14:textFill>
            <w14:solidFill>
              <w14:schemeClr w14:val="tx1"/>
            </w14:solidFill>
          </w14:textFill>
        </w:rPr>
        <w:t>医院进行定期和不定期日常工作监管。相关部门每月对派遣人员进行服务工作检查，并对检查结果进行汇总作为月度考核评价依据。</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zh-CN" w:eastAsia="zh-CN"/>
          <w14:textFill>
            <w14:solidFill>
              <w14:schemeClr w14:val="tx1"/>
            </w14:solidFill>
          </w14:textFill>
        </w:rPr>
        <w:t>实行每月一次的考核评价制。考核评价采用百分制。</w:t>
      </w:r>
    </w:p>
    <w:p>
      <w:pPr>
        <w:pStyle w:val="3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5、服务人员的月度</w:t>
      </w:r>
      <w:r>
        <w:rPr>
          <w:rFonts w:hint="eastAsia" w:ascii="仿宋" w:hAnsi="仿宋" w:eastAsia="仿宋" w:cs="仿宋"/>
          <w:color w:val="000000" w:themeColor="text1"/>
          <w:sz w:val="24"/>
          <w:szCs w:val="24"/>
          <w:lang w:val="zh-CN" w:eastAsia="zh-CN"/>
          <w14:textFill>
            <w14:solidFill>
              <w14:schemeClr w14:val="tx1"/>
            </w14:solidFill>
          </w14:textFill>
        </w:rPr>
        <w:t>考核评价结果与费用支付挂钩，具体如下：</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月</w:t>
      </w:r>
      <w:r>
        <w:rPr>
          <w:rFonts w:hint="eastAsia" w:ascii="仿宋" w:hAnsi="仿宋" w:eastAsia="仿宋" w:cs="仿宋"/>
          <w:color w:val="000000" w:themeColor="text1"/>
          <w:sz w:val="24"/>
          <w:szCs w:val="24"/>
          <w:highlight w:val="none"/>
          <w:lang w:val="en-US" w:eastAsia="zh-CN"/>
          <w14:textFill>
            <w14:solidFill>
              <w14:schemeClr w14:val="tx1"/>
            </w14:solidFill>
          </w14:textFill>
        </w:rPr>
        <w:t>度</w:t>
      </w:r>
      <w:r>
        <w:rPr>
          <w:rFonts w:hint="eastAsia" w:ascii="仿宋" w:hAnsi="仿宋" w:eastAsia="仿宋" w:cs="仿宋"/>
          <w:color w:val="000000" w:themeColor="text1"/>
          <w:sz w:val="24"/>
          <w:szCs w:val="24"/>
          <w:highlight w:val="none"/>
          <w:lang w:val="zh-CN"/>
          <w14:textFill>
            <w14:solidFill>
              <w14:schemeClr w14:val="tx1"/>
            </w14:solidFill>
          </w14:textFill>
        </w:rPr>
        <w:t>考核评价结果9</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lang w:val="zh-CN"/>
          <w14:textFill>
            <w14:solidFill>
              <w14:schemeClr w14:val="tx1"/>
            </w14:solidFill>
          </w14:textFill>
        </w:rPr>
        <w:t>分以上之间，按合同全额支付；低于9</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lang w:val="zh-CN"/>
          <w14:textFill>
            <w14:solidFill>
              <w14:schemeClr w14:val="tx1"/>
            </w14:solidFill>
          </w14:textFill>
        </w:rPr>
        <w:t>分，</w:t>
      </w:r>
      <w:r>
        <w:rPr>
          <w:rFonts w:hint="eastAsia" w:ascii="仿宋" w:hAnsi="仿宋" w:eastAsia="仿宋" w:cs="仿宋"/>
          <w:color w:val="000000" w:themeColor="text1"/>
          <w:sz w:val="24"/>
          <w:szCs w:val="24"/>
          <w:highlight w:val="none"/>
          <w:lang w:val="en-US" w:eastAsia="zh-CN"/>
          <w14:textFill>
            <w14:solidFill>
              <w14:schemeClr w14:val="tx1"/>
            </w14:solidFill>
          </w14:textFill>
        </w:rPr>
        <w:t>按得分情况对派遣人员酌情</w:t>
      </w:r>
      <w:r>
        <w:rPr>
          <w:rFonts w:hint="eastAsia" w:ascii="仿宋" w:hAnsi="仿宋" w:eastAsia="仿宋" w:cs="仿宋"/>
          <w:color w:val="000000" w:themeColor="text1"/>
          <w:sz w:val="24"/>
          <w:szCs w:val="24"/>
          <w:highlight w:val="none"/>
          <w:lang w:val="zh-CN"/>
          <w14:textFill>
            <w14:solidFill>
              <w14:schemeClr w14:val="tx1"/>
            </w14:solidFill>
          </w14:textFill>
        </w:rPr>
        <w:t>扣</w:t>
      </w:r>
      <w:r>
        <w:rPr>
          <w:rFonts w:hint="eastAsia" w:ascii="仿宋" w:hAnsi="仿宋" w:eastAsia="仿宋" w:cs="仿宋"/>
          <w:color w:val="000000" w:themeColor="text1"/>
          <w:sz w:val="24"/>
          <w:szCs w:val="24"/>
          <w:highlight w:val="none"/>
          <w:lang w:val="en-US" w:eastAsia="zh-CN"/>
          <w14:textFill>
            <w14:solidFill>
              <w14:schemeClr w14:val="tx1"/>
            </w14:solidFill>
          </w14:textFill>
        </w:rPr>
        <w:t>罚200-1000</w:t>
      </w:r>
      <w:r>
        <w:rPr>
          <w:rFonts w:hint="eastAsia" w:ascii="仿宋" w:hAnsi="仿宋" w:eastAsia="仿宋" w:cs="仿宋"/>
          <w:color w:val="000000" w:themeColor="text1"/>
          <w:sz w:val="24"/>
          <w:szCs w:val="24"/>
          <w:highlight w:val="none"/>
          <w:lang w:val="zh-CN"/>
          <w14:textFill>
            <w14:solidFill>
              <w14:schemeClr w14:val="tx1"/>
            </w14:solidFill>
          </w14:textFill>
        </w:rPr>
        <w:t>元。</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如果月</w:t>
      </w:r>
      <w:r>
        <w:rPr>
          <w:rFonts w:hint="eastAsia" w:ascii="仿宋" w:hAnsi="仿宋" w:eastAsia="仿宋" w:cs="仿宋"/>
          <w:color w:val="000000" w:themeColor="text1"/>
          <w:sz w:val="24"/>
          <w:szCs w:val="24"/>
          <w:highlight w:val="none"/>
          <w:lang w:val="en-US" w:eastAsia="zh-CN"/>
          <w14:textFill>
            <w14:solidFill>
              <w14:schemeClr w14:val="tx1"/>
            </w14:solidFill>
          </w14:textFill>
        </w:rPr>
        <w:t>度</w:t>
      </w:r>
      <w:r>
        <w:rPr>
          <w:rFonts w:hint="eastAsia" w:ascii="仿宋" w:hAnsi="仿宋" w:eastAsia="仿宋" w:cs="仿宋"/>
          <w:color w:val="000000" w:themeColor="text1"/>
          <w:sz w:val="24"/>
          <w:szCs w:val="24"/>
          <w:highlight w:val="none"/>
          <w:lang w:val="zh-CN"/>
          <w14:textFill>
            <w14:solidFill>
              <w14:schemeClr w14:val="tx1"/>
            </w14:solidFill>
          </w14:textFill>
        </w:rPr>
        <w:t>考核评价低于80分，除按规定</w:t>
      </w:r>
      <w:r>
        <w:rPr>
          <w:rFonts w:hint="eastAsia" w:ascii="仿宋" w:hAnsi="仿宋" w:eastAsia="仿宋" w:cs="仿宋"/>
          <w:color w:val="000000" w:themeColor="text1"/>
          <w:sz w:val="24"/>
          <w:szCs w:val="24"/>
          <w:highlight w:val="none"/>
          <w:lang w:val="en-US" w:eastAsia="zh-CN"/>
          <w14:textFill>
            <w14:solidFill>
              <w14:schemeClr w14:val="tx1"/>
            </w14:solidFill>
          </w14:textFill>
        </w:rPr>
        <w:t>对派遣人员进行</w:t>
      </w:r>
      <w:r>
        <w:rPr>
          <w:rFonts w:hint="eastAsia" w:ascii="仿宋" w:hAnsi="仿宋" w:eastAsia="仿宋" w:cs="仿宋"/>
          <w:color w:val="000000" w:themeColor="text1"/>
          <w:sz w:val="24"/>
          <w:szCs w:val="24"/>
          <w:highlight w:val="none"/>
          <w:lang w:val="zh-CN"/>
          <w14:textFill>
            <w14:solidFill>
              <w14:schemeClr w14:val="tx1"/>
            </w14:solidFill>
          </w14:textFill>
        </w:rPr>
        <w:t>扣罚外，</w:t>
      </w:r>
      <w:r>
        <w:rPr>
          <w:rFonts w:hint="eastAsia" w:ascii="仿宋" w:hAnsi="仿宋" w:eastAsia="仿宋" w:cs="仿宋"/>
          <w:color w:val="000000" w:themeColor="text1"/>
          <w:sz w:val="24"/>
          <w:szCs w:val="24"/>
          <w:highlight w:val="none"/>
          <w:lang w:val="en-US" w:eastAsia="zh-CN"/>
          <w14:textFill>
            <w14:solidFill>
              <w14:schemeClr w14:val="tx1"/>
            </w14:solidFill>
          </w14:textFill>
        </w:rPr>
        <w:t>还将对供应商</w:t>
      </w:r>
      <w:r>
        <w:rPr>
          <w:rFonts w:hint="eastAsia" w:ascii="仿宋" w:hAnsi="仿宋" w:eastAsia="仿宋" w:cs="仿宋"/>
          <w:color w:val="000000" w:themeColor="text1"/>
          <w:sz w:val="24"/>
          <w:szCs w:val="24"/>
          <w:highlight w:val="none"/>
          <w:lang w:val="zh-CN"/>
          <w14:textFill>
            <w14:solidFill>
              <w14:schemeClr w14:val="tx1"/>
            </w14:solidFill>
          </w14:textFill>
        </w:rPr>
        <w:t>予以书面警告一次，</w:t>
      </w:r>
      <w:r>
        <w:rPr>
          <w:rFonts w:hint="eastAsia" w:ascii="仿宋" w:hAnsi="仿宋" w:eastAsia="仿宋" w:cs="仿宋"/>
          <w:color w:val="000000" w:themeColor="text1"/>
          <w:sz w:val="24"/>
          <w:szCs w:val="24"/>
          <w:highlight w:val="none"/>
          <w:lang w:val="en-US" w:eastAsia="zh-CN"/>
          <w14:textFill>
            <w14:solidFill>
              <w14:schemeClr w14:val="tx1"/>
            </w14:solidFill>
          </w14:textFill>
        </w:rPr>
        <w:t>医院有权要求对派遣人员进行调换</w:t>
      </w:r>
      <w:r>
        <w:rPr>
          <w:rFonts w:hint="eastAsia" w:ascii="仿宋" w:hAnsi="仿宋" w:eastAsia="仿宋" w:cs="仿宋"/>
          <w:color w:val="000000" w:themeColor="text1"/>
          <w:sz w:val="24"/>
          <w:szCs w:val="24"/>
          <w:highlight w:val="none"/>
          <w:lang w:val="zh-CN"/>
          <w14:textFill>
            <w14:solidFill>
              <w14:schemeClr w14:val="tx1"/>
            </w14:solidFill>
          </w14:textFill>
        </w:rPr>
        <w:t>；全年出现三次警告，</w:t>
      </w:r>
      <w:r>
        <w:rPr>
          <w:rFonts w:hint="eastAsia" w:ascii="仿宋" w:hAnsi="仿宋" w:eastAsia="仿宋" w:cs="仿宋"/>
          <w:color w:val="000000" w:themeColor="text1"/>
          <w:sz w:val="24"/>
          <w:szCs w:val="24"/>
          <w:highlight w:val="none"/>
          <w:lang w:val="en-US" w:eastAsia="zh-CN"/>
          <w14:textFill>
            <w14:solidFill>
              <w14:schemeClr w14:val="tx1"/>
            </w14:solidFill>
          </w14:textFill>
        </w:rPr>
        <w:t>医院有权</w:t>
      </w:r>
      <w:r>
        <w:rPr>
          <w:rFonts w:hint="eastAsia" w:ascii="仿宋" w:hAnsi="仿宋" w:eastAsia="仿宋" w:cs="仿宋"/>
          <w:color w:val="000000" w:themeColor="text1"/>
          <w:sz w:val="24"/>
          <w:szCs w:val="24"/>
          <w:highlight w:val="none"/>
          <w:lang w:val="zh-CN"/>
          <w14:textFill>
            <w14:solidFill>
              <w14:schemeClr w14:val="tx1"/>
            </w14:solidFill>
          </w14:textFill>
        </w:rPr>
        <w:t>终止合同，并</w:t>
      </w:r>
      <w:r>
        <w:rPr>
          <w:rFonts w:hint="eastAsia" w:ascii="仿宋" w:hAnsi="仿宋" w:eastAsia="仿宋" w:cs="仿宋"/>
          <w:color w:val="000000" w:themeColor="text1"/>
          <w:sz w:val="24"/>
          <w:szCs w:val="24"/>
          <w:highlight w:val="none"/>
          <w:lang w:val="en-US" w:eastAsia="zh-CN"/>
          <w14:textFill>
            <w14:solidFill>
              <w14:schemeClr w14:val="tx1"/>
            </w14:solidFill>
          </w14:textFill>
        </w:rPr>
        <w:t>由供应商</w:t>
      </w:r>
      <w:r>
        <w:rPr>
          <w:rFonts w:hint="eastAsia" w:ascii="仿宋" w:hAnsi="仿宋" w:eastAsia="仿宋" w:cs="仿宋"/>
          <w:color w:val="000000" w:themeColor="text1"/>
          <w:sz w:val="24"/>
          <w:szCs w:val="24"/>
          <w:highlight w:val="none"/>
          <w:lang w:val="zh-CN"/>
          <w14:textFill>
            <w14:solidFill>
              <w14:schemeClr w14:val="tx1"/>
            </w14:solidFill>
          </w14:textFill>
        </w:rPr>
        <w:t>承担</w:t>
      </w:r>
      <w:r>
        <w:rPr>
          <w:rFonts w:hint="eastAsia" w:ascii="仿宋" w:hAnsi="仿宋" w:eastAsia="仿宋" w:cs="仿宋"/>
          <w:color w:val="000000" w:themeColor="text1"/>
          <w:sz w:val="24"/>
          <w:szCs w:val="24"/>
          <w:highlight w:val="none"/>
          <w:lang w:val="en-US" w:eastAsia="zh-CN"/>
          <w14:textFill>
            <w14:solidFill>
              <w14:schemeClr w14:val="tx1"/>
            </w14:solidFill>
          </w14:textFill>
        </w:rPr>
        <w:t>相应</w:t>
      </w:r>
      <w:r>
        <w:rPr>
          <w:rFonts w:hint="eastAsia" w:ascii="仿宋" w:hAnsi="仿宋" w:eastAsia="仿宋" w:cs="仿宋"/>
          <w:color w:val="000000" w:themeColor="text1"/>
          <w:sz w:val="24"/>
          <w:szCs w:val="24"/>
          <w:highlight w:val="none"/>
          <w:lang w:val="zh-CN"/>
          <w14:textFill>
            <w14:solidFill>
              <w14:schemeClr w14:val="tx1"/>
            </w14:solidFill>
          </w14:textFill>
        </w:rPr>
        <w:t>违约责任。</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派遣人员须严格按照医院制度和相关操作流程进行服务，如服务过程未按标准执行而发生意外，应视情节轻重对</w:t>
      </w:r>
      <w:r>
        <w:rPr>
          <w:rFonts w:hint="eastAsia" w:ascii="仿宋" w:hAnsi="仿宋" w:eastAsia="仿宋" w:cs="仿宋"/>
          <w:color w:val="000000" w:themeColor="text1"/>
          <w:sz w:val="24"/>
          <w:szCs w:val="24"/>
          <w:highlight w:val="none"/>
          <w:lang w:val="en-US" w:eastAsia="zh-CN"/>
          <w14:textFill>
            <w14:solidFill>
              <w14:schemeClr w14:val="tx1"/>
            </w14:solidFill>
          </w14:textFill>
        </w:rPr>
        <w:t>派遣</w:t>
      </w:r>
      <w:r>
        <w:rPr>
          <w:rFonts w:hint="eastAsia" w:ascii="仿宋" w:hAnsi="仿宋" w:eastAsia="仿宋" w:cs="仿宋"/>
          <w:color w:val="000000" w:themeColor="text1"/>
          <w:sz w:val="24"/>
          <w:szCs w:val="24"/>
          <w:highlight w:val="none"/>
          <w:lang w:val="zh-CN"/>
          <w14:textFill>
            <w14:solidFill>
              <w14:schemeClr w14:val="tx1"/>
            </w14:solidFill>
          </w14:textFill>
        </w:rPr>
        <w:t>人员</w:t>
      </w:r>
      <w:r>
        <w:rPr>
          <w:rFonts w:hint="eastAsia" w:ascii="仿宋" w:hAnsi="仿宋" w:eastAsia="仿宋" w:cs="仿宋"/>
          <w:color w:val="000000" w:themeColor="text1"/>
          <w:sz w:val="24"/>
          <w:szCs w:val="24"/>
          <w:highlight w:val="none"/>
          <w:lang w:val="en-US" w:eastAsia="zh-CN"/>
          <w14:textFill>
            <w14:solidFill>
              <w14:schemeClr w14:val="tx1"/>
            </w14:solidFill>
          </w14:textFill>
        </w:rPr>
        <w:t>扣</w:t>
      </w:r>
      <w:r>
        <w:rPr>
          <w:rFonts w:hint="eastAsia" w:ascii="仿宋" w:hAnsi="仿宋" w:eastAsia="仿宋" w:cs="仿宋"/>
          <w:color w:val="000000" w:themeColor="text1"/>
          <w:sz w:val="24"/>
          <w:szCs w:val="24"/>
          <w:highlight w:val="none"/>
          <w:lang w:val="zh-CN"/>
          <w14:textFill>
            <w14:solidFill>
              <w14:schemeClr w14:val="tx1"/>
            </w14:solidFill>
          </w14:textFill>
        </w:rPr>
        <w:t>罚人民币</w:t>
      </w:r>
      <w:r>
        <w:rPr>
          <w:rFonts w:hint="eastAsia" w:ascii="仿宋" w:hAnsi="仿宋" w:eastAsia="仿宋" w:cs="仿宋"/>
          <w:color w:val="000000" w:themeColor="text1"/>
          <w:sz w:val="24"/>
          <w:szCs w:val="24"/>
          <w:highlight w:val="none"/>
          <w:lang w:val="en-US" w:eastAsia="zh-CN"/>
          <w14:textFill>
            <w14:solidFill>
              <w14:schemeClr w14:val="tx1"/>
            </w14:solidFill>
          </w14:textFill>
        </w:rPr>
        <w:t>200-1000</w:t>
      </w:r>
      <w:r>
        <w:rPr>
          <w:rFonts w:hint="eastAsia" w:ascii="仿宋" w:hAnsi="仿宋" w:eastAsia="仿宋" w:cs="仿宋"/>
          <w:color w:val="000000" w:themeColor="text1"/>
          <w:sz w:val="24"/>
          <w:szCs w:val="24"/>
          <w:highlight w:val="none"/>
          <w:lang w:val="zh-CN"/>
          <w14:textFill>
            <w14:solidFill>
              <w14:schemeClr w14:val="tx1"/>
            </w14:solidFill>
          </w14:textFill>
        </w:rPr>
        <w:t>元/例。</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在上级行政部门检查中，因派遣</w:t>
      </w:r>
      <w:r>
        <w:rPr>
          <w:rFonts w:hint="eastAsia" w:ascii="仿宋" w:hAnsi="仿宋" w:eastAsia="仿宋" w:cs="仿宋"/>
          <w:color w:val="000000" w:themeColor="text1"/>
          <w:sz w:val="24"/>
          <w:szCs w:val="24"/>
          <w:highlight w:val="none"/>
          <w:lang w:val="en-US" w:eastAsia="zh-CN"/>
          <w14:textFill>
            <w14:solidFill>
              <w14:schemeClr w14:val="tx1"/>
            </w14:solidFill>
          </w14:textFill>
        </w:rPr>
        <w:t>人员</w:t>
      </w:r>
      <w:r>
        <w:rPr>
          <w:rFonts w:hint="eastAsia" w:ascii="仿宋" w:hAnsi="仿宋" w:eastAsia="仿宋" w:cs="仿宋"/>
          <w:color w:val="000000" w:themeColor="text1"/>
          <w:sz w:val="24"/>
          <w:szCs w:val="24"/>
          <w:highlight w:val="none"/>
          <w:lang w:val="zh-CN"/>
          <w14:textFill>
            <w14:solidFill>
              <w14:schemeClr w14:val="tx1"/>
            </w14:solidFill>
          </w14:textFill>
        </w:rPr>
        <w:t>原因受到上级主管部门书面通报批评或被新闻媒体曝光批评的，视情节轻重对派遣人员予以扣罚</w:t>
      </w:r>
      <w:r>
        <w:rPr>
          <w:rFonts w:hint="eastAsia" w:ascii="仿宋" w:hAnsi="仿宋" w:eastAsia="仿宋" w:cs="仿宋"/>
          <w:color w:val="000000" w:themeColor="text1"/>
          <w:sz w:val="24"/>
          <w:szCs w:val="24"/>
          <w:highlight w:val="none"/>
          <w:lang w:val="en-US" w:eastAsia="zh-CN"/>
          <w14:textFill>
            <w14:solidFill>
              <w14:schemeClr w14:val="tx1"/>
            </w14:solidFill>
          </w14:textFill>
        </w:rPr>
        <w:t>1000-5000</w:t>
      </w:r>
      <w:r>
        <w:rPr>
          <w:rFonts w:hint="eastAsia" w:ascii="仿宋" w:hAnsi="仿宋" w:eastAsia="仿宋" w:cs="仿宋"/>
          <w:color w:val="000000" w:themeColor="text1"/>
          <w:sz w:val="24"/>
          <w:szCs w:val="24"/>
          <w:highlight w:val="none"/>
          <w:lang w:val="zh-CN"/>
          <w14:textFill>
            <w14:solidFill>
              <w14:schemeClr w14:val="tx1"/>
            </w14:solidFill>
          </w14:textFill>
        </w:rPr>
        <w:t>元，医院</w:t>
      </w:r>
      <w:r>
        <w:rPr>
          <w:rFonts w:hint="eastAsia" w:ascii="仿宋" w:hAnsi="仿宋" w:eastAsia="仿宋" w:cs="仿宋"/>
          <w:color w:val="000000" w:themeColor="text1"/>
          <w:sz w:val="24"/>
          <w:szCs w:val="24"/>
          <w:highlight w:val="none"/>
          <w:lang w:val="en-US" w:eastAsia="zh-CN"/>
          <w14:textFill>
            <w14:solidFill>
              <w14:schemeClr w14:val="tx1"/>
            </w14:solidFill>
          </w14:textFill>
        </w:rPr>
        <w:t>有权</w:t>
      </w:r>
      <w:r>
        <w:rPr>
          <w:rFonts w:hint="eastAsia" w:ascii="仿宋" w:hAnsi="仿宋" w:eastAsia="仿宋" w:cs="仿宋"/>
          <w:color w:val="000000" w:themeColor="text1"/>
          <w:sz w:val="24"/>
          <w:szCs w:val="24"/>
          <w:highlight w:val="none"/>
          <w:lang w:val="zh-CN"/>
          <w14:textFill>
            <w14:solidFill>
              <w14:schemeClr w14:val="tx1"/>
            </w14:solidFill>
          </w14:textFill>
        </w:rPr>
        <w:t>终止合同。</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对供应商服务人员到岗率进行考核。有缺岗、未及时调换、在岗人员实质性不满足岗位需求等情形的：一个考核周期内所有岗位累计，超过7天·岗的但不足30天·岗的，对供应商酌情扣罚500元至5000元；累计达到30天·岗的，除按规定对供应商进行扣罚外，医院有权终止合同。</w:t>
      </w:r>
    </w:p>
    <w:p>
      <w:pPr>
        <w:pStyle w:val="318"/>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7、采购人对供应商岗位人员服务费用发放情况进行抽查，如有未按采购人核算进行发放的，视情节轻重责令整改、予以扣罚管理费用等；如造成纠纷的，由供应商承担相应违约责任。</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四、本项目合同条款主要内容说明</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1.合同签订要求：</w:t>
      </w:r>
      <w:r>
        <w:rPr>
          <w:rFonts w:hint="eastAsia" w:ascii="仿宋" w:hAnsi="仿宋" w:eastAsia="仿宋" w:cs="仿宋"/>
          <w:color w:val="000000" w:themeColor="text1"/>
          <w:sz w:val="24"/>
          <w:szCs w:val="24"/>
          <w:highlight w:val="none"/>
          <w14:textFill>
            <w14:solidFill>
              <w14:schemeClr w14:val="tx1"/>
            </w14:solidFill>
          </w14:textFill>
        </w:rPr>
        <w:t>签订时间为中标</w:t>
      </w:r>
      <w:r>
        <w:rPr>
          <w:rFonts w:hint="eastAsia" w:ascii="仿宋" w:hAnsi="仿宋" w:eastAsia="仿宋" w:cs="仿宋"/>
          <w:color w:val="000000" w:themeColor="text1"/>
          <w:sz w:val="24"/>
          <w:szCs w:val="24"/>
          <w:highlight w:val="none"/>
          <w:lang w:val="en-US" w:eastAsia="zh-CN"/>
          <w14:textFill>
            <w14:solidFill>
              <w14:schemeClr w14:val="tx1"/>
            </w14:solidFill>
          </w14:textFill>
        </w:rPr>
        <w:t>通知书发出之日</w:t>
      </w:r>
      <w:r>
        <w:rPr>
          <w:rFonts w:hint="eastAsia" w:ascii="仿宋" w:hAnsi="仿宋" w:eastAsia="仿宋" w:cs="仿宋"/>
          <w:color w:val="000000" w:themeColor="text1"/>
          <w:sz w:val="24"/>
          <w:szCs w:val="24"/>
          <w:highlight w:val="none"/>
          <w14:textFill>
            <w14:solidFill>
              <w14:schemeClr w14:val="tx1"/>
            </w14:solidFill>
          </w14:textFill>
        </w:rPr>
        <w:t>后30日内，中标人持《中标通知书》与采购人签订采购合同。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2.地点：</w:t>
      </w:r>
      <w:r>
        <w:rPr>
          <w:rFonts w:hint="eastAsia" w:ascii="仿宋" w:hAnsi="仿宋" w:eastAsia="仿宋" w:cs="仿宋"/>
          <w:color w:val="000000" w:themeColor="text1"/>
          <w:sz w:val="24"/>
          <w:szCs w:val="24"/>
          <w:highlight w:val="none"/>
          <w14:textFill>
            <w14:solidFill>
              <w14:schemeClr w14:val="tx1"/>
            </w14:solidFill>
          </w14:textFill>
        </w:rPr>
        <w:t>绍兴市第七人民医院</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3.服务期限：</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暂定一年。</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0" w:name="_Toc22967"/>
      <w:bookmarkStart w:id="41" w:name="_Toc20421"/>
      <w:bookmarkStart w:id="42" w:name="_Toc19273"/>
      <w:bookmarkStart w:id="43" w:name="_Toc15367"/>
      <w:bookmarkStart w:id="44" w:name="_Toc28855"/>
      <w:r>
        <w:rPr>
          <w:rFonts w:hint="eastAsia" w:ascii="仿宋" w:hAnsi="仿宋" w:eastAsia="仿宋" w:cs="仿宋"/>
          <w:b/>
          <w:sz w:val="24"/>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5" w:name="_Toc6773"/>
      <w:bookmarkStart w:id="46" w:name="_Toc6311"/>
      <w:bookmarkStart w:id="47" w:name="_Toc18585"/>
      <w:bookmarkStart w:id="48" w:name="_Toc22185"/>
      <w:bookmarkStart w:id="49" w:name="_Toc2918"/>
      <w:r>
        <w:rPr>
          <w:rFonts w:hint="eastAsia" w:ascii="仿宋" w:hAnsi="仿宋" w:eastAsia="仿宋" w:cs="仿宋"/>
          <w:b/>
          <w:sz w:val="24"/>
        </w:rPr>
        <w:t>1.2 标的</w:t>
      </w:r>
      <w:bookmarkEnd w:id="45"/>
      <w:bookmarkEnd w:id="46"/>
      <w:bookmarkEnd w:id="47"/>
      <w:bookmarkEnd w:id="48"/>
      <w:bookmarkEnd w:id="4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0" w:name="_Toc5635"/>
      <w:bookmarkStart w:id="51" w:name="_Toc4929"/>
      <w:bookmarkStart w:id="52" w:name="_Toc1386"/>
      <w:bookmarkStart w:id="53" w:name="_Toc13918"/>
      <w:bookmarkStart w:id="54"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5" w:name="_Toc30506"/>
      <w:bookmarkStart w:id="56" w:name="_Toc26916"/>
      <w:bookmarkStart w:id="57" w:name="_Toc14993"/>
      <w:bookmarkStart w:id="58" w:name="_Toc30158"/>
      <w:bookmarkStart w:id="59"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0" w:name="_Toc1814"/>
      <w:bookmarkStart w:id="61" w:name="_Toc22618"/>
      <w:bookmarkStart w:id="62" w:name="_Toc10340"/>
      <w:bookmarkStart w:id="63" w:name="_Toc8772"/>
      <w:bookmarkStart w:id="64" w:name="_Toc3625"/>
      <w:bookmarkStart w:id="65" w:name="_Toc4760"/>
      <w:bookmarkStart w:id="66" w:name="_Toc11108"/>
      <w:bookmarkStart w:id="67" w:name="_Toc31421"/>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8" w:name="_Toc24662"/>
      <w:bookmarkStart w:id="69" w:name="_Toc8586"/>
      <w:bookmarkStart w:id="70" w:name="_Toc5698"/>
      <w:bookmarkStart w:id="71" w:name="_Toc2375"/>
      <w:bookmarkStart w:id="72"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3" w:name="_Toc18683"/>
      <w:bookmarkStart w:id="74" w:name="_Toc26807"/>
      <w:bookmarkStart w:id="75" w:name="_Toc32454"/>
      <w:bookmarkStart w:id="76" w:name="_Toc30329"/>
      <w:bookmarkStart w:id="77"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8" w:name="_Toc16021"/>
      <w:bookmarkStart w:id="79" w:name="_Toc15583"/>
      <w:bookmarkStart w:id="80" w:name="_Toc28375"/>
      <w:r>
        <w:rPr>
          <w:rFonts w:hint="eastAsia" w:ascii="仿宋" w:hAnsi="仿宋" w:eastAsia="仿宋" w:cs="仿宋"/>
          <w:b/>
          <w:sz w:val="24"/>
        </w:rPr>
        <w:t>1.9合同争议的解决</w:t>
      </w:r>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1" w:name="_Toc11173"/>
      <w:bookmarkStart w:id="82" w:name="_Toc7245"/>
      <w:bookmarkStart w:id="83" w:name="_Toc15322"/>
      <w:r>
        <w:rPr>
          <w:rFonts w:hint="eastAsia" w:ascii="仿宋" w:hAnsi="仿宋" w:eastAsia="仿宋" w:cs="仿宋"/>
          <w:b/>
          <w:sz w:val="24"/>
        </w:rPr>
        <w:t>2.0 合同生效</w:t>
      </w:r>
      <w:bookmarkEnd w:id="81"/>
      <w:bookmarkEnd w:id="82"/>
      <w:bookmarkEnd w:id="8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84" w:name="_Toc25079"/>
      <w:bookmarkStart w:id="85" w:name="_Toc14021"/>
      <w:bookmarkStart w:id="86" w:name="_Toc19680"/>
      <w:bookmarkStart w:id="87" w:name="_Toc31297"/>
      <w:bookmarkStart w:id="88" w:name="_Toc5228"/>
      <w:r>
        <w:rPr>
          <w:rFonts w:hint="eastAsia" w:ascii="仿宋" w:hAnsi="仿宋" w:eastAsia="仿宋" w:cs="仿宋"/>
          <w:b/>
          <w:sz w:val="24"/>
        </w:rPr>
        <w:t>2.1 定义</w:t>
      </w:r>
      <w:bookmarkEnd w:id="84"/>
      <w:bookmarkEnd w:id="85"/>
      <w:bookmarkEnd w:id="86"/>
      <w:bookmarkEnd w:id="87"/>
      <w:bookmarkEnd w:id="8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89" w:name="_Toc19539"/>
      <w:bookmarkStart w:id="90" w:name="_Toc31402"/>
      <w:bookmarkStart w:id="91" w:name="_Toc3769"/>
      <w:bookmarkStart w:id="92" w:name="_Toc23289"/>
      <w:bookmarkStart w:id="93" w:name="_Toc16752"/>
      <w:r>
        <w:rPr>
          <w:rFonts w:hint="eastAsia" w:ascii="仿宋" w:hAnsi="仿宋" w:eastAsia="仿宋" w:cs="仿宋"/>
          <w:b/>
          <w:sz w:val="24"/>
        </w:rPr>
        <w:t>2.2 技术规范</w:t>
      </w:r>
      <w:bookmarkEnd w:id="89"/>
      <w:bookmarkEnd w:id="90"/>
      <w:bookmarkEnd w:id="91"/>
      <w:bookmarkEnd w:id="92"/>
      <w:bookmarkEnd w:id="9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94" w:name="_Toc27945"/>
      <w:bookmarkStart w:id="95" w:name="_Toc4133"/>
      <w:bookmarkStart w:id="96" w:name="_Toc13673"/>
      <w:bookmarkStart w:id="97" w:name="_Toc12412"/>
      <w:bookmarkStart w:id="98" w:name="_Toc9161"/>
      <w:r>
        <w:rPr>
          <w:rFonts w:hint="eastAsia" w:ascii="仿宋" w:hAnsi="仿宋" w:eastAsia="仿宋" w:cs="仿宋"/>
          <w:b/>
          <w:sz w:val="24"/>
        </w:rPr>
        <w:t>2.3 知识产权</w:t>
      </w:r>
      <w:bookmarkEnd w:id="94"/>
      <w:bookmarkEnd w:id="95"/>
      <w:bookmarkEnd w:id="96"/>
      <w:bookmarkEnd w:id="97"/>
      <w:bookmarkEnd w:id="9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99" w:name="_Toc31233"/>
      <w:bookmarkStart w:id="100" w:name="_Toc26555"/>
      <w:bookmarkStart w:id="101" w:name="_Toc22011"/>
      <w:bookmarkStart w:id="102" w:name="_Toc32670"/>
      <w:bookmarkStart w:id="103" w:name="_Toc15447"/>
      <w:r>
        <w:rPr>
          <w:rFonts w:hint="eastAsia" w:ascii="仿宋" w:hAnsi="仿宋" w:eastAsia="仿宋" w:cs="仿宋"/>
          <w:b/>
          <w:sz w:val="24"/>
        </w:rPr>
        <w:t>2.5 结算方式和付款条件</w:t>
      </w:r>
      <w:bookmarkEnd w:id="99"/>
      <w:bookmarkEnd w:id="100"/>
      <w:bookmarkEnd w:id="101"/>
      <w:bookmarkEnd w:id="102"/>
      <w:bookmarkEnd w:id="1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04" w:name="_Toc30507"/>
      <w:bookmarkStart w:id="105" w:name="_Toc13154"/>
      <w:bookmarkStart w:id="106" w:name="_Toc16163"/>
      <w:bookmarkStart w:id="107" w:name="_Toc18990"/>
      <w:bookmarkStart w:id="108" w:name="_Toc13467"/>
      <w:r>
        <w:rPr>
          <w:rFonts w:hint="eastAsia" w:ascii="仿宋" w:hAnsi="仿宋" w:eastAsia="仿宋" w:cs="仿宋"/>
          <w:b/>
          <w:sz w:val="24"/>
        </w:rPr>
        <w:t>2.6 技术资料和保密义务</w:t>
      </w:r>
      <w:bookmarkEnd w:id="104"/>
      <w:bookmarkEnd w:id="105"/>
      <w:bookmarkEnd w:id="106"/>
      <w:bookmarkEnd w:id="107"/>
      <w:bookmarkEnd w:id="10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09" w:name="_Toc19069"/>
      <w:r>
        <w:rPr>
          <w:rFonts w:hint="eastAsia" w:ascii="仿宋" w:hAnsi="仿宋" w:eastAsia="仿宋" w:cs="仿宋"/>
          <w:b/>
          <w:sz w:val="24"/>
        </w:rPr>
        <w:t>2.7 质量保证</w:t>
      </w:r>
      <w:bookmarkEnd w:id="1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10" w:name="_Toc22267"/>
      <w:r>
        <w:rPr>
          <w:rFonts w:hint="eastAsia" w:ascii="仿宋" w:hAnsi="仿宋" w:eastAsia="仿宋" w:cs="仿宋"/>
          <w:b/>
          <w:sz w:val="24"/>
        </w:rPr>
        <w:t>2.8 延迟履行</w:t>
      </w:r>
      <w:bookmarkEnd w:id="1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11" w:name="_Toc10611"/>
      <w:r>
        <w:rPr>
          <w:rFonts w:hint="eastAsia" w:ascii="仿宋" w:hAnsi="仿宋" w:eastAsia="仿宋" w:cs="仿宋"/>
          <w:b/>
          <w:sz w:val="24"/>
        </w:rPr>
        <w:t>2.9 合同变更</w:t>
      </w:r>
      <w:bookmarkEnd w:id="11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12" w:name="_Toc26689"/>
      <w:bookmarkStart w:id="113" w:name="_Toc23368"/>
      <w:bookmarkStart w:id="114" w:name="_Toc21830"/>
      <w:bookmarkStart w:id="115" w:name="_Toc42"/>
      <w:bookmarkStart w:id="116" w:name="_Toc10663"/>
      <w:r>
        <w:rPr>
          <w:rFonts w:hint="eastAsia" w:ascii="仿宋" w:hAnsi="仿宋" w:eastAsia="仿宋" w:cs="仿宋"/>
          <w:b/>
          <w:sz w:val="24"/>
        </w:rPr>
        <w:t>2.10 合同转让和分包</w:t>
      </w:r>
      <w:bookmarkEnd w:id="112"/>
      <w:bookmarkEnd w:id="113"/>
      <w:bookmarkEnd w:id="114"/>
      <w:bookmarkEnd w:id="115"/>
      <w:bookmarkEnd w:id="11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17" w:name="_Toc32494"/>
      <w:bookmarkStart w:id="118" w:name="_Toc26633"/>
      <w:bookmarkStart w:id="119" w:name="_Toc14371"/>
      <w:bookmarkStart w:id="120" w:name="_Toc4720"/>
      <w:bookmarkStart w:id="121" w:name="_Toc25571"/>
      <w:r>
        <w:rPr>
          <w:rFonts w:hint="eastAsia" w:ascii="仿宋" w:hAnsi="仿宋" w:eastAsia="仿宋" w:cs="仿宋"/>
          <w:b/>
          <w:sz w:val="24"/>
        </w:rPr>
        <w:t>2.11 不可抗力</w:t>
      </w:r>
      <w:bookmarkEnd w:id="117"/>
      <w:bookmarkEnd w:id="118"/>
      <w:bookmarkEnd w:id="119"/>
      <w:bookmarkEnd w:id="120"/>
      <w:bookmarkEnd w:id="12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22" w:name="_Toc23854"/>
      <w:bookmarkStart w:id="123" w:name="_Toc24465"/>
      <w:bookmarkStart w:id="124" w:name="_Toc25783"/>
      <w:bookmarkStart w:id="125" w:name="_Toc3638"/>
      <w:bookmarkStart w:id="126" w:name="_Toc14115"/>
      <w:r>
        <w:rPr>
          <w:rFonts w:hint="eastAsia" w:ascii="仿宋" w:hAnsi="仿宋" w:eastAsia="仿宋" w:cs="仿宋"/>
          <w:b/>
          <w:sz w:val="24"/>
        </w:rPr>
        <w:t>2.12 税费</w:t>
      </w:r>
      <w:bookmarkEnd w:id="122"/>
      <w:bookmarkEnd w:id="123"/>
      <w:bookmarkEnd w:id="124"/>
      <w:bookmarkEnd w:id="125"/>
      <w:bookmarkEnd w:id="12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27" w:name="_Toc14814"/>
      <w:bookmarkStart w:id="128" w:name="_Toc25525"/>
      <w:bookmarkStart w:id="129" w:name="_Toc30105"/>
      <w:bookmarkStart w:id="130" w:name="_Toc7315"/>
      <w:bookmarkStart w:id="131" w:name="_Toc26883"/>
      <w:r>
        <w:rPr>
          <w:rFonts w:hint="eastAsia" w:ascii="仿宋" w:hAnsi="仿宋" w:eastAsia="仿宋" w:cs="仿宋"/>
          <w:b/>
          <w:sz w:val="24"/>
        </w:rPr>
        <w:t>2.13 乙方破产</w:t>
      </w:r>
      <w:bookmarkEnd w:id="127"/>
      <w:bookmarkEnd w:id="128"/>
      <w:bookmarkEnd w:id="129"/>
      <w:bookmarkEnd w:id="130"/>
      <w:bookmarkEnd w:id="13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32" w:name="_Toc2016"/>
      <w:bookmarkStart w:id="133" w:name="_Toc1123"/>
      <w:bookmarkStart w:id="134" w:name="_Toc23323"/>
      <w:r>
        <w:rPr>
          <w:rFonts w:hint="eastAsia" w:ascii="仿宋" w:hAnsi="仿宋" w:eastAsia="仿宋" w:cs="仿宋"/>
          <w:b/>
          <w:sz w:val="24"/>
        </w:rPr>
        <w:t>2.14 合同中止、终止</w:t>
      </w:r>
      <w:bookmarkEnd w:id="132"/>
      <w:bookmarkEnd w:id="133"/>
      <w:bookmarkEnd w:id="13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35" w:name="_Toc14525"/>
      <w:bookmarkStart w:id="136" w:name="_Toc17363"/>
      <w:bookmarkStart w:id="137" w:name="_Toc1969"/>
      <w:r>
        <w:rPr>
          <w:rFonts w:hint="eastAsia" w:ascii="仿宋" w:hAnsi="仿宋" w:eastAsia="仿宋" w:cs="仿宋"/>
          <w:b/>
          <w:sz w:val="24"/>
        </w:rPr>
        <w:t>2.15 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38" w:name="_Toc25198"/>
      <w:bookmarkStart w:id="139" w:name="_Toc12666"/>
      <w:bookmarkStart w:id="140" w:name="_Toc9808"/>
      <w:bookmarkStart w:id="141" w:name="_Toc2308"/>
      <w:bookmarkStart w:id="142" w:name="_Toc31892"/>
      <w:r>
        <w:rPr>
          <w:rFonts w:hint="eastAsia" w:ascii="仿宋" w:hAnsi="仿宋" w:eastAsia="仿宋" w:cs="仿宋"/>
          <w:b/>
          <w:sz w:val="24"/>
        </w:rPr>
        <w:t>2.16 通知和送达</w:t>
      </w:r>
      <w:bookmarkEnd w:id="138"/>
      <w:bookmarkEnd w:id="139"/>
      <w:bookmarkEnd w:id="140"/>
      <w:bookmarkEnd w:id="141"/>
      <w:bookmarkEnd w:id="142"/>
    </w:p>
    <w:p>
      <w:pPr>
        <w:spacing w:line="560" w:lineRule="exact"/>
        <w:ind w:firstLine="480" w:firstLineChars="200"/>
        <w:rPr>
          <w:rFonts w:hint="eastAsia" w:ascii="仿宋" w:hAnsi="仿宋" w:eastAsia="仿宋" w:cs="仿宋"/>
          <w:sz w:val="24"/>
        </w:rPr>
      </w:pPr>
      <w:bookmarkStart w:id="143" w:name="_Toc27674"/>
      <w:bookmarkStart w:id="144"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hint="eastAsia" w:ascii="仿宋" w:hAnsi="仿宋" w:eastAsia="仿宋" w:cs="仿宋"/>
          <w:b/>
          <w:sz w:val="24"/>
        </w:rPr>
      </w:pPr>
      <w:bookmarkStart w:id="145" w:name="_Toc28906"/>
      <w:bookmarkStart w:id="146" w:name="_Toc5063"/>
      <w:bookmarkStart w:id="147" w:name="_Toc12254"/>
      <w:bookmarkStart w:id="148" w:name="_Toc27644"/>
      <w:bookmarkStart w:id="149" w:name="_Toc20808"/>
      <w:r>
        <w:rPr>
          <w:rFonts w:hint="eastAsia" w:ascii="仿宋" w:hAnsi="仿宋" w:eastAsia="仿宋" w:cs="仿宋"/>
          <w:b/>
          <w:sz w:val="24"/>
        </w:rPr>
        <w:t>2.17 合同使用的文字和适用的法律</w:t>
      </w:r>
      <w:bookmarkEnd w:id="145"/>
      <w:bookmarkEnd w:id="146"/>
      <w:bookmarkEnd w:id="147"/>
      <w:bookmarkEnd w:id="148"/>
      <w:bookmarkEnd w:id="14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50" w:name="_Toc4355"/>
      <w:bookmarkStart w:id="151" w:name="_Toc18540"/>
      <w:bookmarkStart w:id="152" w:name="_Toc30599"/>
      <w:r>
        <w:rPr>
          <w:rFonts w:hint="eastAsia" w:ascii="仿宋" w:hAnsi="仿宋" w:eastAsia="仿宋" w:cs="仿宋"/>
          <w:b/>
          <w:sz w:val="24"/>
        </w:rPr>
        <w:t>2.18 计量单位</w:t>
      </w:r>
      <w:bookmarkEnd w:id="150"/>
      <w:bookmarkEnd w:id="151"/>
      <w:bookmarkEnd w:id="1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53" w:name="_Toc18567"/>
      <w:bookmarkStart w:id="154" w:name="_Toc487900373"/>
      <w:bookmarkStart w:id="155" w:name="_Toc279701263"/>
      <w:bookmarkStart w:id="156" w:name="_Toc10330"/>
      <w:bookmarkStart w:id="157" w:name="_Toc259093692"/>
      <w:bookmarkStart w:id="158" w:name="_Toc12773"/>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935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1"/>
        <w:gridCol w:w="7301"/>
        <w:gridCol w:w="8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评分内容</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评分细则</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分值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企业资质</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left"/>
              <w:textAlignment w:val="auto"/>
              <w:rPr>
                <w:rFonts w:hint="default" w:ascii="仿宋_GB2312" w:hAnsi="仿宋" w:eastAsia="仿宋_GB2312" w:cs="仿宋"/>
                <w:b/>
                <w:color w:val="000000" w:themeColor="text1"/>
                <w:sz w:val="24"/>
                <w:lang w:val="en-US"/>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提供有效期内与本项目有关联性的劳务派遣经营许可证、人力资源服务机构许可证的，每项得3分，最多得6分。</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b/>
                <w:color w:val="000000" w:themeColor="text1"/>
                <w:sz w:val="24"/>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管理</w:t>
            </w:r>
            <w:r>
              <w:rPr>
                <w:rFonts w:hint="eastAsia" w:ascii="仿宋_GB2312" w:hAnsi="仿宋" w:eastAsia="仿宋_GB2312" w:cs="仿宋"/>
                <w:color w:val="000000" w:themeColor="text1"/>
                <w:sz w:val="24"/>
                <w:highlight w:val="none"/>
                <w:lang w:val="en-US" w:eastAsia="zh-CN"/>
                <w14:textFill>
                  <w14:solidFill>
                    <w14:schemeClr w14:val="tx1"/>
                  </w14:solidFill>
                </w14:textFill>
              </w:rPr>
              <w:t>能力</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lang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提供有效期内与本项目有关联性的</w:t>
            </w:r>
            <w:r>
              <w:rPr>
                <w:rFonts w:hint="eastAsia" w:ascii="仿宋_GB2312" w:hAnsi="仿宋" w:eastAsia="仿宋_GB2312" w:cs="仿宋"/>
                <w:color w:val="000000" w:themeColor="text1"/>
                <w:sz w:val="24"/>
                <w:highlight w:val="none"/>
                <w14:textFill>
                  <w14:solidFill>
                    <w14:schemeClr w14:val="tx1"/>
                  </w14:solidFill>
                </w14:textFill>
              </w:rPr>
              <w:t>ISO9001质量管理体系认证</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ISO45001职业健康安全管理体系认证</w:t>
            </w:r>
            <w:r>
              <w:rPr>
                <w:rFonts w:hint="eastAsia" w:ascii="仿宋_GB2312" w:hAnsi="仿宋" w:eastAsia="仿宋_GB2312" w:cs="仿宋"/>
                <w:color w:val="000000" w:themeColor="text1"/>
                <w:sz w:val="24"/>
                <w:highlight w:val="none"/>
                <w:lang w:val="en-US" w:eastAsia="zh-CN"/>
                <w14:textFill>
                  <w14:solidFill>
                    <w14:schemeClr w14:val="tx1"/>
                  </w14:solidFill>
                </w14:textFill>
              </w:rPr>
              <w:t>、GB/T31950企业诚信管理体系认证</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每项</w:t>
            </w:r>
            <w:r>
              <w:rPr>
                <w:rFonts w:hint="eastAsia" w:ascii="仿宋_GB2312" w:hAnsi="仿宋" w:eastAsia="仿宋_GB2312" w:cs="仿宋"/>
                <w:color w:val="000000" w:themeColor="text1"/>
                <w:sz w:val="24"/>
                <w:highlight w:val="none"/>
                <w14:textFill>
                  <w14:solidFill>
                    <w14:schemeClr w14:val="tx1"/>
                  </w14:solidFill>
                </w14:textFill>
              </w:rPr>
              <w:t>得1分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最多得3分</w:t>
            </w:r>
            <w:r>
              <w:rPr>
                <w:rFonts w:hint="eastAsia" w:ascii="仿宋_GB2312" w:hAnsi="仿宋" w:eastAsia="仿宋_GB2312" w:cs="仿宋"/>
                <w:color w:val="000000" w:themeColor="text1"/>
                <w:sz w:val="24"/>
                <w:highlight w:val="none"/>
                <w:lang w:eastAsia="zh-CN"/>
                <w14:textFill>
                  <w14:solidFill>
                    <w14:schemeClr w14:val="tx1"/>
                  </w14:solidFill>
                </w14:textFill>
              </w:rPr>
              <w:t>。</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hint="eastAsia"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业绩情况</w:t>
            </w:r>
          </w:p>
        </w:tc>
        <w:tc>
          <w:tcPr>
            <w:tcW w:w="7301" w:type="dxa"/>
            <w:vAlign w:val="center"/>
          </w:tcPr>
          <w:p>
            <w:pPr>
              <w:keepNext w:val="0"/>
              <w:keepLines w:val="0"/>
              <w:pageBreakBefore w:val="0"/>
              <w:widowControl w:val="0"/>
              <w:numPr>
                <w:ilvl w:val="255"/>
                <w:numId w:val="0"/>
              </w:numPr>
              <w:kinsoku/>
              <w:wordWrap/>
              <w:overflowPunct/>
              <w:topLinePunct w:val="0"/>
              <w:autoSpaceDN/>
              <w:bidi w:val="0"/>
              <w:adjustRightInd w:val="0"/>
              <w:snapToGrid w:val="0"/>
              <w:spacing w:line="440" w:lineRule="exact"/>
              <w:ind w:left="0" w:leftChars="0" w:firstLine="0" w:firstLineChars="0"/>
              <w:textAlignment w:val="auto"/>
              <w:rPr>
                <w:rFonts w:hint="eastAsia" w:ascii="仿宋_GB2312" w:hAnsi="仿宋" w:eastAsia="仿宋_GB2312" w:cs="仿宋"/>
                <w:strike/>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提供201</w:t>
            </w:r>
            <w:r>
              <w:rPr>
                <w:rFonts w:hint="eastAsia" w:ascii="仿宋_GB2312" w:hAnsi="仿宋" w:eastAsia="仿宋_GB2312" w:cs="仿宋"/>
                <w:color w:val="000000" w:themeColor="text1"/>
                <w:sz w:val="24"/>
                <w:highlight w:val="none"/>
                <w:lang w:val="en-US" w:eastAsia="zh-CN"/>
                <w14:textFill>
                  <w14:solidFill>
                    <w14:schemeClr w14:val="tx1"/>
                  </w14:solidFill>
                </w14:textFill>
              </w:rPr>
              <w:t>9</w:t>
            </w:r>
            <w:r>
              <w:rPr>
                <w:rFonts w:hint="eastAsia" w:ascii="仿宋_GB2312" w:hAnsi="仿宋" w:eastAsia="仿宋_GB2312" w:cs="仿宋"/>
                <w:color w:val="000000" w:themeColor="text1"/>
                <w:sz w:val="24"/>
                <w:highlight w:val="none"/>
                <w14:textFill>
                  <w14:solidFill>
                    <w14:schemeClr w14:val="tx1"/>
                  </w14:solidFill>
                </w14:textFill>
              </w:rPr>
              <w:t>年1月1日</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以生效日期为准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以来同类项目合同，每提供一个业绩得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分，最高得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分，提供中标通知书和合同</w:t>
            </w:r>
            <w:r>
              <w:rPr>
                <w:rFonts w:hint="eastAsia" w:ascii="仿宋_GB2312" w:hAnsi="仿宋" w:eastAsia="仿宋_GB2312" w:cs="仿宋"/>
                <w:color w:val="000000" w:themeColor="text1"/>
                <w:sz w:val="24"/>
                <w:highlight w:val="none"/>
                <w:lang w:val="en-US" w:eastAsia="zh-CN"/>
                <w14:textFill>
                  <w14:solidFill>
                    <w14:schemeClr w14:val="tx1"/>
                  </w14:solidFill>
                </w14:textFill>
              </w:rPr>
              <w:t>扫描件</w:t>
            </w:r>
            <w:r>
              <w:rPr>
                <w:rFonts w:hint="eastAsia" w:ascii="仿宋_GB2312" w:hAnsi="仿宋" w:eastAsia="仿宋_GB2312" w:cs="仿宋"/>
                <w:color w:val="000000" w:themeColor="text1"/>
                <w:sz w:val="24"/>
                <w:highlight w:val="none"/>
                <w14:textFill>
                  <w14:solidFill>
                    <w14:schemeClr w14:val="tx1"/>
                  </w14:solidFill>
                </w14:textFill>
              </w:rPr>
              <w:t>加盖</w:t>
            </w:r>
            <w:r>
              <w:rPr>
                <w:rFonts w:hint="eastAsia" w:ascii="仿宋_GB2312" w:hAnsi="仿宋" w:eastAsia="仿宋_GB2312" w:cs="仿宋"/>
                <w:color w:val="000000" w:themeColor="text1"/>
                <w:sz w:val="24"/>
                <w:highlight w:val="none"/>
                <w:lang w:eastAsia="zh-CN"/>
                <w14:textFill>
                  <w14:solidFill>
                    <w14:schemeClr w14:val="tx1"/>
                  </w14:solidFill>
                </w14:textFill>
              </w:rPr>
              <w:t>供应商</w:t>
            </w:r>
            <w:r>
              <w:rPr>
                <w:rFonts w:hint="eastAsia" w:ascii="仿宋_GB2312" w:hAnsi="仿宋" w:eastAsia="仿宋_GB2312" w:cs="仿宋"/>
                <w:color w:val="000000" w:themeColor="text1"/>
                <w:sz w:val="24"/>
                <w:highlight w:val="none"/>
                <w14:textFill>
                  <w14:solidFill>
                    <w14:schemeClr w14:val="tx1"/>
                  </w14:solidFill>
                </w14:textFill>
              </w:rPr>
              <w:t>公章。</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行业荣誉</w:t>
            </w:r>
          </w:p>
        </w:tc>
        <w:tc>
          <w:tcPr>
            <w:tcW w:w="7301" w:type="dxa"/>
            <w:vAlign w:val="center"/>
          </w:tcPr>
          <w:p>
            <w:pPr>
              <w:keepNext w:val="0"/>
              <w:keepLines w:val="0"/>
              <w:pageBreakBefore w:val="0"/>
              <w:widowControl w:val="0"/>
              <w:numPr>
                <w:ilvl w:val="255"/>
                <w:numId w:val="0"/>
              </w:numPr>
              <w:kinsoku/>
              <w:wordWrap/>
              <w:overflowPunct/>
              <w:topLinePunct w:val="0"/>
              <w:autoSpaceDN/>
              <w:bidi w:val="0"/>
              <w:adjustRightInd w:val="0"/>
              <w:snapToGrid w:val="0"/>
              <w:spacing w:line="440" w:lineRule="exact"/>
              <w:ind w:left="0" w:leftChars="0" w:firstLine="0" w:firstLineChars="0"/>
              <w:textAlignment w:val="auto"/>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提供</w:t>
            </w:r>
            <w:r>
              <w:rPr>
                <w:rFonts w:hint="eastAsia" w:ascii="仿宋_GB2312" w:hAnsi="仿宋" w:eastAsia="仿宋_GB2312" w:cs="仿宋"/>
                <w:color w:val="000000" w:themeColor="text1"/>
                <w:sz w:val="24"/>
                <w:highlight w:val="none"/>
                <w14:textFill>
                  <w14:solidFill>
                    <w14:schemeClr w14:val="tx1"/>
                  </w14:solidFill>
                </w14:textFill>
              </w:rPr>
              <w:t>201</w:t>
            </w:r>
            <w:r>
              <w:rPr>
                <w:rFonts w:hint="eastAsia" w:ascii="仿宋_GB2312" w:hAnsi="仿宋" w:eastAsia="仿宋_GB2312" w:cs="仿宋"/>
                <w:color w:val="000000" w:themeColor="text1"/>
                <w:sz w:val="24"/>
                <w:highlight w:val="none"/>
                <w:lang w:val="en-US" w:eastAsia="zh-CN"/>
                <w14:textFill>
                  <w14:solidFill>
                    <w14:schemeClr w14:val="tx1"/>
                  </w14:solidFill>
                </w14:textFill>
              </w:rPr>
              <w:t>9</w:t>
            </w:r>
            <w:r>
              <w:rPr>
                <w:rFonts w:hint="eastAsia" w:ascii="仿宋_GB2312" w:hAnsi="仿宋" w:eastAsia="仿宋_GB2312" w:cs="仿宋"/>
                <w:color w:val="000000" w:themeColor="text1"/>
                <w:sz w:val="24"/>
                <w:highlight w:val="none"/>
                <w14:textFill>
                  <w14:solidFill>
                    <w14:schemeClr w14:val="tx1"/>
                  </w14:solidFill>
                </w14:textFill>
              </w:rPr>
              <w:t>年1月</w:t>
            </w:r>
            <w:r>
              <w:rPr>
                <w:rFonts w:hint="eastAsia" w:ascii="仿宋_GB2312" w:hAnsi="仿宋" w:eastAsia="仿宋_GB2312" w:cs="仿宋"/>
                <w:color w:val="000000" w:themeColor="text1"/>
                <w:sz w:val="24"/>
                <w:highlight w:val="none"/>
                <w:lang w:val="en-US" w:eastAsia="zh-CN"/>
                <w14:textFill>
                  <w14:solidFill>
                    <w14:schemeClr w14:val="tx1"/>
                  </w14:solidFill>
                </w14:textFill>
              </w:rPr>
              <w:t>1日</w:t>
            </w:r>
            <w:r>
              <w:rPr>
                <w:rFonts w:hint="eastAsia" w:ascii="仿宋_GB2312" w:hAnsi="仿宋" w:eastAsia="仿宋_GB2312" w:cs="仿宋"/>
                <w:color w:val="000000" w:themeColor="text1"/>
                <w:sz w:val="24"/>
                <w:highlight w:val="none"/>
                <w14:textFill>
                  <w14:solidFill>
                    <w14:schemeClr w14:val="tx1"/>
                  </w14:solidFill>
                </w14:textFill>
              </w:rPr>
              <w:t>以来政府</w:t>
            </w:r>
            <w:r>
              <w:rPr>
                <w:rFonts w:hint="eastAsia" w:ascii="仿宋_GB2312" w:hAnsi="仿宋" w:eastAsia="仿宋_GB2312" w:cs="仿宋"/>
                <w:color w:val="000000" w:themeColor="text1"/>
                <w:sz w:val="24"/>
                <w:highlight w:val="none"/>
                <w:lang w:val="en-US" w:eastAsia="zh-CN"/>
                <w14:textFill>
                  <w14:solidFill>
                    <w14:schemeClr w14:val="tx1"/>
                  </w14:solidFill>
                </w14:textFill>
              </w:rPr>
              <w:t>部门</w:t>
            </w:r>
            <w:r>
              <w:rPr>
                <w:rFonts w:hint="eastAsia" w:ascii="仿宋_GB2312" w:hAnsi="仿宋" w:eastAsia="仿宋_GB2312" w:cs="仿宋"/>
                <w:color w:val="000000" w:themeColor="text1"/>
                <w:sz w:val="24"/>
                <w:highlight w:val="none"/>
                <w14:textFill>
                  <w14:solidFill>
                    <w14:schemeClr w14:val="tx1"/>
                  </w14:solidFill>
                </w14:textFill>
              </w:rPr>
              <w:t>颁发的</w:t>
            </w:r>
            <w:r>
              <w:rPr>
                <w:rFonts w:hint="eastAsia" w:ascii="仿宋_GB2312" w:hAnsi="仿宋" w:eastAsia="仿宋_GB2312" w:cs="仿宋"/>
                <w:color w:val="000000" w:themeColor="text1"/>
                <w:sz w:val="24"/>
                <w:highlight w:val="none"/>
                <w:lang w:val="en-US" w:eastAsia="zh-CN"/>
                <w14:textFill>
                  <w14:solidFill>
                    <w14:schemeClr w14:val="tx1"/>
                  </w14:solidFill>
                </w14:textFill>
              </w:rPr>
              <w:t>与本项目有关联性的荣誉证明，</w:t>
            </w:r>
            <w:r>
              <w:rPr>
                <w:rFonts w:hint="eastAsia" w:ascii="仿宋_GB2312" w:hAnsi="仿宋" w:eastAsia="仿宋_GB2312" w:cs="仿宋"/>
                <w:color w:val="000000" w:themeColor="text1"/>
                <w:sz w:val="24"/>
                <w:highlight w:val="none"/>
                <w14:textFill>
                  <w14:solidFill>
                    <w14:schemeClr w14:val="tx1"/>
                  </w14:solidFill>
                </w14:textFill>
              </w:rPr>
              <w:t>国家级的得3分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省级的得2分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地市级的得1分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以级别最高的一项认定，</w:t>
            </w:r>
            <w:r>
              <w:rPr>
                <w:rFonts w:hint="eastAsia" w:ascii="仿宋_GB2312" w:hAnsi="仿宋" w:eastAsia="仿宋_GB2312" w:cs="仿宋"/>
                <w:color w:val="000000" w:themeColor="text1"/>
                <w:sz w:val="24"/>
                <w:highlight w:val="none"/>
                <w14:textFill>
                  <w14:solidFill>
                    <w14:schemeClr w14:val="tx1"/>
                  </w14:solidFill>
                </w14:textFill>
              </w:rPr>
              <w:t>最多得3分</w:t>
            </w:r>
            <w:r>
              <w:rPr>
                <w:rFonts w:hint="eastAsia" w:ascii="仿宋_GB2312" w:hAnsi="仿宋" w:eastAsia="仿宋_GB2312" w:cs="仿宋"/>
                <w:color w:val="000000" w:themeColor="text1"/>
                <w:sz w:val="24"/>
                <w:highlight w:val="none"/>
                <w:lang w:eastAsia="zh-CN"/>
                <w14:textFill>
                  <w14:solidFill>
                    <w14:schemeClr w14:val="tx1"/>
                  </w14:solidFill>
                </w14:textFill>
              </w:rPr>
              <w:t>。</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项目负责人</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宋体" w:eastAsia="仿宋_GB2312"/>
                <w:color w:val="000000" w:themeColor="text1"/>
                <w:sz w:val="24"/>
                <w:szCs w:val="24"/>
                <w:highlight w:val="none"/>
                <w:lang w:val="en-US" w:eastAsia="zh-CN"/>
                <w14:textFill>
                  <w14:solidFill>
                    <w14:schemeClr w14:val="tx1"/>
                  </w14:solidFill>
                </w14:textFill>
              </w:rPr>
            </w:pPr>
            <w:r>
              <w:rPr>
                <w:rFonts w:hint="eastAsia" w:ascii="仿宋_GB2312" w:hAnsi="宋体" w:eastAsia="仿宋_GB2312"/>
                <w:color w:val="000000" w:themeColor="text1"/>
                <w:sz w:val="24"/>
                <w:szCs w:val="24"/>
                <w:highlight w:val="none"/>
                <w:lang w:val="en-US" w:eastAsia="zh-CN"/>
                <w14:textFill>
                  <w14:solidFill>
                    <w14:schemeClr w14:val="tx1"/>
                  </w14:solidFill>
                </w14:textFill>
              </w:rPr>
              <w:t>供应商承诺项目负责人常驻医院，且未经医院允许</w:t>
            </w:r>
            <w:r>
              <w:rPr>
                <w:rFonts w:hint="eastAsia" w:ascii="仿宋_GB2312" w:hAnsi="宋体" w:eastAsia="仿宋_GB2312"/>
                <w:color w:val="000000" w:themeColor="text1"/>
                <w:sz w:val="24"/>
                <w:szCs w:val="24"/>
                <w:highlight w:val="none"/>
                <w:lang w:val="zh-CN"/>
                <w14:textFill>
                  <w14:solidFill>
                    <w14:schemeClr w14:val="tx1"/>
                  </w14:solidFill>
                </w14:textFill>
              </w:rPr>
              <w:t>不得擅自更换。</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根据项目负责人具备的国家职业资格证书、职业技能登记证书、</w:t>
            </w:r>
            <w:r>
              <w:rPr>
                <w:rFonts w:hint="eastAsia" w:ascii="仿宋_GB2312" w:hAnsi="宋体" w:eastAsia="仿宋_GB2312"/>
                <w:color w:val="000000" w:themeColor="text1"/>
                <w:sz w:val="24"/>
                <w:szCs w:val="24"/>
                <w:highlight w:val="none"/>
                <w:lang w:val="zh-CN"/>
                <w14:textFill>
                  <w14:solidFill>
                    <w14:schemeClr w14:val="tx1"/>
                  </w14:solidFill>
                </w14:textFill>
              </w:rPr>
              <w:t>在三级医院从事项目管理</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年限、</w:t>
            </w:r>
            <w:r>
              <w:rPr>
                <w:rFonts w:hint="eastAsia" w:ascii="仿宋_GB2312" w:hAnsi="宋体" w:eastAsia="仿宋_GB2312"/>
                <w:color w:val="000000" w:themeColor="text1"/>
                <w:sz w:val="24"/>
                <w:szCs w:val="24"/>
                <w:highlight w:val="none"/>
                <w:lang w:val="zh-CN"/>
                <w14:textFill>
                  <w14:solidFill>
                    <w14:schemeClr w14:val="tx1"/>
                  </w14:solidFill>
                </w14:textFill>
              </w:rPr>
              <w:t>医院护工管理</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经验</w:t>
            </w:r>
            <w:r>
              <w:rPr>
                <w:rFonts w:hint="eastAsia" w:ascii="仿宋_GB2312" w:hAnsi="宋体" w:eastAsia="仿宋_GB2312"/>
                <w:color w:val="000000" w:themeColor="text1"/>
                <w:sz w:val="24"/>
                <w:szCs w:val="24"/>
                <w:highlight w:val="none"/>
                <w:lang w:val="zh-CN"/>
                <w14:textFill>
                  <w14:solidFill>
                    <w14:schemeClr w14:val="tx1"/>
                  </w14:solidFill>
                </w14:textFill>
              </w:rPr>
              <w:t>、护理及其他相关专业知识、医院的消毒标准及处理流程</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熟悉程度等综合评价：</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6.1-9</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w:t>
            </w:r>
            <w:r>
              <w:rPr>
                <w:rFonts w:hint="eastAsia" w:ascii="仿宋_GB2312" w:hAnsi="仿宋" w:eastAsia="仿宋_GB2312" w:cs="仿宋"/>
                <w:color w:val="000000" w:themeColor="text1"/>
                <w:sz w:val="24"/>
                <w:highlight w:val="none"/>
                <w:lang w:val="en-US" w:eastAsia="zh-CN"/>
                <w14:textFill>
                  <w14:solidFill>
                    <w14:schemeClr w14:val="tx1"/>
                  </w14:solidFill>
                </w14:textFill>
              </w:rPr>
              <w:t>得3.1-6分；</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0.1-3分；</w:t>
            </w:r>
            <w:r>
              <w:rPr>
                <w:rFonts w:hint="eastAsia" w:ascii="仿宋_GB2312" w:hAnsi="仿宋" w:eastAsia="仿宋_GB2312" w:cs="仿宋"/>
                <w:color w:val="000000" w:themeColor="text1"/>
                <w:sz w:val="24"/>
                <w:highlight w:val="none"/>
                <w14:textFill>
                  <w14:solidFill>
                    <w14:schemeClr w14:val="tx1"/>
                  </w14:solidFill>
                </w14:textFill>
              </w:rPr>
              <w:t>不符合</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未承诺</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或不提供不得分。</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231" w:type="dxa"/>
            <w:tcBorders>
              <w:left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服务</w:t>
            </w:r>
            <w:r>
              <w:rPr>
                <w:rFonts w:hint="eastAsia" w:ascii="仿宋_GB2312" w:hAnsi="仿宋" w:eastAsia="仿宋_GB2312" w:cs="仿宋"/>
                <w:color w:val="000000" w:themeColor="text1"/>
                <w:sz w:val="24"/>
                <w:highlight w:val="none"/>
                <w14:textFill>
                  <w14:solidFill>
                    <w14:schemeClr w14:val="tx1"/>
                  </w14:solidFill>
                </w14:textFill>
              </w:rPr>
              <w:t>人员配置</w:t>
            </w:r>
            <w:r>
              <w:rPr>
                <w:rFonts w:hint="eastAsia" w:ascii="仿宋_GB2312" w:hAnsi="仿宋" w:eastAsia="仿宋_GB2312" w:cs="仿宋"/>
                <w:color w:val="000000" w:themeColor="text1"/>
                <w:sz w:val="24"/>
                <w:highlight w:val="none"/>
                <w:lang w:val="en-US" w:eastAsia="zh-CN"/>
                <w14:textFill>
                  <w14:solidFill>
                    <w14:schemeClr w14:val="tx1"/>
                  </w14:solidFill>
                </w14:textFill>
              </w:rPr>
              <w:t>情况</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供应商</w:t>
            </w:r>
            <w:r>
              <w:rPr>
                <w:rFonts w:hint="eastAsia" w:ascii="仿宋_GB2312" w:hAnsi="仿宋" w:eastAsia="仿宋_GB2312" w:cs="仿宋"/>
                <w:b/>
                <w:bCs/>
                <w:color w:val="000000" w:themeColor="text1"/>
                <w:sz w:val="24"/>
                <w:highlight w:val="none"/>
                <w:lang w:val="en-US" w:eastAsia="zh-CN"/>
                <w14:textFill>
                  <w14:solidFill>
                    <w14:schemeClr w14:val="tx1"/>
                  </w14:solidFill>
                </w14:textFill>
              </w:rPr>
              <w:t>储备并可以即时配置至少35</w:t>
            </w:r>
            <w:r>
              <w:rPr>
                <w:rFonts w:hint="eastAsia" w:ascii="仿宋_GB2312" w:hAnsi="仿宋" w:eastAsia="仿宋_GB2312" w:cs="仿宋"/>
                <w:color w:val="000000" w:themeColor="text1"/>
                <w:sz w:val="24"/>
                <w:highlight w:val="none"/>
                <w:lang w:val="en-US" w:eastAsia="zh-CN"/>
                <w14:textFill>
                  <w14:solidFill>
                    <w14:schemeClr w14:val="tx1"/>
                  </w14:solidFill>
                </w14:textFill>
              </w:rPr>
              <w:t>名护工、3名高配房电工、3名驾驶员，3名总务工勤</w:t>
            </w:r>
            <w:r>
              <w:rPr>
                <w:rFonts w:hint="eastAsia" w:ascii="仿宋_GB2312" w:hAnsi="仿宋" w:eastAsia="仿宋_GB2312" w:cs="仿宋"/>
                <w:color w:val="000000" w:themeColor="text1"/>
                <w:sz w:val="24"/>
                <w:highlight w:val="none"/>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根据</w:t>
            </w:r>
            <w:r>
              <w:rPr>
                <w:rFonts w:hint="eastAsia" w:ascii="仿宋_GB2312" w:hAnsi="仿宋" w:eastAsia="仿宋_GB2312" w:cs="仿宋"/>
                <w:color w:val="000000" w:themeColor="text1"/>
                <w:sz w:val="24"/>
                <w:highlight w:val="none"/>
                <w14:textFill>
                  <w14:solidFill>
                    <w14:schemeClr w14:val="tx1"/>
                  </w14:solidFill>
                </w14:textFill>
              </w:rPr>
              <w:t>提供的人员</w:t>
            </w:r>
            <w:r>
              <w:rPr>
                <w:rFonts w:hint="eastAsia" w:ascii="仿宋_GB2312" w:hAnsi="仿宋" w:eastAsia="仿宋_GB2312" w:cs="仿宋"/>
                <w:color w:val="000000" w:themeColor="text1"/>
                <w:sz w:val="24"/>
                <w:highlight w:val="none"/>
                <w:lang w:val="en-US" w:eastAsia="zh-CN"/>
                <w14:textFill>
                  <w14:solidFill>
                    <w14:schemeClr w14:val="tx1"/>
                  </w14:solidFill>
                </w14:textFill>
              </w:rPr>
              <w:t>配置</w:t>
            </w:r>
            <w:r>
              <w:rPr>
                <w:rFonts w:hint="eastAsia" w:ascii="仿宋_GB2312" w:hAnsi="仿宋" w:eastAsia="仿宋_GB2312" w:cs="仿宋"/>
                <w:color w:val="000000" w:themeColor="text1"/>
                <w:sz w:val="24"/>
                <w:highlight w:val="none"/>
                <w14:textFill>
                  <w14:solidFill>
                    <w14:schemeClr w14:val="tx1"/>
                  </w14:solidFill>
                </w14:textFill>
              </w:rPr>
              <w:t>的合理性</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12.1-19</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w:t>
            </w:r>
            <w:r>
              <w:rPr>
                <w:rFonts w:hint="eastAsia" w:ascii="仿宋_GB2312" w:hAnsi="仿宋" w:eastAsia="仿宋_GB2312" w:cs="仿宋"/>
                <w:color w:val="000000" w:themeColor="text1"/>
                <w:sz w:val="24"/>
                <w:highlight w:val="none"/>
                <w:lang w:val="en-US" w:eastAsia="zh-CN"/>
                <w14:textFill>
                  <w14:solidFill>
                    <w14:schemeClr w14:val="tx1"/>
                  </w14:solidFill>
                </w14:textFill>
              </w:rPr>
              <w:t>得5.1--12分；</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0.1-5分；</w:t>
            </w:r>
            <w:r>
              <w:rPr>
                <w:rFonts w:hint="eastAsia" w:ascii="仿宋_GB2312" w:hAnsi="仿宋" w:eastAsia="仿宋_GB2312" w:cs="仿宋"/>
                <w:color w:val="000000" w:themeColor="text1"/>
                <w:sz w:val="24"/>
                <w:highlight w:val="none"/>
                <w14:textFill>
                  <w14:solidFill>
                    <w14:schemeClr w14:val="tx1"/>
                  </w14:solidFill>
                </w14:textFill>
              </w:rPr>
              <w:t>不符合</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低于3名电工</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或不提供不得分。</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w:t>
            </w:r>
            <w:r>
              <w:rPr>
                <w:rFonts w:hint="eastAsia" w:ascii="仿宋_GB2312" w:hAnsi="仿宋" w:eastAsia="仿宋_GB2312" w:cs="仿宋"/>
                <w:color w:val="000000" w:themeColor="text1"/>
                <w:sz w:val="24"/>
                <w:highlight w:val="none"/>
                <w:lang w:val="en-US" w:eastAsia="zh-CN"/>
                <w14:textFill>
                  <w14:solidFill>
                    <w14:schemeClr w14:val="tx1"/>
                  </w14:solidFill>
                </w14:textFill>
              </w:rPr>
              <w:t>提供承诺、相关</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国家职业资格证书或职业技能登记证书</w:t>
            </w:r>
            <w:r>
              <w:rPr>
                <w:rFonts w:hint="eastAsia" w:ascii="仿宋_GB2312" w:hAnsi="仿宋" w:eastAsia="仿宋_GB2312" w:cs="仿宋"/>
                <w:color w:val="000000" w:themeColor="text1"/>
                <w:sz w:val="24"/>
                <w:highlight w:val="none"/>
                <w14:textFill>
                  <w14:solidFill>
                    <w14:schemeClr w14:val="tx1"/>
                  </w14:solidFill>
                </w14:textFill>
              </w:rPr>
              <w:t>复印件、社保缴纳证明复印件并加盖公章）</w:t>
            </w:r>
          </w:p>
        </w:tc>
        <w:tc>
          <w:tcPr>
            <w:tcW w:w="823"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702" w:hRule="atLeast"/>
          <w:jc w:val="center"/>
        </w:trPr>
        <w:tc>
          <w:tcPr>
            <w:tcW w:w="1231" w:type="dxa"/>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总体方案</w:t>
            </w:r>
          </w:p>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lang w:eastAsia="zh-CN"/>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结合医院实际，提供</w:t>
            </w:r>
            <w:r>
              <w:rPr>
                <w:rFonts w:hint="eastAsia" w:ascii="仿宋_GB2312" w:hAnsi="仿宋" w:eastAsia="仿宋_GB2312" w:cs="仿宋"/>
                <w:color w:val="000000" w:themeColor="text1"/>
                <w:sz w:val="24"/>
                <w:highlight w:val="none"/>
                <w:lang w:val="en-US" w:eastAsia="zh-CN"/>
                <w14:textFill>
                  <w14:solidFill>
                    <w14:schemeClr w14:val="tx1"/>
                  </w14:solidFill>
                </w14:textFill>
              </w:rPr>
              <w:t>本</w:t>
            </w:r>
            <w:r>
              <w:rPr>
                <w:rFonts w:hint="eastAsia" w:ascii="仿宋_GB2312" w:hAnsi="仿宋" w:eastAsia="仿宋_GB2312" w:cs="仿宋"/>
                <w:color w:val="000000" w:themeColor="text1"/>
                <w:sz w:val="24"/>
                <w:highlight w:val="none"/>
                <w14:textFill>
                  <w14:solidFill>
                    <w14:schemeClr w14:val="tx1"/>
                  </w14:solidFill>
                </w14:textFill>
              </w:rPr>
              <w:t>项目的总体方案，包括对服务理念，实现目标，经营模式，组织架构等方面进行阐述，</w:t>
            </w:r>
            <w:r>
              <w:rPr>
                <w:rFonts w:hint="eastAsia" w:ascii="仿宋_GB2312" w:hAnsi="仿宋" w:eastAsia="仿宋_GB2312" w:cs="仿宋"/>
                <w:color w:val="000000" w:themeColor="text1"/>
                <w:sz w:val="24"/>
                <w:highlight w:val="none"/>
                <w:lang w:val="en-US" w:eastAsia="zh-CN"/>
                <w14:textFill>
                  <w14:solidFill>
                    <w14:schemeClr w14:val="tx1"/>
                  </w14:solidFill>
                </w14:textFill>
              </w:rPr>
              <w:t>根据</w:t>
            </w:r>
            <w:r>
              <w:rPr>
                <w:rFonts w:hint="eastAsia" w:ascii="仿宋_GB2312" w:hAnsi="仿宋" w:eastAsia="仿宋_GB2312" w:cs="仿宋"/>
                <w:color w:val="000000" w:themeColor="text1"/>
                <w:sz w:val="24"/>
                <w:highlight w:val="none"/>
                <w14:textFill>
                  <w14:solidFill>
                    <w14:schemeClr w14:val="tx1"/>
                  </w14:solidFill>
                </w14:textFill>
              </w:rPr>
              <w:t>方案是否符合</w:t>
            </w:r>
            <w:r>
              <w:rPr>
                <w:rFonts w:hint="eastAsia" w:ascii="仿宋_GB2312" w:hAnsi="仿宋" w:eastAsia="仿宋_GB2312" w:cs="仿宋"/>
                <w:color w:val="000000" w:themeColor="text1"/>
                <w:sz w:val="24"/>
                <w:highlight w:val="none"/>
                <w:lang w:val="en-US" w:eastAsia="zh-CN"/>
                <w14:textFill>
                  <w14:solidFill>
                    <w14:schemeClr w14:val="tx1"/>
                  </w14:solidFill>
                </w14:textFill>
              </w:rPr>
              <w:t>遴选</w:t>
            </w:r>
            <w:r>
              <w:rPr>
                <w:rFonts w:hint="eastAsia" w:ascii="仿宋_GB2312" w:hAnsi="仿宋" w:eastAsia="仿宋_GB2312" w:cs="仿宋"/>
                <w:color w:val="000000" w:themeColor="text1"/>
                <w:sz w:val="24"/>
                <w:highlight w:val="none"/>
                <w14:textFill>
                  <w14:solidFill>
                    <w14:schemeClr w14:val="tx1"/>
                  </w14:solidFill>
                </w14:textFill>
              </w:rPr>
              <w:t>文件要求，是否具有科学性、合理性、规范性、可操作性等</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tc>
        <w:tc>
          <w:tcPr>
            <w:tcW w:w="823" w:type="dxa"/>
            <w:tcBorders>
              <w:bottom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304" w:hRule="atLeast"/>
          <w:jc w:val="center"/>
        </w:trPr>
        <w:tc>
          <w:tcPr>
            <w:tcW w:w="1231" w:type="dxa"/>
            <w:vAlign w:val="center"/>
          </w:tcPr>
          <w:p>
            <w:pPr>
              <w:keepNext w:val="0"/>
              <w:keepLines w:val="0"/>
              <w:pageBreakBefore w:val="0"/>
              <w:widowControl w:val="0"/>
              <w:kinsoku/>
              <w:wordWrap/>
              <w:overflowPunct/>
              <w:topLinePunct w:val="0"/>
              <w:autoSpaceDE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项目</w:t>
            </w:r>
            <w:r>
              <w:rPr>
                <w:rFonts w:hint="eastAsia" w:ascii="仿宋_GB2312" w:hAnsi="仿宋" w:eastAsia="仿宋_GB2312" w:cs="仿宋"/>
                <w:color w:val="000000" w:themeColor="text1"/>
                <w:sz w:val="24"/>
                <w:highlight w:val="none"/>
                <w:lang w:val="en-US" w:eastAsia="zh-CN"/>
                <w14:textFill>
                  <w14:solidFill>
                    <w14:schemeClr w14:val="tx1"/>
                  </w14:solidFill>
                </w14:textFill>
              </w:rPr>
              <w:t>管理及内控</w:t>
            </w:r>
            <w:r>
              <w:rPr>
                <w:rFonts w:hint="eastAsia" w:ascii="仿宋_GB2312" w:hAnsi="仿宋" w:eastAsia="仿宋_GB2312" w:cs="仿宋"/>
                <w:color w:val="000000" w:themeColor="text1"/>
                <w:sz w:val="24"/>
                <w:highlight w:val="none"/>
                <w14:textFill>
                  <w14:solidFill>
                    <w14:schemeClr w14:val="tx1"/>
                  </w14:solidFill>
                </w14:textFill>
              </w:rPr>
              <w:t>方案</w:t>
            </w:r>
          </w:p>
        </w:tc>
        <w:tc>
          <w:tcPr>
            <w:tcW w:w="7301" w:type="dxa"/>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按其提供的针对本项目制订详细的实施方案，包括管理制度、实施流程、机构设置、职责分工、质量控制，绩效分配、考核反馈等，方案是否符合</w:t>
            </w:r>
            <w:r>
              <w:rPr>
                <w:rFonts w:hint="eastAsia" w:ascii="仿宋_GB2312" w:hAnsi="仿宋" w:eastAsia="仿宋_GB2312" w:cs="仿宋"/>
                <w:color w:val="000000" w:themeColor="text1"/>
                <w:sz w:val="24"/>
                <w:highlight w:val="none"/>
                <w:lang w:eastAsia="zh-CN"/>
                <w14:textFill>
                  <w14:solidFill>
                    <w14:schemeClr w14:val="tx1"/>
                  </w14:solidFill>
                </w14:textFill>
              </w:rPr>
              <w:t>遴选文件</w:t>
            </w:r>
            <w:r>
              <w:rPr>
                <w:rFonts w:hint="eastAsia" w:ascii="仿宋_GB2312" w:hAnsi="仿宋" w:eastAsia="仿宋_GB2312" w:cs="仿宋"/>
                <w:color w:val="000000" w:themeColor="text1"/>
                <w:sz w:val="24"/>
                <w:highlight w:val="none"/>
                <w14:textFill>
                  <w14:solidFill>
                    <w14:schemeClr w14:val="tx1"/>
                  </w14:solidFill>
                </w14:textFill>
              </w:rPr>
              <w:t>要求，是否具有科学性、合理性、规范性、可操作性等进行打分，优于项目需求的得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分，不提供不得分。</w:t>
            </w:r>
          </w:p>
        </w:tc>
        <w:tc>
          <w:tcPr>
            <w:tcW w:w="8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45" w:hRule="atLeast"/>
          <w:jc w:val="center"/>
        </w:trPr>
        <w:tc>
          <w:tcPr>
            <w:tcW w:w="123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岗位</w:t>
            </w:r>
            <w:r>
              <w:rPr>
                <w:rFonts w:hint="eastAsia" w:ascii="仿宋_GB2312" w:hAnsi="仿宋" w:eastAsia="仿宋_GB2312" w:cs="仿宋"/>
                <w:color w:val="000000" w:themeColor="text1"/>
                <w:sz w:val="24"/>
                <w:highlight w:val="none"/>
                <w14:textFill>
                  <w14:solidFill>
                    <w14:schemeClr w14:val="tx1"/>
                  </w14:solidFill>
                </w14:textFill>
              </w:rPr>
              <w:t>管理方案</w:t>
            </w:r>
          </w:p>
        </w:tc>
        <w:tc>
          <w:tcPr>
            <w:tcW w:w="7301"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根据供应商</w:t>
            </w:r>
            <w:r>
              <w:rPr>
                <w:rFonts w:hint="eastAsia" w:ascii="仿宋_GB2312" w:hAnsi="仿宋" w:eastAsia="仿宋_GB2312" w:cs="仿宋"/>
                <w:color w:val="000000" w:themeColor="text1"/>
                <w:sz w:val="24"/>
                <w:highlight w:val="none"/>
                <w14:textFill>
                  <w14:solidFill>
                    <w14:schemeClr w14:val="tx1"/>
                  </w14:solidFill>
                </w14:textFill>
              </w:rPr>
              <w:t>提供的</w:t>
            </w:r>
            <w:r>
              <w:rPr>
                <w:rFonts w:hint="eastAsia" w:ascii="仿宋_GB2312" w:hAnsi="仿宋" w:eastAsia="仿宋_GB2312" w:cs="仿宋"/>
                <w:color w:val="000000" w:themeColor="text1"/>
                <w:sz w:val="24"/>
                <w:highlight w:val="none"/>
                <w:lang w:val="en-US" w:eastAsia="zh-CN"/>
                <w14:textFill>
                  <w14:solidFill>
                    <w14:schemeClr w14:val="tx1"/>
                  </w14:solidFill>
                </w14:textFill>
              </w:rPr>
              <w:t>各类岗位</w:t>
            </w:r>
            <w:r>
              <w:rPr>
                <w:rFonts w:hint="eastAsia" w:ascii="仿宋_GB2312" w:hAnsi="仿宋" w:eastAsia="仿宋_GB2312" w:cs="仿宋"/>
                <w:color w:val="000000" w:themeColor="text1"/>
                <w:sz w:val="24"/>
                <w:highlight w:val="none"/>
                <w14:textFill>
                  <w14:solidFill>
                    <w14:schemeClr w14:val="tx1"/>
                  </w14:solidFill>
                </w14:textFill>
              </w:rPr>
              <w:t>管理方案，是否符合</w:t>
            </w:r>
            <w:r>
              <w:rPr>
                <w:rFonts w:hint="eastAsia" w:ascii="仿宋_GB2312" w:hAnsi="仿宋" w:eastAsia="仿宋_GB2312" w:cs="仿宋"/>
                <w:color w:val="000000" w:themeColor="text1"/>
                <w:sz w:val="24"/>
                <w:highlight w:val="none"/>
                <w:lang w:val="en-US" w:eastAsia="zh-CN"/>
                <w14:textFill>
                  <w14:solidFill>
                    <w14:schemeClr w14:val="tx1"/>
                  </w14:solidFill>
                </w14:textFill>
              </w:rPr>
              <w:t>招标</w:t>
            </w:r>
            <w:r>
              <w:rPr>
                <w:rFonts w:hint="eastAsia" w:ascii="仿宋_GB2312" w:hAnsi="仿宋" w:eastAsia="仿宋_GB2312" w:cs="仿宋"/>
                <w:color w:val="000000" w:themeColor="text1"/>
                <w:sz w:val="24"/>
                <w:highlight w:val="none"/>
                <w:lang w:eastAsia="zh-CN"/>
                <w14:textFill>
                  <w14:solidFill>
                    <w14:schemeClr w14:val="tx1"/>
                  </w14:solidFill>
                </w14:textFill>
              </w:rPr>
              <w:t>文件</w:t>
            </w:r>
            <w:r>
              <w:rPr>
                <w:rFonts w:hint="eastAsia" w:ascii="仿宋_GB2312" w:hAnsi="仿宋" w:eastAsia="仿宋_GB2312" w:cs="仿宋"/>
                <w:color w:val="000000" w:themeColor="text1"/>
                <w:sz w:val="24"/>
                <w:highlight w:val="none"/>
                <w14:textFill>
                  <w14:solidFill>
                    <w14:schemeClr w14:val="tx1"/>
                  </w14:solidFill>
                </w14:textFill>
              </w:rPr>
              <w:t>及院方日常需求，方案是否</w:t>
            </w:r>
            <w:r>
              <w:rPr>
                <w:rFonts w:hint="eastAsia" w:ascii="仿宋_GB2312" w:hAnsi="仿宋" w:eastAsia="仿宋_GB2312" w:cs="仿宋"/>
                <w:color w:val="000000" w:themeColor="text1"/>
                <w:sz w:val="24"/>
                <w:highlight w:val="none"/>
                <w:lang w:val="en-US" w:eastAsia="zh-CN"/>
                <w14:textFill>
                  <w14:solidFill>
                    <w14:schemeClr w14:val="tx1"/>
                  </w14:solidFill>
                </w14:textFill>
              </w:rPr>
              <w:t>完整详细、</w:t>
            </w:r>
            <w:r>
              <w:rPr>
                <w:rFonts w:hint="eastAsia" w:ascii="仿宋_GB2312" w:hAnsi="仿宋" w:eastAsia="仿宋_GB2312" w:cs="仿宋"/>
                <w:color w:val="000000" w:themeColor="text1"/>
                <w:sz w:val="24"/>
                <w:highlight w:val="none"/>
                <w14:textFill>
                  <w14:solidFill>
                    <w14:schemeClr w14:val="tx1"/>
                  </w14:solidFill>
                </w14:textFill>
              </w:rPr>
              <w:t>具有创新性、可操作性等方面</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护工：</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3.1-4.5</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1.6-3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-1.5</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锅炉</w:t>
            </w:r>
            <w:r>
              <w:rPr>
                <w:rFonts w:hint="eastAsia" w:ascii="仿宋_GB2312" w:hAnsi="仿宋" w:eastAsia="仿宋_GB2312" w:cs="仿宋"/>
                <w:color w:val="000000" w:themeColor="text1"/>
                <w:sz w:val="24"/>
                <w:highlight w:val="none"/>
                <w:lang w:eastAsia="zh-CN"/>
                <w14:textFill>
                  <w14:solidFill>
                    <w14:schemeClr w14:val="tx1"/>
                  </w14:solidFill>
                </w14:textFill>
              </w:rPr>
              <w:t>机修</w:t>
            </w:r>
            <w:r>
              <w:rPr>
                <w:rFonts w:hint="eastAsia" w:ascii="仿宋_GB2312" w:hAnsi="仿宋" w:eastAsia="仿宋_GB2312" w:cs="仿宋"/>
                <w:color w:val="000000" w:themeColor="text1"/>
                <w:sz w:val="24"/>
                <w:highlight w:val="none"/>
                <w:lang w:val="en-US" w:eastAsia="zh-CN"/>
                <w14:textFill>
                  <w14:solidFill>
                    <w14:schemeClr w14:val="tx1"/>
                  </w14:solidFill>
                </w14:textFill>
              </w:rPr>
              <w:t>高配类：</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3.1-4.5</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hint="eastAsia" w:ascii="仿宋_GB2312" w:hAnsi="仿宋" w:eastAsia="仿宋_GB2312" w:cs="仿宋"/>
                <w:color w:val="000000" w:themeColor="text1"/>
                <w:sz w:val="24"/>
                <w:highlight w:val="none"/>
                <w:lang w:val="en-US" w:eastAsia="zh-CN"/>
                <w14:textFill>
                  <w14:solidFill>
                    <w14:schemeClr w14:val="tx1"/>
                  </w14:solidFill>
                </w14:textFill>
              </w:rPr>
              <w:t>1.6-3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-1.5</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p>
            <w:pPr>
              <w:keepNext w:val="0"/>
              <w:keepLines w:val="0"/>
              <w:pageBreakBefore w:val="0"/>
              <w:widowControl w:val="0"/>
              <w:kinsoku/>
              <w:wordWrap/>
              <w:overflowPunct/>
              <w:topLinePunct w:val="0"/>
              <w:autoSpaceDN/>
              <w:bidi w:val="0"/>
              <w:adjustRightInd w:val="0"/>
              <w:snapToGrid w:val="0"/>
              <w:spacing w:line="440" w:lineRule="exact"/>
              <w:textAlignment w:val="auto"/>
              <w:rPr>
                <w:rFonts w:hint="eastAsia"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其他类：</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tc>
        <w:tc>
          <w:tcPr>
            <w:tcW w:w="823"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15" w:hRule="atLeast"/>
          <w:jc w:val="center"/>
        </w:trPr>
        <w:tc>
          <w:tcPr>
            <w:tcW w:w="123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应急响应方案</w:t>
            </w:r>
          </w:p>
        </w:tc>
        <w:tc>
          <w:tcPr>
            <w:tcW w:w="7301"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根据供应商</w:t>
            </w:r>
            <w:r>
              <w:rPr>
                <w:rFonts w:hint="eastAsia" w:ascii="仿宋_GB2312" w:hAnsi="仿宋" w:eastAsia="仿宋_GB2312" w:cs="仿宋"/>
                <w:color w:val="000000" w:themeColor="text1"/>
                <w:sz w:val="24"/>
                <w:highlight w:val="none"/>
                <w14:textFill>
                  <w14:solidFill>
                    <w14:schemeClr w14:val="tx1"/>
                  </w14:solidFill>
                </w14:textFill>
              </w:rPr>
              <w:t>提供针对各类检查和突发性公卫事件等任务的应急响应方案，是否符合</w:t>
            </w:r>
            <w:r>
              <w:rPr>
                <w:rFonts w:hint="eastAsia" w:ascii="仿宋_GB2312" w:hAnsi="仿宋" w:eastAsia="仿宋_GB2312" w:cs="仿宋"/>
                <w:color w:val="000000" w:themeColor="text1"/>
                <w:sz w:val="24"/>
                <w:highlight w:val="none"/>
                <w:lang w:val="en-US" w:eastAsia="zh-CN"/>
                <w14:textFill>
                  <w14:solidFill>
                    <w14:schemeClr w14:val="tx1"/>
                  </w14:solidFill>
                </w14:textFill>
              </w:rPr>
              <w:t>招标</w:t>
            </w:r>
            <w:r>
              <w:rPr>
                <w:rFonts w:hint="eastAsia" w:ascii="仿宋_GB2312" w:hAnsi="仿宋" w:eastAsia="仿宋_GB2312" w:cs="仿宋"/>
                <w:color w:val="000000" w:themeColor="text1"/>
                <w:sz w:val="24"/>
                <w:highlight w:val="none"/>
                <w:lang w:eastAsia="zh-CN"/>
                <w14:textFill>
                  <w14:solidFill>
                    <w14:schemeClr w14:val="tx1"/>
                  </w14:solidFill>
                </w14:textFill>
              </w:rPr>
              <w:t>文件</w:t>
            </w:r>
            <w:r>
              <w:rPr>
                <w:rFonts w:hint="eastAsia" w:ascii="仿宋_GB2312" w:hAnsi="仿宋" w:eastAsia="仿宋_GB2312" w:cs="仿宋"/>
                <w:color w:val="000000" w:themeColor="text1"/>
                <w:sz w:val="24"/>
                <w:highlight w:val="none"/>
                <w14:textFill>
                  <w14:solidFill>
                    <w14:schemeClr w14:val="tx1"/>
                  </w14:solidFill>
                </w14:textFill>
              </w:rPr>
              <w:t>要求及具有可操作性等方面</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tc>
        <w:tc>
          <w:tcPr>
            <w:tcW w:w="823"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15" w:hRule="atLeast"/>
          <w:jc w:val="center"/>
        </w:trPr>
        <w:tc>
          <w:tcPr>
            <w:tcW w:w="123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人员培训方案</w:t>
            </w:r>
          </w:p>
        </w:tc>
        <w:tc>
          <w:tcPr>
            <w:tcW w:w="7301"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根据供应商</w:t>
            </w:r>
            <w:r>
              <w:rPr>
                <w:rFonts w:hint="eastAsia" w:ascii="仿宋_GB2312" w:hAnsi="仿宋" w:eastAsia="仿宋_GB2312" w:cs="仿宋"/>
                <w:color w:val="000000" w:themeColor="text1"/>
                <w:sz w:val="24"/>
                <w:highlight w:val="none"/>
                <w14:textFill>
                  <w14:solidFill>
                    <w14:schemeClr w14:val="tx1"/>
                  </w14:solidFill>
                </w14:textFill>
              </w:rPr>
              <w:t>提供各岗位详细的培训方案，是否符合</w:t>
            </w:r>
            <w:r>
              <w:rPr>
                <w:rFonts w:hint="eastAsia" w:ascii="仿宋_GB2312" w:hAnsi="仿宋" w:eastAsia="仿宋_GB2312" w:cs="仿宋"/>
                <w:color w:val="000000" w:themeColor="text1"/>
                <w:sz w:val="24"/>
                <w:highlight w:val="none"/>
                <w:lang w:val="en-US" w:eastAsia="zh-CN"/>
                <w14:textFill>
                  <w14:solidFill>
                    <w14:schemeClr w14:val="tx1"/>
                  </w14:solidFill>
                </w14:textFill>
              </w:rPr>
              <w:t>招标</w:t>
            </w:r>
            <w:r>
              <w:rPr>
                <w:rFonts w:hint="eastAsia" w:ascii="仿宋_GB2312" w:hAnsi="仿宋" w:eastAsia="仿宋_GB2312" w:cs="仿宋"/>
                <w:color w:val="000000" w:themeColor="text1"/>
                <w:sz w:val="24"/>
                <w:highlight w:val="none"/>
                <w:lang w:eastAsia="zh-CN"/>
                <w14:textFill>
                  <w14:solidFill>
                    <w14:schemeClr w14:val="tx1"/>
                  </w14:solidFill>
                </w14:textFill>
              </w:rPr>
              <w:t>文件</w:t>
            </w:r>
            <w:r>
              <w:rPr>
                <w:rFonts w:hint="eastAsia" w:ascii="仿宋_GB2312" w:hAnsi="仿宋" w:eastAsia="仿宋_GB2312" w:cs="仿宋"/>
                <w:color w:val="000000" w:themeColor="text1"/>
                <w:sz w:val="24"/>
                <w:highlight w:val="none"/>
                <w:lang w:val="en-US" w:eastAsia="zh-CN"/>
                <w14:textFill>
                  <w14:solidFill>
                    <w14:schemeClr w14:val="tx1"/>
                  </w14:solidFill>
                </w14:textFill>
              </w:rPr>
              <w:t>要求</w:t>
            </w:r>
            <w:r>
              <w:rPr>
                <w:rFonts w:hint="eastAsia" w:ascii="仿宋_GB2312" w:hAnsi="仿宋" w:eastAsia="仿宋_GB2312" w:cs="仿宋"/>
                <w:color w:val="000000" w:themeColor="text1"/>
                <w:sz w:val="24"/>
                <w:highlight w:val="none"/>
                <w14:textFill>
                  <w14:solidFill>
                    <w14:schemeClr w14:val="tx1"/>
                  </w14:solidFill>
                </w14:textFill>
              </w:rPr>
              <w:t>，是否具有针对性</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可操作性等方面</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tc>
        <w:tc>
          <w:tcPr>
            <w:tcW w:w="823"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73" w:hRule="atLeast"/>
          <w:jc w:val="center"/>
        </w:trPr>
        <w:tc>
          <w:tcPr>
            <w:tcW w:w="1231" w:type="dxa"/>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eastAsia" w:ascii="仿宋_GB2312" w:hAnsi="仿宋" w:eastAsia="仿宋_GB2312" w:cs="仿宋"/>
                <w:color w:val="000000" w:themeColor="text1"/>
                <w:sz w:val="24"/>
                <w:highlight w:val="none"/>
                <w:lang w:eastAsia="zh-CN"/>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员工队伍稳定及交接</w:t>
            </w:r>
            <w:r>
              <w:rPr>
                <w:rFonts w:hint="eastAsia" w:ascii="仿宋_GB2312" w:hAnsi="仿宋" w:eastAsia="仿宋_GB2312" w:cs="仿宋"/>
                <w:color w:val="000000" w:themeColor="text1"/>
                <w:sz w:val="24"/>
                <w:highlight w:val="none"/>
                <w:lang w:val="en-US" w:eastAsia="zh-CN"/>
                <w14:textFill>
                  <w14:solidFill>
                    <w14:schemeClr w14:val="tx1"/>
                  </w14:solidFill>
                </w14:textFill>
              </w:rPr>
              <w:t>方案</w:t>
            </w:r>
          </w:p>
        </w:tc>
        <w:tc>
          <w:tcPr>
            <w:tcW w:w="7301"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textAlignment w:val="auto"/>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根据供应商</w:t>
            </w:r>
            <w:r>
              <w:rPr>
                <w:rFonts w:hint="eastAsia" w:ascii="仿宋_GB2312" w:hAnsi="仿宋" w:eastAsia="仿宋_GB2312" w:cs="仿宋"/>
                <w:color w:val="000000" w:themeColor="text1"/>
                <w:sz w:val="24"/>
                <w:highlight w:val="none"/>
                <w14:textFill>
                  <w14:solidFill>
                    <w14:schemeClr w14:val="tx1"/>
                  </w14:solidFill>
                </w14:textFill>
              </w:rPr>
              <w:t>提供详尽的员工队伍稳定及交接计划方案，是否科学有效，是否具有可操作性等方面</w:t>
            </w:r>
            <w:r>
              <w:rPr>
                <w:rFonts w:hint="eastAsia" w:ascii="仿宋_GB2312" w:hAnsi="仿宋" w:eastAsia="仿宋_GB2312" w:cs="仿宋"/>
                <w:color w:val="000000" w:themeColor="text1"/>
                <w:sz w:val="24"/>
                <w:highlight w:val="none"/>
                <w:lang w:val="en-US" w:eastAsia="zh-CN"/>
                <w14:textFill>
                  <w14:solidFill>
                    <w14:schemeClr w14:val="tx1"/>
                  </w14:solidFill>
                </w14:textFill>
              </w:rPr>
              <w:t>综合评价</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优于项目需求的得</w:t>
            </w:r>
            <w:r>
              <w:rPr>
                <w:rFonts w:ascii="仿宋_GB2312" w:hAnsi="仿宋" w:eastAsia="仿宋_GB2312" w:cs="仿宋"/>
                <w:color w:val="000000" w:themeColor="text1"/>
                <w:sz w:val="24"/>
                <w:highlight w:val="none"/>
                <w14:textFill>
                  <w14:solidFill>
                    <w14:schemeClr w14:val="tx1"/>
                  </w14:solidFill>
                </w14:textFill>
              </w:rPr>
              <w:t>2.1</w:t>
            </w: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符合项目需求的得</w:t>
            </w:r>
            <w:r>
              <w:rPr>
                <w:rFonts w:ascii="仿宋_GB2312" w:hAnsi="仿宋" w:eastAsia="仿宋_GB2312" w:cs="仿宋"/>
                <w:color w:val="000000" w:themeColor="text1"/>
                <w:sz w:val="24"/>
                <w:highlight w:val="none"/>
                <w14:textFill>
                  <w14:solidFill>
                    <w14:schemeClr w14:val="tx1"/>
                  </w14:solidFill>
                </w14:textFill>
              </w:rPr>
              <w:t>1.1</w:t>
            </w:r>
            <w:r>
              <w:rPr>
                <w:rFonts w:hint="eastAsia" w:ascii="仿宋_GB2312" w:hAnsi="仿宋" w:eastAsia="仿宋_GB2312" w:cs="仿宋"/>
                <w:color w:val="000000" w:themeColor="text1"/>
                <w:sz w:val="24"/>
                <w:highlight w:val="none"/>
                <w:lang w:val="en-US" w:eastAsia="zh-CN"/>
                <w14:textFill>
                  <w14:solidFill>
                    <w14:schemeClr w14:val="tx1"/>
                  </w14:solidFill>
                </w14:textFill>
              </w:rPr>
              <w:t>-2</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部分符合项目需求的得</w:t>
            </w:r>
            <w:r>
              <w:rPr>
                <w:rFonts w:ascii="仿宋_GB2312" w:hAnsi="仿宋" w:eastAsia="仿宋_GB2312" w:cs="仿宋"/>
                <w:color w:val="000000" w:themeColor="text1"/>
                <w:sz w:val="24"/>
                <w:highlight w:val="none"/>
                <w14:textFill>
                  <w14:solidFill>
                    <w14:schemeClr w14:val="tx1"/>
                  </w14:solidFill>
                </w14:textFill>
              </w:rPr>
              <w:t>0.1</w:t>
            </w:r>
            <w:r>
              <w:rPr>
                <w:rFonts w:hint="eastAsia" w:ascii="仿宋_GB2312" w:hAnsi="仿宋" w:eastAsia="仿宋_GB2312" w:cs="仿宋"/>
                <w:color w:val="000000" w:themeColor="text1"/>
                <w:sz w:val="24"/>
                <w:highlight w:val="none"/>
                <w:lang w:val="en-US" w:eastAsia="zh-CN"/>
                <w14:textFill>
                  <w14:solidFill>
                    <w14:schemeClr w14:val="tx1"/>
                  </w14:solidFill>
                </w14:textFill>
              </w:rPr>
              <w:t>-1</w:t>
            </w:r>
            <w:r>
              <w:rPr>
                <w:rFonts w:hint="eastAsia" w:ascii="仿宋_GB2312" w:hAnsi="仿宋" w:eastAsia="仿宋_GB2312" w:cs="仿宋"/>
                <w:color w:val="000000" w:themeColor="text1"/>
                <w:sz w:val="24"/>
                <w:highlight w:val="none"/>
                <w14:textFill>
                  <w14:solidFill>
                    <w14:schemeClr w14:val="tx1"/>
                  </w14:solidFill>
                </w14:textFill>
              </w:rPr>
              <w:t>分</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不提供不得分。</w:t>
            </w:r>
          </w:p>
        </w:tc>
        <w:tc>
          <w:tcPr>
            <w:tcW w:w="823" w:type="dxa"/>
            <w:tcBorders>
              <w:top w:val="single" w:color="auto" w:sz="4" w:space="0"/>
            </w:tcBorders>
            <w:vAlign w:val="center"/>
          </w:tcPr>
          <w:p>
            <w:pPr>
              <w:keepNext w:val="0"/>
              <w:keepLines w:val="0"/>
              <w:pageBreakBefore w:val="0"/>
              <w:widowControl w:val="0"/>
              <w:kinsoku/>
              <w:wordWrap/>
              <w:overflowPunct/>
              <w:topLinePunct w:val="0"/>
              <w:autoSpaceDN/>
              <w:bidi w:val="0"/>
              <w:adjustRightInd w:val="0"/>
              <w:snapToGrid w:val="0"/>
              <w:spacing w:line="440" w:lineRule="exact"/>
              <w:jc w:val="center"/>
              <w:textAlignment w:val="auto"/>
              <w:rPr>
                <w:rFonts w:hint="default"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3</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pPr>
        <w:pStyle w:val="25"/>
        <w:snapToGrid w:val="0"/>
        <w:spacing w:line="360" w:lineRule="auto"/>
        <w:ind w:firstLine="0" w:firstLineChars="0"/>
        <w:rPr>
          <w:rFonts w:hint="eastAsia" w:ascii="仿宋" w:hAnsi="仿宋" w:eastAsia="仿宋" w:cs="仿宋"/>
        </w:rPr>
      </w:pPr>
    </w:p>
    <w:p>
      <w:pPr>
        <w:widowControl/>
        <w:adjustRightInd/>
        <w:jc w:val="cente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4"/>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4"/>
        <w:rPr>
          <w:rFonts w:hint="eastAsia" w:ascii="仿宋" w:hAnsi="仿宋" w:eastAsia="仿宋" w:cs="仿宋"/>
          <w:b/>
          <w:sz w:val="36"/>
          <w:szCs w:val="20"/>
        </w:rPr>
      </w:pPr>
    </w:p>
    <w:p>
      <w:pPr>
        <w:pStyle w:val="24"/>
        <w:ind w:left="0" w:leftChars="0" w:firstLine="0" w:firstLineChars="0"/>
        <w:rPr>
          <w:rFonts w:hint="eastAsia" w:ascii="仿宋" w:hAnsi="仿宋" w:eastAsia="仿宋" w:cs="仿宋"/>
          <w:b/>
          <w:sz w:val="36"/>
          <w:szCs w:val="20"/>
        </w:rPr>
      </w:pPr>
    </w:p>
    <w:p>
      <w:pPr>
        <w:rPr>
          <w:rFonts w:hint="eastAsia" w:ascii="仿宋" w:hAnsi="仿宋" w:eastAsia="仿宋" w:cs="仿宋"/>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79"/>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ascii="仿宋" w:hAnsi="仿宋" w:eastAsia="仿宋" w:cs="仿宋"/>
          <w:b/>
          <w:color w:val="auto"/>
          <w:sz w:val="24"/>
        </w:rPr>
      </w:pP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3" w:name="OLE_LINK13"/>
      <w:bookmarkStart w:id="164" w:name="OLE_LINK14"/>
      <w:r>
        <w:rPr>
          <w:rFonts w:hint="eastAsia" w:ascii="仿宋" w:hAnsi="仿宋" w:eastAsia="仿宋" w:cs="仿宋"/>
          <w:b/>
          <w:spacing w:val="6"/>
          <w:sz w:val="32"/>
          <w:szCs w:val="32"/>
        </w:rPr>
        <w:t>残疾人福利性单位声明函</w:t>
      </w:r>
    </w:p>
    <w:bookmarkEnd w:id="163"/>
    <w:bookmarkEnd w:id="164"/>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91899912"/>
    <w:bookmarkStart w:id="167" w:name="_Toc131845147"/>
    <w:bookmarkStart w:id="168" w:name="_Toc36110187"/>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ascii="宋体" w:hAnsi="宋体" w:eastAsia="宋体" w:cs="宋体"/>
        <w:color w:val="000000"/>
        <w:sz w:val="18"/>
        <w:szCs w:val="18"/>
      </w:rPr>
      <w:t xml:space="preserve">CGSHZJ-2024-N000977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ascii="宋体" w:hAnsi="宋体" w:eastAsia="宋体" w:cs="宋体"/>
        <w:color w:val="000000"/>
        <w:sz w:val="18"/>
        <w:szCs w:val="18"/>
      </w:rPr>
      <w:t>CGSHZJ-2024-N000977</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ascii="宋体" w:hAnsi="宋体" w:eastAsia="宋体" w:cs="宋体"/>
        <w:color w:val="000000"/>
        <w:sz w:val="18"/>
        <w:szCs w:val="18"/>
      </w:rPr>
      <w:t xml:space="preserve">CGSHZJ-2024-N000977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ascii="宋体" w:hAnsi="宋体" w:eastAsia="宋体" w:cs="宋体"/>
        <w:color w:val="000000"/>
        <w:sz w:val="18"/>
        <w:szCs w:val="18"/>
      </w:rPr>
      <w:t xml:space="preserve">CGSHZJ-2024-N000977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ascii="宋体" w:hAnsi="宋体" w:eastAsia="宋体" w:cs="宋体"/>
        <w:color w:val="000000"/>
        <w:sz w:val="18"/>
        <w:szCs w:val="18"/>
      </w:rPr>
      <w:t>CGSHZJ-2024-N000977</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ascii="宋体" w:hAnsi="宋体" w:eastAsia="宋体" w:cs="宋体"/>
        <w:color w:val="000000"/>
        <w:sz w:val="18"/>
        <w:szCs w:val="18"/>
      </w:rPr>
      <w:t xml:space="preserve">CGSHZJ-2024-N000977 </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ascii="宋体" w:hAnsi="宋体" w:eastAsia="宋体" w:cs="宋体"/>
        <w:color w:val="000000"/>
        <w:sz w:val="18"/>
        <w:szCs w:val="18"/>
      </w:rPr>
      <w:t xml:space="preserve">CGSHZJ-2024-N000977 </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ascii="宋体" w:hAnsi="宋体" w:eastAsia="宋体" w:cs="宋体"/>
        <w:color w:val="000000"/>
        <w:sz w:val="18"/>
        <w:szCs w:val="18"/>
      </w:rPr>
      <w:t xml:space="preserve">CGSHZJ-2024-N000977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BBA55FD"/>
    <w:multiLevelType w:val="singleLevel"/>
    <w:tmpl w:val="0BBA55F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172A27"/>
    <w:rsid w:val="0F096B8F"/>
    <w:rsid w:val="0F63063F"/>
    <w:rsid w:val="13434E27"/>
    <w:rsid w:val="18E60774"/>
    <w:rsid w:val="1D2F1C3B"/>
    <w:rsid w:val="20E551C9"/>
    <w:rsid w:val="29B16CB0"/>
    <w:rsid w:val="30CD01D9"/>
    <w:rsid w:val="31BA5005"/>
    <w:rsid w:val="341D1109"/>
    <w:rsid w:val="376C34BD"/>
    <w:rsid w:val="427E60E8"/>
    <w:rsid w:val="4EC926C5"/>
    <w:rsid w:val="4F4B3D85"/>
    <w:rsid w:val="593947E6"/>
    <w:rsid w:val="5F561B6F"/>
    <w:rsid w:val="5F57E5CA"/>
    <w:rsid w:val="669C35D3"/>
    <w:rsid w:val="6E221C94"/>
    <w:rsid w:val="6E2F55A9"/>
    <w:rsid w:val="6FC37AD4"/>
    <w:rsid w:val="78AD1F7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7"/>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0"/>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37</TotalTime>
  <ScaleCrop>false</ScaleCrop>
  <LinksUpToDate>false</LinksUpToDate>
  <CharactersWithSpaces>50218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2021-12-28T19:06:00Z</cp:lastPrinted>
  <dcterms:modified xsi:type="dcterms:W3CDTF">2024-04-25T06:43:30Z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4B79990478284C0AAF524AB7F1EA7845_13</vt:lpwstr>
  </property>
</Properties>
</file>