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17F94">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2025年度南复线等主要道路及零星道路保洁服务采购项目</w:t>
      </w:r>
    </w:p>
    <w:p w14:paraId="0210FADC">
      <w:pPr>
        <w:jc w:val="center"/>
        <w:outlineLvl w:val="0"/>
        <w:rPr>
          <w:rFonts w:hint="eastAsia" w:ascii="仿宋" w:hAnsi="仿宋" w:eastAsia="仿宋" w:cs="仿宋"/>
          <w:b/>
          <w:sz w:val="72"/>
          <w:szCs w:val="72"/>
          <w:highlight w:val="none"/>
        </w:rPr>
      </w:pPr>
    </w:p>
    <w:p w14:paraId="05E7579F">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14:paraId="7D18F3D6">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14:paraId="20A5FFC9">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14:paraId="15FD6929">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14:paraId="276312A6">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14:paraId="01978BCF">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14:paraId="6D42DFE6">
      <w:pP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（电子招投标）</w:t>
      </w:r>
    </w:p>
    <w:p w14:paraId="7C2B4B66">
      <w:pPr>
        <w:spacing w:line="360" w:lineRule="auto"/>
        <w:jc w:val="both"/>
        <w:rPr>
          <w:rFonts w:hint="eastAsia" w:ascii="仿宋" w:hAnsi="仿宋" w:eastAsia="仿宋" w:cs="仿宋"/>
          <w:b/>
          <w:sz w:val="44"/>
          <w:szCs w:val="44"/>
          <w:highlight w:val="none"/>
        </w:rPr>
      </w:pPr>
      <w:r>
        <w:rPr>
          <w:rFonts w:hint="eastAsia" w:ascii="仿宋" w:hAnsi="仿宋" w:eastAsia="仿宋" w:cs="仿宋"/>
          <w:b/>
          <w:sz w:val="44"/>
          <w:szCs w:val="44"/>
          <w:highlight w:val="none"/>
        </w:rPr>
        <w:t xml:space="preserve"> </w:t>
      </w:r>
    </w:p>
    <w:p w14:paraId="3B6FF473">
      <w:pPr>
        <w:spacing w:line="360" w:lineRule="auto"/>
        <w:jc w:val="both"/>
        <w:rPr>
          <w:rFonts w:hint="eastAsia" w:ascii="仿宋" w:hAnsi="仿宋" w:eastAsia="仿宋" w:cs="仿宋"/>
          <w:b/>
          <w:sz w:val="44"/>
          <w:szCs w:val="44"/>
          <w:highlight w:val="none"/>
        </w:rPr>
      </w:pPr>
    </w:p>
    <w:p w14:paraId="755A520A">
      <w:pPr>
        <w:jc w:val="center"/>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rPr>
        <w:t>招标编号:</w:t>
      </w:r>
      <w:r>
        <w:rPr>
          <w:rFonts w:hint="eastAsia" w:ascii="仿宋" w:hAnsi="仿宋" w:eastAsia="仿宋" w:cs="仿宋"/>
          <w:b/>
          <w:sz w:val="28"/>
          <w:szCs w:val="28"/>
          <w:highlight w:val="none"/>
          <w:lang w:eastAsia="zh-CN"/>
        </w:rPr>
        <w:t>绍柯采[2025]993号</w:t>
      </w:r>
    </w:p>
    <w:tbl>
      <w:tblPr>
        <w:tblStyle w:val="62"/>
        <w:tblW w:w="7801" w:type="dxa"/>
        <w:jc w:val="center"/>
        <w:tblLayout w:type="fixed"/>
        <w:tblCellMar>
          <w:top w:w="0" w:type="dxa"/>
          <w:left w:w="108" w:type="dxa"/>
          <w:bottom w:w="0" w:type="dxa"/>
          <w:right w:w="108" w:type="dxa"/>
        </w:tblCellMar>
      </w:tblPr>
      <w:tblGrid>
        <w:gridCol w:w="2356"/>
        <w:gridCol w:w="5445"/>
      </w:tblGrid>
      <w:tr w14:paraId="07197018">
        <w:tblPrEx>
          <w:tblCellMar>
            <w:top w:w="0" w:type="dxa"/>
            <w:left w:w="108" w:type="dxa"/>
            <w:bottom w:w="0" w:type="dxa"/>
            <w:right w:w="108" w:type="dxa"/>
          </w:tblCellMar>
        </w:tblPrEx>
        <w:trPr>
          <w:trHeight w:val="443" w:hRule="atLeast"/>
          <w:jc w:val="center"/>
        </w:trPr>
        <w:tc>
          <w:tcPr>
            <w:tcW w:w="2356" w:type="dxa"/>
          </w:tcPr>
          <w:p w14:paraId="1E17919B">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14:paraId="431FF896">
            <w:pPr>
              <w:spacing w:line="320" w:lineRule="exact"/>
              <w:outlineLvl w:val="0"/>
              <w:rPr>
                <w:rFonts w:hint="eastAsia" w:ascii="仿宋" w:hAnsi="仿宋" w:eastAsia="仿宋" w:cs="仿宋"/>
                <w:sz w:val="28"/>
                <w:szCs w:val="28"/>
                <w:highlight w:val="none"/>
              </w:rPr>
            </w:pPr>
            <w:r>
              <w:rPr>
                <w:rFonts w:hint="eastAsia" w:ascii="仿宋" w:hAnsi="仿宋" w:eastAsia="仿宋" w:cs="仿宋"/>
                <w:color w:val="auto"/>
                <w:sz w:val="28"/>
                <w:szCs w:val="28"/>
                <w:highlight w:val="none"/>
                <w:lang w:eastAsia="zh-CN"/>
              </w:rPr>
              <w:t>绍兴市柯桥区柯岩街道办事处</w:t>
            </w:r>
          </w:p>
        </w:tc>
      </w:tr>
      <w:tr w14:paraId="3BD65B26">
        <w:tblPrEx>
          <w:tblCellMar>
            <w:top w:w="0" w:type="dxa"/>
            <w:left w:w="108" w:type="dxa"/>
            <w:bottom w:w="0" w:type="dxa"/>
            <w:right w:w="108" w:type="dxa"/>
          </w:tblCellMar>
        </w:tblPrEx>
        <w:trPr>
          <w:trHeight w:val="494" w:hRule="atLeast"/>
          <w:jc w:val="center"/>
        </w:trPr>
        <w:tc>
          <w:tcPr>
            <w:tcW w:w="2356" w:type="dxa"/>
          </w:tcPr>
          <w:p w14:paraId="1DBD0A51">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90345957"/>
              </w:rPr>
              <w:t>采购代理机构</w:t>
            </w:r>
            <w:r>
              <w:rPr>
                <w:rFonts w:hint="eastAsia" w:ascii="仿宋" w:hAnsi="仿宋" w:eastAsia="仿宋" w:cs="仿宋"/>
                <w:sz w:val="28"/>
                <w:szCs w:val="28"/>
                <w:highlight w:val="none"/>
              </w:rPr>
              <w:t>：</w:t>
            </w:r>
          </w:p>
        </w:tc>
        <w:tc>
          <w:tcPr>
            <w:tcW w:w="5445" w:type="dxa"/>
            <w:vAlign w:val="top"/>
          </w:tcPr>
          <w:p w14:paraId="21AFC799">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color w:val="auto"/>
                <w:sz w:val="28"/>
                <w:szCs w:val="28"/>
                <w:highlight w:val="none"/>
                <w:lang w:eastAsia="zh-CN"/>
              </w:rPr>
              <w:t>浙江金邦工程管理咨询有限公司</w:t>
            </w:r>
          </w:p>
        </w:tc>
      </w:tr>
      <w:tr w14:paraId="0FBD8D5B">
        <w:tblPrEx>
          <w:tblCellMar>
            <w:top w:w="0" w:type="dxa"/>
            <w:left w:w="108" w:type="dxa"/>
            <w:bottom w:w="0" w:type="dxa"/>
            <w:right w:w="108" w:type="dxa"/>
          </w:tblCellMar>
        </w:tblPrEx>
        <w:trPr>
          <w:trHeight w:val="397" w:hRule="atLeast"/>
          <w:jc w:val="center"/>
        </w:trPr>
        <w:tc>
          <w:tcPr>
            <w:tcW w:w="2356" w:type="dxa"/>
            <w:vAlign w:val="center"/>
          </w:tcPr>
          <w:p w14:paraId="6BE9D87A">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vAlign w:val="top"/>
          </w:tcPr>
          <w:p w14:paraId="409DF1C9">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color w:val="auto"/>
                <w:sz w:val="28"/>
                <w:szCs w:val="28"/>
                <w:highlight w:val="none"/>
              </w:rPr>
              <w:t>绍兴市柯桥区财政局</w:t>
            </w:r>
          </w:p>
        </w:tc>
      </w:tr>
      <w:tr w14:paraId="6A01D861">
        <w:tblPrEx>
          <w:tblCellMar>
            <w:top w:w="0" w:type="dxa"/>
            <w:left w:w="108" w:type="dxa"/>
            <w:bottom w:w="0" w:type="dxa"/>
            <w:right w:w="108" w:type="dxa"/>
          </w:tblCellMar>
        </w:tblPrEx>
        <w:trPr>
          <w:trHeight w:val="333" w:hRule="atLeast"/>
          <w:jc w:val="center"/>
        </w:trPr>
        <w:tc>
          <w:tcPr>
            <w:tcW w:w="7801" w:type="dxa"/>
            <w:gridSpan w:val="2"/>
          </w:tcPr>
          <w:p w14:paraId="0C5A404E">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二○二</w:t>
            </w:r>
            <w:r>
              <w:rPr>
                <w:rFonts w:hint="eastAsia" w:ascii="仿宋" w:hAnsi="仿宋" w:eastAsia="仿宋" w:cs="仿宋"/>
                <w:sz w:val="28"/>
                <w:szCs w:val="28"/>
                <w:highlight w:val="none"/>
                <w:lang w:val="en-US" w:eastAsia="zh-CN"/>
              </w:rPr>
              <w:t>五</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六</w:t>
            </w:r>
            <w:r>
              <w:rPr>
                <w:rFonts w:hint="eastAsia" w:ascii="仿宋" w:hAnsi="仿宋" w:eastAsia="仿宋" w:cs="仿宋"/>
                <w:sz w:val="28"/>
                <w:szCs w:val="28"/>
                <w:highlight w:val="none"/>
              </w:rPr>
              <w:t>月</w:t>
            </w:r>
          </w:p>
        </w:tc>
      </w:tr>
    </w:tbl>
    <w:p w14:paraId="5DC889CD">
      <w:pPr>
        <w:pStyle w:val="635"/>
        <w:rPr>
          <w:rFonts w:hint="eastAsia" w:ascii="仿宋" w:hAnsi="仿宋" w:eastAsia="仿宋" w:cs="仿宋"/>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42FF7CFC">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highlight w:val="none"/>
        </w:rPr>
      </w:pPr>
    </w:p>
    <w:p w14:paraId="7855E6F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bookmarkStart w:id="0" w:name="_Hlt91233176"/>
      <w:bookmarkEnd w:id="0"/>
      <w:bookmarkStart w:id="1" w:name="_Toc91899869"/>
      <w:r>
        <w:rPr>
          <w:rFonts w:hint="eastAsia" w:ascii="仿宋" w:hAnsi="仿宋" w:eastAsia="仿宋" w:cs="仿宋"/>
          <w:b/>
          <w:sz w:val="44"/>
          <w:szCs w:val="44"/>
          <w:highlight w:val="none"/>
        </w:rPr>
        <w:t>目录</w:t>
      </w:r>
    </w:p>
    <w:p w14:paraId="267C4F6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p>
    <w:p w14:paraId="083D7A3B">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highlight w:val="none"/>
        </w:rPr>
      </w:pPr>
    </w:p>
    <w:p w14:paraId="1AC9657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14:paraId="6AD925F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第二部分   </w:t>
      </w:r>
      <w:r>
        <w:rPr>
          <w:rFonts w:hint="eastAsia" w:ascii="仿宋" w:hAnsi="仿宋" w:eastAsia="仿宋" w:cs="仿宋"/>
          <w:b/>
          <w:sz w:val="36"/>
          <w:szCs w:val="36"/>
          <w:highlight w:val="none"/>
          <w:lang w:val="en-US" w:eastAsia="zh-CN"/>
        </w:rPr>
        <w:t xml:space="preserve"> </w:t>
      </w:r>
      <w:r>
        <w:rPr>
          <w:rFonts w:hint="eastAsia" w:ascii="仿宋" w:hAnsi="仿宋" w:eastAsia="仿宋" w:cs="仿宋"/>
          <w:b/>
          <w:sz w:val="36"/>
          <w:szCs w:val="36"/>
          <w:highlight w:val="none"/>
        </w:rPr>
        <w:t>投标须知</w:t>
      </w:r>
    </w:p>
    <w:p w14:paraId="4CA767E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14:paraId="0EE01C4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14:paraId="6B436F3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5918745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14:paraId="1CFFFA4E">
      <w:pPr>
        <w:spacing w:line="360" w:lineRule="auto"/>
        <w:ind w:firstLine="549" w:firstLineChars="229"/>
        <w:rPr>
          <w:rFonts w:hint="eastAsia" w:ascii="仿宋" w:hAnsi="仿宋" w:eastAsia="仿宋" w:cs="仿宋"/>
          <w:sz w:val="24"/>
          <w:highlight w:val="none"/>
        </w:rPr>
      </w:pPr>
    </w:p>
    <w:p w14:paraId="33D64757">
      <w:pPr>
        <w:spacing w:line="360" w:lineRule="auto"/>
        <w:ind w:firstLine="549" w:firstLineChars="229"/>
        <w:rPr>
          <w:rFonts w:hint="eastAsia" w:ascii="仿宋" w:hAnsi="仿宋" w:eastAsia="仿宋" w:cs="仿宋"/>
          <w:sz w:val="24"/>
          <w:highlight w:val="none"/>
        </w:rPr>
      </w:pPr>
    </w:p>
    <w:p w14:paraId="33EA05D1">
      <w:pPr>
        <w:spacing w:line="360" w:lineRule="auto"/>
        <w:ind w:firstLine="549" w:firstLineChars="229"/>
        <w:rPr>
          <w:rFonts w:hint="eastAsia" w:ascii="仿宋" w:hAnsi="仿宋" w:eastAsia="仿宋" w:cs="仿宋"/>
          <w:sz w:val="24"/>
          <w:highlight w:val="none"/>
        </w:rPr>
      </w:pPr>
    </w:p>
    <w:p w14:paraId="2A56999F">
      <w:pPr>
        <w:spacing w:line="360" w:lineRule="auto"/>
        <w:ind w:firstLine="549" w:firstLineChars="229"/>
        <w:rPr>
          <w:rFonts w:hint="eastAsia" w:ascii="仿宋" w:hAnsi="仿宋" w:eastAsia="仿宋" w:cs="仿宋"/>
          <w:sz w:val="24"/>
          <w:highlight w:val="none"/>
        </w:rPr>
      </w:pPr>
    </w:p>
    <w:p w14:paraId="398EEF95">
      <w:pPr>
        <w:spacing w:line="360" w:lineRule="auto"/>
        <w:ind w:firstLine="549" w:firstLineChars="229"/>
        <w:rPr>
          <w:rFonts w:hint="eastAsia" w:ascii="仿宋" w:hAnsi="仿宋" w:eastAsia="仿宋" w:cs="仿宋"/>
          <w:sz w:val="24"/>
          <w:highlight w:val="none"/>
        </w:rPr>
      </w:pPr>
    </w:p>
    <w:p w14:paraId="7F377893">
      <w:pPr>
        <w:spacing w:line="360" w:lineRule="auto"/>
        <w:ind w:firstLine="549" w:firstLineChars="229"/>
        <w:rPr>
          <w:rFonts w:hint="eastAsia" w:ascii="仿宋" w:hAnsi="仿宋" w:eastAsia="仿宋" w:cs="仿宋"/>
          <w:sz w:val="24"/>
          <w:highlight w:val="none"/>
        </w:rPr>
      </w:pPr>
    </w:p>
    <w:p w14:paraId="3B3F25DD">
      <w:pPr>
        <w:spacing w:line="360" w:lineRule="auto"/>
        <w:ind w:firstLine="549" w:firstLineChars="229"/>
        <w:rPr>
          <w:rFonts w:hint="eastAsia" w:ascii="仿宋" w:hAnsi="仿宋" w:eastAsia="仿宋" w:cs="仿宋"/>
          <w:sz w:val="24"/>
          <w:highlight w:val="none"/>
        </w:rPr>
      </w:pPr>
    </w:p>
    <w:p w14:paraId="4023106C">
      <w:pPr>
        <w:spacing w:line="360" w:lineRule="auto"/>
        <w:ind w:firstLine="549" w:firstLineChars="229"/>
        <w:rPr>
          <w:rFonts w:hint="eastAsia" w:ascii="仿宋" w:hAnsi="仿宋" w:eastAsia="仿宋" w:cs="仿宋"/>
          <w:sz w:val="24"/>
          <w:highlight w:val="none"/>
        </w:rPr>
      </w:pPr>
    </w:p>
    <w:p w14:paraId="09DF905D">
      <w:pPr>
        <w:spacing w:line="360" w:lineRule="auto"/>
        <w:ind w:firstLine="549" w:firstLineChars="229"/>
        <w:rPr>
          <w:rFonts w:hint="eastAsia" w:ascii="仿宋" w:hAnsi="仿宋" w:eastAsia="仿宋" w:cs="仿宋"/>
          <w:sz w:val="24"/>
          <w:highlight w:val="none"/>
        </w:rPr>
      </w:pPr>
    </w:p>
    <w:p w14:paraId="69114DB0">
      <w:pPr>
        <w:spacing w:line="360" w:lineRule="auto"/>
        <w:ind w:firstLine="549" w:firstLineChars="229"/>
        <w:rPr>
          <w:rFonts w:hint="eastAsia" w:ascii="仿宋" w:hAnsi="仿宋" w:eastAsia="仿宋" w:cs="仿宋"/>
          <w:sz w:val="24"/>
          <w:highlight w:val="none"/>
        </w:rPr>
      </w:pPr>
    </w:p>
    <w:p w14:paraId="62BD0C2B">
      <w:pPr>
        <w:spacing w:line="360" w:lineRule="auto"/>
        <w:ind w:firstLine="549" w:firstLineChars="229"/>
        <w:rPr>
          <w:rFonts w:hint="eastAsia" w:ascii="仿宋" w:hAnsi="仿宋" w:eastAsia="仿宋" w:cs="仿宋"/>
          <w:sz w:val="24"/>
          <w:highlight w:val="none"/>
        </w:rPr>
      </w:pPr>
    </w:p>
    <w:p w14:paraId="44D92FF4">
      <w:pPr>
        <w:spacing w:line="360" w:lineRule="auto"/>
        <w:rPr>
          <w:rFonts w:hint="eastAsia" w:ascii="仿宋" w:hAnsi="仿宋" w:eastAsia="仿宋" w:cs="仿宋"/>
          <w:sz w:val="24"/>
          <w:highlight w:val="none"/>
        </w:rPr>
      </w:pPr>
    </w:p>
    <w:bookmarkEnd w:id="1"/>
    <w:p w14:paraId="546FF32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bookmarkStart w:id="2" w:name="第二部分"/>
      <w:bookmarkStart w:id="3" w:name="_Toc91899870"/>
      <w:bookmarkStart w:id="4" w:name="_Toc91899871"/>
    </w:p>
    <w:p w14:paraId="540517A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p>
    <w:p w14:paraId="3730933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63FAD52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14:paraId="0011A7A8">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313ED284">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2025年度南复线等主要道路及零星道路保洁服务采购项目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 xml:space="preserve">  </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 xml:space="preserve">   </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41EDFEE2">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4015C23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项目编号：绍柯采[2025]993号</w:t>
      </w:r>
      <w:r>
        <w:rPr>
          <w:rFonts w:hint="eastAsia" w:ascii="仿宋" w:hAnsi="仿宋" w:eastAsia="仿宋" w:cs="仿宋"/>
          <w:color w:val="auto"/>
          <w:sz w:val="24"/>
          <w:highlight w:val="none"/>
          <w:lang w:val="en-US" w:eastAsia="zh-CN"/>
        </w:rPr>
        <w:t xml:space="preserve">  </w:t>
      </w:r>
    </w:p>
    <w:p w14:paraId="5230F6C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2025年度南复线等主要道路及零星道路保洁服务采购项目</w:t>
      </w:r>
      <w:r>
        <w:rPr>
          <w:rFonts w:hint="eastAsia" w:ascii="仿宋" w:hAnsi="仿宋" w:eastAsia="仿宋" w:cs="仿宋"/>
          <w:b w:val="0"/>
          <w:bCs/>
          <w:color w:val="auto"/>
          <w:sz w:val="24"/>
          <w:highlight w:val="none"/>
          <w:lang w:val="en-US" w:eastAsia="zh-CN"/>
        </w:rPr>
        <w:t xml:space="preserve"> </w:t>
      </w:r>
    </w:p>
    <w:p w14:paraId="45F7E43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6000000元</w:t>
      </w:r>
    </w:p>
    <w:p w14:paraId="577B06D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6000000元</w:t>
      </w:r>
    </w:p>
    <w:p w14:paraId="7C2DD1D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24E8E0A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6FBAE7B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b w:val="0"/>
          <w:bCs/>
          <w:color w:val="auto"/>
          <w:sz w:val="24"/>
          <w:highlight w:val="none"/>
          <w:lang w:eastAsia="zh-CN"/>
        </w:rPr>
        <w:t>2025年度南复线等主要道路及零星道路保洁服务采购项目</w:t>
      </w:r>
    </w:p>
    <w:p w14:paraId="4C0AE46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7001D231">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lang w:val="en-US" w:eastAsia="zh-CN"/>
        </w:rPr>
        <w:t xml:space="preserve">6000000元 </w:t>
      </w:r>
    </w:p>
    <w:p w14:paraId="77FA865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主要内容：本次采购内容为：范围以柯岩街道的道路为主，从主车道、非机动车道延伸至人行道至店面房、住房墙角、小街、小巷、小区门前的路面清洁、保洁</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总面积约537654㎡（详见</w:t>
      </w:r>
      <w:r>
        <w:rPr>
          <w:rFonts w:hint="eastAsia" w:ascii="仿宋" w:hAnsi="仿宋" w:eastAsia="仿宋" w:cs="仿宋"/>
          <w:color w:val="auto"/>
          <w:sz w:val="24"/>
          <w:highlight w:val="none"/>
          <w:lang w:val="en-US" w:eastAsia="zh-CN"/>
        </w:rPr>
        <w:t>采购文件</w:t>
      </w:r>
      <w:r>
        <w:rPr>
          <w:rFonts w:hint="eastAsia" w:ascii="仿宋" w:hAnsi="仿宋" w:eastAsia="仿宋" w:cs="仿宋"/>
          <w:bCs/>
          <w:color w:val="auto"/>
          <w:sz w:val="24"/>
          <w:highlight w:val="none"/>
        </w:rPr>
        <w:t>）。</w:t>
      </w:r>
    </w:p>
    <w:p w14:paraId="0CF5D65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lang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详见采购文件</w:t>
      </w:r>
      <w:r>
        <w:rPr>
          <w:rFonts w:hint="eastAsia" w:ascii="仿宋" w:hAnsi="仿宋" w:eastAsia="仿宋" w:cs="仿宋"/>
          <w:color w:val="auto"/>
          <w:sz w:val="24"/>
          <w:highlight w:val="none"/>
          <w:lang w:eastAsia="zh-CN"/>
        </w:rPr>
        <w:t>。</w:t>
      </w:r>
    </w:p>
    <w:p w14:paraId="1286AAD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sym w:font="Wingdings" w:char="00FE"/>
      </w:r>
      <w:r>
        <w:rPr>
          <w:rFonts w:hint="eastAsia" w:ascii="仿宋" w:hAnsi="仿宋" w:eastAsia="仿宋" w:cs="仿宋"/>
          <w:b/>
          <w:color w:val="auto"/>
          <w:sz w:val="24"/>
          <w:highlight w:val="none"/>
        </w:rPr>
        <w:t>否。</w:t>
      </w:r>
    </w:p>
    <w:p w14:paraId="48B2C9A1">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6414371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1D40D18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149F1E8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7327734C">
      <w:pPr>
        <w:shd w:val="clear"/>
        <w:spacing w:line="360" w:lineRule="auto"/>
        <w:ind w:firstLine="480" w:firstLineChars="200"/>
        <w:rPr>
          <w:rFonts w:hint="eastAsia" w:ascii="MS Gothic" w:hAnsi="MS Gothic" w:eastAsia="仿宋" w:cs="仿宋"/>
          <w:color w:val="auto"/>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0743871">
      <w:pPr>
        <w:shd w:val="clear"/>
        <w:spacing w:line="360" w:lineRule="auto"/>
        <w:ind w:firstLine="480" w:firstLineChars="200"/>
        <w:rPr>
          <w:rFonts w:ascii="仿宋" w:hAnsi="仿宋" w:eastAsia="仿宋" w:cs="仿宋"/>
          <w:color w:val="auto"/>
          <w:sz w:val="24"/>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1B337BD1">
      <w:pPr>
        <w:shd w:val="clear"/>
        <w:spacing w:line="360" w:lineRule="auto"/>
        <w:ind w:firstLine="960" w:firstLineChars="400"/>
        <w:rPr>
          <w:rFonts w:ascii="仿宋" w:hAnsi="仿宋" w:eastAsia="仿宋" w:cs="仿宋"/>
          <w:color w:val="auto"/>
          <w:sz w:val="24"/>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服务全部由符合政策要求的中小企业承接，提供中小企业声明函；</w:t>
      </w:r>
    </w:p>
    <w:p w14:paraId="258E820A">
      <w:pPr>
        <w:shd w:val="clear"/>
        <w:spacing w:line="360" w:lineRule="auto"/>
        <w:ind w:firstLine="960" w:firstLineChars="400"/>
        <w:rPr>
          <w:rFonts w:ascii="仿宋" w:hAnsi="仿宋" w:eastAsia="仿宋" w:cs="仿宋"/>
          <w:color w:val="auto"/>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14:paraId="02235654">
      <w:pPr>
        <w:shd w:val="clea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如果供应商本身提供所有标的均由中小企业制造、承建或承接，并相应达到了前述比例要求，视同符合了资格条件，无需再与其他中小企业组成联合体参加采购活动，无需提供联合协议</w:t>
      </w:r>
      <w:r>
        <w:rPr>
          <w:rFonts w:hint="eastAsia" w:ascii="仿宋" w:hAnsi="仿宋" w:eastAsia="仿宋" w:cs="仿宋"/>
          <w:color w:val="auto"/>
          <w:sz w:val="24"/>
          <w:highlight w:val="none"/>
        </w:rPr>
        <w:t>；</w:t>
      </w:r>
    </w:p>
    <w:p w14:paraId="537F3829">
      <w:pPr>
        <w:pageBreakBefore w:val="0"/>
        <w:widowControl w:val="0"/>
        <w:kinsoku/>
        <w:wordWrap/>
        <w:overflowPunct/>
        <w:topLinePunct w:val="0"/>
        <w:autoSpaceDE/>
        <w:autoSpaceDN/>
        <w:bidi w:val="0"/>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F748DC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4.本项目的特定资格要求：无；</w:t>
      </w:r>
    </w:p>
    <w:p w14:paraId="284EEDCC">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48500C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68BA63B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0ABD99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15DCA8F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3683015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p>
    <w:p w14:paraId="38BE4DA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2FD5B07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64287F8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F78FB4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p>
    <w:p w14:paraId="5A183275">
      <w:pPr>
        <w:pageBreakBefore w:val="0"/>
        <w:widowControl/>
        <w:kinsoku/>
        <w:wordWrap/>
        <w:overflowPunct/>
        <w:topLinePunct w:val="0"/>
        <w:autoSpaceDE/>
        <w:autoSpaceDN/>
        <w:bidi w:val="0"/>
        <w:spacing w:line="360" w:lineRule="auto"/>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olor w:val="000000" w:themeColor="text1"/>
          <w:sz w:val="24"/>
          <w:szCs w:val="28"/>
          <w:highlight w:val="none"/>
          <w14:textFill>
            <w14:solidFill>
              <w14:schemeClr w14:val="tx1"/>
            </w14:solidFill>
          </w14:textFill>
        </w:rPr>
        <w:t>开标地点（网址）：绍兴市柯桥区公共资源交易中心三楼</w:t>
      </w:r>
      <w:r>
        <w:rPr>
          <w:rFonts w:hint="eastAsia" w:ascii="仿宋" w:hAnsi="仿宋" w:eastAsia="仿宋"/>
          <w:bCs/>
          <w:color w:val="000000" w:themeColor="text1"/>
          <w:sz w:val="24"/>
          <w:szCs w:val="28"/>
          <w:highlight w:val="none"/>
          <w:u w:val="single"/>
          <w14:textFill>
            <w14:solidFill>
              <w14:schemeClr w14:val="tx1"/>
            </w14:solidFill>
          </w14:textFill>
        </w:rPr>
        <w:t xml:space="preserve"> </w:t>
      </w:r>
      <w:r>
        <w:rPr>
          <w:rFonts w:hint="eastAsia" w:ascii="仿宋" w:hAnsi="仿宋" w:eastAsia="仿宋"/>
          <w:bCs/>
          <w:color w:val="000000" w:themeColor="text1"/>
          <w:sz w:val="24"/>
          <w:szCs w:val="28"/>
          <w:highlight w:val="none"/>
          <w:u w:val="single"/>
          <w:lang w:val="en-US" w:eastAsia="zh-CN"/>
          <w14:textFill>
            <w14:solidFill>
              <w14:schemeClr w14:val="tx1"/>
            </w14:solidFill>
          </w14:textFill>
        </w:rPr>
        <w:t xml:space="preserve"> </w:t>
      </w:r>
      <w:r>
        <w:rPr>
          <w:rFonts w:hint="eastAsia" w:ascii="仿宋" w:hAnsi="仿宋" w:eastAsia="仿宋"/>
          <w:bCs/>
          <w:color w:val="000000" w:themeColor="text1"/>
          <w:sz w:val="24"/>
          <w:szCs w:val="28"/>
          <w:highlight w:val="none"/>
          <w:u w:val="single"/>
          <w14:textFill>
            <w14:solidFill>
              <w14:schemeClr w14:val="tx1"/>
            </w14:solidFill>
          </w14:textFill>
        </w:rPr>
        <w:t xml:space="preserve"> </w:t>
      </w:r>
      <w:r>
        <w:rPr>
          <w:rFonts w:hint="eastAsia" w:ascii="仿宋" w:hAnsi="仿宋" w:eastAsia="仿宋" w:cs="宋体"/>
          <w:color w:val="000000" w:themeColor="text1"/>
          <w:sz w:val="24"/>
          <w:szCs w:val="28"/>
          <w:highlight w:val="none"/>
          <w14:textFill>
            <w14:solidFill>
              <w14:schemeClr w14:val="tx1"/>
            </w14:solidFill>
          </w14:textFill>
        </w:rPr>
        <w:t>号交易室（绍兴市柯桥区纺都路1066号）通过</w:t>
      </w:r>
      <w:r>
        <w:rPr>
          <w:rFonts w:ascii="仿宋" w:hAnsi="仿宋" w:eastAsia="仿宋" w:cs="宋体"/>
          <w:color w:val="000000" w:themeColor="text1"/>
          <w:sz w:val="24"/>
          <w:szCs w:val="28"/>
          <w:highlight w:val="none"/>
          <w14:textFill>
            <w14:solidFill>
              <w14:schemeClr w14:val="tx1"/>
            </w14:solidFill>
          </w14:textFill>
        </w:rPr>
        <w:t>政府采购云平台（https://www.zcygov.cn）在线开标</w:t>
      </w:r>
    </w:p>
    <w:p w14:paraId="0FC7DED6">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75D688E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1AEE6F53">
      <w:pPr>
        <w:pageBreakBefore w:val="0"/>
        <w:widowControl w:val="0"/>
        <w:kinsoku/>
        <w:wordWrap/>
        <w:overflowPunct/>
        <w:topLinePunct w:val="0"/>
        <w:autoSpaceDE/>
        <w:autoSpaceDN/>
        <w:bidi w:val="0"/>
        <w:snapToGrid/>
        <w:spacing w:line="336"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5DA7991D">
      <w:pPr>
        <w:pageBreakBefore w:val="0"/>
        <w:widowControl w:val="0"/>
        <w:kinsoku/>
        <w:wordWrap/>
        <w:overflowPunct/>
        <w:topLinePunct w:val="0"/>
        <w:autoSpaceDE/>
        <w:autoSpaceDN/>
        <w:bidi w:val="0"/>
        <w:snapToGrid/>
        <w:spacing w:line="33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5D03D862">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565773E3">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5613507">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⑨投标文件的解密：投标人按照平台提示和招标文件的规定在半小时内完成在线解密。通过“政府采购云平台”上传递交的投标文件无法按时解密的，视为投标文件撤回；⑩具</w:t>
      </w:r>
      <w:r>
        <w:rPr>
          <w:rFonts w:hint="eastAsia" w:ascii="仿宋" w:hAnsi="仿宋" w:eastAsia="仿宋" w:cs="仿宋"/>
          <w:color w:val="auto"/>
          <w:sz w:val="24"/>
          <w:highlight w:val="none"/>
        </w:rPr>
        <w:t>体操作指南：详见政采云平台“服务中心-帮助文档-项目采购-操作流程-电子招投标-政府采购项目电子交易管理操作指南-供应商”。（3）招标文件公告期限与招标公告的公告期限一致。</w:t>
      </w:r>
    </w:p>
    <w:p w14:paraId="2FA970F8">
      <w:pPr>
        <w:pageBreakBefore w:val="0"/>
        <w:widowControl w:val="0"/>
        <w:kinsoku/>
        <w:wordWrap/>
        <w:overflowPunct/>
        <w:topLinePunct w:val="0"/>
        <w:autoSpaceDE/>
        <w:autoSpaceDN/>
        <w:bidi w:val="0"/>
        <w:snapToGrid/>
        <w:spacing w:line="336"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154F1C86">
      <w:pPr>
        <w:pStyle w:val="3"/>
        <w:pageBreakBefore w:val="0"/>
        <w:widowControl w:val="0"/>
        <w:numPr>
          <w:ilvl w:val="0"/>
          <w:numId w:val="0"/>
        </w:numPr>
        <w:kinsoku/>
        <w:wordWrap/>
        <w:overflowPunct/>
        <w:topLinePunct w:val="0"/>
        <w:autoSpaceDE/>
        <w:autoSpaceDN/>
        <w:bidi w:val="0"/>
        <w:snapToGrid/>
        <w:spacing w:line="336" w:lineRule="auto"/>
        <w:ind w:left="0" w:firstLine="482" w:firstLineChars="200"/>
        <w:textAlignment w:val="auto"/>
        <w:rPr>
          <w:rFonts w:hint="eastAsia" w:ascii="仿宋" w:hAnsi="仿宋" w:eastAsia="仿宋" w:cs="仿宋"/>
          <w:color w:val="auto"/>
          <w:sz w:val="24"/>
          <w:szCs w:val="24"/>
          <w:highlight w:val="none"/>
        </w:rPr>
      </w:pPr>
      <w:bookmarkStart w:id="5" w:name="_Toc35393637"/>
      <w:bookmarkStart w:id="6" w:name="_Toc35393806"/>
      <w:bookmarkStart w:id="7" w:name="_Toc28359096"/>
      <w:bookmarkStart w:id="8" w:name="_Toc28359019"/>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31B3FF98">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宋体"/>
          <w:color w:val="auto"/>
          <w:sz w:val="24"/>
          <w:szCs w:val="28"/>
          <w:highlight w:val="none"/>
          <w:lang w:eastAsia="zh-CN"/>
        </w:rPr>
        <w:t>绍兴市柯桥区柯岩街道办事处</w:t>
      </w:r>
    </w:p>
    <w:p w14:paraId="539B6569">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eastAsia="仿宋" w:cs="宋体"/>
          <w:color w:val="auto"/>
          <w:sz w:val="24"/>
          <w:szCs w:val="28"/>
          <w:highlight w:val="none"/>
        </w:rPr>
        <w:t>浙江省绍兴市柯桥区柯岩大道137号</w:t>
      </w:r>
      <w:r>
        <w:rPr>
          <w:rFonts w:hint="eastAsia" w:ascii="仿宋" w:hAnsi="仿宋" w:eastAsia="仿宋" w:cs="仿宋"/>
          <w:color w:val="auto"/>
          <w:sz w:val="24"/>
          <w:highlight w:val="none"/>
        </w:rPr>
        <w:t xml:space="preserve">  </w:t>
      </w:r>
    </w:p>
    <w:p w14:paraId="39426604">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74533789">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宋体"/>
          <w:color w:val="auto"/>
          <w:sz w:val="24"/>
          <w:szCs w:val="28"/>
          <w:highlight w:val="none"/>
          <w:lang w:val="en-US" w:eastAsia="zh-CN"/>
        </w:rPr>
        <w:t>徐雷雨</w:t>
      </w:r>
      <w:r>
        <w:rPr>
          <w:rFonts w:hint="eastAsia" w:ascii="仿宋" w:hAnsi="仿宋" w:eastAsia="仿宋" w:cs="仿宋"/>
          <w:color w:val="auto"/>
          <w:sz w:val="24"/>
          <w:highlight w:val="none"/>
        </w:rPr>
        <w:t xml:space="preserve">  </w:t>
      </w:r>
    </w:p>
    <w:p w14:paraId="60D936E8">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项目联系方式（询问）：13588576602</w:t>
      </w:r>
    </w:p>
    <w:p w14:paraId="5C7886C2">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olor w:val="auto"/>
          <w:sz w:val="24"/>
          <w:szCs w:val="28"/>
          <w:highlight w:val="none"/>
        </w:rPr>
        <w:t>强滢</w:t>
      </w:r>
    </w:p>
    <w:p w14:paraId="70339E7A">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宋体"/>
          <w:color w:val="auto"/>
          <w:sz w:val="24"/>
          <w:szCs w:val="28"/>
          <w:highlight w:val="none"/>
          <w:lang w:val="en-US" w:eastAsia="zh-CN"/>
        </w:rPr>
        <w:t>0575-84318066</w:t>
      </w:r>
    </w:p>
    <w:p w14:paraId="4B9BCDAC">
      <w:pPr>
        <w:pStyle w:val="3"/>
        <w:pageBreakBefore w:val="0"/>
        <w:widowControl w:val="0"/>
        <w:numPr>
          <w:ilvl w:val="0"/>
          <w:numId w:val="0"/>
        </w:numPr>
        <w:kinsoku/>
        <w:wordWrap/>
        <w:overflowPunct/>
        <w:topLinePunct w:val="0"/>
        <w:autoSpaceDE/>
        <w:autoSpaceDN/>
        <w:bidi w:val="0"/>
        <w:snapToGrid/>
        <w:spacing w:line="336" w:lineRule="auto"/>
        <w:ind w:left="0" w:firstLine="482" w:firstLineChars="200"/>
        <w:textAlignment w:val="auto"/>
        <w:rPr>
          <w:rFonts w:hint="eastAsia" w:ascii="仿宋" w:hAnsi="仿宋" w:eastAsia="仿宋" w:cs="仿宋"/>
          <w:color w:val="auto"/>
          <w:sz w:val="24"/>
          <w:highlight w:val="none"/>
        </w:rPr>
      </w:pPr>
      <w:bookmarkStart w:id="9" w:name="_Toc28359097"/>
      <w:bookmarkStart w:id="10" w:name="_Toc35393638"/>
      <w:bookmarkStart w:id="11" w:name="_Toc35393807"/>
      <w:bookmarkStart w:id="12" w:name="_Toc28359020"/>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39A4B1A7">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bookmarkStart w:id="13" w:name="_Toc28359098"/>
      <w:bookmarkStart w:id="14" w:name="_Toc28359021"/>
      <w:bookmarkStart w:id="15" w:name="_Toc35393639"/>
      <w:bookmarkStart w:id="16" w:name="_Toc35393808"/>
      <w:r>
        <w:rPr>
          <w:rFonts w:hint="eastAsia" w:ascii="仿宋" w:hAnsi="仿宋" w:eastAsia="仿宋" w:cs="仿宋"/>
          <w:color w:val="auto"/>
          <w:sz w:val="24"/>
          <w:highlight w:val="none"/>
        </w:rPr>
        <w:t>名    称：</w:t>
      </w:r>
      <w:r>
        <w:rPr>
          <w:rFonts w:hint="eastAsia" w:ascii="仿宋" w:hAnsi="仿宋" w:eastAsia="仿宋" w:cs="宋体"/>
          <w:color w:val="auto"/>
          <w:sz w:val="24"/>
          <w:szCs w:val="28"/>
          <w:highlight w:val="none"/>
          <w:lang w:eastAsia="zh-CN"/>
        </w:rPr>
        <w:t>浙江金邦工程管理咨询有限公司</w:t>
      </w:r>
      <w:r>
        <w:rPr>
          <w:rFonts w:hint="eastAsia" w:ascii="仿宋" w:hAnsi="仿宋" w:eastAsia="仿宋" w:cs="仿宋"/>
          <w:color w:val="auto"/>
          <w:sz w:val="24"/>
          <w:highlight w:val="none"/>
        </w:rPr>
        <w:t xml:space="preserve">           </w:t>
      </w:r>
    </w:p>
    <w:p w14:paraId="336DE0BD">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宋体"/>
          <w:color w:val="auto"/>
          <w:sz w:val="24"/>
          <w:szCs w:val="28"/>
          <w:highlight w:val="none"/>
          <w:lang w:eastAsia="zh-CN"/>
        </w:rPr>
        <w:t>绍兴市柯桥区发展大厦12楼</w:t>
      </w:r>
      <w:r>
        <w:rPr>
          <w:rFonts w:hint="eastAsia" w:ascii="仿宋" w:hAnsi="仿宋" w:eastAsia="仿宋" w:cs="仿宋"/>
          <w:color w:val="auto"/>
          <w:sz w:val="24"/>
          <w:highlight w:val="none"/>
        </w:rPr>
        <w:t xml:space="preserve"> </w:t>
      </w:r>
    </w:p>
    <w:p w14:paraId="4B8CBE44">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7E746354">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olor w:val="auto"/>
          <w:sz w:val="24"/>
          <w:szCs w:val="28"/>
          <w:highlight w:val="none"/>
          <w:lang w:eastAsia="zh-CN"/>
        </w:rPr>
        <w:t>余磊</w:t>
      </w:r>
    </w:p>
    <w:p w14:paraId="7F77A8B7">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宋体"/>
          <w:color w:val="auto"/>
          <w:sz w:val="24"/>
          <w:szCs w:val="28"/>
          <w:highlight w:val="none"/>
          <w:lang w:eastAsia="zh-CN"/>
        </w:rPr>
        <w:t>18857573060</w:t>
      </w:r>
      <w:r>
        <w:rPr>
          <w:rFonts w:hint="eastAsia" w:ascii="仿宋" w:hAnsi="仿宋" w:eastAsia="仿宋" w:cs="仿宋"/>
          <w:color w:val="auto"/>
          <w:sz w:val="24"/>
          <w:highlight w:val="none"/>
        </w:rPr>
        <w:t xml:space="preserve"> </w:t>
      </w:r>
    </w:p>
    <w:p w14:paraId="375CFBA5">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olor w:val="auto"/>
          <w:sz w:val="24"/>
          <w:szCs w:val="28"/>
          <w:highlight w:val="none"/>
          <w:lang w:val="en-US" w:eastAsia="zh-CN"/>
        </w:rPr>
        <w:t>邱孟杰</w:t>
      </w:r>
      <w:r>
        <w:rPr>
          <w:rFonts w:hint="eastAsia" w:ascii="仿宋" w:hAnsi="仿宋" w:eastAsia="仿宋" w:cs="仿宋"/>
          <w:color w:val="auto"/>
          <w:sz w:val="24"/>
          <w:highlight w:val="none"/>
        </w:rPr>
        <w:t xml:space="preserve">             </w:t>
      </w:r>
    </w:p>
    <w:p w14:paraId="4278D5CB">
      <w:pPr>
        <w:pageBreakBefore w:val="0"/>
        <w:widowControl w:val="0"/>
        <w:kinsoku/>
        <w:wordWrap/>
        <w:overflowPunct/>
        <w:topLinePunct w:val="0"/>
        <w:autoSpaceDE/>
        <w:autoSpaceDN/>
        <w:bidi w:val="0"/>
        <w:snapToGrid/>
        <w:spacing w:line="336" w:lineRule="auto"/>
        <w:ind w:left="0" w:firstLine="480" w:firstLineChars="200"/>
        <w:textAlignment w:val="auto"/>
        <w:rPr>
          <w:rFonts w:hint="default" w:ascii="仿宋" w:hAnsi="仿宋" w:eastAsia="仿宋" w:cs="宋体"/>
          <w:color w:val="auto"/>
          <w:sz w:val="24"/>
          <w:szCs w:val="28"/>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宋体"/>
          <w:color w:val="auto"/>
          <w:sz w:val="24"/>
          <w:szCs w:val="28"/>
          <w:highlight w:val="none"/>
          <w:lang w:val="en-US" w:eastAsia="zh-CN"/>
        </w:rPr>
        <w:t>0575-85563392</w:t>
      </w:r>
    </w:p>
    <w:p w14:paraId="011D4D66">
      <w:pPr>
        <w:pageBreakBefore w:val="0"/>
        <w:widowControl w:val="0"/>
        <w:kinsoku/>
        <w:wordWrap/>
        <w:overflowPunct/>
        <w:topLinePunct w:val="0"/>
        <w:autoSpaceDE/>
        <w:autoSpaceDN/>
        <w:bidi w:val="0"/>
        <w:snapToGrid/>
        <w:spacing w:line="336"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3DE566AD">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7417E652">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3E87FE41">
      <w:pPr>
        <w:pageBreakBefore w:val="0"/>
        <w:widowControl w:val="0"/>
        <w:kinsoku/>
        <w:wordWrap/>
        <w:overflowPunct/>
        <w:topLinePunct w:val="0"/>
        <w:autoSpaceDE/>
        <w:autoSpaceDN/>
        <w:bidi w:val="0"/>
        <w:snapToGrid/>
        <w:spacing w:line="336"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60606751">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14:paraId="1D1CE8B0">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 xml:space="preserve">0575-85672135 </w:t>
      </w:r>
      <w:r>
        <w:rPr>
          <w:rFonts w:hint="eastAsia" w:ascii="仿宋" w:hAnsi="仿宋" w:eastAsia="仿宋" w:cs="仿宋"/>
          <w:color w:val="auto"/>
          <w:sz w:val="24"/>
          <w:highlight w:val="none"/>
        </w:rPr>
        <w:t xml:space="preserve">    </w:t>
      </w:r>
    </w:p>
    <w:p w14:paraId="3278372E">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EF8B94F">
      <w:pPr>
        <w:pageBreakBefore w:val="0"/>
        <w:widowControl w:val="0"/>
        <w:kinsoku/>
        <w:wordWrap/>
        <w:overflowPunct/>
        <w:topLinePunct w:val="0"/>
        <w:autoSpaceDE/>
        <w:autoSpaceDN/>
        <w:bidi w:val="0"/>
        <w:snapToGrid/>
        <w:spacing w:line="336"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ADCCE55">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07FE961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w:t>
      </w:r>
      <w:bookmarkEnd w:id="2"/>
      <w:r>
        <w:rPr>
          <w:rFonts w:hint="eastAsia" w:ascii="仿宋" w:hAnsi="仿宋" w:eastAsia="仿宋" w:cs="仿宋"/>
          <w:b/>
          <w:sz w:val="36"/>
          <w:szCs w:val="20"/>
          <w:highlight w:val="none"/>
        </w:rPr>
        <w:t xml:space="preserve"> 投标须知</w:t>
      </w:r>
      <w:bookmarkEnd w:id="3"/>
    </w:p>
    <w:p w14:paraId="45133B46">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240"/>
        <w:gridCol w:w="7199"/>
      </w:tblGrid>
      <w:tr w14:paraId="7E740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01" w:type="dxa"/>
            <w:vAlign w:val="center"/>
          </w:tcPr>
          <w:p w14:paraId="550E362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439" w:type="dxa"/>
            <w:gridSpan w:val="2"/>
            <w:vAlign w:val="center"/>
          </w:tcPr>
          <w:p w14:paraId="59D49F5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14:paraId="15C0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01" w:type="dxa"/>
            <w:vAlign w:val="center"/>
          </w:tcPr>
          <w:p w14:paraId="5B1B38D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439" w:type="dxa"/>
            <w:gridSpan w:val="2"/>
            <w:vAlign w:val="center"/>
          </w:tcPr>
          <w:p w14:paraId="214E9E8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投标人按照项目要求特许资格证明文件（如有）：</w:t>
            </w:r>
          </w:p>
          <w:p w14:paraId="435FE28E">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194E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1" w:type="dxa"/>
            <w:shd w:val="clear" w:color="auto" w:fill="auto"/>
            <w:vAlign w:val="center"/>
          </w:tcPr>
          <w:p w14:paraId="1FF23C4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2</w:t>
            </w:r>
          </w:p>
        </w:tc>
        <w:tc>
          <w:tcPr>
            <w:tcW w:w="8439" w:type="dxa"/>
            <w:gridSpan w:val="2"/>
            <w:shd w:val="clear" w:color="auto" w:fill="auto"/>
            <w:vAlign w:val="center"/>
          </w:tcPr>
          <w:p w14:paraId="5B60D009">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000000"/>
                <w:sz w:val="24"/>
                <w:highlight w:val="none"/>
                <w:lang w:eastAsia="zh-CN"/>
              </w:rPr>
            </w:pPr>
            <w:r>
              <w:rPr>
                <w:rFonts w:hint="eastAsia" w:ascii="仿宋" w:hAnsi="仿宋" w:eastAsia="仿宋" w:cs="仿宋_GB2312"/>
                <w:b/>
                <w:color w:val="000000"/>
                <w:sz w:val="24"/>
                <w:highlight w:val="none"/>
              </w:rPr>
              <w:t>报价要求</w:t>
            </w:r>
            <w:r>
              <w:rPr>
                <w:rFonts w:hint="eastAsia" w:ascii="仿宋" w:hAnsi="仿宋" w:eastAsia="仿宋" w:cs="仿宋_GB2312"/>
                <w:b/>
                <w:color w:val="000000"/>
                <w:sz w:val="24"/>
                <w:highlight w:val="none"/>
                <w:lang w:eastAsia="zh-CN"/>
              </w:rPr>
              <w:t>：</w:t>
            </w:r>
          </w:p>
          <w:p w14:paraId="001BBB54">
            <w:pPr>
              <w:spacing w:line="360" w:lineRule="auto"/>
              <w:rPr>
                <w:rFonts w:hint="eastAsia" w:ascii="仿宋" w:hAnsi="仿宋" w:eastAsia="仿宋" w:cs="宋体"/>
                <w:b/>
                <w:kern w:val="0"/>
                <w:sz w:val="24"/>
                <w:highlight w:val="none"/>
                <w:lang w:val="zh-CN"/>
              </w:rPr>
            </w:pPr>
            <w:r>
              <w:rPr>
                <w:rFonts w:hint="eastAsia" w:ascii="仿宋" w:hAnsi="仿宋" w:eastAsia="仿宋"/>
                <w:color w:val="0000FF"/>
                <w:sz w:val="24"/>
                <w:szCs w:val="28"/>
                <w:highlight w:val="none"/>
              </w:rPr>
              <w:t>有关本项目开展所需的人员工资、福利、劳保用品、工具、运输车辆、车辆维修、养护、油料、利润、税金、保险、季检、年检及不可预见费用（如突击工作费，保洁范围内无主偷倒垃圾清运和处置费、防台、抗旱、抗雪、抗暴风雨等措施费，综合抗灾抢救费，抗旱设施、人工增加费，设施维护费及其它等）等费用均计入报价。</w:t>
            </w:r>
            <w:r>
              <w:rPr>
                <w:rFonts w:hint="eastAsia" w:ascii="宋体" w:hAnsi="宋体" w:cs="宋体"/>
                <w:b/>
                <w:bCs/>
                <w:kern w:val="0"/>
                <w:sz w:val="24"/>
                <w:highlight w:val="none"/>
                <w:lang w:val="zh-CN"/>
              </w:rPr>
              <w:t>投标文件</w:t>
            </w:r>
            <w:r>
              <w:rPr>
                <w:rFonts w:hint="eastAsia" w:ascii="宋体" w:hAnsi="宋体" w:cs="宋体"/>
                <w:b/>
                <w:bCs/>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olor w:val="0000FF"/>
                <w:sz w:val="24"/>
                <w:szCs w:val="28"/>
                <w:highlight w:val="none"/>
              </w:rPr>
              <w:t>投标文件中价格全部采用人民币报价。招标文件未列明，而投标人认为必</w:t>
            </w:r>
            <w:r>
              <w:rPr>
                <w:rFonts w:hint="eastAsia" w:ascii="仿宋" w:hAnsi="仿宋" w:eastAsia="仿宋"/>
                <w:color w:val="0000FF"/>
                <w:sz w:val="24"/>
                <w:szCs w:val="28"/>
                <w:highlight w:val="none"/>
                <w:lang w:eastAsia="zh-CN"/>
              </w:rPr>
              <w:t>须</w:t>
            </w:r>
            <w:r>
              <w:rPr>
                <w:rFonts w:hint="eastAsia" w:ascii="仿宋" w:hAnsi="仿宋" w:eastAsia="仿宋"/>
                <w:color w:val="0000FF"/>
                <w:sz w:val="24"/>
                <w:szCs w:val="28"/>
                <w:highlight w:val="none"/>
              </w:rPr>
              <w:t>的费用也需列入报价。</w:t>
            </w:r>
            <w:r>
              <w:rPr>
                <w:rFonts w:hint="eastAsia" w:ascii="仿宋" w:hAnsi="仿宋" w:eastAsia="仿宋" w:cs="宋体"/>
                <w:b/>
                <w:kern w:val="0"/>
                <w:sz w:val="24"/>
                <w:highlight w:val="none"/>
                <w:lang w:val="zh-CN"/>
              </w:rPr>
              <w:t>提醒：验收时检测费用由采购人承担，不包含在投标总价中；</w:t>
            </w:r>
          </w:p>
          <w:p w14:paraId="3DB79590">
            <w:pPr>
              <w:spacing w:line="360" w:lineRule="auto"/>
              <w:rPr>
                <w:rFonts w:hint="eastAsia" w:ascii="宋体" w:hAnsi="宋体" w:eastAsia="宋体" w:cs="宋体"/>
                <w:b/>
                <w:bCs/>
                <w:sz w:val="24"/>
                <w:highlight w:val="none"/>
                <w:lang w:val="zh-CN"/>
              </w:rPr>
            </w:pPr>
            <w:r>
              <w:rPr>
                <w:rFonts w:hint="eastAsia" w:ascii="宋体" w:hAnsi="宋体" w:eastAsia="宋体" w:cs="宋体"/>
                <w:b/>
                <w:bCs/>
                <w:sz w:val="24"/>
                <w:highlight w:val="none"/>
                <w:lang w:val="zh-CN"/>
              </w:rPr>
              <w:t>投标报价出现下列情形的，投标无效：</w:t>
            </w:r>
          </w:p>
          <w:p w14:paraId="4D3E9FA6">
            <w:pPr>
              <w:spacing w:line="360" w:lineRule="auto"/>
              <w:rPr>
                <w:rFonts w:hint="eastAsia" w:ascii="宋体" w:hAnsi="宋体" w:eastAsia="宋体" w:cs="宋体"/>
                <w:b/>
                <w:bCs/>
                <w:sz w:val="24"/>
                <w:highlight w:val="none"/>
                <w:lang w:val="zh-CN"/>
              </w:rPr>
            </w:pPr>
            <w:r>
              <w:rPr>
                <w:rFonts w:hint="eastAsia" w:ascii="仿宋" w:hAnsi="仿宋" w:eastAsia="仿宋" w:cs="仿宋"/>
                <w:sz w:val="24"/>
                <w:highlight w:val="none"/>
              </w:rPr>
              <w:t>★</w:t>
            </w:r>
            <w:r>
              <w:rPr>
                <w:rFonts w:hint="eastAsia" w:ascii="宋体" w:hAnsi="宋体" w:eastAsia="宋体" w:cs="宋体"/>
                <w:b/>
                <w:bCs/>
                <w:sz w:val="24"/>
                <w:highlight w:val="none"/>
                <w:lang w:val="zh-CN"/>
              </w:rPr>
              <w:t>投标文件出现不是唯一的、有选择性投标报价的；</w:t>
            </w:r>
          </w:p>
          <w:p w14:paraId="590771CD">
            <w:pPr>
              <w:spacing w:line="360" w:lineRule="auto"/>
              <w:rPr>
                <w:rFonts w:hint="eastAsia" w:ascii="宋体" w:hAnsi="宋体" w:eastAsia="宋体" w:cs="宋体"/>
                <w:b/>
                <w:bCs/>
                <w:sz w:val="24"/>
                <w:highlight w:val="none"/>
                <w:lang w:val="zh-CN"/>
              </w:rPr>
            </w:pPr>
            <w:r>
              <w:rPr>
                <w:rFonts w:hint="eastAsia" w:ascii="仿宋" w:hAnsi="仿宋" w:eastAsia="仿宋" w:cs="仿宋"/>
                <w:sz w:val="24"/>
                <w:highlight w:val="none"/>
              </w:rPr>
              <w:t>★</w:t>
            </w:r>
            <w:r>
              <w:rPr>
                <w:rFonts w:hint="eastAsia" w:ascii="宋体" w:hAnsi="宋体" w:eastAsia="宋体" w:cs="宋体"/>
                <w:b/>
                <w:bCs/>
                <w:sz w:val="24"/>
                <w:highlight w:val="none"/>
              </w:rPr>
              <w:t>投标</w:t>
            </w:r>
            <w:r>
              <w:rPr>
                <w:rFonts w:hint="eastAsia" w:ascii="宋体" w:hAnsi="宋体" w:eastAsia="宋体" w:cs="宋体"/>
                <w:b/>
                <w:bCs/>
                <w:sz w:val="24"/>
                <w:highlight w:val="none"/>
                <w:lang w:val="zh-CN"/>
              </w:rPr>
              <w:t>报价超过招标文件中规定的预算金额或最高限价的;</w:t>
            </w:r>
          </w:p>
          <w:p w14:paraId="0E5005AA">
            <w:pPr>
              <w:spacing w:line="360" w:lineRule="auto"/>
              <w:rPr>
                <w:rFonts w:hint="eastAsia" w:ascii="宋体" w:hAnsi="宋体" w:eastAsia="宋体" w:cs="宋体"/>
                <w:b/>
                <w:bCs/>
                <w:sz w:val="24"/>
                <w:highlight w:val="none"/>
                <w:lang w:val="zh-CN"/>
              </w:rPr>
            </w:pPr>
            <w:r>
              <w:rPr>
                <w:rFonts w:hint="eastAsia" w:ascii="仿宋" w:hAnsi="仿宋" w:eastAsia="仿宋" w:cs="仿宋"/>
                <w:sz w:val="24"/>
                <w:highlight w:val="none"/>
              </w:rPr>
              <w:t>★</w:t>
            </w:r>
            <w:r>
              <w:rPr>
                <w:rFonts w:hint="eastAsia" w:ascii="宋体" w:hAnsi="宋体" w:eastAsia="宋体" w:cs="宋体"/>
                <w:b/>
                <w:bCs/>
                <w:sz w:val="24"/>
                <w:highlight w:val="none"/>
                <w:lang w:val="zh-CN" w:eastAsia="zh-CN"/>
              </w:rPr>
              <w:t>评标委员会认为</w:t>
            </w:r>
            <w:r>
              <w:rPr>
                <w:rFonts w:hint="eastAsia" w:ascii="宋体" w:hAnsi="宋体" w:eastAsia="宋体" w:cs="宋体"/>
                <w:b/>
                <w:bCs/>
                <w:sz w:val="24"/>
                <w:highlight w:val="none"/>
                <w:lang w:val="zh-CN"/>
              </w:rPr>
              <w:t>报价明显低于其他通过符合性审查投标人的报价，有可能影响产品质量或者不能诚信履约的，未能按要求提供书面说明或者提交相关证明材料，不能证明其报价合理性的;</w:t>
            </w:r>
          </w:p>
          <w:p w14:paraId="33A53845">
            <w:pPr>
              <w:spacing w:line="360" w:lineRule="auto"/>
              <w:rPr>
                <w:rFonts w:hint="eastAsia" w:ascii="宋体" w:hAnsi="宋体" w:eastAsia="宋体" w:cs="宋体"/>
                <w:b/>
                <w:bCs/>
                <w:sz w:val="24"/>
                <w:highlight w:val="none"/>
                <w:lang w:eastAsia="zh-CN"/>
              </w:rPr>
            </w:pPr>
            <w:r>
              <w:rPr>
                <w:rFonts w:hint="eastAsia" w:ascii="仿宋" w:hAnsi="仿宋" w:eastAsia="仿宋" w:cs="仿宋"/>
                <w:sz w:val="24"/>
                <w:highlight w:val="none"/>
              </w:rPr>
              <w:t>★</w:t>
            </w:r>
            <w:r>
              <w:rPr>
                <w:rFonts w:hint="eastAsia" w:ascii="宋体" w:hAnsi="宋体" w:eastAsia="宋体" w:cs="宋体"/>
                <w:b/>
                <w:bCs/>
                <w:sz w:val="24"/>
                <w:highlight w:val="none"/>
                <w:lang w:val="zh-CN"/>
              </w:rPr>
              <w:t>报价低于项目预算50%</w:t>
            </w:r>
            <w:r>
              <w:rPr>
                <w:rFonts w:hint="eastAsia" w:ascii="宋体" w:hAnsi="宋体" w:eastAsia="宋体" w:cs="宋体"/>
                <w:b/>
                <w:bCs/>
                <w:sz w:val="24"/>
                <w:highlight w:val="none"/>
              </w:rPr>
              <w:t>的投标报价，投标人</w:t>
            </w:r>
            <w:r>
              <w:rPr>
                <w:rFonts w:hint="eastAsia" w:ascii="宋体" w:hAnsi="宋体" w:eastAsia="宋体" w:cs="宋体"/>
                <w:b/>
                <w:bCs/>
                <w:sz w:val="24"/>
                <w:highlight w:val="none"/>
                <w:lang w:val="en-US" w:eastAsia="zh-CN"/>
              </w:rPr>
              <w:t>应在</w:t>
            </w:r>
            <w:r>
              <w:rPr>
                <w:rFonts w:hint="eastAsia" w:ascii="宋体" w:hAnsi="宋体" w:eastAsia="宋体" w:cs="宋体"/>
                <w:b/>
                <w:bCs/>
                <w:sz w:val="24"/>
                <w:highlight w:val="none"/>
              </w:rPr>
              <w:t>投标文件中提供成本测算资料</w:t>
            </w:r>
            <w:r>
              <w:rPr>
                <w:rFonts w:hint="eastAsia" w:ascii="宋体" w:hAnsi="宋体" w:eastAsia="宋体" w:cs="宋体"/>
                <w:b/>
                <w:bCs/>
                <w:sz w:val="24"/>
                <w:highlight w:val="none"/>
                <w:lang w:eastAsia="zh-CN"/>
              </w:rPr>
              <w:t>，</w:t>
            </w:r>
            <w:r>
              <w:rPr>
                <w:rFonts w:hint="eastAsia" w:ascii="宋体" w:hAnsi="宋体" w:eastAsia="宋体" w:cs="宋体"/>
                <w:b/>
                <w:bCs/>
                <w:sz w:val="24"/>
                <w:highlight w:val="none"/>
              </w:rPr>
              <w:t>未在投标文件中提供成本测算资料</w:t>
            </w:r>
            <w:r>
              <w:rPr>
                <w:rFonts w:hint="eastAsia" w:ascii="宋体" w:hAnsi="宋体" w:eastAsia="宋体" w:cs="宋体"/>
                <w:b/>
                <w:bCs/>
                <w:sz w:val="24"/>
                <w:highlight w:val="none"/>
                <w:lang w:val="en-US" w:eastAsia="zh-CN"/>
              </w:rPr>
              <w:t>的，将被</w:t>
            </w:r>
            <w:r>
              <w:rPr>
                <w:rFonts w:hint="eastAsia" w:ascii="宋体" w:hAnsi="宋体" w:eastAsia="宋体" w:cs="宋体"/>
                <w:b/>
                <w:bCs/>
                <w:sz w:val="24"/>
                <w:highlight w:val="none"/>
              </w:rPr>
              <w:t>视为投标人不能证明其报价合理性</w:t>
            </w:r>
            <w:r>
              <w:rPr>
                <w:rFonts w:hint="eastAsia" w:ascii="宋体" w:hAnsi="宋体" w:eastAsia="宋体" w:cs="宋体"/>
                <w:b/>
                <w:bCs/>
                <w:sz w:val="24"/>
                <w:highlight w:val="none"/>
                <w:lang w:eastAsia="zh-CN"/>
              </w:rPr>
              <w:t>；</w:t>
            </w:r>
          </w:p>
          <w:p w14:paraId="63A9E36B">
            <w:pPr>
              <w:spacing w:line="360" w:lineRule="auto"/>
              <w:rPr>
                <w:rFonts w:hint="eastAsia" w:ascii="宋体" w:hAnsi="宋体" w:eastAsia="宋体" w:cs="宋体"/>
                <w:b/>
                <w:bCs/>
                <w:sz w:val="24"/>
                <w:highlight w:val="none"/>
              </w:rPr>
            </w:pPr>
            <w:r>
              <w:rPr>
                <w:rFonts w:hint="eastAsia" w:ascii="仿宋" w:hAnsi="仿宋" w:eastAsia="仿宋" w:cs="仿宋"/>
                <w:sz w:val="24"/>
                <w:highlight w:val="none"/>
              </w:rPr>
              <w:t>★</w:t>
            </w:r>
            <w:r>
              <w:rPr>
                <w:rFonts w:hint="eastAsia" w:ascii="宋体" w:hAnsi="宋体" w:eastAsia="宋体" w:cs="宋体"/>
                <w:b/>
                <w:bCs/>
                <w:sz w:val="24"/>
                <w:highlight w:val="none"/>
              </w:rPr>
              <w:t>《开标一览表(报价表)》填写不完整或字迹不能辨认或有漏项的,经评标委员会认定属于重大偏差的；</w:t>
            </w:r>
          </w:p>
          <w:p w14:paraId="5667039B">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w:t>
            </w:r>
            <w:r>
              <w:rPr>
                <w:rFonts w:hint="eastAsia" w:ascii="宋体" w:hAnsi="宋体" w:eastAsia="宋体" w:cs="宋体"/>
                <w:b/>
                <w:bCs/>
                <w:sz w:val="24"/>
                <w:highlight w:val="none"/>
              </w:rPr>
              <w:t>投标人对根据修正原则修正后的报价不确认的。</w:t>
            </w:r>
          </w:p>
        </w:tc>
      </w:tr>
      <w:tr w14:paraId="25B7A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01" w:type="dxa"/>
            <w:shd w:val="clear" w:color="auto" w:fill="auto"/>
            <w:vAlign w:val="center"/>
          </w:tcPr>
          <w:p w14:paraId="4B3ECD4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3</w:t>
            </w:r>
          </w:p>
        </w:tc>
        <w:tc>
          <w:tcPr>
            <w:tcW w:w="8439" w:type="dxa"/>
            <w:gridSpan w:val="2"/>
            <w:vAlign w:val="center"/>
          </w:tcPr>
          <w:p w14:paraId="2D82BA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资格审查方式：</w:t>
            </w:r>
          </w:p>
          <w:p w14:paraId="3E65D8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1.资格后审。</w:t>
            </w:r>
          </w:p>
          <w:p w14:paraId="54289CF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0BA79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01" w:type="dxa"/>
            <w:shd w:val="clear" w:color="auto" w:fill="auto"/>
            <w:vAlign w:val="center"/>
          </w:tcPr>
          <w:p w14:paraId="7F679B1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4</w:t>
            </w:r>
          </w:p>
        </w:tc>
        <w:tc>
          <w:tcPr>
            <w:tcW w:w="8439" w:type="dxa"/>
            <w:gridSpan w:val="2"/>
            <w:vAlign w:val="center"/>
          </w:tcPr>
          <w:p w14:paraId="5CEDD07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14:paraId="7C5AD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01" w:type="dxa"/>
            <w:shd w:val="clear" w:color="auto" w:fill="auto"/>
            <w:vAlign w:val="center"/>
          </w:tcPr>
          <w:p w14:paraId="441F556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5</w:t>
            </w:r>
          </w:p>
        </w:tc>
        <w:tc>
          <w:tcPr>
            <w:tcW w:w="8439" w:type="dxa"/>
            <w:gridSpan w:val="2"/>
            <w:vAlign w:val="center"/>
          </w:tcPr>
          <w:p w14:paraId="095199E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14:paraId="0DE93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01" w:type="dxa"/>
            <w:shd w:val="clear" w:color="auto" w:fill="auto"/>
            <w:vAlign w:val="center"/>
          </w:tcPr>
          <w:p w14:paraId="45DED9D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6</w:t>
            </w:r>
          </w:p>
        </w:tc>
        <w:tc>
          <w:tcPr>
            <w:tcW w:w="8439" w:type="dxa"/>
            <w:gridSpan w:val="2"/>
            <w:vAlign w:val="center"/>
          </w:tcPr>
          <w:p w14:paraId="3B68B7EE">
            <w:pPr>
              <w:keepNext w:val="0"/>
              <w:keepLines w:val="0"/>
              <w:pageBreakBefore w:val="0"/>
              <w:widowControl w:val="0"/>
              <w:kinsoku/>
              <w:wordWrap/>
              <w:overflowPunct/>
              <w:topLinePunct w:val="0"/>
              <w:bidi w:val="0"/>
              <w:adjustRightInd w:val="0"/>
              <w:spacing w:line="440" w:lineRule="exact"/>
              <w:ind w:right="0" w:rightChars="0"/>
              <w:rPr>
                <w:rFonts w:hint="eastAsia" w:ascii="仿宋" w:hAnsi="仿宋" w:eastAsia="仿宋" w:cs="仿宋"/>
                <w:b/>
                <w:sz w:val="24"/>
                <w:highlight w:val="none"/>
              </w:rPr>
            </w:pPr>
            <w:r>
              <w:rPr>
                <w:rFonts w:hint="eastAsia" w:ascii="仿宋" w:hAnsi="仿宋" w:eastAsia="仿宋" w:cs="仿宋"/>
                <w:b/>
                <w:sz w:val="24"/>
                <w:highlight w:val="none"/>
              </w:rPr>
              <w:t>分包：</w:t>
            </w:r>
            <w:r>
              <w:rPr>
                <w:rFonts w:hint="eastAsia" w:ascii="仿宋" w:hAnsi="仿宋" w:eastAsia="仿宋" w:cs="仿宋"/>
                <w:sz w:val="24"/>
                <w:highlight w:val="none"/>
              </w:rPr>
              <w:t>不同意分包。</w:t>
            </w:r>
          </w:p>
        </w:tc>
      </w:tr>
      <w:tr w14:paraId="0EA6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01" w:type="dxa"/>
            <w:shd w:val="clear" w:color="auto" w:fill="auto"/>
            <w:vAlign w:val="center"/>
          </w:tcPr>
          <w:p w14:paraId="65A9A3B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7</w:t>
            </w:r>
          </w:p>
        </w:tc>
        <w:tc>
          <w:tcPr>
            <w:tcW w:w="8439" w:type="dxa"/>
            <w:gridSpan w:val="2"/>
            <w:vAlign w:val="center"/>
          </w:tcPr>
          <w:p w14:paraId="68EF1EF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14:paraId="134D4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01" w:type="dxa"/>
            <w:shd w:val="clear" w:color="auto" w:fill="auto"/>
            <w:vAlign w:val="center"/>
          </w:tcPr>
          <w:p w14:paraId="54F3438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8</w:t>
            </w:r>
          </w:p>
        </w:tc>
        <w:tc>
          <w:tcPr>
            <w:tcW w:w="8439" w:type="dxa"/>
            <w:gridSpan w:val="2"/>
            <w:vAlign w:val="center"/>
          </w:tcPr>
          <w:p w14:paraId="07384DE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r>
              <w:rPr>
                <w:rFonts w:hint="eastAsia" w:ascii="仿宋" w:hAnsi="仿宋" w:eastAsia="仿宋" w:cs="仿宋"/>
                <w:sz w:val="24"/>
                <w:highlight w:val="none"/>
              </w:rPr>
              <w:t>不组织。</w:t>
            </w:r>
          </w:p>
        </w:tc>
      </w:tr>
      <w:tr w14:paraId="57770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1" w:type="dxa"/>
            <w:shd w:val="clear" w:color="auto" w:fill="auto"/>
            <w:vAlign w:val="center"/>
          </w:tcPr>
          <w:p w14:paraId="6B540A4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9</w:t>
            </w:r>
          </w:p>
        </w:tc>
        <w:tc>
          <w:tcPr>
            <w:tcW w:w="8439" w:type="dxa"/>
            <w:gridSpan w:val="2"/>
            <w:vAlign w:val="center"/>
          </w:tcPr>
          <w:p w14:paraId="720F2387">
            <w:pPr>
              <w:keepNext w:val="0"/>
              <w:keepLines w:val="0"/>
              <w:pageBreakBefore w:val="0"/>
              <w:widowControl w:val="0"/>
              <w:kinsoku/>
              <w:wordWrap/>
              <w:overflowPunct/>
              <w:topLinePunct w:val="0"/>
              <w:bidi w:val="0"/>
              <w:adjustRightInd w:val="0"/>
              <w:spacing w:line="440" w:lineRule="exact"/>
              <w:ind w:left="0" w:leftChars="0" w:right="0" w:rightChars="0"/>
              <w:rPr>
                <w:rFonts w:hint="default"/>
                <w:highlight w:val="none"/>
                <w:lang w:val="en-US"/>
              </w:rPr>
            </w:pPr>
            <w:r>
              <w:rPr>
                <w:rFonts w:hint="eastAsia" w:ascii="仿宋" w:hAnsi="仿宋" w:eastAsia="仿宋" w:cs="仿宋"/>
                <w:b/>
                <w:sz w:val="24"/>
                <w:highlight w:val="none"/>
              </w:rPr>
              <w:t>样品提供：</w:t>
            </w:r>
            <w:r>
              <w:rPr>
                <w:rFonts w:hint="eastAsia" w:ascii="仿宋" w:hAnsi="仿宋" w:eastAsia="仿宋" w:cs="仿宋"/>
                <w:sz w:val="24"/>
                <w:highlight w:val="none"/>
              </w:rPr>
              <w:t>不要求提供。</w:t>
            </w:r>
          </w:p>
        </w:tc>
      </w:tr>
      <w:tr w14:paraId="3428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01" w:type="dxa"/>
            <w:shd w:val="clear" w:color="auto" w:fill="auto"/>
            <w:vAlign w:val="center"/>
          </w:tcPr>
          <w:p w14:paraId="505E97E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10</w:t>
            </w:r>
          </w:p>
        </w:tc>
        <w:tc>
          <w:tcPr>
            <w:tcW w:w="8439" w:type="dxa"/>
            <w:gridSpan w:val="2"/>
            <w:vAlign w:val="center"/>
          </w:tcPr>
          <w:p w14:paraId="258B3312">
            <w:pPr>
              <w:spacing w:beforeLines="0" w:afterLines="0" w:line="440" w:lineRule="exact"/>
              <w:rPr>
                <w:rFonts w:hint="eastAsia" w:ascii="仿宋" w:hAnsi="仿宋" w:eastAsia="仿宋" w:cs="仿宋"/>
                <w:sz w:val="24"/>
                <w:highlight w:val="none"/>
              </w:rPr>
            </w:pPr>
            <w:r>
              <w:rPr>
                <w:rFonts w:hint="eastAsia" w:ascii="仿宋_GB2312" w:hAnsi="宋体" w:eastAsia="仿宋_GB2312"/>
                <w:b/>
                <w:color w:val="000000"/>
                <w:sz w:val="24"/>
                <w:szCs w:val="24"/>
                <w:highlight w:val="none"/>
              </w:rPr>
              <w:t>方案讲解演示：</w:t>
            </w:r>
            <w:r>
              <w:rPr>
                <w:rFonts w:hint="eastAsia" w:ascii="仿宋" w:hAnsi="仿宋" w:eastAsia="仿宋" w:cs="仿宋"/>
                <w:sz w:val="24"/>
                <w:szCs w:val="24"/>
                <w:highlight w:val="none"/>
              </w:rPr>
              <w:t>无方案讲解演示。</w:t>
            </w:r>
          </w:p>
        </w:tc>
      </w:tr>
      <w:tr w14:paraId="2FB07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801" w:type="dxa"/>
            <w:shd w:val="clear" w:color="auto" w:fill="auto"/>
            <w:vAlign w:val="center"/>
          </w:tcPr>
          <w:p w14:paraId="32CC0A0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11</w:t>
            </w:r>
          </w:p>
        </w:tc>
        <w:tc>
          <w:tcPr>
            <w:tcW w:w="1240" w:type="dxa"/>
            <w:vAlign w:val="center"/>
          </w:tcPr>
          <w:p w14:paraId="12A2AA48">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highlight w:val="none"/>
              </w:rPr>
            </w:pPr>
            <w:r>
              <w:rPr>
                <w:rFonts w:hint="eastAsia" w:ascii="仿宋" w:hAnsi="仿宋" w:eastAsia="仿宋" w:cs="仿宋"/>
                <w:b/>
                <w:sz w:val="24"/>
                <w:highlight w:val="none"/>
              </w:rPr>
              <w:t>进口产品</w:t>
            </w:r>
          </w:p>
        </w:tc>
        <w:tc>
          <w:tcPr>
            <w:tcW w:w="7199" w:type="dxa"/>
            <w:vAlign w:val="center"/>
          </w:tcPr>
          <w:p w14:paraId="44D9D68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rPr>
              <w:t>本项目不允许采购进口产品。</w:t>
            </w:r>
          </w:p>
        </w:tc>
      </w:tr>
      <w:tr w14:paraId="42579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01" w:type="dxa"/>
            <w:shd w:val="clear" w:color="auto" w:fill="auto"/>
            <w:vAlign w:val="center"/>
          </w:tcPr>
          <w:p w14:paraId="7B63243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12</w:t>
            </w:r>
          </w:p>
        </w:tc>
        <w:tc>
          <w:tcPr>
            <w:tcW w:w="1240" w:type="dxa"/>
            <w:vAlign w:val="center"/>
          </w:tcPr>
          <w:p w14:paraId="77C711CC">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199" w:type="dxa"/>
            <w:vAlign w:val="center"/>
          </w:tcPr>
          <w:p w14:paraId="680E93D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服务类。</w:t>
            </w:r>
          </w:p>
        </w:tc>
      </w:tr>
      <w:tr w14:paraId="74BB3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01" w:type="dxa"/>
            <w:vAlign w:val="center"/>
          </w:tcPr>
          <w:p w14:paraId="6D81A61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13</w:t>
            </w:r>
          </w:p>
        </w:tc>
        <w:tc>
          <w:tcPr>
            <w:tcW w:w="1240" w:type="dxa"/>
            <w:vAlign w:val="center"/>
          </w:tcPr>
          <w:p w14:paraId="37F3DDDD">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199" w:type="dxa"/>
            <w:vAlign w:val="center"/>
          </w:tcPr>
          <w:p w14:paraId="0EE8186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highlight w:val="none"/>
              </w:rPr>
            </w:pPr>
            <w:r>
              <w:rPr>
                <w:rFonts w:hint="eastAsia" w:ascii="仿宋" w:hAnsi="仿宋" w:eastAsia="仿宋" w:cs="仿宋"/>
                <w:kern w:val="0"/>
                <w:sz w:val="24"/>
                <w:highlight w:val="none"/>
              </w:rPr>
              <w:t>（1）标的：</w:t>
            </w:r>
            <w:r>
              <w:rPr>
                <w:rFonts w:hint="eastAsia" w:ascii="仿宋" w:hAnsi="仿宋" w:eastAsia="仿宋" w:cs="仿宋"/>
                <w:kern w:val="0"/>
                <w:sz w:val="24"/>
                <w:highlight w:val="none"/>
                <w:u w:val="single"/>
                <w:lang w:eastAsia="zh-CN"/>
              </w:rPr>
              <w:t>2025年度南复线等主要道路及零星道路保洁服务采购项目</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lang w:val="en-US" w:eastAsia="zh-CN"/>
              </w:rPr>
              <w:t>其他未列明</w:t>
            </w:r>
            <w:r>
              <w:rPr>
                <w:rFonts w:hint="eastAsia" w:ascii="仿宋" w:hAnsi="仿宋" w:eastAsia="仿宋" w:cs="仿宋"/>
                <w:kern w:val="0"/>
                <w:sz w:val="24"/>
                <w:highlight w:val="none"/>
              </w:rPr>
              <w:t>行业；</w:t>
            </w:r>
          </w:p>
        </w:tc>
      </w:tr>
      <w:tr w14:paraId="4EBC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01" w:type="dxa"/>
            <w:vMerge w:val="restart"/>
            <w:vAlign w:val="center"/>
          </w:tcPr>
          <w:p w14:paraId="0CC2D9D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4</w:t>
            </w:r>
          </w:p>
        </w:tc>
        <w:tc>
          <w:tcPr>
            <w:tcW w:w="1240" w:type="dxa"/>
            <w:vMerge w:val="restart"/>
            <w:vAlign w:val="center"/>
          </w:tcPr>
          <w:p w14:paraId="327287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199" w:type="dxa"/>
            <w:vAlign w:val="center"/>
          </w:tcPr>
          <w:p w14:paraId="3417D6C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14:paraId="32D70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01" w:type="dxa"/>
            <w:vMerge w:val="continue"/>
            <w:vAlign w:val="center"/>
          </w:tcPr>
          <w:p w14:paraId="629CEDD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1240" w:type="dxa"/>
            <w:vMerge w:val="continue"/>
            <w:vAlign w:val="center"/>
          </w:tcPr>
          <w:p w14:paraId="45FF274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199" w:type="dxa"/>
            <w:vAlign w:val="center"/>
          </w:tcPr>
          <w:p w14:paraId="377A519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14:paraId="526D5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01" w:type="dxa"/>
            <w:vMerge w:val="continue"/>
            <w:vAlign w:val="center"/>
          </w:tcPr>
          <w:p w14:paraId="16E2733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1240" w:type="dxa"/>
            <w:vMerge w:val="continue"/>
            <w:vAlign w:val="center"/>
          </w:tcPr>
          <w:p w14:paraId="4CEB024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199" w:type="dxa"/>
            <w:vAlign w:val="center"/>
          </w:tcPr>
          <w:p w14:paraId="3E50850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w:t>
            </w:r>
            <w:r>
              <w:rPr>
                <w:rFonts w:hint="eastAsia" w:ascii="仿宋" w:hAnsi="仿宋" w:eastAsia="仿宋" w:cs="仿宋"/>
                <w:sz w:val="24"/>
                <w:highlight w:val="none"/>
                <w:lang w:eastAsia="zh-CN"/>
              </w:rPr>
              <w:t>重大税收违法失信主体</w:t>
            </w:r>
            <w:r>
              <w:rPr>
                <w:rFonts w:hint="eastAsia" w:ascii="仿宋" w:hAnsi="仿宋" w:eastAsia="仿宋" w:cs="仿宋"/>
                <w:sz w:val="24"/>
                <w:highlight w:val="none"/>
              </w:rPr>
              <w:t>、政府采购严重违法失信行为记录名单的投标人将被拒绝参与政府采购活动。</w:t>
            </w:r>
          </w:p>
          <w:p w14:paraId="276D69E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893A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01" w:type="dxa"/>
            <w:vAlign w:val="center"/>
          </w:tcPr>
          <w:p w14:paraId="367B6EB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5</w:t>
            </w:r>
          </w:p>
        </w:tc>
        <w:tc>
          <w:tcPr>
            <w:tcW w:w="8439" w:type="dxa"/>
            <w:gridSpan w:val="2"/>
            <w:vAlign w:val="center"/>
          </w:tcPr>
          <w:p w14:paraId="0CFE088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14:paraId="2103E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01" w:type="dxa"/>
            <w:vAlign w:val="center"/>
          </w:tcPr>
          <w:p w14:paraId="36C557A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6</w:t>
            </w:r>
          </w:p>
        </w:tc>
        <w:tc>
          <w:tcPr>
            <w:tcW w:w="8439" w:type="dxa"/>
            <w:gridSpan w:val="2"/>
            <w:vAlign w:val="center"/>
          </w:tcPr>
          <w:p w14:paraId="35FF9A1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更正补充公告请自行登录浙江政府采购网查看下载。</w:t>
            </w:r>
          </w:p>
        </w:tc>
      </w:tr>
      <w:tr w14:paraId="554C0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01" w:type="dxa"/>
            <w:vAlign w:val="center"/>
          </w:tcPr>
          <w:p w14:paraId="2523A4E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 xml:space="preserve">                                                                                                                                                                                                                                                                                                                                                                                                                                                                                                                                                                                                                                                                                                                                                                                                                                                                                                                                                                                                                                                                                                                                                                                                                                                                                                                                        </w:t>
            </w:r>
          </w:p>
        </w:tc>
        <w:tc>
          <w:tcPr>
            <w:tcW w:w="8439" w:type="dxa"/>
            <w:gridSpan w:val="2"/>
            <w:vAlign w:val="center"/>
          </w:tcPr>
          <w:p w14:paraId="3F6D37D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14:paraId="2D1787D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14:paraId="10C0A2C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BB1E2A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14:paraId="000066D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14:paraId="6DAE2B6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33E66C1F">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14:paraId="0B7F931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14:paraId="3076F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01" w:type="dxa"/>
            <w:vMerge w:val="restart"/>
            <w:vAlign w:val="center"/>
          </w:tcPr>
          <w:p w14:paraId="7A69C4C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8</w:t>
            </w:r>
          </w:p>
          <w:p w14:paraId="2BA3C702">
            <w:pPr>
              <w:pStyle w:val="3"/>
              <w:rPr>
                <w:rFonts w:hint="eastAsia"/>
                <w:highlight w:val="none"/>
                <w:lang w:val="en-US" w:eastAsia="zh-CN"/>
              </w:rPr>
            </w:pPr>
          </w:p>
        </w:tc>
        <w:tc>
          <w:tcPr>
            <w:tcW w:w="8439" w:type="dxa"/>
            <w:gridSpan w:val="2"/>
            <w:vAlign w:val="center"/>
          </w:tcPr>
          <w:p w14:paraId="210050D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特别说明：</w:t>
            </w:r>
          </w:p>
          <w:p w14:paraId="03D6FB7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14:paraId="04EF1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01" w:type="dxa"/>
            <w:vMerge w:val="continue"/>
            <w:vAlign w:val="center"/>
          </w:tcPr>
          <w:p w14:paraId="7C2AE55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p>
        </w:tc>
        <w:tc>
          <w:tcPr>
            <w:tcW w:w="8439" w:type="dxa"/>
            <w:gridSpan w:val="2"/>
            <w:vAlign w:val="center"/>
          </w:tcPr>
          <w:p w14:paraId="770BBB1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val="0"/>
                <w:dstrike w:val="0"/>
                <w:snapToGrid w:val="0"/>
                <w:kern w:val="28"/>
                <w:sz w:val="24"/>
                <w:highlight w:val="none"/>
              </w:rPr>
            </w:pPr>
            <w:r>
              <w:rPr>
                <w:rFonts w:hint="eastAsia" w:ascii="仿宋" w:hAnsi="仿宋" w:eastAsia="仿宋" w:cs="仿宋"/>
                <w:strike w:val="0"/>
                <w:dstrike w:val="0"/>
                <w:kern w:val="0"/>
                <w:sz w:val="24"/>
                <w:highlight w:val="none"/>
              </w:rPr>
              <w:t>☐</w:t>
            </w:r>
            <w:r>
              <w:rPr>
                <w:rFonts w:hint="eastAsia" w:ascii="仿宋" w:hAnsi="仿宋" w:eastAsia="仿宋" w:cs="仿宋"/>
                <w:strike w:val="0"/>
                <w:dstrike w:val="0"/>
                <w:snapToGrid w:val="0"/>
                <w:kern w:val="28"/>
                <w:sz w:val="24"/>
                <w:highlight w:val="none"/>
              </w:rPr>
              <w:t>联合体投标的，联合体各方均需按招标文件第五部分评标标准要求提供证明文件，否则视为不符合相关要求。</w:t>
            </w:r>
          </w:p>
          <w:p w14:paraId="4E21B3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strike w:val="0"/>
                <w:dstrike w:val="0"/>
                <w:kern w:val="0"/>
                <w:sz w:val="24"/>
                <w:highlight w:val="none"/>
              </w:rPr>
              <w:t>☐</w:t>
            </w:r>
            <w:r>
              <w:rPr>
                <w:rFonts w:hint="eastAsia" w:ascii="仿宋" w:hAnsi="仿宋" w:eastAsia="仿宋" w:cs="仿宋"/>
                <w:strike w:val="0"/>
                <w:dstrike w:val="0"/>
                <w:snapToGrid w:val="0"/>
                <w:kern w:val="28"/>
                <w:sz w:val="24"/>
                <w:highlight w:val="none"/>
              </w:rPr>
              <w:t>联合体投标的，联合体中有一方或者联合体成员根据分工按招标文件第五部分评标标准要求提供证明文件的，视为符合了相关要求。</w:t>
            </w:r>
          </w:p>
        </w:tc>
      </w:tr>
      <w:tr w14:paraId="448D3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01" w:type="dxa"/>
            <w:vAlign w:val="center"/>
          </w:tcPr>
          <w:p w14:paraId="55E3CC89">
            <w:pPr>
              <w:snapToGrid w:val="0"/>
              <w:spacing w:line="336" w:lineRule="auto"/>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19</w:t>
            </w:r>
          </w:p>
        </w:tc>
        <w:tc>
          <w:tcPr>
            <w:tcW w:w="8439" w:type="dxa"/>
            <w:gridSpan w:val="2"/>
            <w:vAlign w:val="center"/>
          </w:tcPr>
          <w:p w14:paraId="68557FA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val="0"/>
                <w:dstrike w:val="0"/>
                <w:snapToGrid w:val="0"/>
                <w:kern w:val="28"/>
                <w:sz w:val="24"/>
                <w:highlight w:val="none"/>
                <w:lang w:val="en-US" w:eastAsia="zh-CN"/>
              </w:rPr>
            </w:pPr>
            <w:r>
              <w:rPr>
                <w:rFonts w:hint="eastAsia" w:ascii="仿宋" w:hAnsi="仿宋" w:eastAsia="仿宋" w:cs="仿宋"/>
                <w:strike w:val="0"/>
                <w:dstrike w:val="0"/>
                <w:snapToGrid w:val="0"/>
                <w:kern w:val="28"/>
                <w:sz w:val="24"/>
                <w:highlight w:val="none"/>
              </w:rPr>
              <w:t>履约保证金金额</w:t>
            </w:r>
            <w:r>
              <w:rPr>
                <w:rFonts w:hint="eastAsia" w:ascii="仿宋" w:hAnsi="仿宋" w:eastAsia="仿宋" w:cs="仿宋"/>
                <w:strike w:val="0"/>
                <w:dstrike w:val="0"/>
                <w:snapToGrid w:val="0"/>
                <w:kern w:val="28"/>
                <w:sz w:val="24"/>
                <w:highlight w:val="none"/>
                <w:lang w:eastAsia="zh-CN"/>
              </w:rPr>
              <w:t>：</w:t>
            </w:r>
            <w:r>
              <w:rPr>
                <w:rFonts w:hint="eastAsia" w:ascii="仿宋" w:hAnsi="仿宋" w:eastAsia="仿宋" w:cs="仿宋"/>
                <w:strike w:val="0"/>
                <w:dstrike w:val="0"/>
                <w:snapToGrid w:val="0"/>
                <w:kern w:val="28"/>
                <w:sz w:val="24"/>
                <w:highlight w:val="none"/>
              </w:rPr>
              <w:t>合同金额的</w:t>
            </w:r>
            <w:r>
              <w:rPr>
                <w:rFonts w:hint="eastAsia" w:ascii="仿宋" w:hAnsi="仿宋" w:eastAsia="仿宋" w:cs="仿宋"/>
                <w:strike w:val="0"/>
                <w:dstrike w:val="0"/>
                <w:snapToGrid w:val="0"/>
                <w:kern w:val="28"/>
                <w:sz w:val="24"/>
                <w:highlight w:val="none"/>
                <w:lang w:val="en-US" w:eastAsia="zh-CN"/>
              </w:rPr>
              <w:t>0.5</w:t>
            </w:r>
            <w:r>
              <w:rPr>
                <w:rFonts w:hint="eastAsia" w:ascii="仿宋" w:hAnsi="仿宋" w:eastAsia="仿宋" w:cs="仿宋"/>
                <w:strike w:val="0"/>
                <w:dstrike w:val="0"/>
                <w:snapToGrid w:val="0"/>
                <w:kern w:val="28"/>
                <w:sz w:val="24"/>
                <w:highlight w:val="none"/>
              </w:rPr>
              <w:t>%</w:t>
            </w:r>
          </w:p>
        </w:tc>
      </w:tr>
      <w:tr w14:paraId="71632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01" w:type="dxa"/>
            <w:vAlign w:val="center"/>
          </w:tcPr>
          <w:p w14:paraId="571F0D2E">
            <w:pPr>
              <w:snapToGrid w:val="0"/>
              <w:spacing w:line="336" w:lineRule="auto"/>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20</w:t>
            </w:r>
          </w:p>
        </w:tc>
        <w:tc>
          <w:tcPr>
            <w:tcW w:w="8439" w:type="dxa"/>
            <w:gridSpan w:val="2"/>
            <w:vAlign w:val="center"/>
          </w:tcPr>
          <w:p w14:paraId="5ED9F8F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val="0"/>
                <w:dstrike w:val="0"/>
                <w:snapToGrid w:val="0"/>
                <w:kern w:val="28"/>
                <w:sz w:val="24"/>
                <w:highlight w:val="none"/>
              </w:rPr>
            </w:pPr>
            <w:r>
              <w:rPr>
                <w:rFonts w:hint="eastAsia" w:ascii="仿宋" w:hAnsi="仿宋" w:eastAsia="仿宋" w:cs="仿宋"/>
                <w:strike w:val="0"/>
                <w:dstrike w:val="0"/>
                <w:snapToGrid w:val="0"/>
                <w:kern w:val="28"/>
                <w:sz w:val="24"/>
                <w:highlight w:val="none"/>
              </w:rPr>
              <w:t>采购代理服务费：费用由采购人支付，具体以双方签订的合同为准</w:t>
            </w:r>
            <w:r>
              <w:rPr>
                <w:rFonts w:hint="eastAsia" w:ascii="仿宋" w:hAnsi="仿宋" w:eastAsia="仿宋" w:cs="仿宋"/>
                <w:strike w:val="0"/>
                <w:dstrike w:val="0"/>
                <w:snapToGrid w:val="0"/>
                <w:kern w:val="28"/>
                <w:sz w:val="24"/>
                <w:highlight w:val="none"/>
                <w:lang w:eastAsia="zh-CN"/>
              </w:rPr>
              <w:t>。</w:t>
            </w:r>
          </w:p>
        </w:tc>
      </w:tr>
      <w:tr w14:paraId="2D5F2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9240" w:type="dxa"/>
            <w:gridSpan w:val="3"/>
            <w:vAlign w:val="center"/>
          </w:tcPr>
          <w:p w14:paraId="294B16D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14:paraId="3DF08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7183AE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bookmarkEnd w:id="4"/>
    </w:tbl>
    <w:p w14:paraId="4818B89D">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highlight w:val="none"/>
        </w:rPr>
      </w:pPr>
      <w:bookmarkStart w:id="17" w:name="_Toc164416483"/>
      <w:bookmarkStart w:id="18" w:name="第三部分"/>
    </w:p>
    <w:p w14:paraId="79E479D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p>
    <w:p w14:paraId="70F3819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p>
    <w:p w14:paraId="0F6C493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p>
    <w:p w14:paraId="42B52A3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p>
    <w:p w14:paraId="2C414DC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p>
    <w:p w14:paraId="4AFD46E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p>
    <w:p w14:paraId="0711D5F9">
      <w:pPr>
        <w:rPr>
          <w:rFonts w:hint="eastAsia" w:ascii="仿宋" w:hAnsi="仿宋" w:eastAsia="仿宋" w:cs="仿宋"/>
          <w:b/>
          <w:sz w:val="32"/>
          <w:szCs w:val="32"/>
          <w:highlight w:val="none"/>
        </w:rPr>
      </w:pPr>
      <w:r>
        <w:rPr>
          <w:rFonts w:hint="eastAsia" w:ascii="仿宋" w:hAnsi="仿宋" w:eastAsia="仿宋" w:cs="仿宋"/>
          <w:b/>
          <w:sz w:val="32"/>
          <w:szCs w:val="32"/>
          <w:highlight w:val="none"/>
        </w:rPr>
        <w:br w:type="page"/>
      </w:r>
    </w:p>
    <w:p w14:paraId="04C2B8A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一、总则</w:t>
      </w:r>
    </w:p>
    <w:p w14:paraId="597E5D73">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14:paraId="0B7BFE9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14:paraId="028FA6DE">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14:paraId="2637CC0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14:paraId="16F49FA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 “</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”系指招标公告中载明的本项目的</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p>
    <w:p w14:paraId="04F48E5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14:paraId="3DB7883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2.4</w:t>
      </w:r>
      <w:r>
        <w:rPr>
          <w:rFonts w:hint="eastAsia" w:ascii="仿宋" w:hAnsi="仿宋" w:eastAsia="仿宋" w:cs="仿宋"/>
          <w:sz w:val="24"/>
          <w:highlight w:val="none"/>
        </w:rPr>
        <w:t>“监督单位”系指政府采购法定义监督管理部门</w:t>
      </w:r>
      <w:r>
        <w:rPr>
          <w:rFonts w:hint="eastAsia" w:ascii="仿宋" w:hAnsi="仿宋" w:eastAsia="仿宋" w:cs="仿宋"/>
          <w:sz w:val="24"/>
          <w:highlight w:val="none"/>
          <w:lang w:val="en-US" w:eastAsia="zh-CN"/>
        </w:rPr>
        <w:t>。</w:t>
      </w:r>
    </w:p>
    <w:p w14:paraId="09407C4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 xml:space="preserve"> “负责人”系指法人企业的法定负责人，或其他组织为法律、行政法规规定代表单位行使职权的主要负责人，或自然人本人。</w:t>
      </w:r>
    </w:p>
    <w:p w14:paraId="390FF21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w:t>
      </w:r>
    </w:p>
    <w:p w14:paraId="4D1BAD2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“电子交易平台”</w:t>
      </w:r>
      <w:r>
        <w:rPr>
          <w:rFonts w:hint="eastAsia" w:ascii="仿宋" w:hAnsi="仿宋" w:eastAsia="仿宋" w:cs="仿宋"/>
          <w:sz w:val="24"/>
          <w:highlight w:val="none"/>
          <w:lang w:val="en-US" w:eastAsia="zh-CN"/>
        </w:rPr>
        <w:t>系</w:t>
      </w:r>
      <w:r>
        <w:rPr>
          <w:rFonts w:hint="eastAsia" w:ascii="仿宋" w:hAnsi="仿宋" w:eastAsia="仿宋" w:cs="仿宋"/>
          <w:sz w:val="24"/>
          <w:highlight w:val="none"/>
        </w:rPr>
        <w:t>指本项目政府采购活动所依托的政府采购云平台（https://www.zcygov.cn/）。</w:t>
      </w:r>
    </w:p>
    <w:p w14:paraId="4FC9598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highlight w:val="none"/>
          <w:lang w:eastAsia="zh-CN"/>
        </w:rPr>
        <w:t>☑</w:t>
      </w:r>
      <w:r>
        <w:rPr>
          <w:rFonts w:hint="eastAsia" w:ascii="仿宋" w:hAnsi="仿宋" w:eastAsia="仿宋" w:cs="仿宋"/>
          <w:sz w:val="24"/>
          <w:highlight w:val="none"/>
        </w:rPr>
        <w:t>”系指适用本项目的要求，“☐”系指不适用本项目的要求。</w:t>
      </w:r>
    </w:p>
    <w:p w14:paraId="68886D4B">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3.采购项目需要落实的政府采购政策</w:t>
      </w:r>
    </w:p>
    <w:p w14:paraId="57413EF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CD342E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 支持绿色发展</w:t>
      </w:r>
    </w:p>
    <w:p w14:paraId="0544991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02C997F">
      <w:pPr>
        <w:spacing w:line="44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0C4BE19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0D244BF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F27796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7DDBEBBA">
      <w:pPr>
        <w:spacing w:line="44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w:t>
      </w:r>
      <w:r>
        <w:rPr>
          <w:rFonts w:hint="eastAsia" w:ascii="仿宋" w:hAnsi="仿宋" w:eastAsia="仿宋" w:cs="仿宋"/>
          <w:bCs/>
          <w:color w:val="000000" w:themeColor="text1"/>
          <w:sz w:val="24"/>
          <w:highlight w:val="none"/>
          <w14:textFill>
            <w14:solidFill>
              <w14:schemeClr w14:val="tx1"/>
            </w14:solidFill>
          </w14:textFill>
        </w:rPr>
        <w:t>小微</w:t>
      </w:r>
      <w:r>
        <w:rPr>
          <w:rFonts w:hint="eastAsia" w:ascii="仿宋" w:hAnsi="仿宋" w:eastAsia="仿宋" w:cs="仿宋"/>
          <w:color w:val="000000" w:themeColor="text1"/>
          <w:sz w:val="24"/>
          <w:highlight w:val="none"/>
          <w14:textFill>
            <w14:solidFill>
              <w14:schemeClr w14:val="tx1"/>
            </w14:solidFill>
          </w14:textFill>
        </w:rPr>
        <w:t>企业价格扣除（按财库〔2022〕19号文件规定执行）</w:t>
      </w:r>
    </w:p>
    <w:p w14:paraId="7FA79262">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sz w:val="24"/>
          <w:highlight w:val="none"/>
        </w:rPr>
        <w:t>3.3.1小微企业是指</w:t>
      </w:r>
      <w:r>
        <w:rPr>
          <w:rFonts w:hint="eastAsia" w:ascii="仿宋" w:hAnsi="仿宋" w:eastAsia="仿宋" w:cs="仿宋"/>
          <w:bCs/>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BF12994">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符合中小企业划分标准的个体工商户，在政府采购活动中视同中小企业。</w:t>
      </w:r>
    </w:p>
    <w:p w14:paraId="11D5A22A">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3.3.2在货物采购项目中，货物由小微企业制造，即货物由小微企业生产且使用该小微企业商号或者注册商标。</w:t>
      </w:r>
      <w:r>
        <w:rPr>
          <w:rFonts w:hint="eastAsia" w:ascii="仿宋" w:hAnsi="仿宋" w:eastAsia="仿宋" w:cs="仿宋"/>
          <w:b/>
          <w:bCs/>
          <w:sz w:val="24"/>
          <w:highlight w:val="none"/>
        </w:rPr>
        <w:t>供应商提供的货物既有中小企业制造货物，也有大型企业制造货物的，不享受中小企业扶持政策。</w:t>
      </w:r>
    </w:p>
    <w:p w14:paraId="5B7A35B0">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3.3.3在服务采购项目中，服务由小微企业承接，即提供服务的人员为小微企业依照《中华人民共和国劳动合同法》订立劳动合同的从业人员。</w:t>
      </w:r>
    </w:p>
    <w:p w14:paraId="34ED973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3.3.4小微企业应按照招标文件格式要求提供《中小企业声明函》。</w:t>
      </w:r>
    </w:p>
    <w:p w14:paraId="3512E27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的扣除，用扣除后的价格参加评审。</w:t>
      </w:r>
    </w:p>
    <w:p w14:paraId="1E60D05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的扣除，用扣除后的价格参加评审。组成联合体或者接受分包的小微企业与联合体内其他企业、分包企业之间存在直接控股、管理关系的，不享受价格扣除优惠政策。</w:t>
      </w:r>
    </w:p>
    <w:p w14:paraId="79133CF3">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联合体各方均为中小企业的，联合体视同中小企业。其中，联合体各方均为小微企业的，联合体视同小微企业。</w:t>
      </w:r>
    </w:p>
    <w:p w14:paraId="49D0DF97">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3.3.7符合《关于促进残疾人就业政府采购政策的通知》（财库〔2017〕141号）规定的条件并提供《残疾人福利性单位声明函》的残疾人福利性单位视同小微企业；</w:t>
      </w:r>
    </w:p>
    <w:p w14:paraId="7A4A708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0124E1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3.4</w:t>
      </w:r>
      <w:r>
        <w:rPr>
          <w:rFonts w:hint="eastAsia" w:ascii="仿宋" w:hAnsi="仿宋" w:eastAsia="仿宋" w:cs="仿宋"/>
          <w:bCs/>
          <w:sz w:val="24"/>
          <w:highlight w:val="none"/>
        </w:rPr>
        <w:t>支持科技</w:t>
      </w:r>
      <w:r>
        <w:rPr>
          <w:rFonts w:hint="eastAsia" w:ascii="仿宋" w:hAnsi="仿宋" w:eastAsia="仿宋" w:cs="仿宋"/>
          <w:bCs/>
          <w:color w:val="000000" w:themeColor="text1"/>
          <w:sz w:val="24"/>
          <w:highlight w:val="none"/>
          <w14:textFill>
            <w14:solidFill>
              <w14:schemeClr w14:val="tx1"/>
            </w14:solidFill>
          </w14:textFill>
        </w:rPr>
        <w:t>创新</w:t>
      </w:r>
      <w:r>
        <w:rPr>
          <w:rFonts w:hint="eastAsia" w:ascii="仿宋" w:hAnsi="仿宋" w:eastAsia="仿宋" w:cs="仿宋"/>
          <w:bCs/>
          <w:sz w:val="24"/>
          <w:highlight w:val="none"/>
        </w:rPr>
        <w:t>发展</w:t>
      </w:r>
    </w:p>
    <w:p w14:paraId="2893F7D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对省级以上主管部门认定的首台套产品，自纳入《省推广应用指导目录》起三年内参加政府采购活动，视同已具备相应销售业绩，业绩分为满分。</w:t>
      </w:r>
    </w:p>
    <w:p w14:paraId="4B79B9D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14:paraId="1B05A23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109886F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★4.特别说明：</w:t>
      </w:r>
    </w:p>
    <w:p w14:paraId="495C90C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4.1供应商投标所使用的资格、信誉、荣誉与企业认证必须为投标单位所拥有。供应商投标所使用的采购项目实施人员必须为投标单位正式员工。</w:t>
      </w:r>
    </w:p>
    <w:p w14:paraId="78F9FB8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4.2供应商应仔细阅读招标文件的所有内容，按照招标文件的要求提交投标文件，并对所提供的全部资料的真实性承担法律责任。</w:t>
      </w:r>
    </w:p>
    <w:p w14:paraId="6A243A4D">
      <w:pPr>
        <w:spacing w:line="440" w:lineRule="exact"/>
        <w:ind w:firstLine="480" w:firstLineChars="200"/>
        <w:rPr>
          <w:rFonts w:hint="eastAsia" w:ascii="仿宋" w:hAnsi="仿宋" w:eastAsia="仿宋" w:cs="仿宋"/>
          <w:highlight w:val="none"/>
        </w:rPr>
      </w:pPr>
      <w:r>
        <w:rPr>
          <w:rFonts w:hint="eastAsia" w:ascii="仿宋" w:hAnsi="仿宋" w:eastAsia="仿宋" w:cs="仿宋"/>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6359234">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p>
    <w:p w14:paraId="66C46E57">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p>
    <w:p w14:paraId="2D863D09">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p>
    <w:p w14:paraId="41B8279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二、招标文件</w:t>
      </w:r>
    </w:p>
    <w:p w14:paraId="04AB3C8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1．招标方式</w:t>
      </w:r>
    </w:p>
    <w:p w14:paraId="04CB35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 本次招标采用公开招标方式进行。</w:t>
      </w:r>
    </w:p>
    <w:p w14:paraId="4913D67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14:paraId="4D8C0A0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14:paraId="6461A6BB">
      <w:pPr>
        <w:pStyle w:val="26"/>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2.授权委托</w:t>
      </w:r>
    </w:p>
    <w:p w14:paraId="49D63FF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本项目为电子投标项目，投标人的法定代表人或其授权代表或个体工商户不需要参加现场投标和开标。</w:t>
      </w:r>
    </w:p>
    <w:p w14:paraId="7F220D6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3.投标费用</w:t>
      </w:r>
    </w:p>
    <w:p w14:paraId="6DDEE58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投标人应自行承担编制投标文件及参加本次投标所涉及的一切费用。不管投标结果如何，采购人对上述费用不负任何责任。</w:t>
      </w:r>
    </w:p>
    <w:p w14:paraId="57FA238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4.招标文件的修改</w:t>
      </w:r>
    </w:p>
    <w:p w14:paraId="6912BA7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4.1招标文件包括本招标文件及所有的招标答疑记录（澄清、修改）和发出的补充通知。</w:t>
      </w:r>
    </w:p>
    <w:p w14:paraId="1C55844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4.2招标文件的澄清 </w:t>
      </w:r>
    </w:p>
    <w:p w14:paraId="56DFB06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6C34472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4.3招标文件的修改</w:t>
      </w:r>
    </w:p>
    <w:p w14:paraId="2774E98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0B0686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593EE25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5.参考品牌</w:t>
      </w:r>
    </w:p>
    <w:p w14:paraId="3C89F77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4D13312">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14:paraId="76CB4258">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三、投标</w:t>
      </w:r>
      <w:r>
        <w:rPr>
          <w:rFonts w:hint="eastAsia" w:ascii="仿宋" w:hAnsi="仿宋" w:eastAsia="仿宋" w:cs="仿宋"/>
          <w:b/>
          <w:sz w:val="32"/>
          <w:szCs w:val="32"/>
          <w:highlight w:val="none"/>
          <w:lang w:eastAsia="zh-CN"/>
        </w:rPr>
        <w:t>文件</w:t>
      </w:r>
    </w:p>
    <w:p w14:paraId="44E8670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rPr>
        <w:t>投标文件的语言、计量单位、形式及效力</w:t>
      </w:r>
    </w:p>
    <w:p w14:paraId="321ED1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14:paraId="7DF0A8B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14:paraId="37A82D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14:paraId="63036B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14:paraId="4D0A7AA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14:paraId="63929BE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14:paraId="7F361EB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14:paraId="3BFB460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14:paraId="7B6C1F77">
      <w:pPr>
        <w:pStyle w:val="34"/>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10C799CE">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000000" w:themeColor="text1"/>
          <w:sz w:val="24"/>
          <w:highlight w:val="none"/>
          <w:lang w:eastAsia="zh-CN"/>
          <w14:textFill>
            <w14:solidFill>
              <w14:schemeClr w14:val="tx1"/>
            </w14:solidFill>
          </w14:textFill>
        </w:rPr>
        <w:t>商务技术文件</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59D3C35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1E0F31C">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7F572581">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3953F55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A684AE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66BB1024">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3413222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4F7DE81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7EBB89F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06FD7A1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3AB36BF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413F0CF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72E478F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768E66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04D1BD4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B65E150">
      <w:pPr>
        <w:snapToGrid w:val="0"/>
        <w:spacing w:line="336"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2.2.9承诺书（格式见第六部分附件）</w:t>
      </w:r>
    </w:p>
    <w:p w14:paraId="374B417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2.2.10供应商应提供针对项目的完整技术解决方案：</w:t>
      </w:r>
    </w:p>
    <w:p w14:paraId="77917CC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483E89F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D4BCE9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C40CC3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2.2.11针对本项目建设的详细实施计划。本项目详细工作实施组织方案，包括(但不限于)以下内容：组织机构、工作时间进度表、工作程序和步骤、管理和协调方法、关键步骤的思路和要点。</w:t>
      </w:r>
    </w:p>
    <w:p w14:paraId="4D3D87C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2.2.12项目验收之前、验收之后的维护方案；针对本</w:t>
      </w:r>
      <w:r>
        <w:rPr>
          <w:rFonts w:hint="eastAsia" w:ascii="仿宋" w:hAnsi="仿宋" w:eastAsia="仿宋" w:cs="仿宋"/>
          <w:color w:val="000000" w:themeColor="text1"/>
          <w:sz w:val="24"/>
          <w:highlight w:val="none"/>
          <w:lang w:val="en-US" w:eastAsia="zh-CN"/>
          <w14:textFill>
            <w14:solidFill>
              <w14:schemeClr w14:val="tx1"/>
            </w14:solidFill>
          </w14:textFill>
        </w:rPr>
        <w:t>项目的维护方案，包括售后服务机构及人员情况等。供应商应以书面</w:t>
      </w:r>
      <w:r>
        <w:rPr>
          <w:rFonts w:hint="eastAsia" w:ascii="仿宋" w:hAnsi="仿宋" w:eastAsia="仿宋" w:cs="仿宋"/>
          <w:color w:val="auto"/>
          <w:sz w:val="24"/>
          <w:highlight w:val="none"/>
          <w:lang w:val="en-US" w:eastAsia="zh-CN"/>
        </w:rPr>
        <w:t>形式完整准确地表述售后服务承诺(范围、标准及期限等)、供应商可能增加的服务承诺等。并明示服务承诺可能涉及的前提设定和费用，否则将被认为是无条件和免费的。承诺质保期内均提供免费上门服务。</w:t>
      </w:r>
    </w:p>
    <w:p w14:paraId="36B2714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2.2.13供应商售后服务证明材料：由供应商根据本项目要求提供相应的售后服务证明材料或售后服务承诺；</w:t>
      </w:r>
    </w:p>
    <w:p w14:paraId="307D318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EDA2B4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优惠条件：供应商承诺给予采购人的各种优惠条件，包括设备价格、运输、保险、安装调试、付款条件、技术服务、售后服务等方面的优惠；当优惠条件涉及“报价单”中的各项费用时，必须与最后报价相统一；（如有）</w:t>
      </w:r>
    </w:p>
    <w:p w14:paraId="5C4AD0E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2.2.13备品备件清单（含随机自带的备品备件和质保期后供采购人选择的备品备件及配套零部件，明细备品备件及价格，且供货价格不高于成交价格；成交货物设备应提供易损部件的备件和整机备品）；（如有）</w:t>
      </w:r>
    </w:p>
    <w:p w14:paraId="3A59EA1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2.2.17培训计划（如有）；</w:t>
      </w:r>
    </w:p>
    <w:p w14:paraId="73BF12D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2.2.18验收方案；</w:t>
      </w:r>
    </w:p>
    <w:p w14:paraId="00AFFB63">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r>
        <w:rPr>
          <w:rFonts w:hint="eastAsia" w:ascii="仿宋" w:hAnsi="仿宋" w:eastAsia="仿宋" w:cs="仿宋"/>
          <w:color w:val="auto"/>
          <w:sz w:val="24"/>
          <w:highlight w:val="none"/>
          <w:u w:val="none"/>
        </w:rPr>
        <w:t>；</w:t>
      </w:r>
    </w:p>
    <w:p w14:paraId="5554A92D">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14:paraId="04624FE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2ABF5313">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2D169D8E">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2.3.2投标报价明细表</w:t>
      </w:r>
      <w:r>
        <w:rPr>
          <w:rFonts w:hint="eastAsia" w:ascii="仿宋" w:hAnsi="仿宋" w:eastAsia="仿宋" w:cs="仿宋"/>
          <w:color w:val="auto"/>
          <w:sz w:val="24"/>
          <w:highlight w:val="none"/>
          <w:lang w:eastAsia="zh-CN"/>
        </w:rPr>
        <w:t>；</w:t>
      </w:r>
    </w:p>
    <w:p w14:paraId="43BB05E1">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中小企业声明函（如有）；</w:t>
      </w:r>
    </w:p>
    <w:p w14:paraId="58EBB2CB">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残疾人福利性单位声明函（如有）；</w:t>
      </w:r>
    </w:p>
    <w:p w14:paraId="151982F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7B9BB6C3">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6EFEE3F0">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14B41E9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7134D113">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highlight w:val="none"/>
        </w:rPr>
        <w:t>4.</w:t>
      </w:r>
      <w:r>
        <w:rPr>
          <w:rFonts w:hint="eastAsia" w:ascii="仿宋" w:hAnsi="仿宋" w:eastAsia="仿宋" w:cs="仿宋"/>
          <w:b/>
          <w:szCs w:val="24"/>
          <w:highlight w:val="none"/>
        </w:rPr>
        <w:t>投标文件的编制</w:t>
      </w:r>
      <w:r>
        <w:rPr>
          <w:rFonts w:hint="eastAsia" w:ascii="仿宋" w:hAnsi="仿宋" w:eastAsia="仿宋" w:cs="仿宋"/>
          <w:b/>
          <w:szCs w:val="24"/>
          <w:highlight w:val="none"/>
          <w:lang w:eastAsia="zh-CN"/>
        </w:rPr>
        <w:t>和</w:t>
      </w:r>
      <w:r>
        <w:rPr>
          <w:rFonts w:hint="eastAsia" w:ascii="仿宋" w:hAnsi="仿宋" w:eastAsia="仿宋" w:cs="仿宋"/>
          <w:b/>
          <w:sz w:val="24"/>
          <w:highlight w:val="none"/>
        </w:rPr>
        <w:t>签署</w:t>
      </w:r>
    </w:p>
    <w:p w14:paraId="7768490B">
      <w:pPr>
        <w:snapToGrid w:val="0"/>
        <w:spacing w:line="440" w:lineRule="exact"/>
        <w:ind w:firstLine="480" w:firstLineChars="2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6E2E4A6">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A42774F">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14:paraId="3AC82385">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14:paraId="45BD00F9">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4B4417B4">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4.6</w:t>
      </w:r>
      <w:r>
        <w:rPr>
          <w:rFonts w:hint="eastAsia" w:ascii="仿宋" w:hAnsi="仿宋" w:eastAsia="仿宋" w:cs="仿宋"/>
          <w:sz w:val="24"/>
          <w:highlight w:val="none"/>
          <w:lang w:val="zh-CN"/>
        </w:rPr>
        <w:t>招标文件对投标文件签署、盖章的要求适用于电子签名。</w:t>
      </w:r>
    </w:p>
    <w:p w14:paraId="2C2ECA8E">
      <w:pPr>
        <w:pStyle w:val="130"/>
        <w:spacing w:before="0" w:line="440" w:lineRule="exact"/>
        <w:ind w:firstLine="482" w:firstLineChars="200"/>
        <w:rPr>
          <w:rFonts w:ascii="仿宋" w:hAnsi="仿宋" w:eastAsia="仿宋" w:cs="仿宋"/>
          <w:b/>
          <w:szCs w:val="24"/>
          <w:highlight w:val="none"/>
        </w:rPr>
      </w:pPr>
      <w:r>
        <w:rPr>
          <w:rFonts w:hint="eastAsia" w:ascii="仿宋" w:hAnsi="仿宋" w:eastAsia="仿宋" w:cs="仿宋"/>
          <w:b/>
          <w:szCs w:val="24"/>
          <w:highlight w:val="none"/>
          <w:lang w:val="en-US" w:eastAsia="zh-CN"/>
        </w:rPr>
        <w:t>5</w:t>
      </w:r>
      <w:r>
        <w:rPr>
          <w:rFonts w:ascii="仿宋" w:hAnsi="仿宋" w:eastAsia="仿宋" w:cs="仿宋"/>
          <w:b/>
          <w:szCs w:val="24"/>
          <w:highlight w:val="none"/>
        </w:rPr>
        <w:t>.</w:t>
      </w:r>
      <w:r>
        <w:rPr>
          <w:rFonts w:hint="eastAsia" w:ascii="仿宋" w:hAnsi="仿宋" w:eastAsia="仿宋" w:cs="仿宋"/>
          <w:b/>
          <w:szCs w:val="24"/>
          <w:highlight w:val="none"/>
        </w:rPr>
        <w:t>投标文件的提交、补充、修改、撤回</w:t>
      </w:r>
    </w:p>
    <w:p w14:paraId="23F45813">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47B6535">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5670B04B">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1CAE3944">
      <w:pPr>
        <w:adjustRightInd w:val="0"/>
        <w:spacing w:line="440" w:lineRule="exact"/>
        <w:ind w:left="0" w:leftChars="0" w:firstLine="482" w:firstLineChars="200"/>
        <w:jc w:val="both"/>
        <w:rPr>
          <w:rFonts w:hint="eastAsia" w:ascii="仿宋" w:hAnsi="仿宋" w:eastAsia="仿宋" w:cs="仿宋"/>
          <w:b/>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11BDDD88">
      <w:pPr>
        <w:adjustRightInd w:val="0"/>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6CC69C14">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6C0539F1">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6B2B8B46">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highlight w:val="none"/>
        </w:rPr>
      </w:pPr>
    </w:p>
    <w:p w14:paraId="3451549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highlight w:val="none"/>
        </w:rPr>
      </w:pPr>
      <w:bookmarkStart w:id="19" w:name="_Toc91899903"/>
      <w:r>
        <w:rPr>
          <w:rFonts w:hint="eastAsia" w:ascii="仿宋" w:hAnsi="仿宋" w:eastAsia="仿宋" w:cs="仿宋"/>
          <w:b/>
          <w:sz w:val="32"/>
          <w:szCs w:val="32"/>
          <w:highlight w:val="none"/>
        </w:rPr>
        <w:t>四、开标和评标</w:t>
      </w:r>
    </w:p>
    <w:p w14:paraId="6B1371E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1．电子招投标开标及评审程序</w:t>
      </w:r>
    </w:p>
    <w:p w14:paraId="568AA6D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1.1投标截止时间后，主持人宣布开标会开始。</w:t>
      </w:r>
    </w:p>
    <w:p w14:paraId="153DC2E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1.2投标人登录政采云平台，用“项目采购-开标评标”功能对电子投标文件进行在线解密。在线解密电子投标文件时间为开标时间起30分钟内。</w:t>
      </w:r>
    </w:p>
    <w:p w14:paraId="35F2B8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1.3采购人或采购代理机构对投标人进行资格审查。</w:t>
      </w:r>
    </w:p>
    <w:p w14:paraId="0ED1BE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1.4评标委员会对商务技术响应文件进行评审。</w:t>
      </w:r>
    </w:p>
    <w:p w14:paraId="7A507D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1.5主持人宣布商务技术得分及无效（废）投标情形（如有），公布经商务技术评审符合招标文件要求的投标人名单及其商务技术得分。</w:t>
      </w:r>
    </w:p>
    <w:p w14:paraId="6BF387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33D4DE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1.7评标委员会对投标文件报价文件资料进行评审，核准投标报价及计算价格分，汇总商务技术分、价格分，根据得分排序确定中标候选人。</w:t>
      </w:r>
    </w:p>
    <w:p w14:paraId="61EAB0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1.8主持人公布评标结果。</w:t>
      </w:r>
    </w:p>
    <w:p w14:paraId="5A0D355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14:paraId="7124D02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14:paraId="22DB46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2.1电子交易平台发生故障而无法登录访问的； </w:t>
      </w:r>
    </w:p>
    <w:p w14:paraId="12525CA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2.2电子交易平台应用或数据库出现错误，不能进行正常操作的；</w:t>
      </w:r>
    </w:p>
    <w:p w14:paraId="317FF8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2.3电子交易平台发现严重安全漏洞，有潜在泄密危险的；</w:t>
      </w:r>
    </w:p>
    <w:p w14:paraId="42B87FC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2.4病毒发作导致不能进行正常操作的； </w:t>
      </w:r>
    </w:p>
    <w:p w14:paraId="13003E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2.5其他无法保证电子交易的公平、公正和安全的情况。</w:t>
      </w:r>
    </w:p>
    <w:p w14:paraId="031843B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E4EBC2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3．评标</w:t>
      </w:r>
    </w:p>
    <w:p w14:paraId="5300BD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3.1评标委员会由招标采购单位依法组建，负责评标活动。评标委员会遵循公开、公平、公正、科学合理、竞争择优的原则。</w:t>
      </w:r>
    </w:p>
    <w:p w14:paraId="7B62F2C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3.2评标委员会由采购人代表和有关方面的专家组成，成员人数为五人以上单数。</w:t>
      </w:r>
    </w:p>
    <w:p w14:paraId="6C93A9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291E87C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8BFED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供应商通过政采云平台交换的数据电文必须进行电子签章。</w:t>
      </w:r>
    </w:p>
    <w:p w14:paraId="08D1862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638249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3.5评标委员会对投标文件的判定，只依据投标文件和招标文件内容本身，不依据任何外来证明。</w:t>
      </w:r>
    </w:p>
    <w:p w14:paraId="42EB155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sz w:val="24"/>
          <w:highlight w:val="none"/>
          <w:lang w:val="en-US" w:eastAsia="zh-CN"/>
        </w:rPr>
        <w:t>3.6评标委员会不向落标方解释落标的原因。</w:t>
      </w:r>
    </w:p>
    <w:p w14:paraId="15D46BB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14:paraId="1B763B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4.1资格性审查</w:t>
      </w:r>
    </w:p>
    <w:p w14:paraId="60F9646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4.1.1依据法律、法规和招标文件规定，采购人或采购人代表对投标人进行资格审查，以确定投标人是否具备投标资格。</w:t>
      </w:r>
    </w:p>
    <w:p w14:paraId="4C7AB9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4.2符合性审查</w:t>
      </w:r>
    </w:p>
    <w:p w14:paraId="2FF7EE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750A6E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26DC2819">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14:paraId="70BE67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5.1投标文件中开标一览表（报价表）内容与投标文件中相应内容不一致的，以开标一览表（报价表）为准；</w:t>
      </w:r>
    </w:p>
    <w:p w14:paraId="4BC166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5.2大写金额和小写金额不一致的，以大写金额为准；</w:t>
      </w:r>
    </w:p>
    <w:p w14:paraId="7DD4CF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5.3单价金额小数点或者百分比有明显错位的，以《开标一览表》（报价表）的总价为准，并修改单价；</w:t>
      </w:r>
    </w:p>
    <w:p w14:paraId="5EAB282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5.4总价金额与按单价汇总金额不一致的，以单价金额计算结果为准。</w:t>
      </w:r>
    </w:p>
    <w:p w14:paraId="7173C6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3547C66">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14:paraId="5F502E7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6.1评标委员会将对在实质上响应招标文件要求的投标文件进行评估和比较。</w:t>
      </w:r>
    </w:p>
    <w:p w14:paraId="2622890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661F2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6.3在评标过程中，如发现与招标文件要求相偏离的，评标委员会可对其偏离情形进行必要的核实。</w:t>
      </w:r>
    </w:p>
    <w:p w14:paraId="2B4646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5CB7788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6.5比较与评价。评标委员会应当按照评标标准，对符合性审查合格的投标文件进行商务和技术评估，综合比较与评价。</w:t>
      </w:r>
    </w:p>
    <w:p w14:paraId="503E59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6.6汇总（商务技术得分情况）。评标委员会各成员应当独立对每个投标人的</w:t>
      </w:r>
      <w:r>
        <w:rPr>
          <w:rFonts w:hint="eastAsia" w:ascii="仿宋" w:hAnsi="仿宋" w:eastAsia="仿宋" w:cs="仿宋"/>
          <w:color w:val="000000" w:themeColor="text1"/>
          <w:sz w:val="24"/>
          <w:highlight w:val="none"/>
          <w:lang w:val="en-US" w:eastAsia="zh-CN"/>
          <w14:textFill>
            <w14:solidFill>
              <w14:schemeClr w14:val="tx1"/>
            </w14:solidFill>
          </w14:textFill>
        </w:rPr>
        <w:t>商务技术文件进</w:t>
      </w:r>
      <w:r>
        <w:rPr>
          <w:rFonts w:hint="eastAsia" w:ascii="仿宋" w:hAnsi="仿宋" w:eastAsia="仿宋" w:cs="仿宋"/>
          <w:sz w:val="24"/>
          <w:highlight w:val="none"/>
          <w:lang w:val="en-US" w:eastAsia="zh-CN"/>
        </w:rPr>
        <w:t>行评价，并汇总商务技术得分情况。</w:t>
      </w:r>
    </w:p>
    <w:p w14:paraId="374CFB0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 报价审核。对符合采购需求且通过商务技术评审的投标人的报价的合理性、准确性等进行审查核实。</w:t>
      </w:r>
    </w:p>
    <w:p w14:paraId="65D1267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125BD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5DE726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6.7.3如需投标价格修正，按财政部87号令第五十九条的规定对投标价格进行修正。</w:t>
      </w:r>
    </w:p>
    <w:p w14:paraId="4E89BC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741C163B">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highlight w:val="none"/>
        </w:rPr>
      </w:pPr>
      <w:r>
        <w:rPr>
          <w:rFonts w:hint="eastAsia" w:ascii="仿宋" w:hAnsi="仿宋" w:eastAsia="仿宋" w:cs="仿宋"/>
          <w:b/>
          <w:highlight w:val="none"/>
        </w:rPr>
        <w:t>7.投标文件的澄清</w:t>
      </w:r>
    </w:p>
    <w:p w14:paraId="48D8FF72">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1B627671">
      <w:pPr>
        <w:pStyle w:val="34"/>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14:paraId="7E9A6602">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14:paraId="6051AD1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14:paraId="6B9738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14:paraId="471BB95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14:paraId="0C3C627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14:paraId="34D0CB1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14:paraId="28E43D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14:paraId="561F1A5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14:paraId="4BB72D9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14:paraId="26E4395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14:paraId="542736B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14:paraId="47A22F1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8.11出现同一标的物或本次招标产品(服务)内的主要产品(重要组成部分)出现商务技术文件、报价文件描述不一致或前后描述不一致，经评标委员会认定后为无法评审的；</w:t>
      </w:r>
    </w:p>
    <w:p w14:paraId="6B76BFB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14:paraId="5845CF9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14:paraId="60D9641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AFC6CA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14:paraId="26A57F7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8.16投标文件“商务技术文件”部分中出现《开标一览表》（报价表）相关内容的；</w:t>
      </w:r>
    </w:p>
    <w:p w14:paraId="0856A21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14:paraId="30E266A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8.18《开标一览表》（报价表）填写不完整或字迹不能辨认或有漏项的，经评标委员会认定属于重大偏差的；</w:t>
      </w:r>
    </w:p>
    <w:p w14:paraId="0068601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14:paraId="586C7F7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14:paraId="2F70F01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8.20.1使用伪造、变造的许可证件；</w:t>
      </w:r>
    </w:p>
    <w:p w14:paraId="31AA32C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8.20.2提供虚假的财务状况或者业绩；</w:t>
      </w:r>
    </w:p>
    <w:p w14:paraId="397D223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14:paraId="464FB53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8.20.4提供虚假的信用状况；</w:t>
      </w:r>
    </w:p>
    <w:p w14:paraId="7DD2B5B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8.20.5其他弄虚作假的行为。</w:t>
      </w:r>
    </w:p>
    <w:p w14:paraId="305BBEB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14:paraId="12D4AE1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14:paraId="7F6597B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14:paraId="62540C9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14:paraId="4BB9E5B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14:paraId="517D365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8.21.5不同投标人的投标文件相互混装；</w:t>
      </w:r>
    </w:p>
    <w:p w14:paraId="70F718F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9BE179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14:paraId="6B154A3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14:paraId="446891C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14:paraId="450CA33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14:paraId="3360020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14:paraId="4C1FC9C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14:paraId="30ECC6E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14:paraId="1D1798A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14:paraId="5C62250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14:paraId="4F6A9E1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8.24投标文件出现不是唯一的、有选择性投标报价的；</w:t>
      </w:r>
    </w:p>
    <w:p w14:paraId="685137D2">
      <w:pPr>
        <w:autoSpaceDE/>
        <w:autoSpaceDN/>
        <w:snapToGrid w:val="0"/>
        <w:spacing w:line="440" w:lineRule="exact"/>
        <w:ind w:firstLine="482" w:firstLineChars="200"/>
        <w:rPr>
          <w:rFonts w:hint="eastAsia" w:ascii="仿宋" w:hAnsi="仿宋" w:eastAsia="仿宋" w:cs="仿宋"/>
          <w:b/>
          <w:bCs w:val="0"/>
          <w:sz w:val="24"/>
          <w:highlight w:val="none"/>
        </w:rPr>
      </w:pPr>
      <w:r>
        <w:rPr>
          <w:rFonts w:hint="eastAsia" w:ascii="仿宋" w:hAnsi="仿宋" w:eastAsia="仿宋" w:cs="仿宋"/>
          <w:b/>
          <w:bCs w:val="0"/>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sz w:val="24"/>
          <w:highlight w:val="none"/>
        </w:rPr>
        <w:t>未按招标文件要求提供样品或提供样品不满足采购需求实质性条件的；</w:t>
      </w:r>
    </w:p>
    <w:p w14:paraId="62837F1C">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sz w:val="24"/>
          <w:highlight w:val="none"/>
          <w:lang w:val="en-US" w:eastAsia="zh-CN"/>
        </w:rPr>
        <w:t>8.26参与同一个采购包(标段)的供应商存在下列情形之一且无法合理解释的，其投标(响应)文件无效:</w:t>
      </w:r>
    </w:p>
    <w:p w14:paraId="5168E6B8">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sz w:val="24"/>
          <w:highlight w:val="none"/>
          <w:lang w:val="en-US" w:eastAsia="zh-CN"/>
        </w:rPr>
        <w:t>不同供应商的电子投标(响应)文件上传计算机的网卡MAC地址或硬盘序列号等硬件信息相同的;</w:t>
      </w:r>
    </w:p>
    <w:p w14:paraId="0FEA984C">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sz w:val="24"/>
          <w:highlight w:val="none"/>
          <w:lang w:val="en-US" w:eastAsia="zh-CN"/>
        </w:rPr>
        <w:t>上传的电子投标(响应)文件若出现使用本项目其他投标(响应)供应商的数字证书加密的，或者加盖本项目其他投标(响应)供应商的电子印章的;</w:t>
      </w:r>
    </w:p>
    <w:p w14:paraId="52E10D9C">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sz w:val="24"/>
          <w:highlight w:val="none"/>
          <w:lang w:val="en-US" w:eastAsia="zh-CN"/>
        </w:rPr>
        <w:t>不同供应商的投标(响应)文件的内容存在3处(含)以上错误一致的;</w:t>
      </w:r>
    </w:p>
    <w:p w14:paraId="13698E2E">
      <w:pPr>
        <w:autoSpaceDE/>
        <w:autoSpaceDN/>
        <w:snapToGrid w:val="0"/>
        <w:spacing w:line="440" w:lineRule="exact"/>
        <w:ind w:firstLine="482" w:firstLineChars="200"/>
        <w:rPr>
          <w:rFonts w:hint="default" w:ascii="仿宋" w:hAnsi="仿宋" w:eastAsia="仿宋" w:cs="仿宋"/>
          <w:b/>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sz w:val="24"/>
          <w:highlight w:val="none"/>
          <w:lang w:val="en-US" w:eastAsia="zh-CN"/>
        </w:rPr>
        <w:t>不同供应商联系人为同一人或不同联系人的联系电话一致的。</w:t>
      </w:r>
    </w:p>
    <w:p w14:paraId="1284147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highlight w:val="none"/>
        </w:rPr>
      </w:pPr>
      <w:r>
        <w:rPr>
          <w:rFonts w:hint="eastAsia" w:ascii="仿宋" w:hAnsi="仿宋" w:eastAsia="仿宋" w:cs="仿宋"/>
          <w:b/>
          <w:sz w:val="24"/>
          <w:highlight w:val="none"/>
        </w:rPr>
        <w:t>8.2</w:t>
      </w:r>
      <w:r>
        <w:rPr>
          <w:rFonts w:hint="default" w:ascii="仿宋" w:hAnsi="仿宋" w:eastAsia="仿宋" w:cs="仿宋"/>
          <w:b/>
          <w:sz w:val="24"/>
          <w:highlight w:val="none"/>
          <w:lang w:val="en-US"/>
        </w:rPr>
        <w:t>7</w:t>
      </w:r>
      <w:r>
        <w:rPr>
          <w:rFonts w:hint="eastAsia" w:ascii="仿宋" w:hAnsi="仿宋" w:eastAsia="仿宋" w:cs="仿宋"/>
          <w:b/>
          <w:sz w:val="24"/>
          <w:highlight w:val="none"/>
        </w:rPr>
        <w:t>其他违反法律、法规的情形。</w:t>
      </w:r>
    </w:p>
    <w:p w14:paraId="3C77988B">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kern w:val="0"/>
          <w:sz w:val="24"/>
          <w:highlight w:val="none"/>
        </w:rPr>
      </w:pPr>
      <w:r>
        <w:rPr>
          <w:rFonts w:hint="eastAsia" w:ascii="仿宋" w:hAnsi="仿宋" w:eastAsia="仿宋" w:cs="仿宋"/>
          <w:b/>
          <w:kern w:val="0"/>
          <w:sz w:val="24"/>
          <w:highlight w:val="none"/>
        </w:rPr>
        <w:t>9.评标过程保密</w:t>
      </w:r>
    </w:p>
    <w:p w14:paraId="4BB7D3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9DBA8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9.2 在评标期间，投标人企图影响</w:t>
      </w:r>
      <w:r>
        <w:rPr>
          <w:rFonts w:hint="eastAsia" w:ascii="仿宋" w:hAnsi="仿宋" w:eastAsia="仿宋" w:cs="仿宋"/>
          <w:sz w:val="24"/>
          <w:highlight w:val="none"/>
          <w:lang w:val="en-US" w:eastAsia="zh-CN"/>
        </w:rPr>
        <w:t>采购人</w:t>
      </w:r>
      <w:r>
        <w:rPr>
          <w:rFonts w:hint="eastAsia" w:ascii="仿宋" w:hAnsi="仿宋" w:eastAsia="仿宋" w:cs="仿宋"/>
          <w:kern w:val="0"/>
          <w:sz w:val="24"/>
          <w:highlight w:val="none"/>
        </w:rPr>
        <w:t>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14:paraId="4FE1525F">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highlight w:val="none"/>
        </w:rPr>
      </w:pPr>
    </w:p>
    <w:bookmarkEnd w:id="19"/>
    <w:p w14:paraId="6E27A0EB">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highlight w:val="none"/>
        </w:rPr>
      </w:pPr>
      <w:bookmarkStart w:id="20" w:name="_Hlt75236101"/>
      <w:bookmarkEnd w:id="20"/>
      <w:bookmarkStart w:id="21" w:name="_Hlt68072998"/>
      <w:bookmarkEnd w:id="21"/>
      <w:bookmarkStart w:id="22" w:name="_Hlt75236290"/>
      <w:bookmarkEnd w:id="22"/>
      <w:bookmarkStart w:id="23" w:name="_Hlt68072990"/>
      <w:bookmarkEnd w:id="23"/>
      <w:bookmarkStart w:id="24" w:name="_Hlt68403820"/>
      <w:bookmarkEnd w:id="24"/>
      <w:bookmarkStart w:id="25" w:name="_Hlt74729768"/>
      <w:bookmarkEnd w:id="25"/>
      <w:bookmarkStart w:id="26" w:name="_Hlt74730295"/>
      <w:bookmarkEnd w:id="26"/>
      <w:bookmarkStart w:id="27" w:name="_Hlt75236011"/>
      <w:bookmarkEnd w:id="27"/>
      <w:bookmarkStart w:id="28" w:name="_Hlt74707468"/>
      <w:bookmarkEnd w:id="28"/>
      <w:bookmarkStart w:id="29" w:name="_Hlt68057669"/>
      <w:bookmarkEnd w:id="29"/>
      <w:bookmarkStart w:id="30" w:name="_Hlt68073093"/>
      <w:bookmarkEnd w:id="30"/>
      <w:bookmarkStart w:id="31" w:name="_Hlt74714665"/>
      <w:bookmarkEnd w:id="31"/>
      <w:bookmarkStart w:id="32" w:name="_Toc84325929"/>
      <w:bookmarkStart w:id="33" w:name="_Toc81372953"/>
      <w:bookmarkStart w:id="34" w:name="_Toc81372776"/>
      <w:r>
        <w:rPr>
          <w:rFonts w:hint="eastAsia" w:ascii="仿宋" w:hAnsi="仿宋" w:eastAsia="仿宋" w:cs="仿宋"/>
          <w:b/>
          <w:sz w:val="32"/>
          <w:szCs w:val="32"/>
          <w:highlight w:val="none"/>
        </w:rPr>
        <w:t>五、授予合同</w:t>
      </w:r>
    </w:p>
    <w:bookmarkEnd w:id="32"/>
    <w:bookmarkEnd w:id="33"/>
    <w:bookmarkEnd w:id="34"/>
    <w:p w14:paraId="4445BF4E">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szCs w:val="24"/>
          <w:highlight w:val="none"/>
        </w:rPr>
      </w:pPr>
      <w:r>
        <w:rPr>
          <w:rFonts w:hint="eastAsia" w:ascii="仿宋" w:hAnsi="仿宋" w:eastAsia="仿宋" w:cs="仿宋"/>
          <w:b/>
          <w:szCs w:val="24"/>
          <w:highlight w:val="none"/>
        </w:rPr>
        <w:t>1.中标条件</w:t>
      </w:r>
    </w:p>
    <w:p w14:paraId="348F74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1.1投标文件基本符合招标文件要求；</w:t>
      </w:r>
    </w:p>
    <w:p w14:paraId="58698E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1.2投标人有很好的执行合同的能力；</w:t>
      </w:r>
    </w:p>
    <w:p w14:paraId="625E40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1.3实施方案最合理并对</w:t>
      </w:r>
      <w:r>
        <w:rPr>
          <w:rFonts w:hint="eastAsia" w:ascii="仿宋" w:hAnsi="仿宋" w:eastAsia="仿宋" w:cs="仿宋"/>
          <w:sz w:val="24"/>
          <w:highlight w:val="none"/>
          <w:lang w:val="en-US" w:eastAsia="zh-CN"/>
        </w:rPr>
        <w:t>采购人</w:t>
      </w:r>
      <w:r>
        <w:rPr>
          <w:rFonts w:hint="eastAsia" w:ascii="仿宋" w:hAnsi="仿宋" w:eastAsia="仿宋" w:cs="仿宋"/>
          <w:sz w:val="24"/>
          <w:highlight w:val="none"/>
        </w:rPr>
        <w:t>最为有利，最大限度满足招标文件的要求；</w:t>
      </w:r>
    </w:p>
    <w:p w14:paraId="28670C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14:paraId="45A12F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1.5</w:t>
      </w:r>
      <w:r>
        <w:rPr>
          <w:rFonts w:hint="eastAsia" w:ascii="仿宋" w:hAnsi="仿宋" w:eastAsia="仿宋" w:cs="仿宋"/>
          <w:sz w:val="24"/>
          <w:highlight w:val="none"/>
          <w:lang w:val="en-US" w:eastAsia="zh-CN"/>
        </w:rPr>
        <w:t>采购人</w:t>
      </w:r>
      <w:r>
        <w:rPr>
          <w:rFonts w:hint="eastAsia" w:ascii="仿宋" w:hAnsi="仿宋" w:eastAsia="仿宋" w:cs="仿宋"/>
          <w:sz w:val="24"/>
          <w:highlight w:val="none"/>
        </w:rPr>
        <w:t>将把中标通知书授予最佳投标者，但最低价不是中标的绝对保证。</w:t>
      </w:r>
    </w:p>
    <w:p w14:paraId="3700985D">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2.中标确认</w:t>
      </w:r>
    </w:p>
    <w:p w14:paraId="4A97EC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14:paraId="019EAF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14:paraId="435415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14:paraId="213BCEA7">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3．中标通知</w:t>
      </w:r>
    </w:p>
    <w:p w14:paraId="07FF53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"http://www.zjzfcg.gov.cn"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14:paraId="31660C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14:paraId="3BC29A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14:paraId="6225F78A">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4</w:t>
      </w:r>
      <w:r>
        <w:rPr>
          <w:rFonts w:hint="eastAsia" w:ascii="仿宋" w:hAnsi="仿宋" w:eastAsia="仿宋" w:cs="仿宋"/>
          <w:b/>
          <w:sz w:val="24"/>
          <w:highlight w:val="none"/>
        </w:rPr>
        <w:t>．履约保证金</w:t>
      </w:r>
    </w:p>
    <w:p w14:paraId="21502C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采购人在签订合同时，按规定可向中标人收取不高于中标额的0.5%的履约保证金，采购人不得以供应商事先提交履约保证金作为签订合同的条件。鼓励采购人根据项目特点、供应商诚信等情况免收履约保证金或降低缴纳比例。</w:t>
      </w:r>
    </w:p>
    <w:p w14:paraId="1CF72D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4.2项目验收结束后，采购人应及时退还履约保证金。</w:t>
      </w:r>
    </w:p>
    <w:p w14:paraId="562C12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4.3供应商以银行、保险公司出具保函形式提交履约保证金的，采购人不得拒收。</w:t>
      </w:r>
    </w:p>
    <w:p w14:paraId="5F0DAB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4.4政府采购货物和服务项目不得收取质量保证金。</w:t>
      </w:r>
    </w:p>
    <w:p w14:paraId="320E55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zh-CN" w:eastAsia="zh-CN"/>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lang w:val="zh-CN" w:eastAsia="zh-CN"/>
        </w:rPr>
        <w:t>预付款</w:t>
      </w:r>
    </w:p>
    <w:p w14:paraId="14ED25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highlight w:val="none"/>
        </w:rPr>
      </w:pPr>
      <w:r>
        <w:rPr>
          <w:rFonts w:hint="eastAsia" w:ascii="仿宋" w:hAnsi="仿宋" w:eastAsia="仿宋" w:cs="仿宋"/>
          <w:sz w:val="24"/>
          <w:highlight w:val="none"/>
          <w:lang w:val="zh-CN" w:eastAsia="zh-CN"/>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sz w:val="24"/>
          <w:highlight w:val="none"/>
          <w:lang w:val="en-US" w:eastAsia="zh-CN"/>
        </w:rPr>
        <w:t>7</w:t>
      </w:r>
      <w:r>
        <w:rPr>
          <w:rFonts w:hint="eastAsia" w:ascii="仿宋" w:hAnsi="仿宋" w:eastAsia="仿宋" w:cs="仿宋"/>
          <w:sz w:val="24"/>
          <w:highlight w:val="none"/>
          <w:lang w:val="zh-CN" w:eastAsia="zh-CN"/>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29C1B94D">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．合同签订及备案</w:t>
      </w:r>
    </w:p>
    <w:p w14:paraId="7FCFC0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6.1中标人应当在中标通知书发出之日起30天内与采购人签订合同，自采购合同签订之日起2个工作日内，通过电子交易平台进行备案。</w:t>
      </w:r>
    </w:p>
    <w:p w14:paraId="141C2C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6.2如中标人为联合体的，由联合体成员各方法定代表人或其授权代表与采购人代表签订合同。</w:t>
      </w:r>
    </w:p>
    <w:p w14:paraId="559A74B2">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.验收</w:t>
      </w:r>
    </w:p>
    <w:p w14:paraId="733C15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76D29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7.2采购人可以邀请参加本项目的其他投标人或者第三方机构参与验收。参与验收的投标人或者第三方机构的意见作为验收书的参考资料一并存档。</w:t>
      </w:r>
    </w:p>
    <w:p w14:paraId="38FD15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40E7E311">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8</w:t>
      </w:r>
      <w:r>
        <w:rPr>
          <w:rFonts w:hint="eastAsia" w:ascii="仿宋" w:hAnsi="仿宋" w:eastAsia="仿宋" w:cs="仿宋"/>
          <w:b/>
          <w:sz w:val="24"/>
          <w:highlight w:val="none"/>
        </w:rPr>
        <w:t>.售后服务考核</w:t>
      </w:r>
    </w:p>
    <w:p w14:paraId="635A9C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w:t>
      </w:r>
      <w:r>
        <w:rPr>
          <w:rFonts w:hint="eastAsia" w:ascii="仿宋" w:hAnsi="仿宋" w:eastAsia="仿宋" w:cs="仿宋"/>
          <w:color w:val="000000" w:themeColor="text1"/>
          <w:sz w:val="24"/>
          <w:highlight w:val="none"/>
          <w14:textFill>
            <w14:solidFill>
              <w14:schemeClr w14:val="tx1"/>
            </w14:solidFill>
          </w14:textFill>
        </w:rPr>
        <w:t>和商务技术文件规</w:t>
      </w:r>
      <w:r>
        <w:rPr>
          <w:rFonts w:hint="eastAsia" w:ascii="仿宋" w:hAnsi="仿宋" w:eastAsia="仿宋" w:cs="仿宋"/>
          <w:sz w:val="24"/>
          <w:highlight w:val="none"/>
        </w:rPr>
        <w:t>定的，一经查实，由政府采购监督管理部门给予相应处罚。</w:t>
      </w:r>
    </w:p>
    <w:p w14:paraId="3109F3B8">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highlight w:val="none"/>
        </w:rPr>
      </w:pPr>
    </w:p>
    <w:p w14:paraId="14C00E3E">
      <w:pPr>
        <w:adjustRightInd/>
        <w:spacing w:line="336"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668E67D7">
      <w:pPr>
        <w:keepNext w:val="0"/>
        <w:keepLines w:val="0"/>
        <w:pageBreakBefore w:val="0"/>
        <w:kinsoku/>
        <w:wordWrap/>
        <w:overflowPunct/>
        <w:topLinePunct w:val="0"/>
        <w:bidi w:val="0"/>
        <w:adjustRightInd w:val="0"/>
        <w:spacing w:line="312" w:lineRule="auto"/>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04A93A7B">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31E2B8B6">
      <w:pPr>
        <w:keepNext w:val="0"/>
        <w:keepLines w:val="0"/>
        <w:pageBreakBefore w:val="0"/>
        <w:kinsoku/>
        <w:wordWrap/>
        <w:overflowPunct/>
        <w:topLinePunct w:val="0"/>
        <w:bidi w:val="0"/>
        <w:adjustRightInd w:val="0"/>
        <w:spacing w:line="312" w:lineRule="auto"/>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4419BF06">
      <w:pPr>
        <w:keepNext w:val="0"/>
        <w:keepLines w:val="0"/>
        <w:pageBreakBefore w:val="0"/>
        <w:kinsoku/>
        <w:wordWrap/>
        <w:overflowPunct/>
        <w:topLinePunct w:val="0"/>
        <w:autoSpaceDE w:val="0"/>
        <w:autoSpaceDN w:val="0"/>
        <w:bidi w:val="0"/>
        <w:adjustRightInd w:val="0"/>
        <w:spacing w:line="312" w:lineRule="auto"/>
        <w:ind w:firstLine="480" w:firstLineChars="200"/>
        <w:jc w:val="left"/>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13A0C040">
      <w:pPr>
        <w:keepNext w:val="0"/>
        <w:keepLines w:val="0"/>
        <w:pageBreakBefore w:val="0"/>
        <w:kinsoku/>
        <w:wordWrap/>
        <w:overflowPunct/>
        <w:topLinePunct w:val="0"/>
        <w:bidi w:val="0"/>
        <w:adjustRightInd w:val="0"/>
        <w:spacing w:line="312" w:lineRule="auto"/>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19B1EDAA">
      <w:pPr>
        <w:keepNext w:val="0"/>
        <w:keepLines w:val="0"/>
        <w:pageBreakBefore w:val="0"/>
        <w:kinsoku/>
        <w:wordWrap/>
        <w:overflowPunct/>
        <w:topLinePunct w:val="0"/>
        <w:bidi w:val="0"/>
        <w:adjustRightInd w:val="0"/>
        <w:spacing w:line="312" w:lineRule="auto"/>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38EF1231">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33CA2BA0">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3D763F7">
      <w:pPr>
        <w:keepNext w:val="0"/>
        <w:keepLines w:val="0"/>
        <w:pageBreakBefore w:val="0"/>
        <w:widowControl/>
        <w:kinsoku/>
        <w:wordWrap/>
        <w:overflowPunct/>
        <w:topLinePunct w:val="0"/>
        <w:bidi w:val="0"/>
        <w:adjustRightInd w:val="0"/>
        <w:snapToGrid w:val="0"/>
        <w:spacing w:line="312" w:lineRule="auto"/>
        <w:ind w:firstLine="434" w:firstLineChars="181"/>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1474F39">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F34A5E8">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2617AD09">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373A0F8A">
      <w:pPr>
        <w:keepNext w:val="0"/>
        <w:keepLines w:val="0"/>
        <w:pageBreakBefore w:val="0"/>
        <w:kinsoku/>
        <w:wordWrap/>
        <w:overflowPunct/>
        <w:topLinePunct w:val="0"/>
        <w:bidi w:val="0"/>
        <w:adjustRightInd w:val="0"/>
        <w:spacing w:line="312" w:lineRule="auto"/>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041F412F">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4F3C312">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660AF796">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3823ED4C">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B216F18">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326552F3">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5A57CA05">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0F52B721">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7D9AE085">
      <w:pPr>
        <w:keepNext w:val="0"/>
        <w:keepLines w:val="0"/>
        <w:pageBreakBefore w:val="0"/>
        <w:kinsoku/>
        <w:wordWrap/>
        <w:overflowPunct/>
        <w:topLinePunct w:val="0"/>
        <w:bidi w:val="0"/>
        <w:adjustRightInd w:val="0"/>
        <w:spacing w:line="312" w:lineRule="auto"/>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10C5E167">
      <w:pPr>
        <w:keepNext w:val="0"/>
        <w:keepLines w:val="0"/>
        <w:pageBreakBefore w:val="0"/>
        <w:kinsoku/>
        <w:wordWrap/>
        <w:overflowPunct/>
        <w:topLinePunct w:val="0"/>
        <w:bidi w:val="0"/>
        <w:adjustRightInd w:val="0"/>
        <w:spacing w:line="312" w:lineRule="auto"/>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68BBF96B">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439C8C4">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1359A05">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024133B">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7A7F3AE7">
      <w:pPr>
        <w:keepNext w:val="0"/>
        <w:keepLines w:val="0"/>
        <w:pageBreakBefore w:val="0"/>
        <w:widowControl w:val="0"/>
        <w:kinsoku/>
        <w:wordWrap/>
        <w:overflowPunct/>
        <w:topLinePunct w:val="0"/>
        <w:autoSpaceDE/>
        <w:autoSpaceDN/>
        <w:bidi w:val="0"/>
        <w:adjustRightInd w:val="0"/>
        <w:snapToGrid w:val="0"/>
        <w:spacing w:line="312" w:lineRule="auto"/>
        <w:ind w:firstLine="482" w:firstLineChars="200"/>
        <w:jc w:val="left"/>
        <w:textAlignment w:val="auto"/>
        <w:outlineLvl w:val="0"/>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1FA86EE1">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17"/>
    <w:bookmarkEnd w:id="18"/>
    <w:p w14:paraId="4F5A293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bookmarkStart w:id="35" w:name="第四部分"/>
      <w:r>
        <w:rPr>
          <w:rFonts w:hint="eastAsia" w:ascii="仿宋" w:hAnsi="仿宋" w:eastAsia="仿宋" w:cs="仿宋"/>
          <w:b/>
          <w:sz w:val="36"/>
          <w:szCs w:val="36"/>
          <w:highlight w:val="none"/>
        </w:rPr>
        <w:t>第三部分   招标项目范围及要求</w:t>
      </w:r>
    </w:p>
    <w:bookmarkEnd w:id="35"/>
    <w:p w14:paraId="3F18B7ED">
      <w:pPr>
        <w:snapToGrid w:val="0"/>
        <w:spacing w:line="360" w:lineRule="auto"/>
        <w:ind w:firstLine="3052" w:firstLineChars="950"/>
        <w:rPr>
          <w:rFonts w:hint="eastAsia" w:ascii="仿宋" w:hAnsi="仿宋" w:eastAsia="仿宋"/>
          <w:b/>
          <w:color w:val="000000"/>
          <w:sz w:val="28"/>
          <w:szCs w:val="28"/>
          <w:highlight w:val="none"/>
        </w:rPr>
      </w:pPr>
      <w:bookmarkStart w:id="36" w:name="第五部分"/>
      <w:bookmarkStart w:id="37" w:name="_Toc86217003"/>
      <w:r>
        <w:rPr>
          <w:rFonts w:hint="eastAsia" w:ascii="仿宋" w:hAnsi="仿宋" w:eastAsia="仿宋" w:cs="仿宋_GB2312"/>
          <w:b/>
          <w:color w:val="000000"/>
          <w:sz w:val="32"/>
          <w:highlight w:val="none"/>
        </w:rPr>
        <w:t>一、服务清单及要求</w:t>
      </w:r>
    </w:p>
    <w:p w14:paraId="0BFD09DD">
      <w:pPr>
        <w:snapToGrid w:val="0"/>
        <w:spacing w:line="360" w:lineRule="auto"/>
        <w:ind w:firstLine="482" w:firstLineChars="200"/>
        <w:rPr>
          <w:rFonts w:hint="eastAsia" w:ascii="华文仿宋" w:hAnsi="华文仿宋" w:eastAsia="华文仿宋" w:cs="华文仿宋"/>
          <w:b/>
          <w:color w:val="auto"/>
          <w:sz w:val="24"/>
          <w:highlight w:val="none"/>
        </w:rPr>
      </w:pPr>
      <w:r>
        <w:rPr>
          <w:rFonts w:hint="eastAsia" w:ascii="华文仿宋" w:hAnsi="华文仿宋" w:eastAsia="华文仿宋" w:cs="华文仿宋"/>
          <w:b/>
          <w:color w:val="auto"/>
          <w:sz w:val="24"/>
          <w:highlight w:val="none"/>
        </w:rPr>
        <w:t>1.项目概况</w:t>
      </w:r>
    </w:p>
    <w:p w14:paraId="6671318B">
      <w:pPr>
        <w:snapToGrid w:val="0"/>
        <w:spacing w:line="360" w:lineRule="auto"/>
        <w:ind w:firstLine="482" w:firstLineChars="200"/>
        <w:rPr>
          <w:rFonts w:hint="eastAsia" w:ascii="华文仿宋" w:hAnsi="华文仿宋" w:eastAsia="华文仿宋" w:cs="华文仿宋"/>
          <w:b/>
          <w:color w:val="auto"/>
          <w:sz w:val="24"/>
          <w:highlight w:val="none"/>
        </w:rPr>
      </w:pPr>
      <w:r>
        <w:rPr>
          <w:rFonts w:hint="eastAsia" w:ascii="华文仿宋" w:hAnsi="华文仿宋" w:eastAsia="华文仿宋" w:cs="华文仿宋"/>
          <w:b/>
          <w:color w:val="auto"/>
          <w:sz w:val="24"/>
          <w:highlight w:val="none"/>
        </w:rPr>
        <w:t>1.1服务范围（日常保洁面积约</w:t>
      </w:r>
      <w:r>
        <w:rPr>
          <w:rFonts w:hint="eastAsia" w:ascii="华文仿宋" w:hAnsi="华文仿宋" w:eastAsia="华文仿宋" w:cs="华文仿宋"/>
          <w:b/>
          <w:color w:val="auto"/>
          <w:sz w:val="24"/>
          <w:highlight w:val="none"/>
          <w:lang w:val="en-US" w:eastAsia="zh-CN"/>
        </w:rPr>
        <w:t>537654</w:t>
      </w:r>
      <w:r>
        <w:rPr>
          <w:rFonts w:hint="eastAsia" w:ascii="华文仿宋" w:hAnsi="华文仿宋" w:eastAsia="华文仿宋" w:cs="华文仿宋"/>
          <w:b/>
          <w:color w:val="auto"/>
          <w:sz w:val="24"/>
          <w:highlight w:val="none"/>
        </w:rPr>
        <w:t>平方米）</w:t>
      </w:r>
    </w:p>
    <w:p w14:paraId="0FA9A507">
      <w:pPr>
        <w:snapToGrid w:val="0"/>
        <w:spacing w:before="120" w:beforeLines="50" w:after="120" w:afterLines="50" w:line="360" w:lineRule="auto"/>
        <w:ind w:firstLine="482" w:firstLineChars="200"/>
        <w:rPr>
          <w:rFonts w:hint="eastAsia" w:ascii="仿宋" w:hAnsi="仿宋" w:eastAsia="华文仿宋" w:cs="Arial"/>
          <w:color w:val="auto"/>
          <w:kern w:val="0"/>
          <w:sz w:val="24"/>
          <w:highlight w:val="none"/>
          <w:lang w:eastAsia="zh-CN"/>
        </w:rPr>
      </w:pPr>
      <w:r>
        <w:rPr>
          <w:rFonts w:hint="eastAsia" w:ascii="华文仿宋" w:hAnsi="华文仿宋" w:eastAsia="华文仿宋" w:cs="华文仿宋"/>
          <w:b/>
          <w:color w:val="auto"/>
          <w:sz w:val="24"/>
          <w:highlight w:val="none"/>
        </w:rPr>
        <w:t>范围以柯岩街道的道路为主，从主车道、非机动车道延伸至人行道至店面房、住房墙角、小街、小巷、小区门前的路面清洁、保洁。含机、非车行道、绿化隔离带、人行道（横向为建筑物门面或围墙至路边侧石）、两侧绿化带（花坛）的清扫保洁，沿街垃圾（果壳箱、垃圾桶）分类收集清运，隔离栏清洗，公共自行车停放点（含停车广告棚、自行车、停车桩、地面等）清扫冲洗（擦洗），卫生死角清除，道路两边乱倒无主垃圾（含建筑垃圾、弃土、工业垃圾等）清除；果壳箱、垃圾桶清洗、更换、补缺（果壳箱、垃圾桶由采购人提供），沿街建筑物、人行道、地面、市政、交通、环卫设施等立面乱涂写，乱张贴清除保洁，清除道路上车辆漏洒混凝土块、沙石等。</w:t>
      </w:r>
    </w:p>
    <w:tbl>
      <w:tblPr>
        <w:tblStyle w:val="62"/>
        <w:tblW w:w="10647" w:type="dxa"/>
        <w:tblInd w:w="-11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6"/>
        <w:gridCol w:w="1279"/>
        <w:gridCol w:w="3618"/>
        <w:gridCol w:w="1103"/>
        <w:gridCol w:w="1294"/>
        <w:gridCol w:w="1294"/>
        <w:gridCol w:w="1103"/>
      </w:tblGrid>
      <w:tr w14:paraId="0BFB4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10647" w:type="dxa"/>
            <w:gridSpan w:val="7"/>
            <w:tcBorders>
              <w:top w:val="nil"/>
              <w:left w:val="nil"/>
              <w:bottom w:val="nil"/>
              <w:right w:val="nil"/>
            </w:tcBorders>
            <w:noWrap/>
            <w:vAlign w:val="center"/>
          </w:tcPr>
          <w:p w14:paraId="196F355F">
            <w:pPr>
              <w:keepNext w:val="0"/>
              <w:keepLines w:val="0"/>
              <w:widowControl/>
              <w:suppressLineNumbers w:val="0"/>
              <w:jc w:val="center"/>
              <w:textAlignment w:val="center"/>
              <w:rPr>
                <w:rFonts w:ascii="仿宋" w:hAnsi="仿宋" w:eastAsia="仿宋" w:cs="仿宋"/>
                <w:b/>
                <w:bCs/>
                <w:i w:val="0"/>
                <w:iCs w:val="0"/>
                <w:color w:val="000000"/>
                <w:sz w:val="32"/>
                <w:szCs w:val="32"/>
                <w:highlight w:val="none"/>
                <w:u w:val="none"/>
              </w:rPr>
            </w:pPr>
            <w:r>
              <w:rPr>
                <w:rStyle w:val="121"/>
                <w:highlight w:val="none"/>
                <w:lang w:val="en-US" w:eastAsia="zh-CN" w:bidi="ar"/>
              </w:rPr>
              <w:t>南复线等主要道路及零星道路面积</w:t>
            </w:r>
          </w:p>
        </w:tc>
      </w:tr>
      <w:tr w14:paraId="5A1FB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56" w:type="dxa"/>
            <w:tcBorders>
              <w:top w:val="single" w:color="000000" w:sz="8" w:space="0"/>
              <w:left w:val="single" w:color="000000" w:sz="8" w:space="0"/>
              <w:bottom w:val="single" w:color="000000" w:sz="8" w:space="0"/>
              <w:right w:val="single" w:color="000000" w:sz="8" w:space="0"/>
            </w:tcBorders>
            <w:noWrap w:val="0"/>
            <w:vAlign w:val="center"/>
          </w:tcPr>
          <w:p w14:paraId="106C5E90">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序号</w:t>
            </w:r>
          </w:p>
        </w:tc>
        <w:tc>
          <w:tcPr>
            <w:tcW w:w="1279" w:type="dxa"/>
            <w:tcBorders>
              <w:top w:val="single" w:color="000000" w:sz="8" w:space="0"/>
              <w:left w:val="nil"/>
              <w:bottom w:val="single" w:color="000000" w:sz="8" w:space="0"/>
              <w:right w:val="single" w:color="000000" w:sz="8" w:space="0"/>
            </w:tcBorders>
            <w:noWrap w:val="0"/>
            <w:vAlign w:val="center"/>
          </w:tcPr>
          <w:p w14:paraId="01B64685">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道路等级</w:t>
            </w:r>
          </w:p>
        </w:tc>
        <w:tc>
          <w:tcPr>
            <w:tcW w:w="3618" w:type="dxa"/>
            <w:tcBorders>
              <w:top w:val="single" w:color="000000" w:sz="8" w:space="0"/>
              <w:left w:val="nil"/>
              <w:bottom w:val="single" w:color="000000" w:sz="8" w:space="0"/>
              <w:right w:val="single" w:color="000000" w:sz="8" w:space="0"/>
            </w:tcBorders>
            <w:noWrap w:val="0"/>
            <w:vAlign w:val="center"/>
          </w:tcPr>
          <w:p w14:paraId="2E4C0C19">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道路名称（起止路段）</w:t>
            </w:r>
          </w:p>
        </w:tc>
        <w:tc>
          <w:tcPr>
            <w:tcW w:w="1103" w:type="dxa"/>
            <w:tcBorders>
              <w:top w:val="single" w:color="000000" w:sz="8" w:space="0"/>
              <w:left w:val="nil"/>
              <w:bottom w:val="single" w:color="000000" w:sz="8" w:space="0"/>
              <w:right w:val="single" w:color="000000" w:sz="8" w:space="0"/>
            </w:tcBorders>
            <w:noWrap w:val="0"/>
            <w:vAlign w:val="center"/>
          </w:tcPr>
          <w:p w14:paraId="48CBEB2F">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长度m</w:t>
            </w:r>
          </w:p>
        </w:tc>
        <w:tc>
          <w:tcPr>
            <w:tcW w:w="1294" w:type="dxa"/>
            <w:tcBorders>
              <w:top w:val="single" w:color="000000" w:sz="8" w:space="0"/>
              <w:left w:val="nil"/>
              <w:bottom w:val="single" w:color="000000" w:sz="8" w:space="0"/>
              <w:right w:val="single" w:color="000000" w:sz="8" w:space="0"/>
            </w:tcBorders>
            <w:noWrap w:val="0"/>
            <w:vAlign w:val="center"/>
          </w:tcPr>
          <w:p w14:paraId="13E3C0E8">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道路面积</w:t>
            </w:r>
          </w:p>
        </w:tc>
        <w:tc>
          <w:tcPr>
            <w:tcW w:w="1294" w:type="dxa"/>
            <w:tcBorders>
              <w:top w:val="single" w:color="000000" w:sz="8" w:space="0"/>
              <w:left w:val="nil"/>
              <w:bottom w:val="single" w:color="000000" w:sz="8" w:space="0"/>
              <w:right w:val="single" w:color="000000" w:sz="8" w:space="0"/>
            </w:tcBorders>
            <w:noWrap w:val="0"/>
            <w:vAlign w:val="center"/>
          </w:tcPr>
          <w:p w14:paraId="50F8D7FD">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绿化面积</w:t>
            </w:r>
          </w:p>
        </w:tc>
        <w:tc>
          <w:tcPr>
            <w:tcW w:w="1103" w:type="dxa"/>
            <w:tcBorders>
              <w:top w:val="single" w:color="000000" w:sz="8" w:space="0"/>
              <w:left w:val="nil"/>
              <w:bottom w:val="single" w:color="000000" w:sz="8" w:space="0"/>
              <w:right w:val="single" w:color="000000" w:sz="8" w:space="0"/>
            </w:tcBorders>
            <w:noWrap/>
            <w:vAlign w:val="center"/>
          </w:tcPr>
          <w:p w14:paraId="7E9A6CEA">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合计㎡</w:t>
            </w:r>
          </w:p>
        </w:tc>
      </w:tr>
      <w:tr w14:paraId="0D656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647" w:type="dxa"/>
            <w:gridSpan w:val="7"/>
            <w:tcBorders>
              <w:top w:val="nil"/>
              <w:left w:val="single" w:color="000000" w:sz="8" w:space="0"/>
              <w:bottom w:val="single" w:color="000000" w:sz="8" w:space="0"/>
              <w:right w:val="single" w:color="000000" w:sz="8" w:space="0"/>
            </w:tcBorders>
            <w:noWrap w:val="0"/>
            <w:vAlign w:val="center"/>
          </w:tcPr>
          <w:p w14:paraId="481E090E">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主要道路</w:t>
            </w:r>
          </w:p>
        </w:tc>
      </w:tr>
      <w:tr w14:paraId="6D57D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56" w:type="dxa"/>
            <w:tcBorders>
              <w:top w:val="nil"/>
              <w:left w:val="single" w:color="000000" w:sz="8" w:space="0"/>
              <w:bottom w:val="single" w:color="000000" w:sz="8" w:space="0"/>
              <w:right w:val="single" w:color="000000" w:sz="8" w:space="0"/>
            </w:tcBorders>
            <w:noWrap w:val="0"/>
            <w:vAlign w:val="center"/>
          </w:tcPr>
          <w:p w14:paraId="5B3F05C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279" w:type="dxa"/>
            <w:tcBorders>
              <w:top w:val="single" w:color="000000" w:sz="8" w:space="0"/>
              <w:left w:val="nil"/>
              <w:bottom w:val="single" w:color="000000" w:sz="8" w:space="0"/>
              <w:right w:val="single" w:color="000000" w:sz="8" w:space="0"/>
            </w:tcBorders>
            <w:noWrap w:val="0"/>
            <w:vAlign w:val="center"/>
          </w:tcPr>
          <w:p w14:paraId="4102E27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一级●</w:t>
            </w:r>
          </w:p>
        </w:tc>
        <w:tc>
          <w:tcPr>
            <w:tcW w:w="3618" w:type="dxa"/>
            <w:tcBorders>
              <w:top w:val="single" w:color="000000" w:sz="8" w:space="0"/>
              <w:left w:val="nil"/>
              <w:bottom w:val="single" w:color="000000" w:sz="8" w:space="0"/>
              <w:right w:val="single" w:color="000000" w:sz="8" w:space="0"/>
            </w:tcBorders>
            <w:noWrap w:val="0"/>
            <w:vAlign w:val="center"/>
          </w:tcPr>
          <w:p w14:paraId="418810C6">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南复线（苏台高架桥下-财经旅游学校大门）</w:t>
            </w:r>
          </w:p>
        </w:tc>
        <w:tc>
          <w:tcPr>
            <w:tcW w:w="1103" w:type="dxa"/>
            <w:tcBorders>
              <w:top w:val="nil"/>
              <w:left w:val="nil"/>
              <w:bottom w:val="single" w:color="000000" w:sz="8" w:space="0"/>
              <w:right w:val="single" w:color="000000" w:sz="8" w:space="0"/>
            </w:tcBorders>
            <w:noWrap w:val="0"/>
            <w:vAlign w:val="center"/>
          </w:tcPr>
          <w:p w14:paraId="4F09807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5700</w:t>
            </w:r>
          </w:p>
        </w:tc>
        <w:tc>
          <w:tcPr>
            <w:tcW w:w="1294" w:type="dxa"/>
            <w:tcBorders>
              <w:top w:val="nil"/>
              <w:left w:val="nil"/>
              <w:bottom w:val="single" w:color="000000" w:sz="8" w:space="0"/>
              <w:right w:val="single" w:color="000000" w:sz="8" w:space="0"/>
            </w:tcBorders>
            <w:noWrap w:val="0"/>
            <w:vAlign w:val="center"/>
          </w:tcPr>
          <w:p w14:paraId="4AF89A4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176750</w:t>
            </w:r>
          </w:p>
        </w:tc>
        <w:tc>
          <w:tcPr>
            <w:tcW w:w="1294" w:type="dxa"/>
            <w:tcBorders>
              <w:top w:val="nil"/>
              <w:left w:val="nil"/>
              <w:bottom w:val="single" w:color="000000" w:sz="8" w:space="0"/>
              <w:right w:val="single" w:color="000000" w:sz="8" w:space="0"/>
            </w:tcBorders>
            <w:noWrap w:val="0"/>
            <w:vAlign w:val="center"/>
          </w:tcPr>
          <w:p w14:paraId="3336FBF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17050</w:t>
            </w:r>
          </w:p>
        </w:tc>
        <w:tc>
          <w:tcPr>
            <w:tcW w:w="1103" w:type="dxa"/>
            <w:tcBorders>
              <w:top w:val="nil"/>
              <w:left w:val="nil"/>
              <w:bottom w:val="single" w:color="000000" w:sz="8" w:space="0"/>
              <w:right w:val="single" w:color="000000" w:sz="8" w:space="0"/>
            </w:tcBorders>
            <w:noWrap w:val="0"/>
            <w:vAlign w:val="center"/>
          </w:tcPr>
          <w:p w14:paraId="5FF96FE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193800</w:t>
            </w:r>
          </w:p>
        </w:tc>
      </w:tr>
      <w:tr w14:paraId="6B5A7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956" w:type="dxa"/>
            <w:tcBorders>
              <w:top w:val="nil"/>
              <w:left w:val="single" w:color="000000" w:sz="8" w:space="0"/>
              <w:bottom w:val="single" w:color="000000" w:sz="8" w:space="0"/>
              <w:right w:val="single" w:color="000000" w:sz="8" w:space="0"/>
            </w:tcBorders>
            <w:noWrap w:val="0"/>
            <w:vAlign w:val="center"/>
          </w:tcPr>
          <w:p w14:paraId="6EDF933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1279" w:type="dxa"/>
            <w:tcBorders>
              <w:top w:val="nil"/>
              <w:left w:val="nil"/>
              <w:bottom w:val="single" w:color="000000" w:sz="8" w:space="0"/>
              <w:right w:val="single" w:color="000000" w:sz="8" w:space="0"/>
            </w:tcBorders>
            <w:noWrap w:val="0"/>
            <w:vAlign w:val="center"/>
          </w:tcPr>
          <w:p w14:paraId="692B035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一级●</w:t>
            </w:r>
          </w:p>
        </w:tc>
        <w:tc>
          <w:tcPr>
            <w:tcW w:w="3618" w:type="dxa"/>
            <w:tcBorders>
              <w:top w:val="nil"/>
              <w:left w:val="nil"/>
              <w:bottom w:val="single" w:color="000000" w:sz="8" w:space="0"/>
              <w:right w:val="single" w:color="000000" w:sz="8" w:space="0"/>
            </w:tcBorders>
            <w:noWrap w:val="0"/>
            <w:vAlign w:val="center"/>
          </w:tcPr>
          <w:p w14:paraId="3C43378A">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香林大道（南复线-鉴湖中学大门）</w:t>
            </w:r>
          </w:p>
        </w:tc>
        <w:tc>
          <w:tcPr>
            <w:tcW w:w="1103" w:type="dxa"/>
            <w:tcBorders>
              <w:top w:val="nil"/>
              <w:left w:val="nil"/>
              <w:bottom w:val="single" w:color="000000" w:sz="8" w:space="0"/>
              <w:right w:val="single" w:color="000000" w:sz="8" w:space="0"/>
            </w:tcBorders>
            <w:noWrap w:val="0"/>
            <w:vAlign w:val="center"/>
          </w:tcPr>
          <w:p w14:paraId="12E0C12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850</w:t>
            </w:r>
          </w:p>
        </w:tc>
        <w:tc>
          <w:tcPr>
            <w:tcW w:w="1294" w:type="dxa"/>
            <w:tcBorders>
              <w:top w:val="nil"/>
              <w:left w:val="nil"/>
              <w:bottom w:val="single" w:color="000000" w:sz="8" w:space="0"/>
              <w:right w:val="single" w:color="000000" w:sz="8" w:space="0"/>
            </w:tcBorders>
            <w:noWrap w:val="0"/>
            <w:vAlign w:val="center"/>
          </w:tcPr>
          <w:p w14:paraId="1BF6893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27200</w:t>
            </w:r>
          </w:p>
        </w:tc>
        <w:tc>
          <w:tcPr>
            <w:tcW w:w="1294" w:type="dxa"/>
            <w:tcBorders>
              <w:top w:val="nil"/>
              <w:left w:val="nil"/>
              <w:bottom w:val="single" w:color="000000" w:sz="8" w:space="0"/>
              <w:right w:val="single" w:color="000000" w:sz="8" w:space="0"/>
            </w:tcBorders>
            <w:noWrap w:val="0"/>
            <w:vAlign w:val="center"/>
          </w:tcPr>
          <w:p w14:paraId="39D81F8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2000</w:t>
            </w:r>
          </w:p>
        </w:tc>
        <w:tc>
          <w:tcPr>
            <w:tcW w:w="1103" w:type="dxa"/>
            <w:tcBorders>
              <w:top w:val="nil"/>
              <w:left w:val="nil"/>
              <w:bottom w:val="single" w:color="000000" w:sz="8" w:space="0"/>
              <w:right w:val="single" w:color="000000" w:sz="8" w:space="0"/>
            </w:tcBorders>
            <w:noWrap w:val="0"/>
            <w:vAlign w:val="center"/>
          </w:tcPr>
          <w:p w14:paraId="1ACDA49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29200</w:t>
            </w:r>
          </w:p>
        </w:tc>
      </w:tr>
      <w:tr w14:paraId="231A2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56" w:type="dxa"/>
            <w:tcBorders>
              <w:top w:val="nil"/>
              <w:left w:val="single" w:color="000000" w:sz="8" w:space="0"/>
              <w:bottom w:val="single" w:color="000000" w:sz="8" w:space="0"/>
              <w:right w:val="single" w:color="000000" w:sz="8" w:space="0"/>
            </w:tcBorders>
            <w:noWrap w:val="0"/>
            <w:vAlign w:val="center"/>
          </w:tcPr>
          <w:p w14:paraId="41DA157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1279" w:type="dxa"/>
            <w:tcBorders>
              <w:top w:val="nil"/>
              <w:left w:val="nil"/>
              <w:bottom w:val="single" w:color="000000" w:sz="8" w:space="0"/>
              <w:right w:val="single" w:color="000000" w:sz="8" w:space="0"/>
            </w:tcBorders>
            <w:noWrap w:val="0"/>
            <w:vAlign w:val="center"/>
          </w:tcPr>
          <w:p w14:paraId="092362D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三级</w:t>
            </w:r>
          </w:p>
        </w:tc>
        <w:tc>
          <w:tcPr>
            <w:tcW w:w="3618" w:type="dxa"/>
            <w:tcBorders>
              <w:top w:val="nil"/>
              <w:left w:val="nil"/>
              <w:bottom w:val="single" w:color="000000" w:sz="8" w:space="0"/>
              <w:right w:val="single" w:color="000000" w:sz="8" w:space="0"/>
            </w:tcBorders>
            <w:noWrap w:val="0"/>
            <w:vAlign w:val="center"/>
          </w:tcPr>
          <w:p w14:paraId="0111D6B5">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永鉴路（新香林大道-豆制品厂桥头）</w:t>
            </w:r>
          </w:p>
        </w:tc>
        <w:tc>
          <w:tcPr>
            <w:tcW w:w="1103" w:type="dxa"/>
            <w:tcBorders>
              <w:top w:val="nil"/>
              <w:left w:val="nil"/>
              <w:bottom w:val="single" w:color="000000" w:sz="8" w:space="0"/>
              <w:right w:val="single" w:color="000000" w:sz="8" w:space="0"/>
            </w:tcBorders>
            <w:noWrap w:val="0"/>
            <w:vAlign w:val="center"/>
          </w:tcPr>
          <w:p w14:paraId="5C3943B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1550</w:t>
            </w:r>
          </w:p>
        </w:tc>
        <w:tc>
          <w:tcPr>
            <w:tcW w:w="1294" w:type="dxa"/>
            <w:tcBorders>
              <w:top w:val="nil"/>
              <w:left w:val="nil"/>
              <w:bottom w:val="single" w:color="000000" w:sz="8" w:space="0"/>
              <w:right w:val="single" w:color="000000" w:sz="8" w:space="0"/>
            </w:tcBorders>
            <w:noWrap w:val="0"/>
            <w:vAlign w:val="center"/>
          </w:tcPr>
          <w:p w14:paraId="49D0924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15500</w:t>
            </w:r>
          </w:p>
        </w:tc>
        <w:tc>
          <w:tcPr>
            <w:tcW w:w="1294" w:type="dxa"/>
            <w:tcBorders>
              <w:top w:val="nil"/>
              <w:left w:val="nil"/>
              <w:bottom w:val="single" w:color="000000" w:sz="8" w:space="0"/>
              <w:right w:val="single" w:color="000000" w:sz="8" w:space="0"/>
            </w:tcBorders>
            <w:noWrap w:val="0"/>
            <w:vAlign w:val="center"/>
          </w:tcPr>
          <w:p w14:paraId="62C42EE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3100</w:t>
            </w:r>
          </w:p>
        </w:tc>
        <w:tc>
          <w:tcPr>
            <w:tcW w:w="1103" w:type="dxa"/>
            <w:tcBorders>
              <w:top w:val="nil"/>
              <w:left w:val="nil"/>
              <w:bottom w:val="single" w:color="000000" w:sz="8" w:space="0"/>
              <w:right w:val="single" w:color="000000" w:sz="8" w:space="0"/>
            </w:tcBorders>
            <w:noWrap w:val="0"/>
            <w:vAlign w:val="center"/>
          </w:tcPr>
          <w:p w14:paraId="16B3B04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18600</w:t>
            </w:r>
          </w:p>
        </w:tc>
      </w:tr>
      <w:tr w14:paraId="24CD8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56" w:type="dxa"/>
            <w:tcBorders>
              <w:top w:val="nil"/>
              <w:left w:val="single" w:color="000000" w:sz="8" w:space="0"/>
              <w:bottom w:val="single" w:color="000000" w:sz="8" w:space="0"/>
              <w:right w:val="single" w:color="000000" w:sz="8" w:space="0"/>
            </w:tcBorders>
            <w:noWrap w:val="0"/>
            <w:vAlign w:val="center"/>
          </w:tcPr>
          <w:p w14:paraId="4C15363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w:t>
            </w:r>
          </w:p>
        </w:tc>
        <w:tc>
          <w:tcPr>
            <w:tcW w:w="1279" w:type="dxa"/>
            <w:tcBorders>
              <w:top w:val="nil"/>
              <w:left w:val="nil"/>
              <w:bottom w:val="single" w:color="000000" w:sz="8" w:space="0"/>
              <w:right w:val="single" w:color="000000" w:sz="8" w:space="0"/>
            </w:tcBorders>
            <w:noWrap w:val="0"/>
            <w:vAlign w:val="center"/>
          </w:tcPr>
          <w:p w14:paraId="4247E8A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一级</w:t>
            </w:r>
          </w:p>
        </w:tc>
        <w:tc>
          <w:tcPr>
            <w:tcW w:w="3618" w:type="dxa"/>
            <w:tcBorders>
              <w:top w:val="nil"/>
              <w:left w:val="nil"/>
              <w:bottom w:val="single" w:color="000000" w:sz="8" w:space="0"/>
              <w:right w:val="single" w:color="000000" w:sz="8" w:space="0"/>
            </w:tcBorders>
            <w:noWrap w:val="0"/>
            <w:vAlign w:val="center"/>
          </w:tcPr>
          <w:p w14:paraId="046AF682">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新风路（柯南大道-彪佳路）</w:t>
            </w:r>
          </w:p>
        </w:tc>
        <w:tc>
          <w:tcPr>
            <w:tcW w:w="1103" w:type="dxa"/>
            <w:tcBorders>
              <w:top w:val="nil"/>
              <w:left w:val="nil"/>
              <w:bottom w:val="single" w:color="000000" w:sz="8" w:space="0"/>
              <w:right w:val="single" w:color="000000" w:sz="8" w:space="0"/>
            </w:tcBorders>
            <w:noWrap w:val="0"/>
            <w:vAlign w:val="center"/>
          </w:tcPr>
          <w:p w14:paraId="2441010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985</w:t>
            </w:r>
          </w:p>
        </w:tc>
        <w:tc>
          <w:tcPr>
            <w:tcW w:w="1294" w:type="dxa"/>
            <w:tcBorders>
              <w:top w:val="nil"/>
              <w:left w:val="nil"/>
              <w:bottom w:val="single" w:color="000000" w:sz="8" w:space="0"/>
              <w:right w:val="single" w:color="000000" w:sz="8" w:space="0"/>
            </w:tcBorders>
            <w:noWrap w:val="0"/>
            <w:vAlign w:val="center"/>
          </w:tcPr>
          <w:p w14:paraId="0D14862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37430</w:t>
            </w:r>
          </w:p>
        </w:tc>
        <w:tc>
          <w:tcPr>
            <w:tcW w:w="1294" w:type="dxa"/>
            <w:tcBorders>
              <w:top w:val="nil"/>
              <w:left w:val="nil"/>
              <w:bottom w:val="single" w:color="000000" w:sz="8" w:space="0"/>
              <w:right w:val="single" w:color="000000" w:sz="8" w:space="0"/>
            </w:tcBorders>
            <w:noWrap w:val="0"/>
            <w:vAlign w:val="center"/>
          </w:tcPr>
          <w:p w14:paraId="5CB0D41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0</w:t>
            </w:r>
          </w:p>
        </w:tc>
        <w:tc>
          <w:tcPr>
            <w:tcW w:w="1103" w:type="dxa"/>
            <w:tcBorders>
              <w:top w:val="nil"/>
              <w:left w:val="nil"/>
              <w:bottom w:val="single" w:color="000000" w:sz="8" w:space="0"/>
              <w:right w:val="single" w:color="000000" w:sz="8" w:space="0"/>
            </w:tcBorders>
            <w:noWrap w:val="0"/>
            <w:vAlign w:val="center"/>
          </w:tcPr>
          <w:p w14:paraId="19BFC2A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37430</w:t>
            </w:r>
          </w:p>
        </w:tc>
      </w:tr>
      <w:tr w14:paraId="6B186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56" w:type="dxa"/>
            <w:tcBorders>
              <w:top w:val="nil"/>
              <w:left w:val="single" w:color="000000" w:sz="8" w:space="0"/>
              <w:bottom w:val="single" w:color="000000" w:sz="8" w:space="0"/>
              <w:right w:val="single" w:color="000000" w:sz="8" w:space="0"/>
            </w:tcBorders>
            <w:noWrap w:val="0"/>
            <w:vAlign w:val="center"/>
          </w:tcPr>
          <w:p w14:paraId="041F849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w:t>
            </w:r>
          </w:p>
        </w:tc>
        <w:tc>
          <w:tcPr>
            <w:tcW w:w="1279" w:type="dxa"/>
            <w:tcBorders>
              <w:top w:val="nil"/>
              <w:left w:val="nil"/>
              <w:bottom w:val="single" w:color="000000" w:sz="8" w:space="0"/>
              <w:right w:val="single" w:color="000000" w:sz="8" w:space="0"/>
            </w:tcBorders>
            <w:noWrap w:val="0"/>
            <w:vAlign w:val="center"/>
          </w:tcPr>
          <w:p w14:paraId="515EADF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一级</w:t>
            </w:r>
          </w:p>
        </w:tc>
        <w:tc>
          <w:tcPr>
            <w:tcW w:w="3618" w:type="dxa"/>
            <w:tcBorders>
              <w:top w:val="nil"/>
              <w:left w:val="nil"/>
              <w:bottom w:val="single" w:color="000000" w:sz="8" w:space="0"/>
              <w:right w:val="single" w:color="000000" w:sz="8" w:space="0"/>
            </w:tcBorders>
            <w:noWrap w:val="0"/>
            <w:vAlign w:val="center"/>
          </w:tcPr>
          <w:p w14:paraId="7FE358E9">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阮型路（柯南大道-彪佳路）</w:t>
            </w:r>
          </w:p>
        </w:tc>
        <w:tc>
          <w:tcPr>
            <w:tcW w:w="1103" w:type="dxa"/>
            <w:tcBorders>
              <w:top w:val="nil"/>
              <w:left w:val="nil"/>
              <w:bottom w:val="single" w:color="000000" w:sz="8" w:space="0"/>
              <w:right w:val="single" w:color="000000" w:sz="8" w:space="0"/>
            </w:tcBorders>
            <w:noWrap w:val="0"/>
            <w:vAlign w:val="center"/>
          </w:tcPr>
          <w:p w14:paraId="2EDA420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920</w:t>
            </w:r>
          </w:p>
        </w:tc>
        <w:tc>
          <w:tcPr>
            <w:tcW w:w="1294" w:type="dxa"/>
            <w:tcBorders>
              <w:top w:val="nil"/>
              <w:left w:val="nil"/>
              <w:bottom w:val="single" w:color="000000" w:sz="8" w:space="0"/>
              <w:right w:val="single" w:color="000000" w:sz="8" w:space="0"/>
            </w:tcBorders>
            <w:noWrap w:val="0"/>
            <w:vAlign w:val="center"/>
          </w:tcPr>
          <w:p w14:paraId="73F6457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34018</w:t>
            </w:r>
          </w:p>
        </w:tc>
        <w:tc>
          <w:tcPr>
            <w:tcW w:w="1294" w:type="dxa"/>
            <w:tcBorders>
              <w:top w:val="nil"/>
              <w:left w:val="nil"/>
              <w:bottom w:val="single" w:color="000000" w:sz="8" w:space="0"/>
              <w:right w:val="single" w:color="000000" w:sz="8" w:space="0"/>
            </w:tcBorders>
            <w:noWrap w:val="0"/>
            <w:vAlign w:val="center"/>
          </w:tcPr>
          <w:p w14:paraId="6BDC5CE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4182</w:t>
            </w:r>
          </w:p>
        </w:tc>
        <w:tc>
          <w:tcPr>
            <w:tcW w:w="1103" w:type="dxa"/>
            <w:tcBorders>
              <w:top w:val="nil"/>
              <w:left w:val="nil"/>
              <w:bottom w:val="single" w:color="000000" w:sz="8" w:space="0"/>
              <w:right w:val="single" w:color="000000" w:sz="8" w:space="0"/>
            </w:tcBorders>
            <w:noWrap w:val="0"/>
            <w:vAlign w:val="center"/>
          </w:tcPr>
          <w:p w14:paraId="7852DCB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38200</w:t>
            </w:r>
          </w:p>
        </w:tc>
      </w:tr>
      <w:tr w14:paraId="34D94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56" w:type="dxa"/>
            <w:tcBorders>
              <w:top w:val="nil"/>
              <w:left w:val="single" w:color="000000" w:sz="8" w:space="0"/>
              <w:bottom w:val="single" w:color="000000" w:sz="8" w:space="0"/>
              <w:right w:val="single" w:color="000000" w:sz="8" w:space="0"/>
            </w:tcBorders>
            <w:noWrap w:val="0"/>
            <w:vAlign w:val="center"/>
          </w:tcPr>
          <w:p w14:paraId="1965A53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w:t>
            </w:r>
          </w:p>
        </w:tc>
        <w:tc>
          <w:tcPr>
            <w:tcW w:w="1279" w:type="dxa"/>
            <w:tcBorders>
              <w:top w:val="nil"/>
              <w:left w:val="nil"/>
              <w:bottom w:val="single" w:color="000000" w:sz="8" w:space="0"/>
              <w:right w:val="single" w:color="000000" w:sz="8" w:space="0"/>
            </w:tcBorders>
            <w:noWrap w:val="0"/>
            <w:vAlign w:val="center"/>
          </w:tcPr>
          <w:p w14:paraId="3FA8198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一级</w:t>
            </w:r>
          </w:p>
        </w:tc>
        <w:tc>
          <w:tcPr>
            <w:tcW w:w="3618" w:type="dxa"/>
            <w:tcBorders>
              <w:top w:val="nil"/>
              <w:left w:val="nil"/>
              <w:bottom w:val="single" w:color="000000" w:sz="8" w:space="0"/>
              <w:right w:val="single" w:color="000000" w:sz="8" w:space="0"/>
            </w:tcBorders>
            <w:noWrap w:val="0"/>
            <w:vAlign w:val="center"/>
          </w:tcPr>
          <w:p w14:paraId="260FF1B6">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彪佳路（香林大道-独山路2#桥西端）</w:t>
            </w:r>
          </w:p>
        </w:tc>
        <w:tc>
          <w:tcPr>
            <w:tcW w:w="1103" w:type="dxa"/>
            <w:tcBorders>
              <w:top w:val="nil"/>
              <w:left w:val="nil"/>
              <w:bottom w:val="single" w:color="000000" w:sz="8" w:space="0"/>
              <w:right w:val="single" w:color="000000" w:sz="8" w:space="0"/>
            </w:tcBorders>
            <w:noWrap w:val="0"/>
            <w:vAlign w:val="center"/>
          </w:tcPr>
          <w:p w14:paraId="55D0912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1220</w:t>
            </w:r>
          </w:p>
        </w:tc>
        <w:tc>
          <w:tcPr>
            <w:tcW w:w="1294" w:type="dxa"/>
            <w:tcBorders>
              <w:top w:val="nil"/>
              <w:left w:val="nil"/>
              <w:bottom w:val="single" w:color="000000" w:sz="8" w:space="0"/>
              <w:right w:val="single" w:color="000000" w:sz="8" w:space="0"/>
            </w:tcBorders>
            <w:noWrap w:val="0"/>
            <w:vAlign w:val="center"/>
          </w:tcPr>
          <w:p w14:paraId="5CEEAB4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42453</w:t>
            </w:r>
          </w:p>
        </w:tc>
        <w:tc>
          <w:tcPr>
            <w:tcW w:w="1294" w:type="dxa"/>
            <w:tcBorders>
              <w:top w:val="nil"/>
              <w:left w:val="nil"/>
              <w:bottom w:val="single" w:color="000000" w:sz="8" w:space="0"/>
              <w:right w:val="single" w:color="000000" w:sz="8" w:space="0"/>
            </w:tcBorders>
            <w:noWrap w:val="0"/>
            <w:vAlign w:val="center"/>
          </w:tcPr>
          <w:p w14:paraId="0D0E6E5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3010</w:t>
            </w:r>
          </w:p>
        </w:tc>
        <w:tc>
          <w:tcPr>
            <w:tcW w:w="1103" w:type="dxa"/>
            <w:tcBorders>
              <w:top w:val="nil"/>
              <w:left w:val="nil"/>
              <w:bottom w:val="single" w:color="000000" w:sz="8" w:space="0"/>
              <w:right w:val="single" w:color="000000" w:sz="8" w:space="0"/>
            </w:tcBorders>
            <w:noWrap w:val="0"/>
            <w:vAlign w:val="center"/>
          </w:tcPr>
          <w:p w14:paraId="0F507BA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45463</w:t>
            </w:r>
          </w:p>
        </w:tc>
      </w:tr>
      <w:tr w14:paraId="6FBE7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56" w:type="dxa"/>
            <w:tcBorders>
              <w:top w:val="nil"/>
              <w:left w:val="nil"/>
              <w:bottom w:val="single" w:color="000000" w:sz="8" w:space="0"/>
              <w:right w:val="single" w:color="000000" w:sz="8" w:space="0"/>
            </w:tcBorders>
            <w:noWrap w:val="0"/>
            <w:vAlign w:val="center"/>
          </w:tcPr>
          <w:p w14:paraId="153EC36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w:t>
            </w:r>
          </w:p>
        </w:tc>
        <w:tc>
          <w:tcPr>
            <w:tcW w:w="1279" w:type="dxa"/>
            <w:tcBorders>
              <w:top w:val="nil"/>
              <w:left w:val="nil"/>
              <w:bottom w:val="single" w:color="000000" w:sz="8" w:space="0"/>
              <w:right w:val="single" w:color="000000" w:sz="8" w:space="0"/>
            </w:tcBorders>
            <w:noWrap w:val="0"/>
            <w:vAlign w:val="center"/>
          </w:tcPr>
          <w:p w14:paraId="0F6C37D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一级</w:t>
            </w:r>
          </w:p>
        </w:tc>
        <w:tc>
          <w:tcPr>
            <w:tcW w:w="3618" w:type="dxa"/>
            <w:tcBorders>
              <w:top w:val="nil"/>
              <w:left w:val="nil"/>
              <w:bottom w:val="single" w:color="000000" w:sz="8" w:space="0"/>
              <w:right w:val="single" w:color="000000" w:sz="8" w:space="0"/>
            </w:tcBorders>
            <w:noWrap w:val="0"/>
            <w:vAlign w:val="center"/>
          </w:tcPr>
          <w:p w14:paraId="6249EC94">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牛角湾路（南闲路—高尔夫路）</w:t>
            </w:r>
          </w:p>
        </w:tc>
        <w:tc>
          <w:tcPr>
            <w:tcW w:w="1103" w:type="dxa"/>
            <w:tcBorders>
              <w:top w:val="nil"/>
              <w:left w:val="nil"/>
              <w:bottom w:val="single" w:color="000000" w:sz="8" w:space="0"/>
              <w:right w:val="single" w:color="000000" w:sz="8" w:space="0"/>
            </w:tcBorders>
            <w:noWrap w:val="0"/>
            <w:vAlign w:val="center"/>
          </w:tcPr>
          <w:p w14:paraId="400A313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500</w:t>
            </w:r>
          </w:p>
        </w:tc>
        <w:tc>
          <w:tcPr>
            <w:tcW w:w="1294" w:type="dxa"/>
            <w:tcBorders>
              <w:top w:val="nil"/>
              <w:left w:val="nil"/>
              <w:bottom w:val="single" w:color="000000" w:sz="8" w:space="0"/>
              <w:right w:val="single" w:color="000000" w:sz="8" w:space="0"/>
            </w:tcBorders>
            <w:noWrap w:val="0"/>
            <w:vAlign w:val="center"/>
          </w:tcPr>
          <w:p w14:paraId="7E8CCA3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10824</w:t>
            </w:r>
          </w:p>
        </w:tc>
        <w:tc>
          <w:tcPr>
            <w:tcW w:w="1294" w:type="dxa"/>
            <w:tcBorders>
              <w:top w:val="nil"/>
              <w:left w:val="nil"/>
              <w:bottom w:val="single" w:color="000000" w:sz="8" w:space="0"/>
              <w:right w:val="single" w:color="000000" w:sz="8" w:space="0"/>
            </w:tcBorders>
            <w:noWrap w:val="0"/>
            <w:vAlign w:val="center"/>
          </w:tcPr>
          <w:p w14:paraId="0B4E35F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1565</w:t>
            </w:r>
          </w:p>
        </w:tc>
        <w:tc>
          <w:tcPr>
            <w:tcW w:w="1103" w:type="dxa"/>
            <w:tcBorders>
              <w:top w:val="nil"/>
              <w:left w:val="nil"/>
              <w:bottom w:val="single" w:color="000000" w:sz="8" w:space="0"/>
              <w:right w:val="single" w:color="000000" w:sz="8" w:space="0"/>
            </w:tcBorders>
            <w:noWrap w:val="0"/>
            <w:vAlign w:val="center"/>
          </w:tcPr>
          <w:p w14:paraId="6D5B4F3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12389</w:t>
            </w:r>
          </w:p>
        </w:tc>
      </w:tr>
      <w:tr w14:paraId="5C0DE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56" w:type="dxa"/>
            <w:tcBorders>
              <w:top w:val="nil"/>
              <w:left w:val="nil"/>
              <w:bottom w:val="single" w:color="000000" w:sz="8" w:space="0"/>
              <w:right w:val="single" w:color="000000" w:sz="8" w:space="0"/>
            </w:tcBorders>
            <w:noWrap w:val="0"/>
            <w:vAlign w:val="center"/>
          </w:tcPr>
          <w:p w14:paraId="54E5DF6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w:t>
            </w:r>
          </w:p>
        </w:tc>
        <w:tc>
          <w:tcPr>
            <w:tcW w:w="1279" w:type="dxa"/>
            <w:tcBorders>
              <w:top w:val="nil"/>
              <w:left w:val="nil"/>
              <w:bottom w:val="single" w:color="000000" w:sz="8" w:space="0"/>
              <w:right w:val="single" w:color="000000" w:sz="8" w:space="0"/>
            </w:tcBorders>
            <w:noWrap w:val="0"/>
            <w:vAlign w:val="center"/>
          </w:tcPr>
          <w:p w14:paraId="6DC1EBC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二级</w:t>
            </w:r>
          </w:p>
        </w:tc>
        <w:tc>
          <w:tcPr>
            <w:tcW w:w="3618" w:type="dxa"/>
            <w:tcBorders>
              <w:top w:val="nil"/>
              <w:left w:val="nil"/>
              <w:bottom w:val="single" w:color="000000" w:sz="8" w:space="0"/>
              <w:right w:val="single" w:color="000000" w:sz="8" w:space="0"/>
            </w:tcBorders>
            <w:noWrap w:val="0"/>
            <w:vAlign w:val="center"/>
          </w:tcPr>
          <w:p w14:paraId="265F53E5">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湖山南路（檀院西面段）</w:t>
            </w:r>
          </w:p>
        </w:tc>
        <w:tc>
          <w:tcPr>
            <w:tcW w:w="1103" w:type="dxa"/>
            <w:tcBorders>
              <w:top w:val="nil"/>
              <w:left w:val="nil"/>
              <w:bottom w:val="single" w:color="000000" w:sz="8" w:space="0"/>
              <w:right w:val="single" w:color="000000" w:sz="8" w:space="0"/>
            </w:tcBorders>
            <w:noWrap w:val="0"/>
            <w:vAlign w:val="center"/>
          </w:tcPr>
          <w:p w14:paraId="734E782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480</w:t>
            </w:r>
          </w:p>
        </w:tc>
        <w:tc>
          <w:tcPr>
            <w:tcW w:w="1294" w:type="dxa"/>
            <w:tcBorders>
              <w:top w:val="nil"/>
              <w:left w:val="nil"/>
              <w:bottom w:val="single" w:color="000000" w:sz="8" w:space="0"/>
              <w:right w:val="single" w:color="000000" w:sz="8" w:space="0"/>
            </w:tcBorders>
            <w:noWrap w:val="0"/>
            <w:vAlign w:val="center"/>
          </w:tcPr>
          <w:p w14:paraId="295A8B3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7250</w:t>
            </w:r>
          </w:p>
        </w:tc>
        <w:tc>
          <w:tcPr>
            <w:tcW w:w="1294" w:type="dxa"/>
            <w:tcBorders>
              <w:top w:val="nil"/>
              <w:left w:val="nil"/>
              <w:bottom w:val="single" w:color="000000" w:sz="8" w:space="0"/>
              <w:right w:val="single" w:color="000000" w:sz="8" w:space="0"/>
            </w:tcBorders>
            <w:noWrap w:val="0"/>
            <w:vAlign w:val="center"/>
          </w:tcPr>
          <w:p w14:paraId="21846C8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900</w:t>
            </w:r>
          </w:p>
        </w:tc>
        <w:tc>
          <w:tcPr>
            <w:tcW w:w="1103" w:type="dxa"/>
            <w:tcBorders>
              <w:top w:val="nil"/>
              <w:left w:val="nil"/>
              <w:bottom w:val="single" w:color="000000" w:sz="8" w:space="0"/>
              <w:right w:val="single" w:color="000000" w:sz="8" w:space="0"/>
            </w:tcBorders>
            <w:noWrap w:val="0"/>
            <w:vAlign w:val="center"/>
          </w:tcPr>
          <w:p w14:paraId="1F53DD0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8150</w:t>
            </w:r>
          </w:p>
        </w:tc>
      </w:tr>
      <w:tr w14:paraId="3D39C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956" w:type="dxa"/>
            <w:tcBorders>
              <w:top w:val="nil"/>
              <w:left w:val="nil"/>
              <w:bottom w:val="single" w:color="000000" w:sz="8" w:space="0"/>
              <w:right w:val="single" w:color="000000" w:sz="8" w:space="0"/>
            </w:tcBorders>
            <w:noWrap w:val="0"/>
            <w:vAlign w:val="center"/>
          </w:tcPr>
          <w:p w14:paraId="0E98655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w:t>
            </w:r>
          </w:p>
        </w:tc>
        <w:tc>
          <w:tcPr>
            <w:tcW w:w="1279" w:type="dxa"/>
            <w:tcBorders>
              <w:top w:val="nil"/>
              <w:left w:val="nil"/>
              <w:bottom w:val="single" w:color="000000" w:sz="8" w:space="0"/>
              <w:right w:val="single" w:color="000000" w:sz="8" w:space="0"/>
            </w:tcBorders>
            <w:noWrap w:val="0"/>
            <w:vAlign w:val="center"/>
          </w:tcPr>
          <w:p w14:paraId="502115D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一级</w:t>
            </w:r>
          </w:p>
        </w:tc>
        <w:tc>
          <w:tcPr>
            <w:tcW w:w="3618" w:type="dxa"/>
            <w:tcBorders>
              <w:top w:val="nil"/>
              <w:left w:val="nil"/>
              <w:bottom w:val="single" w:color="000000" w:sz="8" w:space="0"/>
              <w:right w:val="single" w:color="000000" w:sz="8" w:space="0"/>
            </w:tcBorders>
            <w:noWrap w:val="0"/>
            <w:vAlign w:val="center"/>
          </w:tcPr>
          <w:p w14:paraId="42A86FAF">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阮型路（（彪佳路-104国道段）</w:t>
            </w:r>
          </w:p>
        </w:tc>
        <w:tc>
          <w:tcPr>
            <w:tcW w:w="1103" w:type="dxa"/>
            <w:tcBorders>
              <w:top w:val="nil"/>
              <w:left w:val="nil"/>
              <w:bottom w:val="single" w:color="000000" w:sz="8" w:space="0"/>
              <w:right w:val="single" w:color="000000" w:sz="8" w:space="0"/>
            </w:tcBorders>
            <w:noWrap w:val="0"/>
            <w:vAlign w:val="center"/>
          </w:tcPr>
          <w:p w14:paraId="62FC852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480</w:t>
            </w:r>
          </w:p>
        </w:tc>
        <w:tc>
          <w:tcPr>
            <w:tcW w:w="1294" w:type="dxa"/>
            <w:tcBorders>
              <w:top w:val="nil"/>
              <w:left w:val="nil"/>
              <w:bottom w:val="single" w:color="000000" w:sz="8" w:space="0"/>
              <w:right w:val="single" w:color="000000" w:sz="8" w:space="0"/>
            </w:tcBorders>
            <w:noWrap w:val="0"/>
            <w:vAlign w:val="center"/>
          </w:tcPr>
          <w:p w14:paraId="5606BF5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18240</w:t>
            </w:r>
          </w:p>
        </w:tc>
        <w:tc>
          <w:tcPr>
            <w:tcW w:w="1294" w:type="dxa"/>
            <w:tcBorders>
              <w:top w:val="nil"/>
              <w:left w:val="nil"/>
              <w:bottom w:val="single" w:color="000000" w:sz="8" w:space="0"/>
              <w:right w:val="single" w:color="000000" w:sz="8" w:space="0"/>
            </w:tcBorders>
            <w:noWrap w:val="0"/>
            <w:vAlign w:val="center"/>
          </w:tcPr>
          <w:p w14:paraId="2CC5C10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1500</w:t>
            </w:r>
          </w:p>
        </w:tc>
        <w:tc>
          <w:tcPr>
            <w:tcW w:w="1103" w:type="dxa"/>
            <w:tcBorders>
              <w:top w:val="nil"/>
              <w:left w:val="nil"/>
              <w:bottom w:val="single" w:color="000000" w:sz="8" w:space="0"/>
              <w:right w:val="single" w:color="000000" w:sz="8" w:space="0"/>
            </w:tcBorders>
            <w:noWrap w:val="0"/>
            <w:vAlign w:val="center"/>
          </w:tcPr>
          <w:p w14:paraId="6EF0993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19740</w:t>
            </w:r>
          </w:p>
        </w:tc>
      </w:tr>
      <w:tr w14:paraId="22CA8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56" w:type="dxa"/>
            <w:tcBorders>
              <w:top w:val="nil"/>
              <w:left w:val="nil"/>
              <w:bottom w:val="single" w:color="000000" w:sz="8" w:space="0"/>
              <w:right w:val="single" w:color="000000" w:sz="8" w:space="0"/>
            </w:tcBorders>
            <w:noWrap w:val="0"/>
            <w:vAlign w:val="center"/>
          </w:tcPr>
          <w:p w14:paraId="7BBD092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w:t>
            </w:r>
          </w:p>
        </w:tc>
        <w:tc>
          <w:tcPr>
            <w:tcW w:w="1279" w:type="dxa"/>
            <w:tcBorders>
              <w:top w:val="nil"/>
              <w:left w:val="nil"/>
              <w:bottom w:val="single" w:color="000000" w:sz="8" w:space="0"/>
              <w:right w:val="single" w:color="000000" w:sz="8" w:space="0"/>
            </w:tcBorders>
            <w:noWrap w:val="0"/>
            <w:vAlign w:val="center"/>
          </w:tcPr>
          <w:p w14:paraId="31B929D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二级</w:t>
            </w:r>
          </w:p>
        </w:tc>
        <w:tc>
          <w:tcPr>
            <w:tcW w:w="3618" w:type="dxa"/>
            <w:tcBorders>
              <w:top w:val="nil"/>
              <w:left w:val="nil"/>
              <w:bottom w:val="single" w:color="000000" w:sz="8" w:space="0"/>
              <w:right w:val="single" w:color="000000" w:sz="8" w:space="0"/>
            </w:tcBorders>
            <w:noWrap w:val="0"/>
            <w:vAlign w:val="center"/>
          </w:tcPr>
          <w:p w14:paraId="1A4CEF95">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香樊路（春望路-彪佳路段）</w:t>
            </w:r>
          </w:p>
        </w:tc>
        <w:tc>
          <w:tcPr>
            <w:tcW w:w="1103" w:type="dxa"/>
            <w:tcBorders>
              <w:top w:val="nil"/>
              <w:left w:val="nil"/>
              <w:bottom w:val="single" w:color="000000" w:sz="8" w:space="0"/>
              <w:right w:val="single" w:color="000000" w:sz="8" w:space="0"/>
            </w:tcBorders>
            <w:noWrap w:val="0"/>
            <w:vAlign w:val="center"/>
          </w:tcPr>
          <w:p w14:paraId="487441A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1211</w:t>
            </w:r>
          </w:p>
        </w:tc>
        <w:tc>
          <w:tcPr>
            <w:tcW w:w="1294" w:type="dxa"/>
            <w:tcBorders>
              <w:top w:val="nil"/>
              <w:left w:val="nil"/>
              <w:bottom w:val="single" w:color="000000" w:sz="8" w:space="0"/>
              <w:right w:val="single" w:color="000000" w:sz="8" w:space="0"/>
            </w:tcBorders>
            <w:noWrap w:val="0"/>
            <w:vAlign w:val="center"/>
          </w:tcPr>
          <w:p w14:paraId="6C4F6A6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21798</w:t>
            </w:r>
          </w:p>
        </w:tc>
        <w:tc>
          <w:tcPr>
            <w:tcW w:w="1294" w:type="dxa"/>
            <w:tcBorders>
              <w:top w:val="nil"/>
              <w:left w:val="nil"/>
              <w:bottom w:val="single" w:color="000000" w:sz="8" w:space="0"/>
              <w:right w:val="single" w:color="000000" w:sz="8" w:space="0"/>
            </w:tcBorders>
            <w:noWrap w:val="0"/>
            <w:vAlign w:val="center"/>
          </w:tcPr>
          <w:p w14:paraId="373CA25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8350</w:t>
            </w:r>
          </w:p>
        </w:tc>
        <w:tc>
          <w:tcPr>
            <w:tcW w:w="1103" w:type="dxa"/>
            <w:tcBorders>
              <w:top w:val="nil"/>
              <w:left w:val="nil"/>
              <w:bottom w:val="single" w:color="000000" w:sz="8" w:space="0"/>
              <w:right w:val="single" w:color="000000" w:sz="8" w:space="0"/>
            </w:tcBorders>
            <w:noWrap w:val="0"/>
            <w:vAlign w:val="center"/>
          </w:tcPr>
          <w:p w14:paraId="0CFEE89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30148</w:t>
            </w:r>
          </w:p>
        </w:tc>
      </w:tr>
      <w:tr w14:paraId="5528C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5853" w:type="dxa"/>
            <w:gridSpan w:val="3"/>
            <w:tcBorders>
              <w:top w:val="nil"/>
              <w:left w:val="single" w:color="000000" w:sz="8" w:space="0"/>
              <w:bottom w:val="single" w:color="000000" w:sz="8" w:space="0"/>
              <w:right w:val="single" w:color="000000" w:sz="8" w:space="0"/>
            </w:tcBorders>
            <w:noWrap w:val="0"/>
            <w:vAlign w:val="center"/>
          </w:tcPr>
          <w:p w14:paraId="7467071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小计（1）</w:t>
            </w:r>
          </w:p>
        </w:tc>
        <w:tc>
          <w:tcPr>
            <w:tcW w:w="1103" w:type="dxa"/>
            <w:tcBorders>
              <w:top w:val="nil"/>
              <w:left w:val="nil"/>
              <w:bottom w:val="single" w:color="000000" w:sz="8" w:space="0"/>
              <w:right w:val="single" w:color="000000" w:sz="8" w:space="0"/>
            </w:tcBorders>
            <w:noWrap w:val="0"/>
            <w:vAlign w:val="center"/>
          </w:tcPr>
          <w:p w14:paraId="29E5F4C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13896</w:t>
            </w:r>
          </w:p>
        </w:tc>
        <w:tc>
          <w:tcPr>
            <w:tcW w:w="1294" w:type="dxa"/>
            <w:tcBorders>
              <w:top w:val="nil"/>
              <w:left w:val="nil"/>
              <w:bottom w:val="single" w:color="000000" w:sz="8" w:space="0"/>
              <w:right w:val="single" w:color="000000" w:sz="8" w:space="0"/>
            </w:tcBorders>
            <w:noWrap w:val="0"/>
            <w:vAlign w:val="center"/>
          </w:tcPr>
          <w:p w14:paraId="6B1E18E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391463</w:t>
            </w:r>
          </w:p>
        </w:tc>
        <w:tc>
          <w:tcPr>
            <w:tcW w:w="1294" w:type="dxa"/>
            <w:tcBorders>
              <w:top w:val="nil"/>
              <w:left w:val="nil"/>
              <w:bottom w:val="single" w:color="000000" w:sz="8" w:space="0"/>
              <w:right w:val="single" w:color="000000" w:sz="8" w:space="0"/>
            </w:tcBorders>
            <w:noWrap w:val="0"/>
            <w:vAlign w:val="center"/>
          </w:tcPr>
          <w:p w14:paraId="5602B68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41657</w:t>
            </w:r>
          </w:p>
        </w:tc>
        <w:tc>
          <w:tcPr>
            <w:tcW w:w="1103" w:type="dxa"/>
            <w:tcBorders>
              <w:top w:val="nil"/>
              <w:left w:val="nil"/>
              <w:bottom w:val="single" w:color="000000" w:sz="8" w:space="0"/>
              <w:right w:val="single" w:color="000000" w:sz="8" w:space="0"/>
            </w:tcBorders>
            <w:noWrap w:val="0"/>
            <w:vAlign w:val="center"/>
          </w:tcPr>
          <w:p w14:paraId="4DB5367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433120</w:t>
            </w:r>
          </w:p>
        </w:tc>
      </w:tr>
      <w:tr w14:paraId="3DBBA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0647" w:type="dxa"/>
            <w:gridSpan w:val="7"/>
            <w:tcBorders>
              <w:top w:val="nil"/>
              <w:left w:val="single" w:color="000000" w:sz="8" w:space="0"/>
              <w:bottom w:val="single" w:color="000000" w:sz="8" w:space="0"/>
              <w:right w:val="single" w:color="000000" w:sz="8" w:space="0"/>
            </w:tcBorders>
            <w:noWrap w:val="0"/>
            <w:vAlign w:val="center"/>
          </w:tcPr>
          <w:p w14:paraId="37F5BF44">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零星道路</w:t>
            </w:r>
          </w:p>
        </w:tc>
      </w:tr>
      <w:tr w14:paraId="75495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56" w:type="dxa"/>
            <w:tcBorders>
              <w:top w:val="nil"/>
              <w:left w:val="single" w:color="000000" w:sz="8" w:space="0"/>
              <w:bottom w:val="single" w:color="000000" w:sz="8" w:space="0"/>
              <w:right w:val="single" w:color="000000" w:sz="8" w:space="0"/>
            </w:tcBorders>
            <w:noWrap w:val="0"/>
            <w:vAlign w:val="center"/>
          </w:tcPr>
          <w:p w14:paraId="2AF7FF4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279" w:type="dxa"/>
            <w:tcBorders>
              <w:top w:val="single" w:color="000000" w:sz="8" w:space="0"/>
              <w:left w:val="nil"/>
              <w:bottom w:val="single" w:color="000000" w:sz="8" w:space="0"/>
              <w:right w:val="single" w:color="000000" w:sz="8" w:space="0"/>
            </w:tcBorders>
            <w:noWrap w:val="0"/>
            <w:vAlign w:val="center"/>
          </w:tcPr>
          <w:p w14:paraId="77286B0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三级</w:t>
            </w:r>
          </w:p>
        </w:tc>
        <w:tc>
          <w:tcPr>
            <w:tcW w:w="3618" w:type="dxa"/>
            <w:tcBorders>
              <w:top w:val="single" w:color="000000" w:sz="8" w:space="0"/>
              <w:left w:val="nil"/>
              <w:bottom w:val="single" w:color="000000" w:sz="8" w:space="0"/>
              <w:right w:val="single" w:color="000000" w:sz="8" w:space="0"/>
            </w:tcBorders>
            <w:noWrap w:val="0"/>
            <w:vAlign w:val="center"/>
          </w:tcPr>
          <w:p w14:paraId="437F641F">
            <w:pPr>
              <w:keepNext w:val="0"/>
              <w:keepLines w:val="0"/>
              <w:widowControl/>
              <w:suppressLineNumbers w:val="0"/>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驰达园区&amp;九纺厂 中间道路</w:t>
            </w:r>
          </w:p>
        </w:tc>
        <w:tc>
          <w:tcPr>
            <w:tcW w:w="1103" w:type="dxa"/>
            <w:tcBorders>
              <w:top w:val="nil"/>
              <w:left w:val="nil"/>
              <w:bottom w:val="single" w:color="000000" w:sz="8" w:space="0"/>
              <w:right w:val="single" w:color="000000" w:sz="8" w:space="0"/>
            </w:tcBorders>
            <w:noWrap w:val="0"/>
            <w:vAlign w:val="center"/>
          </w:tcPr>
          <w:p w14:paraId="0F304EA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260</w:t>
            </w:r>
          </w:p>
        </w:tc>
        <w:tc>
          <w:tcPr>
            <w:tcW w:w="1294" w:type="dxa"/>
            <w:tcBorders>
              <w:top w:val="nil"/>
              <w:left w:val="nil"/>
              <w:bottom w:val="single" w:color="000000" w:sz="8" w:space="0"/>
              <w:right w:val="single" w:color="000000" w:sz="8" w:space="0"/>
            </w:tcBorders>
            <w:noWrap w:val="0"/>
            <w:vAlign w:val="center"/>
          </w:tcPr>
          <w:p w14:paraId="1A720F2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2490</w:t>
            </w:r>
          </w:p>
        </w:tc>
        <w:tc>
          <w:tcPr>
            <w:tcW w:w="1294" w:type="dxa"/>
            <w:tcBorders>
              <w:top w:val="nil"/>
              <w:left w:val="nil"/>
              <w:bottom w:val="single" w:color="000000" w:sz="8" w:space="0"/>
              <w:right w:val="single" w:color="000000" w:sz="8" w:space="0"/>
            </w:tcBorders>
            <w:noWrap w:val="0"/>
            <w:vAlign w:val="center"/>
          </w:tcPr>
          <w:p w14:paraId="2FEDFF7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0</w:t>
            </w:r>
          </w:p>
        </w:tc>
        <w:tc>
          <w:tcPr>
            <w:tcW w:w="1103" w:type="dxa"/>
            <w:tcBorders>
              <w:top w:val="nil"/>
              <w:left w:val="nil"/>
              <w:bottom w:val="single" w:color="000000" w:sz="8" w:space="0"/>
              <w:right w:val="single" w:color="000000" w:sz="8" w:space="0"/>
            </w:tcBorders>
            <w:noWrap w:val="0"/>
            <w:vAlign w:val="center"/>
          </w:tcPr>
          <w:p w14:paraId="2DC43B3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2490</w:t>
            </w:r>
          </w:p>
        </w:tc>
      </w:tr>
      <w:tr w14:paraId="2FCE9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56" w:type="dxa"/>
            <w:tcBorders>
              <w:top w:val="nil"/>
              <w:left w:val="single" w:color="000000" w:sz="8" w:space="0"/>
              <w:bottom w:val="single" w:color="000000" w:sz="8" w:space="0"/>
              <w:right w:val="single" w:color="000000" w:sz="8" w:space="0"/>
            </w:tcBorders>
            <w:noWrap w:val="0"/>
            <w:vAlign w:val="center"/>
          </w:tcPr>
          <w:p w14:paraId="6AC7B34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1279" w:type="dxa"/>
            <w:tcBorders>
              <w:top w:val="nil"/>
              <w:left w:val="nil"/>
              <w:bottom w:val="single" w:color="000000" w:sz="8" w:space="0"/>
              <w:right w:val="single" w:color="000000" w:sz="8" w:space="0"/>
            </w:tcBorders>
            <w:noWrap w:val="0"/>
            <w:vAlign w:val="center"/>
          </w:tcPr>
          <w:p w14:paraId="5C8B4F7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三级</w:t>
            </w:r>
          </w:p>
        </w:tc>
        <w:tc>
          <w:tcPr>
            <w:tcW w:w="3618" w:type="dxa"/>
            <w:tcBorders>
              <w:top w:val="nil"/>
              <w:left w:val="nil"/>
              <w:bottom w:val="single" w:color="000000" w:sz="8" w:space="0"/>
              <w:right w:val="single" w:color="000000" w:sz="8" w:space="0"/>
            </w:tcBorders>
            <w:noWrap w:val="0"/>
            <w:vAlign w:val="center"/>
          </w:tcPr>
          <w:p w14:paraId="796DAE9C">
            <w:pPr>
              <w:keepNext w:val="0"/>
              <w:keepLines w:val="0"/>
              <w:widowControl/>
              <w:suppressLineNumbers w:val="0"/>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镜中路（高尔夫路-南闲路-香山别墅中间路尽头）</w:t>
            </w:r>
          </w:p>
        </w:tc>
        <w:tc>
          <w:tcPr>
            <w:tcW w:w="1103" w:type="dxa"/>
            <w:tcBorders>
              <w:top w:val="nil"/>
              <w:left w:val="nil"/>
              <w:bottom w:val="single" w:color="000000" w:sz="8" w:space="0"/>
              <w:right w:val="single" w:color="000000" w:sz="8" w:space="0"/>
            </w:tcBorders>
            <w:noWrap w:val="0"/>
            <w:vAlign w:val="center"/>
          </w:tcPr>
          <w:p w14:paraId="0A837C6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1100</w:t>
            </w:r>
          </w:p>
        </w:tc>
        <w:tc>
          <w:tcPr>
            <w:tcW w:w="1294" w:type="dxa"/>
            <w:tcBorders>
              <w:top w:val="nil"/>
              <w:left w:val="nil"/>
              <w:bottom w:val="single" w:color="000000" w:sz="8" w:space="0"/>
              <w:right w:val="single" w:color="000000" w:sz="8" w:space="0"/>
            </w:tcBorders>
            <w:noWrap w:val="0"/>
            <w:vAlign w:val="center"/>
          </w:tcPr>
          <w:p w14:paraId="4822E30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12000</w:t>
            </w:r>
          </w:p>
        </w:tc>
        <w:tc>
          <w:tcPr>
            <w:tcW w:w="1294" w:type="dxa"/>
            <w:tcBorders>
              <w:top w:val="nil"/>
              <w:left w:val="nil"/>
              <w:bottom w:val="single" w:color="000000" w:sz="8" w:space="0"/>
              <w:right w:val="single" w:color="000000" w:sz="8" w:space="0"/>
            </w:tcBorders>
            <w:noWrap w:val="0"/>
            <w:vAlign w:val="center"/>
          </w:tcPr>
          <w:p w14:paraId="51A5C9A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2200</w:t>
            </w:r>
          </w:p>
        </w:tc>
        <w:tc>
          <w:tcPr>
            <w:tcW w:w="1103" w:type="dxa"/>
            <w:tcBorders>
              <w:top w:val="nil"/>
              <w:left w:val="nil"/>
              <w:bottom w:val="single" w:color="000000" w:sz="8" w:space="0"/>
              <w:right w:val="single" w:color="000000" w:sz="8" w:space="0"/>
            </w:tcBorders>
            <w:noWrap w:val="0"/>
            <w:vAlign w:val="center"/>
          </w:tcPr>
          <w:p w14:paraId="0BBE5E4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14200</w:t>
            </w:r>
          </w:p>
        </w:tc>
      </w:tr>
      <w:tr w14:paraId="56130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56" w:type="dxa"/>
            <w:tcBorders>
              <w:top w:val="nil"/>
              <w:left w:val="single" w:color="000000" w:sz="8" w:space="0"/>
              <w:bottom w:val="single" w:color="000000" w:sz="8" w:space="0"/>
              <w:right w:val="single" w:color="000000" w:sz="8" w:space="0"/>
            </w:tcBorders>
            <w:noWrap w:val="0"/>
            <w:vAlign w:val="center"/>
          </w:tcPr>
          <w:p w14:paraId="07D903E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1279" w:type="dxa"/>
            <w:tcBorders>
              <w:top w:val="nil"/>
              <w:left w:val="nil"/>
              <w:bottom w:val="single" w:color="000000" w:sz="8" w:space="0"/>
              <w:right w:val="single" w:color="000000" w:sz="8" w:space="0"/>
            </w:tcBorders>
            <w:noWrap w:val="0"/>
            <w:vAlign w:val="center"/>
          </w:tcPr>
          <w:p w14:paraId="5204D9F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三级</w:t>
            </w:r>
          </w:p>
        </w:tc>
        <w:tc>
          <w:tcPr>
            <w:tcW w:w="3618" w:type="dxa"/>
            <w:tcBorders>
              <w:top w:val="nil"/>
              <w:left w:val="nil"/>
              <w:bottom w:val="single" w:color="000000" w:sz="8" w:space="0"/>
              <w:right w:val="single" w:color="000000" w:sz="8" w:space="0"/>
            </w:tcBorders>
            <w:noWrap w:val="0"/>
            <w:vAlign w:val="center"/>
          </w:tcPr>
          <w:p w14:paraId="2DBAA8CD">
            <w:pPr>
              <w:keepNext w:val="0"/>
              <w:keepLines w:val="0"/>
              <w:widowControl/>
              <w:suppressLineNumbers w:val="0"/>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广电站-104国道</w:t>
            </w:r>
          </w:p>
        </w:tc>
        <w:tc>
          <w:tcPr>
            <w:tcW w:w="1103" w:type="dxa"/>
            <w:tcBorders>
              <w:top w:val="nil"/>
              <w:left w:val="nil"/>
              <w:bottom w:val="single" w:color="000000" w:sz="8" w:space="0"/>
              <w:right w:val="single" w:color="000000" w:sz="8" w:space="0"/>
            </w:tcBorders>
            <w:noWrap w:val="0"/>
            <w:vAlign w:val="center"/>
          </w:tcPr>
          <w:p w14:paraId="06A3006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420</w:t>
            </w:r>
          </w:p>
        </w:tc>
        <w:tc>
          <w:tcPr>
            <w:tcW w:w="1294" w:type="dxa"/>
            <w:tcBorders>
              <w:top w:val="nil"/>
              <w:left w:val="nil"/>
              <w:bottom w:val="single" w:color="000000" w:sz="8" w:space="0"/>
              <w:right w:val="single" w:color="000000" w:sz="8" w:space="0"/>
            </w:tcBorders>
            <w:noWrap w:val="0"/>
            <w:vAlign w:val="center"/>
          </w:tcPr>
          <w:p w14:paraId="180337E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6580</w:t>
            </w:r>
          </w:p>
        </w:tc>
        <w:tc>
          <w:tcPr>
            <w:tcW w:w="1294" w:type="dxa"/>
            <w:tcBorders>
              <w:top w:val="nil"/>
              <w:left w:val="nil"/>
              <w:bottom w:val="single" w:color="000000" w:sz="8" w:space="0"/>
              <w:right w:val="single" w:color="000000" w:sz="8" w:space="0"/>
            </w:tcBorders>
            <w:noWrap w:val="0"/>
            <w:vAlign w:val="center"/>
          </w:tcPr>
          <w:p w14:paraId="6090287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140</w:t>
            </w:r>
          </w:p>
        </w:tc>
        <w:tc>
          <w:tcPr>
            <w:tcW w:w="1103" w:type="dxa"/>
            <w:tcBorders>
              <w:top w:val="nil"/>
              <w:left w:val="nil"/>
              <w:bottom w:val="single" w:color="000000" w:sz="8" w:space="0"/>
              <w:right w:val="single" w:color="000000" w:sz="8" w:space="0"/>
            </w:tcBorders>
            <w:noWrap w:val="0"/>
            <w:vAlign w:val="center"/>
          </w:tcPr>
          <w:p w14:paraId="45F88B8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6720</w:t>
            </w:r>
          </w:p>
        </w:tc>
      </w:tr>
      <w:tr w14:paraId="78FE4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56" w:type="dxa"/>
            <w:tcBorders>
              <w:top w:val="nil"/>
              <w:left w:val="single" w:color="000000" w:sz="8" w:space="0"/>
              <w:bottom w:val="single" w:color="000000" w:sz="8" w:space="0"/>
              <w:right w:val="single" w:color="000000" w:sz="8" w:space="0"/>
            </w:tcBorders>
            <w:noWrap w:val="0"/>
            <w:vAlign w:val="center"/>
          </w:tcPr>
          <w:p w14:paraId="3C3398F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w:t>
            </w:r>
          </w:p>
        </w:tc>
        <w:tc>
          <w:tcPr>
            <w:tcW w:w="1279" w:type="dxa"/>
            <w:tcBorders>
              <w:top w:val="nil"/>
              <w:left w:val="nil"/>
              <w:bottom w:val="single" w:color="000000" w:sz="8" w:space="0"/>
              <w:right w:val="single" w:color="000000" w:sz="8" w:space="0"/>
            </w:tcBorders>
            <w:noWrap w:val="0"/>
            <w:vAlign w:val="center"/>
          </w:tcPr>
          <w:p w14:paraId="2E4F86E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三级</w:t>
            </w:r>
          </w:p>
        </w:tc>
        <w:tc>
          <w:tcPr>
            <w:tcW w:w="3618" w:type="dxa"/>
            <w:tcBorders>
              <w:top w:val="nil"/>
              <w:left w:val="nil"/>
              <w:bottom w:val="single" w:color="000000" w:sz="8" w:space="0"/>
              <w:right w:val="single" w:color="000000" w:sz="8" w:space="0"/>
            </w:tcBorders>
            <w:noWrap w:val="0"/>
            <w:vAlign w:val="center"/>
          </w:tcPr>
          <w:p w14:paraId="6C67A124">
            <w:pPr>
              <w:keepNext w:val="0"/>
              <w:keepLines w:val="0"/>
              <w:widowControl/>
              <w:suppressLineNumbers w:val="0"/>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香林大道叶家堰对面道路（香林大道-风景区西门）</w:t>
            </w:r>
          </w:p>
        </w:tc>
        <w:tc>
          <w:tcPr>
            <w:tcW w:w="1103" w:type="dxa"/>
            <w:tcBorders>
              <w:top w:val="nil"/>
              <w:left w:val="nil"/>
              <w:bottom w:val="single" w:color="000000" w:sz="8" w:space="0"/>
              <w:right w:val="single" w:color="000000" w:sz="8" w:space="0"/>
            </w:tcBorders>
            <w:noWrap w:val="0"/>
            <w:vAlign w:val="center"/>
          </w:tcPr>
          <w:p w14:paraId="70B73E9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220</w:t>
            </w:r>
          </w:p>
        </w:tc>
        <w:tc>
          <w:tcPr>
            <w:tcW w:w="1294" w:type="dxa"/>
            <w:tcBorders>
              <w:top w:val="nil"/>
              <w:left w:val="nil"/>
              <w:bottom w:val="single" w:color="000000" w:sz="8" w:space="0"/>
              <w:right w:val="single" w:color="000000" w:sz="8" w:space="0"/>
            </w:tcBorders>
            <w:noWrap w:val="0"/>
            <w:vAlign w:val="center"/>
          </w:tcPr>
          <w:p w14:paraId="3D7B151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2290</w:t>
            </w:r>
          </w:p>
        </w:tc>
        <w:tc>
          <w:tcPr>
            <w:tcW w:w="1294" w:type="dxa"/>
            <w:tcBorders>
              <w:top w:val="nil"/>
              <w:left w:val="nil"/>
              <w:bottom w:val="single" w:color="000000" w:sz="8" w:space="0"/>
              <w:right w:val="single" w:color="000000" w:sz="8" w:space="0"/>
            </w:tcBorders>
            <w:noWrap w:val="0"/>
            <w:vAlign w:val="center"/>
          </w:tcPr>
          <w:p w14:paraId="1BD95D6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350</w:t>
            </w:r>
          </w:p>
        </w:tc>
        <w:tc>
          <w:tcPr>
            <w:tcW w:w="1103" w:type="dxa"/>
            <w:tcBorders>
              <w:top w:val="nil"/>
              <w:left w:val="nil"/>
              <w:bottom w:val="single" w:color="000000" w:sz="8" w:space="0"/>
              <w:right w:val="single" w:color="000000" w:sz="8" w:space="0"/>
            </w:tcBorders>
            <w:noWrap w:val="0"/>
            <w:vAlign w:val="center"/>
          </w:tcPr>
          <w:p w14:paraId="5004D73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2640</w:t>
            </w:r>
          </w:p>
        </w:tc>
      </w:tr>
      <w:tr w14:paraId="4C659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56" w:type="dxa"/>
            <w:tcBorders>
              <w:top w:val="nil"/>
              <w:left w:val="single" w:color="000000" w:sz="8" w:space="0"/>
              <w:bottom w:val="single" w:color="000000" w:sz="8" w:space="0"/>
              <w:right w:val="single" w:color="000000" w:sz="8" w:space="0"/>
            </w:tcBorders>
            <w:noWrap w:val="0"/>
            <w:vAlign w:val="center"/>
          </w:tcPr>
          <w:p w14:paraId="4ADAE0A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w:t>
            </w:r>
          </w:p>
        </w:tc>
        <w:tc>
          <w:tcPr>
            <w:tcW w:w="1279" w:type="dxa"/>
            <w:tcBorders>
              <w:top w:val="nil"/>
              <w:left w:val="nil"/>
              <w:bottom w:val="single" w:color="000000" w:sz="8" w:space="0"/>
              <w:right w:val="single" w:color="000000" w:sz="8" w:space="0"/>
            </w:tcBorders>
            <w:noWrap w:val="0"/>
            <w:vAlign w:val="center"/>
          </w:tcPr>
          <w:p w14:paraId="00FB7C5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三级</w:t>
            </w:r>
          </w:p>
        </w:tc>
        <w:tc>
          <w:tcPr>
            <w:tcW w:w="3618" w:type="dxa"/>
            <w:tcBorders>
              <w:top w:val="nil"/>
              <w:left w:val="nil"/>
              <w:bottom w:val="single" w:color="000000" w:sz="8" w:space="0"/>
              <w:right w:val="single" w:color="000000" w:sz="8" w:space="0"/>
            </w:tcBorders>
            <w:noWrap w:val="0"/>
            <w:vAlign w:val="center"/>
          </w:tcPr>
          <w:p w14:paraId="6991306A">
            <w:pPr>
              <w:keepNext w:val="0"/>
              <w:keepLines w:val="0"/>
              <w:widowControl/>
              <w:suppressLineNumbers w:val="0"/>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望府商业街（南复线-高尔夫路）</w:t>
            </w:r>
          </w:p>
        </w:tc>
        <w:tc>
          <w:tcPr>
            <w:tcW w:w="1103" w:type="dxa"/>
            <w:tcBorders>
              <w:top w:val="nil"/>
              <w:left w:val="nil"/>
              <w:bottom w:val="single" w:color="000000" w:sz="8" w:space="0"/>
              <w:right w:val="single" w:color="000000" w:sz="8" w:space="0"/>
            </w:tcBorders>
            <w:noWrap w:val="0"/>
            <w:vAlign w:val="center"/>
          </w:tcPr>
          <w:p w14:paraId="49A20ED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450</w:t>
            </w:r>
          </w:p>
        </w:tc>
        <w:tc>
          <w:tcPr>
            <w:tcW w:w="1294" w:type="dxa"/>
            <w:tcBorders>
              <w:top w:val="nil"/>
              <w:left w:val="nil"/>
              <w:bottom w:val="single" w:color="000000" w:sz="8" w:space="0"/>
              <w:right w:val="single" w:color="000000" w:sz="8" w:space="0"/>
            </w:tcBorders>
            <w:noWrap w:val="0"/>
            <w:vAlign w:val="center"/>
          </w:tcPr>
          <w:p w14:paraId="5FA6E2B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4960</w:t>
            </w:r>
          </w:p>
        </w:tc>
        <w:tc>
          <w:tcPr>
            <w:tcW w:w="1294" w:type="dxa"/>
            <w:tcBorders>
              <w:top w:val="nil"/>
              <w:left w:val="nil"/>
              <w:bottom w:val="single" w:color="000000" w:sz="8" w:space="0"/>
              <w:right w:val="single" w:color="000000" w:sz="8" w:space="0"/>
            </w:tcBorders>
            <w:noWrap w:val="0"/>
            <w:vAlign w:val="center"/>
          </w:tcPr>
          <w:p w14:paraId="07197C3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300</w:t>
            </w:r>
          </w:p>
        </w:tc>
        <w:tc>
          <w:tcPr>
            <w:tcW w:w="1103" w:type="dxa"/>
            <w:tcBorders>
              <w:top w:val="nil"/>
              <w:left w:val="nil"/>
              <w:bottom w:val="single" w:color="000000" w:sz="8" w:space="0"/>
              <w:right w:val="single" w:color="000000" w:sz="8" w:space="0"/>
            </w:tcBorders>
            <w:noWrap w:val="0"/>
            <w:vAlign w:val="center"/>
          </w:tcPr>
          <w:p w14:paraId="3CBDDB7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5260</w:t>
            </w:r>
          </w:p>
        </w:tc>
      </w:tr>
      <w:tr w14:paraId="326A1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56" w:type="dxa"/>
            <w:tcBorders>
              <w:top w:val="nil"/>
              <w:left w:val="single" w:color="000000" w:sz="8" w:space="0"/>
              <w:bottom w:val="single" w:color="000000" w:sz="8" w:space="0"/>
              <w:right w:val="single" w:color="000000" w:sz="8" w:space="0"/>
            </w:tcBorders>
            <w:noWrap w:val="0"/>
            <w:vAlign w:val="center"/>
          </w:tcPr>
          <w:p w14:paraId="75D96ED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w:t>
            </w:r>
          </w:p>
        </w:tc>
        <w:tc>
          <w:tcPr>
            <w:tcW w:w="1279" w:type="dxa"/>
            <w:tcBorders>
              <w:top w:val="nil"/>
              <w:left w:val="nil"/>
              <w:bottom w:val="single" w:color="000000" w:sz="8" w:space="0"/>
              <w:right w:val="single" w:color="000000" w:sz="8" w:space="0"/>
            </w:tcBorders>
            <w:noWrap w:val="0"/>
            <w:vAlign w:val="center"/>
          </w:tcPr>
          <w:p w14:paraId="31F1EAD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三级</w:t>
            </w:r>
          </w:p>
        </w:tc>
        <w:tc>
          <w:tcPr>
            <w:tcW w:w="3618" w:type="dxa"/>
            <w:tcBorders>
              <w:top w:val="nil"/>
              <w:left w:val="nil"/>
              <w:bottom w:val="single" w:color="000000" w:sz="8" w:space="0"/>
              <w:right w:val="single" w:color="000000" w:sz="8" w:space="0"/>
            </w:tcBorders>
            <w:noWrap w:val="0"/>
            <w:vAlign w:val="center"/>
          </w:tcPr>
          <w:p w14:paraId="39C91040">
            <w:pPr>
              <w:keepNext w:val="0"/>
              <w:keepLines w:val="0"/>
              <w:widowControl/>
              <w:suppressLineNumbers w:val="0"/>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烈士陵园-后福安路</w:t>
            </w:r>
          </w:p>
        </w:tc>
        <w:tc>
          <w:tcPr>
            <w:tcW w:w="1103" w:type="dxa"/>
            <w:tcBorders>
              <w:top w:val="nil"/>
              <w:left w:val="nil"/>
              <w:bottom w:val="single" w:color="000000" w:sz="8" w:space="0"/>
              <w:right w:val="single" w:color="000000" w:sz="8" w:space="0"/>
            </w:tcBorders>
            <w:noWrap w:val="0"/>
            <w:vAlign w:val="center"/>
          </w:tcPr>
          <w:p w14:paraId="2F3553F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550</w:t>
            </w:r>
          </w:p>
        </w:tc>
        <w:tc>
          <w:tcPr>
            <w:tcW w:w="1294" w:type="dxa"/>
            <w:tcBorders>
              <w:top w:val="nil"/>
              <w:left w:val="nil"/>
              <w:bottom w:val="single" w:color="000000" w:sz="8" w:space="0"/>
              <w:right w:val="single" w:color="000000" w:sz="8" w:space="0"/>
            </w:tcBorders>
            <w:noWrap w:val="0"/>
            <w:vAlign w:val="center"/>
          </w:tcPr>
          <w:p w14:paraId="5130636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4650</w:t>
            </w:r>
          </w:p>
        </w:tc>
        <w:tc>
          <w:tcPr>
            <w:tcW w:w="1294" w:type="dxa"/>
            <w:tcBorders>
              <w:top w:val="nil"/>
              <w:left w:val="nil"/>
              <w:bottom w:val="single" w:color="000000" w:sz="8" w:space="0"/>
              <w:right w:val="single" w:color="000000" w:sz="8" w:space="0"/>
            </w:tcBorders>
            <w:noWrap w:val="0"/>
            <w:vAlign w:val="center"/>
          </w:tcPr>
          <w:p w14:paraId="73DE341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350</w:t>
            </w:r>
          </w:p>
        </w:tc>
        <w:tc>
          <w:tcPr>
            <w:tcW w:w="1103" w:type="dxa"/>
            <w:tcBorders>
              <w:top w:val="nil"/>
              <w:left w:val="nil"/>
              <w:bottom w:val="single" w:color="000000" w:sz="8" w:space="0"/>
              <w:right w:val="single" w:color="000000" w:sz="8" w:space="0"/>
            </w:tcBorders>
            <w:noWrap w:val="0"/>
            <w:vAlign w:val="center"/>
          </w:tcPr>
          <w:p w14:paraId="433A06B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5000</w:t>
            </w:r>
          </w:p>
        </w:tc>
      </w:tr>
      <w:tr w14:paraId="62B7D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56" w:type="dxa"/>
            <w:tcBorders>
              <w:top w:val="nil"/>
              <w:left w:val="single" w:color="000000" w:sz="8" w:space="0"/>
              <w:bottom w:val="single" w:color="000000" w:sz="8" w:space="0"/>
              <w:right w:val="single" w:color="000000" w:sz="8" w:space="0"/>
            </w:tcBorders>
            <w:noWrap w:val="0"/>
            <w:vAlign w:val="center"/>
          </w:tcPr>
          <w:p w14:paraId="37905BE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w:t>
            </w:r>
          </w:p>
        </w:tc>
        <w:tc>
          <w:tcPr>
            <w:tcW w:w="1279" w:type="dxa"/>
            <w:tcBorders>
              <w:top w:val="nil"/>
              <w:left w:val="nil"/>
              <w:bottom w:val="single" w:color="000000" w:sz="8" w:space="0"/>
              <w:right w:val="single" w:color="000000" w:sz="8" w:space="0"/>
            </w:tcBorders>
            <w:noWrap w:val="0"/>
            <w:vAlign w:val="center"/>
          </w:tcPr>
          <w:p w14:paraId="066DBEC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三级</w:t>
            </w:r>
          </w:p>
        </w:tc>
        <w:tc>
          <w:tcPr>
            <w:tcW w:w="3618" w:type="dxa"/>
            <w:tcBorders>
              <w:top w:val="nil"/>
              <w:left w:val="nil"/>
              <w:bottom w:val="single" w:color="000000" w:sz="8" w:space="0"/>
              <w:right w:val="single" w:color="000000" w:sz="8" w:space="0"/>
            </w:tcBorders>
            <w:noWrap w:val="0"/>
            <w:vAlign w:val="center"/>
          </w:tcPr>
          <w:p w14:paraId="24D49607">
            <w:pPr>
              <w:keepNext w:val="0"/>
              <w:keepLines w:val="0"/>
              <w:widowControl/>
              <w:suppressLineNumbers w:val="0"/>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梅墅北区中间道路校前路西延伸段</w:t>
            </w:r>
          </w:p>
        </w:tc>
        <w:tc>
          <w:tcPr>
            <w:tcW w:w="1103" w:type="dxa"/>
            <w:tcBorders>
              <w:top w:val="nil"/>
              <w:left w:val="nil"/>
              <w:bottom w:val="single" w:color="000000" w:sz="8" w:space="0"/>
              <w:right w:val="single" w:color="000000" w:sz="8" w:space="0"/>
            </w:tcBorders>
            <w:noWrap w:val="0"/>
            <w:vAlign w:val="center"/>
          </w:tcPr>
          <w:p w14:paraId="10DC701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530</w:t>
            </w:r>
          </w:p>
        </w:tc>
        <w:tc>
          <w:tcPr>
            <w:tcW w:w="1294" w:type="dxa"/>
            <w:tcBorders>
              <w:top w:val="nil"/>
              <w:left w:val="nil"/>
              <w:bottom w:val="single" w:color="000000" w:sz="8" w:space="0"/>
              <w:right w:val="single" w:color="000000" w:sz="8" w:space="0"/>
            </w:tcBorders>
            <w:noWrap w:val="0"/>
            <w:vAlign w:val="center"/>
          </w:tcPr>
          <w:p w14:paraId="09D91EA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5300</w:t>
            </w:r>
          </w:p>
        </w:tc>
        <w:tc>
          <w:tcPr>
            <w:tcW w:w="1294" w:type="dxa"/>
            <w:tcBorders>
              <w:top w:val="nil"/>
              <w:left w:val="nil"/>
              <w:bottom w:val="single" w:color="000000" w:sz="8" w:space="0"/>
              <w:right w:val="single" w:color="000000" w:sz="8" w:space="0"/>
            </w:tcBorders>
            <w:noWrap w:val="0"/>
            <w:vAlign w:val="center"/>
          </w:tcPr>
          <w:p w14:paraId="599ADFF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0</w:t>
            </w:r>
          </w:p>
        </w:tc>
        <w:tc>
          <w:tcPr>
            <w:tcW w:w="1103" w:type="dxa"/>
            <w:tcBorders>
              <w:top w:val="nil"/>
              <w:left w:val="nil"/>
              <w:bottom w:val="single" w:color="000000" w:sz="8" w:space="0"/>
              <w:right w:val="single" w:color="000000" w:sz="8" w:space="0"/>
            </w:tcBorders>
            <w:noWrap w:val="0"/>
            <w:vAlign w:val="center"/>
          </w:tcPr>
          <w:p w14:paraId="0D5A1AB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5300</w:t>
            </w:r>
          </w:p>
        </w:tc>
      </w:tr>
      <w:tr w14:paraId="307F2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56" w:type="dxa"/>
            <w:tcBorders>
              <w:top w:val="nil"/>
              <w:left w:val="single" w:color="000000" w:sz="8" w:space="0"/>
              <w:bottom w:val="single" w:color="000000" w:sz="8" w:space="0"/>
              <w:right w:val="single" w:color="000000" w:sz="8" w:space="0"/>
            </w:tcBorders>
            <w:noWrap w:val="0"/>
            <w:vAlign w:val="center"/>
          </w:tcPr>
          <w:p w14:paraId="5971ECF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w:t>
            </w:r>
          </w:p>
        </w:tc>
        <w:tc>
          <w:tcPr>
            <w:tcW w:w="1279" w:type="dxa"/>
            <w:tcBorders>
              <w:top w:val="nil"/>
              <w:left w:val="nil"/>
              <w:bottom w:val="single" w:color="000000" w:sz="8" w:space="0"/>
              <w:right w:val="single" w:color="000000" w:sz="8" w:space="0"/>
            </w:tcBorders>
            <w:noWrap w:val="0"/>
            <w:vAlign w:val="center"/>
          </w:tcPr>
          <w:p w14:paraId="02243C7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三级</w:t>
            </w:r>
          </w:p>
        </w:tc>
        <w:tc>
          <w:tcPr>
            <w:tcW w:w="3618" w:type="dxa"/>
            <w:tcBorders>
              <w:top w:val="nil"/>
              <w:left w:val="nil"/>
              <w:bottom w:val="single" w:color="000000" w:sz="8" w:space="0"/>
              <w:right w:val="single" w:color="000000" w:sz="8" w:space="0"/>
            </w:tcBorders>
            <w:noWrap w:val="0"/>
            <w:vAlign w:val="center"/>
          </w:tcPr>
          <w:p w14:paraId="6F37D8E3">
            <w:pPr>
              <w:keepNext w:val="0"/>
              <w:keepLines w:val="0"/>
              <w:widowControl/>
              <w:suppressLineNumbers w:val="0"/>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南复线-区党校路尽头</w:t>
            </w:r>
          </w:p>
        </w:tc>
        <w:tc>
          <w:tcPr>
            <w:tcW w:w="1103" w:type="dxa"/>
            <w:tcBorders>
              <w:top w:val="nil"/>
              <w:left w:val="nil"/>
              <w:bottom w:val="single" w:color="000000" w:sz="8" w:space="0"/>
              <w:right w:val="single" w:color="000000" w:sz="8" w:space="0"/>
            </w:tcBorders>
            <w:noWrap w:val="0"/>
            <w:vAlign w:val="center"/>
          </w:tcPr>
          <w:p w14:paraId="070FBAE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200</w:t>
            </w:r>
          </w:p>
        </w:tc>
        <w:tc>
          <w:tcPr>
            <w:tcW w:w="1294" w:type="dxa"/>
            <w:tcBorders>
              <w:top w:val="nil"/>
              <w:left w:val="nil"/>
              <w:bottom w:val="single" w:color="000000" w:sz="8" w:space="0"/>
              <w:right w:val="single" w:color="000000" w:sz="8" w:space="0"/>
            </w:tcBorders>
            <w:noWrap w:val="0"/>
            <w:vAlign w:val="center"/>
          </w:tcPr>
          <w:p w14:paraId="13E1D46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2200</w:t>
            </w:r>
          </w:p>
        </w:tc>
        <w:tc>
          <w:tcPr>
            <w:tcW w:w="1294" w:type="dxa"/>
            <w:tcBorders>
              <w:top w:val="nil"/>
              <w:left w:val="nil"/>
              <w:bottom w:val="single" w:color="000000" w:sz="8" w:space="0"/>
              <w:right w:val="single" w:color="000000" w:sz="8" w:space="0"/>
            </w:tcBorders>
            <w:noWrap w:val="0"/>
            <w:vAlign w:val="center"/>
          </w:tcPr>
          <w:p w14:paraId="3DE7B07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500</w:t>
            </w:r>
          </w:p>
        </w:tc>
        <w:tc>
          <w:tcPr>
            <w:tcW w:w="1103" w:type="dxa"/>
            <w:tcBorders>
              <w:top w:val="nil"/>
              <w:left w:val="nil"/>
              <w:bottom w:val="single" w:color="000000" w:sz="8" w:space="0"/>
              <w:right w:val="single" w:color="000000" w:sz="8" w:space="0"/>
            </w:tcBorders>
            <w:noWrap w:val="0"/>
            <w:vAlign w:val="center"/>
          </w:tcPr>
          <w:p w14:paraId="1267342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2700</w:t>
            </w:r>
          </w:p>
        </w:tc>
      </w:tr>
      <w:tr w14:paraId="01451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56" w:type="dxa"/>
            <w:tcBorders>
              <w:top w:val="nil"/>
              <w:left w:val="single" w:color="000000" w:sz="8" w:space="0"/>
              <w:bottom w:val="single" w:color="000000" w:sz="8" w:space="0"/>
              <w:right w:val="single" w:color="000000" w:sz="8" w:space="0"/>
            </w:tcBorders>
            <w:noWrap w:val="0"/>
            <w:vAlign w:val="center"/>
          </w:tcPr>
          <w:p w14:paraId="5D88A10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w:t>
            </w:r>
          </w:p>
        </w:tc>
        <w:tc>
          <w:tcPr>
            <w:tcW w:w="1279" w:type="dxa"/>
            <w:tcBorders>
              <w:top w:val="nil"/>
              <w:left w:val="nil"/>
              <w:bottom w:val="single" w:color="000000" w:sz="8" w:space="0"/>
              <w:right w:val="single" w:color="000000" w:sz="8" w:space="0"/>
            </w:tcBorders>
            <w:noWrap w:val="0"/>
            <w:vAlign w:val="center"/>
          </w:tcPr>
          <w:p w14:paraId="3A85B57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三级</w:t>
            </w:r>
          </w:p>
        </w:tc>
        <w:tc>
          <w:tcPr>
            <w:tcW w:w="3618" w:type="dxa"/>
            <w:tcBorders>
              <w:top w:val="nil"/>
              <w:left w:val="nil"/>
              <w:bottom w:val="single" w:color="000000" w:sz="8" w:space="0"/>
              <w:right w:val="single" w:color="000000" w:sz="8" w:space="0"/>
            </w:tcBorders>
            <w:noWrap w:val="0"/>
            <w:vAlign w:val="center"/>
          </w:tcPr>
          <w:p w14:paraId="5527ABC7">
            <w:pPr>
              <w:keepNext w:val="0"/>
              <w:keepLines w:val="0"/>
              <w:widowControl/>
              <w:suppressLineNumbers w:val="0"/>
              <w:jc w:val="both"/>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街道核心区零星绿化养护和路面保洁</w:t>
            </w:r>
          </w:p>
        </w:tc>
        <w:tc>
          <w:tcPr>
            <w:tcW w:w="1103" w:type="dxa"/>
            <w:tcBorders>
              <w:top w:val="nil"/>
              <w:left w:val="nil"/>
              <w:bottom w:val="single" w:color="000000" w:sz="8" w:space="0"/>
              <w:right w:val="single" w:color="000000" w:sz="8" w:space="0"/>
            </w:tcBorders>
            <w:noWrap w:val="0"/>
            <w:vAlign w:val="center"/>
          </w:tcPr>
          <w:p w14:paraId="5D21CF57">
            <w:pPr>
              <w:jc w:val="center"/>
              <w:rPr>
                <w:rFonts w:hint="eastAsia" w:ascii="仿宋" w:hAnsi="仿宋" w:eastAsia="仿宋" w:cs="仿宋"/>
                <w:i w:val="0"/>
                <w:iCs w:val="0"/>
                <w:color w:val="000000"/>
                <w:sz w:val="24"/>
                <w:szCs w:val="24"/>
                <w:highlight w:val="none"/>
                <w:u w:val="none"/>
              </w:rPr>
            </w:pPr>
          </w:p>
        </w:tc>
        <w:tc>
          <w:tcPr>
            <w:tcW w:w="1294" w:type="dxa"/>
            <w:tcBorders>
              <w:top w:val="nil"/>
              <w:left w:val="nil"/>
              <w:bottom w:val="single" w:color="000000" w:sz="8" w:space="0"/>
              <w:right w:val="single" w:color="000000" w:sz="8" w:space="0"/>
            </w:tcBorders>
            <w:noWrap w:val="0"/>
            <w:vAlign w:val="center"/>
          </w:tcPr>
          <w:p w14:paraId="2EF63C2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2000</w:t>
            </w:r>
          </w:p>
        </w:tc>
        <w:tc>
          <w:tcPr>
            <w:tcW w:w="1294" w:type="dxa"/>
            <w:tcBorders>
              <w:top w:val="nil"/>
              <w:left w:val="nil"/>
              <w:bottom w:val="single" w:color="000000" w:sz="8" w:space="0"/>
              <w:right w:val="single" w:color="000000" w:sz="8" w:space="0"/>
            </w:tcBorders>
            <w:noWrap w:val="0"/>
            <w:vAlign w:val="center"/>
          </w:tcPr>
          <w:p w14:paraId="05BA7B8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2000</w:t>
            </w:r>
          </w:p>
        </w:tc>
        <w:tc>
          <w:tcPr>
            <w:tcW w:w="1103" w:type="dxa"/>
            <w:tcBorders>
              <w:top w:val="nil"/>
              <w:left w:val="nil"/>
              <w:bottom w:val="single" w:color="000000" w:sz="8" w:space="0"/>
              <w:right w:val="single" w:color="000000" w:sz="8" w:space="0"/>
            </w:tcBorders>
            <w:noWrap w:val="0"/>
            <w:vAlign w:val="center"/>
          </w:tcPr>
          <w:p w14:paraId="1E7A230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4000</w:t>
            </w:r>
          </w:p>
        </w:tc>
      </w:tr>
      <w:tr w14:paraId="51FE2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56" w:type="dxa"/>
            <w:tcBorders>
              <w:top w:val="nil"/>
              <w:left w:val="single" w:color="000000" w:sz="8" w:space="0"/>
              <w:bottom w:val="single" w:color="000000" w:sz="8" w:space="0"/>
              <w:right w:val="single" w:color="000000" w:sz="8" w:space="0"/>
            </w:tcBorders>
            <w:noWrap w:val="0"/>
            <w:vAlign w:val="center"/>
          </w:tcPr>
          <w:p w14:paraId="04E2399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w:t>
            </w:r>
          </w:p>
        </w:tc>
        <w:tc>
          <w:tcPr>
            <w:tcW w:w="1279" w:type="dxa"/>
            <w:tcBorders>
              <w:top w:val="nil"/>
              <w:left w:val="nil"/>
              <w:bottom w:val="single" w:color="000000" w:sz="8" w:space="0"/>
              <w:right w:val="single" w:color="000000" w:sz="8" w:space="0"/>
            </w:tcBorders>
            <w:noWrap w:val="0"/>
            <w:vAlign w:val="center"/>
          </w:tcPr>
          <w:p w14:paraId="39D9775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公园</w:t>
            </w:r>
          </w:p>
        </w:tc>
        <w:tc>
          <w:tcPr>
            <w:tcW w:w="3618" w:type="dxa"/>
            <w:tcBorders>
              <w:top w:val="nil"/>
              <w:left w:val="nil"/>
              <w:bottom w:val="single" w:color="000000" w:sz="8" w:space="0"/>
              <w:right w:val="single" w:color="000000" w:sz="8" w:space="0"/>
            </w:tcBorders>
            <w:noWrap w:val="0"/>
            <w:vAlign w:val="center"/>
          </w:tcPr>
          <w:p w14:paraId="77776797">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永进公园、型塘江公园等</w:t>
            </w:r>
          </w:p>
        </w:tc>
        <w:tc>
          <w:tcPr>
            <w:tcW w:w="1103" w:type="dxa"/>
            <w:tcBorders>
              <w:top w:val="nil"/>
              <w:left w:val="nil"/>
              <w:bottom w:val="single" w:color="000000" w:sz="8" w:space="0"/>
              <w:right w:val="single" w:color="000000" w:sz="8" w:space="0"/>
            </w:tcBorders>
            <w:noWrap w:val="0"/>
            <w:vAlign w:val="center"/>
          </w:tcPr>
          <w:p w14:paraId="5FE91E94">
            <w:pPr>
              <w:jc w:val="center"/>
              <w:rPr>
                <w:rFonts w:hint="eastAsia" w:ascii="仿宋" w:hAnsi="仿宋" w:eastAsia="仿宋" w:cs="仿宋"/>
                <w:i w:val="0"/>
                <w:iCs w:val="0"/>
                <w:color w:val="000000"/>
                <w:sz w:val="24"/>
                <w:szCs w:val="24"/>
                <w:highlight w:val="none"/>
                <w:u w:val="none"/>
              </w:rPr>
            </w:pPr>
          </w:p>
        </w:tc>
        <w:tc>
          <w:tcPr>
            <w:tcW w:w="1294" w:type="dxa"/>
            <w:tcBorders>
              <w:top w:val="nil"/>
              <w:left w:val="nil"/>
              <w:bottom w:val="single" w:color="000000" w:sz="8" w:space="0"/>
              <w:right w:val="single" w:color="000000" w:sz="8" w:space="0"/>
            </w:tcBorders>
            <w:noWrap w:val="0"/>
            <w:vAlign w:val="center"/>
          </w:tcPr>
          <w:p w14:paraId="2E74701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15336</w:t>
            </w:r>
          </w:p>
        </w:tc>
        <w:tc>
          <w:tcPr>
            <w:tcW w:w="1294" w:type="dxa"/>
            <w:tcBorders>
              <w:top w:val="nil"/>
              <w:left w:val="nil"/>
              <w:bottom w:val="single" w:color="000000" w:sz="8" w:space="0"/>
              <w:right w:val="single" w:color="000000" w:sz="8" w:space="0"/>
            </w:tcBorders>
            <w:noWrap w:val="0"/>
            <w:vAlign w:val="center"/>
          </w:tcPr>
          <w:p w14:paraId="18A6C29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33888</w:t>
            </w:r>
          </w:p>
        </w:tc>
        <w:tc>
          <w:tcPr>
            <w:tcW w:w="1103" w:type="dxa"/>
            <w:tcBorders>
              <w:top w:val="nil"/>
              <w:left w:val="nil"/>
              <w:bottom w:val="single" w:color="000000" w:sz="8" w:space="0"/>
              <w:right w:val="single" w:color="000000" w:sz="8" w:space="0"/>
            </w:tcBorders>
            <w:noWrap w:val="0"/>
            <w:vAlign w:val="center"/>
          </w:tcPr>
          <w:p w14:paraId="7C0E87D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49224</w:t>
            </w:r>
          </w:p>
        </w:tc>
      </w:tr>
      <w:tr w14:paraId="5E551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56" w:type="dxa"/>
            <w:tcBorders>
              <w:top w:val="nil"/>
              <w:left w:val="single" w:color="000000" w:sz="8" w:space="0"/>
              <w:bottom w:val="single" w:color="000000" w:sz="8" w:space="0"/>
              <w:right w:val="single" w:color="000000" w:sz="8" w:space="0"/>
            </w:tcBorders>
            <w:noWrap w:val="0"/>
            <w:vAlign w:val="center"/>
          </w:tcPr>
          <w:p w14:paraId="62E8C09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w:t>
            </w:r>
          </w:p>
        </w:tc>
        <w:tc>
          <w:tcPr>
            <w:tcW w:w="1279" w:type="dxa"/>
            <w:tcBorders>
              <w:top w:val="nil"/>
              <w:left w:val="nil"/>
              <w:bottom w:val="single" w:color="000000" w:sz="8" w:space="0"/>
              <w:right w:val="single" w:color="000000" w:sz="8" w:space="0"/>
            </w:tcBorders>
            <w:noWrap w:val="0"/>
            <w:vAlign w:val="center"/>
          </w:tcPr>
          <w:p w14:paraId="790AD44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三级</w:t>
            </w:r>
          </w:p>
        </w:tc>
        <w:tc>
          <w:tcPr>
            <w:tcW w:w="3618" w:type="dxa"/>
            <w:tcBorders>
              <w:top w:val="nil"/>
              <w:left w:val="nil"/>
              <w:bottom w:val="single" w:color="000000" w:sz="8" w:space="0"/>
              <w:right w:val="single" w:color="000000" w:sz="8" w:space="0"/>
            </w:tcBorders>
            <w:noWrap w:val="0"/>
            <w:vAlign w:val="center"/>
          </w:tcPr>
          <w:p w14:paraId="502D9DD2">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项秋公路（以保湿为主）</w:t>
            </w:r>
          </w:p>
        </w:tc>
        <w:tc>
          <w:tcPr>
            <w:tcW w:w="1103" w:type="dxa"/>
            <w:tcBorders>
              <w:top w:val="nil"/>
              <w:left w:val="nil"/>
              <w:bottom w:val="single" w:color="000000" w:sz="8" w:space="0"/>
              <w:right w:val="single" w:color="000000" w:sz="8" w:space="0"/>
            </w:tcBorders>
            <w:noWrap w:val="0"/>
            <w:vAlign w:val="center"/>
          </w:tcPr>
          <w:p w14:paraId="4899088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1000</w:t>
            </w:r>
          </w:p>
        </w:tc>
        <w:tc>
          <w:tcPr>
            <w:tcW w:w="1294" w:type="dxa"/>
            <w:tcBorders>
              <w:top w:val="nil"/>
              <w:left w:val="nil"/>
              <w:bottom w:val="single" w:color="000000" w:sz="8" w:space="0"/>
              <w:right w:val="single" w:color="000000" w:sz="8" w:space="0"/>
            </w:tcBorders>
            <w:noWrap w:val="0"/>
            <w:vAlign w:val="center"/>
          </w:tcPr>
          <w:p w14:paraId="1271F07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7000</w:t>
            </w:r>
          </w:p>
        </w:tc>
        <w:tc>
          <w:tcPr>
            <w:tcW w:w="1294" w:type="dxa"/>
            <w:tcBorders>
              <w:top w:val="nil"/>
              <w:left w:val="nil"/>
              <w:bottom w:val="single" w:color="000000" w:sz="8" w:space="0"/>
              <w:right w:val="single" w:color="000000" w:sz="8" w:space="0"/>
            </w:tcBorders>
            <w:noWrap w:val="0"/>
            <w:vAlign w:val="center"/>
          </w:tcPr>
          <w:p w14:paraId="471C2C9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0</w:t>
            </w:r>
          </w:p>
        </w:tc>
        <w:tc>
          <w:tcPr>
            <w:tcW w:w="1103" w:type="dxa"/>
            <w:tcBorders>
              <w:top w:val="nil"/>
              <w:left w:val="nil"/>
              <w:bottom w:val="single" w:color="000000" w:sz="8" w:space="0"/>
              <w:right w:val="single" w:color="000000" w:sz="8" w:space="0"/>
            </w:tcBorders>
            <w:noWrap w:val="0"/>
            <w:vAlign w:val="center"/>
          </w:tcPr>
          <w:p w14:paraId="73B4242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7000</w:t>
            </w:r>
          </w:p>
        </w:tc>
      </w:tr>
      <w:tr w14:paraId="01476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53" w:type="dxa"/>
            <w:gridSpan w:val="3"/>
            <w:tcBorders>
              <w:top w:val="nil"/>
              <w:left w:val="single" w:color="000000" w:sz="8" w:space="0"/>
              <w:bottom w:val="single" w:color="000000" w:sz="8" w:space="0"/>
              <w:right w:val="single" w:color="000000" w:sz="8" w:space="0"/>
            </w:tcBorders>
            <w:noWrap w:val="0"/>
            <w:vAlign w:val="center"/>
          </w:tcPr>
          <w:p w14:paraId="7FC4BCC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小计（2）</w:t>
            </w:r>
          </w:p>
        </w:tc>
        <w:tc>
          <w:tcPr>
            <w:tcW w:w="1103" w:type="dxa"/>
            <w:tcBorders>
              <w:top w:val="nil"/>
              <w:left w:val="nil"/>
              <w:bottom w:val="single" w:color="000000" w:sz="8" w:space="0"/>
              <w:right w:val="single" w:color="000000" w:sz="8" w:space="0"/>
            </w:tcBorders>
            <w:noWrap w:val="0"/>
            <w:vAlign w:val="center"/>
          </w:tcPr>
          <w:p w14:paraId="0559A66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4730</w:t>
            </w:r>
          </w:p>
        </w:tc>
        <w:tc>
          <w:tcPr>
            <w:tcW w:w="1294" w:type="dxa"/>
            <w:tcBorders>
              <w:top w:val="nil"/>
              <w:left w:val="nil"/>
              <w:bottom w:val="single" w:color="000000" w:sz="8" w:space="0"/>
              <w:right w:val="single" w:color="000000" w:sz="8" w:space="0"/>
            </w:tcBorders>
            <w:noWrap w:val="0"/>
            <w:vAlign w:val="center"/>
          </w:tcPr>
          <w:p w14:paraId="7AD02A9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64806</w:t>
            </w:r>
          </w:p>
        </w:tc>
        <w:tc>
          <w:tcPr>
            <w:tcW w:w="1294" w:type="dxa"/>
            <w:tcBorders>
              <w:top w:val="nil"/>
              <w:left w:val="nil"/>
              <w:bottom w:val="single" w:color="000000" w:sz="8" w:space="0"/>
              <w:right w:val="single" w:color="000000" w:sz="8" w:space="0"/>
            </w:tcBorders>
            <w:noWrap w:val="0"/>
            <w:vAlign w:val="center"/>
          </w:tcPr>
          <w:p w14:paraId="1E2547F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39728</w:t>
            </w:r>
          </w:p>
        </w:tc>
        <w:tc>
          <w:tcPr>
            <w:tcW w:w="1103" w:type="dxa"/>
            <w:tcBorders>
              <w:top w:val="nil"/>
              <w:left w:val="nil"/>
              <w:bottom w:val="single" w:color="000000" w:sz="8" w:space="0"/>
              <w:right w:val="single" w:color="000000" w:sz="8" w:space="0"/>
            </w:tcBorders>
            <w:noWrap w:val="0"/>
            <w:vAlign w:val="center"/>
          </w:tcPr>
          <w:p w14:paraId="68F1040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104534</w:t>
            </w:r>
          </w:p>
        </w:tc>
      </w:tr>
      <w:tr w14:paraId="59F17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53" w:type="dxa"/>
            <w:gridSpan w:val="3"/>
            <w:tcBorders>
              <w:top w:val="nil"/>
              <w:left w:val="single" w:color="000000" w:sz="8" w:space="0"/>
              <w:bottom w:val="single" w:color="000000" w:sz="8" w:space="0"/>
              <w:right w:val="single" w:color="000000" w:sz="8" w:space="0"/>
            </w:tcBorders>
            <w:noWrap w:val="0"/>
            <w:vAlign w:val="center"/>
          </w:tcPr>
          <w:p w14:paraId="11670B4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合计（1）+（2）</w:t>
            </w:r>
          </w:p>
        </w:tc>
        <w:tc>
          <w:tcPr>
            <w:tcW w:w="1103" w:type="dxa"/>
            <w:tcBorders>
              <w:top w:val="nil"/>
              <w:left w:val="nil"/>
              <w:bottom w:val="single" w:color="000000" w:sz="8" w:space="0"/>
              <w:right w:val="single" w:color="000000" w:sz="8" w:space="0"/>
            </w:tcBorders>
            <w:noWrap w:val="0"/>
            <w:vAlign w:val="center"/>
          </w:tcPr>
          <w:p w14:paraId="6A29A0C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18626</w:t>
            </w:r>
          </w:p>
        </w:tc>
        <w:tc>
          <w:tcPr>
            <w:tcW w:w="1294" w:type="dxa"/>
            <w:tcBorders>
              <w:top w:val="nil"/>
              <w:left w:val="nil"/>
              <w:bottom w:val="single" w:color="000000" w:sz="8" w:space="0"/>
              <w:right w:val="single" w:color="000000" w:sz="8" w:space="0"/>
            </w:tcBorders>
            <w:noWrap w:val="0"/>
            <w:vAlign w:val="center"/>
          </w:tcPr>
          <w:p w14:paraId="5EAA309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456269</w:t>
            </w:r>
          </w:p>
        </w:tc>
        <w:tc>
          <w:tcPr>
            <w:tcW w:w="1294" w:type="dxa"/>
            <w:tcBorders>
              <w:top w:val="nil"/>
              <w:left w:val="nil"/>
              <w:bottom w:val="single" w:color="000000" w:sz="8" w:space="0"/>
              <w:right w:val="single" w:color="000000" w:sz="8" w:space="0"/>
            </w:tcBorders>
            <w:noWrap w:val="0"/>
            <w:vAlign w:val="center"/>
          </w:tcPr>
          <w:p w14:paraId="008A88E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81385</w:t>
            </w:r>
          </w:p>
        </w:tc>
        <w:tc>
          <w:tcPr>
            <w:tcW w:w="1103" w:type="dxa"/>
            <w:tcBorders>
              <w:top w:val="nil"/>
              <w:left w:val="nil"/>
              <w:bottom w:val="single" w:color="000000" w:sz="8" w:space="0"/>
              <w:right w:val="single" w:color="000000" w:sz="8" w:space="0"/>
            </w:tcBorders>
            <w:noWrap w:val="0"/>
            <w:vAlign w:val="center"/>
          </w:tcPr>
          <w:p w14:paraId="523A20B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537654</w:t>
            </w:r>
          </w:p>
        </w:tc>
      </w:tr>
    </w:tbl>
    <w:p w14:paraId="38A8DD9C">
      <w:pPr>
        <w:keepNext w:val="0"/>
        <w:keepLines w:val="0"/>
        <w:pageBreakBefore w:val="0"/>
        <w:kinsoku/>
        <w:wordWrap/>
        <w:overflowPunct/>
        <w:topLinePunct w:val="0"/>
        <w:autoSpaceDE/>
        <w:bidi w:val="0"/>
        <w:snapToGrid w:val="0"/>
        <w:spacing w:line="360" w:lineRule="auto"/>
        <w:ind w:firstLine="482" w:firstLineChars="200"/>
        <w:textAlignment w:val="auto"/>
        <w:rPr>
          <w:rFonts w:hint="eastAsia" w:ascii="华文仿宋" w:hAnsi="华文仿宋" w:eastAsia="华文仿宋" w:cs="华文仿宋"/>
          <w:b/>
          <w:color w:val="auto"/>
          <w:sz w:val="24"/>
          <w:highlight w:val="none"/>
        </w:rPr>
      </w:pPr>
      <w:r>
        <w:rPr>
          <w:rFonts w:hint="eastAsia" w:ascii="华文仿宋" w:hAnsi="华文仿宋" w:eastAsia="华文仿宋" w:cs="华文仿宋"/>
          <w:b/>
          <w:color w:val="auto"/>
          <w:sz w:val="24"/>
          <w:highlight w:val="none"/>
        </w:rPr>
        <w:t>1.2设备要求</w:t>
      </w:r>
    </w:p>
    <w:p w14:paraId="70E05A22">
      <w:pPr>
        <w:keepNext w:val="0"/>
        <w:keepLines w:val="0"/>
        <w:pageBreakBefore w:val="0"/>
        <w:kinsoku/>
        <w:wordWrap/>
        <w:overflowPunct/>
        <w:topLinePunct w:val="0"/>
        <w:autoSpaceDE/>
        <w:bidi w:val="0"/>
        <w:snapToGrid w:val="0"/>
        <w:spacing w:line="360" w:lineRule="auto"/>
        <w:ind w:firstLine="480" w:firstLineChars="200"/>
        <w:textAlignment w:val="auto"/>
        <w:rPr>
          <w:rFonts w:hint="eastAsia" w:ascii="华文仿宋" w:hAnsi="华文仿宋" w:eastAsia="华文仿宋" w:cs="华文仿宋"/>
          <w:bCs/>
          <w:color w:val="auto"/>
          <w:sz w:val="24"/>
          <w:highlight w:val="none"/>
        </w:rPr>
      </w:pPr>
      <w:r>
        <w:rPr>
          <w:rFonts w:hint="eastAsia" w:ascii="华文仿宋" w:hAnsi="华文仿宋" w:eastAsia="华文仿宋" w:cs="华文仿宋"/>
          <w:bCs/>
          <w:color w:val="auto"/>
          <w:sz w:val="24"/>
          <w:highlight w:val="none"/>
        </w:rPr>
        <w:t>供应商需在中标公示结束之日起15日内按标文要求</w:t>
      </w:r>
      <w:r>
        <w:rPr>
          <w:rFonts w:hint="eastAsia" w:ascii="华文仿宋" w:hAnsi="华文仿宋" w:eastAsia="华文仿宋" w:cs="华文仿宋"/>
          <w:bCs/>
          <w:color w:val="auto"/>
          <w:sz w:val="24"/>
          <w:highlight w:val="none"/>
          <w:lang w:eastAsia="zh-CN"/>
        </w:rPr>
        <w:t>配</w:t>
      </w:r>
      <w:r>
        <w:rPr>
          <w:rFonts w:hint="eastAsia" w:ascii="华文仿宋" w:hAnsi="华文仿宋" w:eastAsia="华文仿宋" w:cs="华文仿宋"/>
          <w:bCs/>
          <w:color w:val="auto"/>
          <w:sz w:val="24"/>
          <w:highlight w:val="none"/>
        </w:rPr>
        <w:t>置好车辆。</w:t>
      </w:r>
    </w:p>
    <w:p w14:paraId="56B8C7D1">
      <w:pPr>
        <w:keepNext w:val="0"/>
        <w:keepLines w:val="0"/>
        <w:pageBreakBefore w:val="0"/>
        <w:kinsoku/>
        <w:wordWrap/>
        <w:overflowPunct/>
        <w:topLinePunct w:val="0"/>
        <w:autoSpaceDE/>
        <w:bidi w:val="0"/>
        <w:adjustRightInd/>
        <w:snapToGrid w:val="0"/>
        <w:spacing w:line="360" w:lineRule="auto"/>
        <w:ind w:firstLine="480" w:firstLineChars="200"/>
        <w:textAlignment w:val="auto"/>
        <w:rPr>
          <w:rFonts w:hint="eastAsia" w:ascii="华文仿宋" w:hAnsi="华文仿宋" w:eastAsia="华文仿宋" w:cs="华文仿宋"/>
          <w:bCs/>
          <w:color w:val="auto"/>
          <w:sz w:val="24"/>
          <w:highlight w:val="none"/>
        </w:rPr>
      </w:pPr>
      <w:r>
        <w:rPr>
          <w:rFonts w:hint="eastAsia" w:ascii="华文仿宋" w:hAnsi="华文仿宋" w:eastAsia="华文仿宋" w:cs="华文仿宋"/>
          <w:bCs/>
          <w:color w:val="auto"/>
          <w:sz w:val="24"/>
          <w:highlight w:val="none"/>
        </w:rPr>
        <w:t>本项目车辆基本配置：</w:t>
      </w:r>
    </w:p>
    <w:p w14:paraId="73629379">
      <w:pPr>
        <w:keepNext w:val="0"/>
        <w:keepLines w:val="0"/>
        <w:pageBreakBefore w:val="0"/>
        <w:kinsoku/>
        <w:wordWrap/>
        <w:overflowPunct/>
        <w:topLinePunct w:val="0"/>
        <w:autoSpaceDE/>
        <w:bidi w:val="0"/>
        <w:snapToGrid w:val="0"/>
        <w:spacing w:line="360" w:lineRule="auto"/>
        <w:ind w:firstLine="480" w:firstLineChars="200"/>
        <w:textAlignment w:val="auto"/>
        <w:rPr>
          <w:rFonts w:ascii="华文仿宋" w:hAnsi="华文仿宋" w:eastAsia="华文仿宋" w:cs="华文仿宋"/>
          <w:bCs/>
          <w:color w:val="auto"/>
          <w:sz w:val="24"/>
          <w:highlight w:val="none"/>
        </w:rPr>
      </w:pPr>
      <w:r>
        <w:rPr>
          <w:rFonts w:hint="eastAsia" w:ascii="华文仿宋" w:hAnsi="华文仿宋" w:eastAsia="华文仿宋" w:cs="华文仿宋"/>
          <w:bCs/>
          <w:color w:val="auto"/>
          <w:sz w:val="24"/>
          <w:highlight w:val="none"/>
        </w:rPr>
        <w:t>1、总质量</w:t>
      </w:r>
      <w:r>
        <w:rPr>
          <w:rFonts w:hint="eastAsia" w:ascii="华文仿宋" w:hAnsi="华文仿宋" w:eastAsia="华文仿宋" w:cs="华文仿宋"/>
          <w:bCs/>
          <w:color w:val="auto"/>
          <w:sz w:val="24"/>
          <w:highlight w:val="none"/>
          <w:lang w:val="en-US" w:eastAsia="zh-CN"/>
        </w:rPr>
        <w:t>18</w:t>
      </w:r>
      <w:r>
        <w:rPr>
          <w:rFonts w:hint="eastAsia" w:ascii="华文仿宋" w:hAnsi="华文仿宋" w:eastAsia="华文仿宋" w:cs="华文仿宋"/>
          <w:bCs/>
          <w:color w:val="auto"/>
          <w:sz w:val="24"/>
          <w:highlight w:val="none"/>
        </w:rPr>
        <w:t>吨及以上</w:t>
      </w:r>
      <w:r>
        <w:rPr>
          <w:rFonts w:hint="eastAsia" w:ascii="华文仿宋" w:hAnsi="华文仿宋" w:eastAsia="华文仿宋" w:cs="华文仿宋"/>
          <w:bCs/>
          <w:color w:val="auto"/>
          <w:sz w:val="24"/>
          <w:highlight w:val="none"/>
          <w:lang w:val="en-US" w:eastAsia="zh-CN"/>
        </w:rPr>
        <w:t>扫地车1</w:t>
      </w:r>
      <w:r>
        <w:rPr>
          <w:rFonts w:hint="eastAsia" w:ascii="华文仿宋" w:hAnsi="华文仿宋" w:eastAsia="华文仿宋" w:cs="华文仿宋"/>
          <w:bCs/>
          <w:color w:val="auto"/>
          <w:sz w:val="24"/>
          <w:highlight w:val="none"/>
        </w:rPr>
        <w:t>辆；</w:t>
      </w:r>
    </w:p>
    <w:p w14:paraId="4166DD2F">
      <w:pPr>
        <w:keepNext w:val="0"/>
        <w:keepLines w:val="0"/>
        <w:pageBreakBefore w:val="0"/>
        <w:kinsoku/>
        <w:wordWrap/>
        <w:overflowPunct/>
        <w:topLinePunct w:val="0"/>
        <w:autoSpaceDE/>
        <w:bidi w:val="0"/>
        <w:snapToGrid w:val="0"/>
        <w:spacing w:line="360" w:lineRule="auto"/>
        <w:ind w:firstLine="480" w:firstLineChars="200"/>
        <w:textAlignment w:val="auto"/>
        <w:rPr>
          <w:rFonts w:hint="eastAsia" w:ascii="华文仿宋" w:hAnsi="华文仿宋" w:eastAsia="华文仿宋" w:cs="华文仿宋"/>
          <w:bCs/>
          <w:color w:val="auto"/>
          <w:sz w:val="24"/>
          <w:highlight w:val="none"/>
        </w:rPr>
      </w:pPr>
      <w:r>
        <w:rPr>
          <w:rFonts w:hint="eastAsia" w:ascii="华文仿宋" w:hAnsi="华文仿宋" w:eastAsia="华文仿宋" w:cs="华文仿宋"/>
          <w:bCs/>
          <w:color w:val="auto"/>
          <w:sz w:val="24"/>
          <w:highlight w:val="none"/>
        </w:rPr>
        <w:t>2、总质量</w:t>
      </w:r>
      <w:r>
        <w:rPr>
          <w:rFonts w:hint="eastAsia" w:ascii="华文仿宋" w:hAnsi="华文仿宋" w:eastAsia="华文仿宋" w:cs="华文仿宋"/>
          <w:bCs/>
          <w:color w:val="auto"/>
          <w:sz w:val="24"/>
          <w:highlight w:val="none"/>
          <w:lang w:val="en-US" w:eastAsia="zh-CN"/>
        </w:rPr>
        <w:t>18</w:t>
      </w:r>
      <w:r>
        <w:rPr>
          <w:rFonts w:hint="eastAsia" w:ascii="华文仿宋" w:hAnsi="华文仿宋" w:eastAsia="华文仿宋" w:cs="华文仿宋"/>
          <w:bCs/>
          <w:color w:val="auto"/>
          <w:sz w:val="24"/>
          <w:highlight w:val="none"/>
        </w:rPr>
        <w:t>吨及以上</w:t>
      </w:r>
      <w:r>
        <w:rPr>
          <w:rFonts w:hint="eastAsia" w:ascii="华文仿宋" w:hAnsi="华文仿宋" w:eastAsia="华文仿宋" w:cs="华文仿宋"/>
          <w:bCs/>
          <w:color w:val="auto"/>
          <w:sz w:val="24"/>
          <w:highlight w:val="none"/>
          <w:lang w:val="en-US" w:eastAsia="zh-CN"/>
        </w:rPr>
        <w:t>洗扫车3</w:t>
      </w:r>
      <w:r>
        <w:rPr>
          <w:rFonts w:hint="eastAsia" w:ascii="华文仿宋" w:hAnsi="华文仿宋" w:eastAsia="华文仿宋" w:cs="华文仿宋"/>
          <w:bCs/>
          <w:color w:val="auto"/>
          <w:sz w:val="24"/>
          <w:highlight w:val="none"/>
        </w:rPr>
        <w:t>辆；</w:t>
      </w:r>
    </w:p>
    <w:p w14:paraId="63FE8303">
      <w:pPr>
        <w:keepNext w:val="0"/>
        <w:keepLines w:val="0"/>
        <w:pageBreakBefore w:val="0"/>
        <w:kinsoku/>
        <w:wordWrap/>
        <w:overflowPunct/>
        <w:topLinePunct w:val="0"/>
        <w:autoSpaceDE/>
        <w:bidi w:val="0"/>
        <w:snapToGrid w:val="0"/>
        <w:spacing w:line="360" w:lineRule="auto"/>
        <w:ind w:firstLine="480" w:firstLineChars="200"/>
        <w:textAlignment w:val="auto"/>
        <w:rPr>
          <w:rFonts w:hint="eastAsia" w:ascii="华文仿宋" w:hAnsi="华文仿宋" w:eastAsia="华文仿宋" w:cs="华文仿宋"/>
          <w:bCs/>
          <w:color w:val="auto"/>
          <w:sz w:val="24"/>
          <w:highlight w:val="none"/>
          <w:lang w:val="en-US" w:eastAsia="zh-CN"/>
        </w:rPr>
      </w:pPr>
      <w:r>
        <w:rPr>
          <w:rFonts w:hint="eastAsia" w:ascii="华文仿宋" w:hAnsi="华文仿宋" w:eastAsia="华文仿宋" w:cs="华文仿宋"/>
          <w:bCs/>
          <w:color w:val="auto"/>
          <w:sz w:val="24"/>
          <w:highlight w:val="none"/>
          <w:lang w:val="en-US" w:eastAsia="zh-CN"/>
        </w:rPr>
        <w:t>3、</w:t>
      </w:r>
      <w:r>
        <w:rPr>
          <w:rFonts w:hint="eastAsia" w:ascii="华文仿宋" w:hAnsi="华文仿宋" w:eastAsia="华文仿宋" w:cs="华文仿宋"/>
          <w:bCs/>
          <w:color w:val="auto"/>
          <w:sz w:val="24"/>
          <w:highlight w:val="none"/>
        </w:rPr>
        <w:t>总质量</w:t>
      </w:r>
      <w:r>
        <w:rPr>
          <w:rFonts w:hint="eastAsia" w:ascii="华文仿宋" w:hAnsi="华文仿宋" w:eastAsia="华文仿宋" w:cs="华文仿宋"/>
          <w:bCs/>
          <w:color w:val="auto"/>
          <w:sz w:val="24"/>
          <w:highlight w:val="none"/>
          <w:lang w:val="en-US" w:eastAsia="zh-CN"/>
        </w:rPr>
        <w:t>18</w:t>
      </w:r>
      <w:r>
        <w:rPr>
          <w:rFonts w:hint="eastAsia" w:ascii="华文仿宋" w:hAnsi="华文仿宋" w:eastAsia="华文仿宋" w:cs="华文仿宋"/>
          <w:bCs/>
          <w:color w:val="auto"/>
          <w:sz w:val="24"/>
          <w:highlight w:val="none"/>
        </w:rPr>
        <w:t>吨及以上</w:t>
      </w:r>
      <w:r>
        <w:rPr>
          <w:rFonts w:hint="eastAsia" w:ascii="华文仿宋" w:hAnsi="华文仿宋" w:eastAsia="华文仿宋" w:cs="华文仿宋"/>
          <w:bCs/>
          <w:color w:val="auto"/>
          <w:sz w:val="24"/>
          <w:highlight w:val="none"/>
          <w:lang w:val="en-US" w:eastAsia="zh-CN"/>
        </w:rPr>
        <w:t>洒水车4</w:t>
      </w:r>
      <w:r>
        <w:rPr>
          <w:rFonts w:hint="eastAsia" w:ascii="华文仿宋" w:hAnsi="华文仿宋" w:eastAsia="华文仿宋" w:cs="华文仿宋"/>
          <w:bCs/>
          <w:color w:val="auto"/>
          <w:sz w:val="24"/>
          <w:highlight w:val="none"/>
        </w:rPr>
        <w:t>辆；</w:t>
      </w:r>
    </w:p>
    <w:p w14:paraId="770A7B0F">
      <w:pPr>
        <w:keepNext w:val="0"/>
        <w:keepLines w:val="0"/>
        <w:pageBreakBefore w:val="0"/>
        <w:kinsoku/>
        <w:wordWrap/>
        <w:overflowPunct/>
        <w:topLinePunct w:val="0"/>
        <w:autoSpaceDE/>
        <w:bidi w:val="0"/>
        <w:snapToGrid w:val="0"/>
        <w:spacing w:line="360" w:lineRule="auto"/>
        <w:ind w:firstLine="480" w:firstLineChars="200"/>
        <w:textAlignment w:val="auto"/>
        <w:rPr>
          <w:rFonts w:hint="eastAsia" w:ascii="华文仿宋" w:hAnsi="华文仿宋" w:eastAsia="华文仿宋" w:cs="华文仿宋"/>
          <w:bCs/>
          <w:color w:val="auto"/>
          <w:sz w:val="24"/>
          <w:highlight w:val="none"/>
        </w:rPr>
      </w:pPr>
      <w:r>
        <w:rPr>
          <w:rFonts w:hint="eastAsia" w:ascii="华文仿宋" w:hAnsi="华文仿宋" w:eastAsia="华文仿宋" w:cs="华文仿宋"/>
          <w:bCs/>
          <w:color w:val="auto"/>
          <w:sz w:val="24"/>
          <w:highlight w:val="none"/>
          <w:lang w:val="en-US" w:eastAsia="zh-CN"/>
        </w:rPr>
        <w:t>4</w:t>
      </w:r>
      <w:r>
        <w:rPr>
          <w:rFonts w:hint="eastAsia" w:ascii="华文仿宋" w:hAnsi="华文仿宋" w:eastAsia="华文仿宋" w:cs="华文仿宋"/>
          <w:bCs/>
          <w:color w:val="auto"/>
          <w:sz w:val="24"/>
          <w:highlight w:val="none"/>
        </w:rPr>
        <w:t>、路面养护车2辆；</w:t>
      </w:r>
    </w:p>
    <w:p w14:paraId="0A98B517">
      <w:pPr>
        <w:keepNext w:val="0"/>
        <w:keepLines w:val="0"/>
        <w:pageBreakBefore w:val="0"/>
        <w:kinsoku/>
        <w:wordWrap/>
        <w:overflowPunct/>
        <w:topLinePunct w:val="0"/>
        <w:autoSpaceDE/>
        <w:bidi w:val="0"/>
        <w:snapToGrid w:val="0"/>
        <w:spacing w:line="360" w:lineRule="auto"/>
        <w:ind w:firstLine="480" w:firstLineChars="200"/>
        <w:textAlignment w:val="auto"/>
        <w:rPr>
          <w:rFonts w:hint="eastAsia" w:ascii="华文仿宋" w:hAnsi="华文仿宋" w:eastAsia="华文仿宋" w:cs="华文仿宋"/>
          <w:bCs/>
          <w:color w:val="auto"/>
          <w:sz w:val="24"/>
          <w:highlight w:val="none"/>
        </w:rPr>
      </w:pPr>
      <w:r>
        <w:rPr>
          <w:rFonts w:hint="eastAsia" w:ascii="华文仿宋" w:hAnsi="华文仿宋" w:eastAsia="华文仿宋" w:cs="华文仿宋"/>
          <w:bCs/>
          <w:color w:val="auto"/>
          <w:sz w:val="24"/>
          <w:highlight w:val="none"/>
          <w:lang w:val="en-US" w:eastAsia="zh-CN"/>
        </w:rPr>
        <w:t>5</w:t>
      </w:r>
      <w:r>
        <w:rPr>
          <w:rFonts w:hint="eastAsia" w:ascii="华文仿宋" w:hAnsi="华文仿宋" w:eastAsia="华文仿宋" w:cs="华文仿宋"/>
          <w:bCs/>
          <w:color w:val="auto"/>
          <w:sz w:val="24"/>
          <w:highlight w:val="none"/>
        </w:rPr>
        <w:t>、三轮高压冲洗车3辆；</w:t>
      </w:r>
    </w:p>
    <w:p w14:paraId="74C75E7E">
      <w:pPr>
        <w:keepNext w:val="0"/>
        <w:keepLines w:val="0"/>
        <w:pageBreakBefore w:val="0"/>
        <w:kinsoku/>
        <w:wordWrap/>
        <w:overflowPunct/>
        <w:topLinePunct w:val="0"/>
        <w:autoSpaceDE/>
        <w:bidi w:val="0"/>
        <w:snapToGrid w:val="0"/>
        <w:spacing w:line="360" w:lineRule="auto"/>
        <w:ind w:firstLine="480" w:firstLineChars="200"/>
        <w:textAlignment w:val="auto"/>
        <w:rPr>
          <w:rFonts w:hint="eastAsia" w:ascii="华文仿宋" w:hAnsi="华文仿宋" w:eastAsia="华文仿宋" w:cs="华文仿宋"/>
          <w:bCs/>
          <w:color w:val="auto"/>
          <w:sz w:val="24"/>
          <w:highlight w:val="none"/>
          <w:lang w:val="en-US" w:eastAsia="zh-CN"/>
        </w:rPr>
      </w:pPr>
      <w:r>
        <w:rPr>
          <w:rFonts w:hint="eastAsia" w:ascii="华文仿宋" w:hAnsi="华文仿宋" w:eastAsia="华文仿宋" w:cs="华文仿宋"/>
          <w:bCs/>
          <w:color w:val="auto"/>
          <w:sz w:val="24"/>
          <w:highlight w:val="none"/>
          <w:lang w:val="en-US" w:eastAsia="zh-CN"/>
        </w:rPr>
        <w:t>6、电动（快保员）三轮车8辆（暂定数量，根据采购人需求及实际情况调整）</w:t>
      </w:r>
    </w:p>
    <w:p w14:paraId="5B2073CE">
      <w:pPr>
        <w:keepNext w:val="0"/>
        <w:keepLines w:val="0"/>
        <w:pageBreakBefore w:val="0"/>
        <w:kinsoku/>
        <w:wordWrap/>
        <w:overflowPunct/>
        <w:topLinePunct w:val="0"/>
        <w:autoSpaceDE/>
        <w:bidi w:val="0"/>
        <w:snapToGrid w:val="0"/>
        <w:spacing w:line="360" w:lineRule="auto"/>
        <w:ind w:firstLine="480" w:firstLineChars="200"/>
        <w:textAlignment w:val="auto"/>
        <w:rPr>
          <w:rFonts w:hint="eastAsia" w:ascii="华文仿宋" w:hAnsi="华文仿宋" w:eastAsia="华文仿宋" w:cs="华文仿宋"/>
          <w:bCs/>
          <w:color w:val="auto"/>
          <w:sz w:val="24"/>
          <w:highlight w:val="none"/>
        </w:rPr>
      </w:pPr>
      <w:r>
        <w:rPr>
          <w:rFonts w:hint="eastAsia" w:ascii="华文仿宋" w:hAnsi="华文仿宋" w:eastAsia="华文仿宋" w:cs="华文仿宋"/>
          <w:bCs/>
          <w:color w:val="auto"/>
          <w:sz w:val="24"/>
          <w:highlight w:val="none"/>
          <w:lang w:val="en-US" w:eastAsia="zh-CN"/>
        </w:rPr>
        <w:t>7</w:t>
      </w:r>
      <w:r>
        <w:rPr>
          <w:rFonts w:hint="eastAsia" w:ascii="华文仿宋" w:hAnsi="华文仿宋" w:eastAsia="华文仿宋" w:cs="华文仿宋"/>
          <w:bCs/>
          <w:color w:val="auto"/>
          <w:sz w:val="24"/>
          <w:highlight w:val="none"/>
        </w:rPr>
        <w:t>、人力</w:t>
      </w:r>
      <w:r>
        <w:rPr>
          <w:rFonts w:hint="eastAsia" w:ascii="华文仿宋" w:hAnsi="华文仿宋" w:eastAsia="华文仿宋" w:cs="华文仿宋"/>
          <w:bCs/>
          <w:color w:val="auto"/>
          <w:sz w:val="24"/>
          <w:highlight w:val="none"/>
          <w:lang w:eastAsia="zh-CN"/>
        </w:rPr>
        <w:t>（普保员）</w:t>
      </w:r>
      <w:r>
        <w:rPr>
          <w:rFonts w:hint="eastAsia" w:ascii="华文仿宋" w:hAnsi="华文仿宋" w:eastAsia="华文仿宋" w:cs="华文仿宋"/>
          <w:bCs/>
          <w:color w:val="auto"/>
          <w:sz w:val="24"/>
          <w:highlight w:val="none"/>
        </w:rPr>
        <w:t>三轮车</w:t>
      </w:r>
      <w:r>
        <w:rPr>
          <w:rFonts w:hint="eastAsia" w:ascii="华文仿宋" w:hAnsi="华文仿宋" w:eastAsia="华文仿宋" w:cs="华文仿宋"/>
          <w:bCs/>
          <w:color w:val="auto"/>
          <w:sz w:val="24"/>
          <w:highlight w:val="none"/>
          <w:lang w:val="en-US" w:eastAsia="zh-CN"/>
        </w:rPr>
        <w:t>30</w:t>
      </w:r>
      <w:r>
        <w:rPr>
          <w:rFonts w:hint="eastAsia" w:ascii="华文仿宋" w:hAnsi="华文仿宋" w:eastAsia="华文仿宋" w:cs="华文仿宋"/>
          <w:bCs/>
          <w:color w:val="auto"/>
          <w:sz w:val="24"/>
          <w:highlight w:val="none"/>
        </w:rPr>
        <w:t>辆</w:t>
      </w:r>
      <w:r>
        <w:rPr>
          <w:rFonts w:hint="eastAsia" w:ascii="华文仿宋" w:hAnsi="华文仿宋" w:eastAsia="华文仿宋" w:cs="华文仿宋"/>
          <w:bCs/>
          <w:color w:val="auto"/>
          <w:sz w:val="24"/>
          <w:highlight w:val="none"/>
          <w:lang w:val="en-US" w:eastAsia="zh-CN"/>
        </w:rPr>
        <w:t>（暂定数量，</w:t>
      </w:r>
      <w:r>
        <w:rPr>
          <w:rFonts w:hint="eastAsia" w:ascii="华文仿宋" w:hAnsi="华文仿宋" w:eastAsia="华文仿宋" w:cs="华文仿宋"/>
          <w:bCs/>
          <w:color w:val="auto"/>
          <w:sz w:val="24"/>
          <w:highlight w:val="none"/>
        </w:rPr>
        <w:t>根据</w:t>
      </w:r>
      <w:r>
        <w:rPr>
          <w:rFonts w:hint="eastAsia" w:ascii="华文仿宋" w:hAnsi="华文仿宋" w:eastAsia="华文仿宋" w:cs="华文仿宋"/>
          <w:bCs/>
          <w:color w:val="auto"/>
          <w:sz w:val="24"/>
          <w:highlight w:val="none"/>
          <w:lang w:val="en-US" w:eastAsia="zh-CN"/>
        </w:rPr>
        <w:t>采购人需求及实际情况调整）</w:t>
      </w:r>
    </w:p>
    <w:p w14:paraId="269355E5">
      <w:pPr>
        <w:keepNext w:val="0"/>
        <w:keepLines w:val="0"/>
        <w:pageBreakBefore w:val="0"/>
        <w:kinsoku/>
        <w:wordWrap/>
        <w:overflowPunct/>
        <w:topLinePunct w:val="0"/>
        <w:autoSpaceDE/>
        <w:bidi w:val="0"/>
        <w:snapToGrid w:val="0"/>
        <w:spacing w:line="360" w:lineRule="auto"/>
        <w:ind w:firstLine="480" w:firstLineChars="200"/>
        <w:textAlignment w:val="auto"/>
        <w:rPr>
          <w:rFonts w:hint="eastAsia" w:ascii="华文仿宋" w:hAnsi="华文仿宋" w:eastAsia="华文仿宋" w:cs="华文仿宋"/>
          <w:bCs/>
          <w:color w:val="auto"/>
          <w:sz w:val="24"/>
          <w:highlight w:val="none"/>
          <w:lang w:eastAsia="zh-CN"/>
        </w:rPr>
      </w:pPr>
      <w:r>
        <w:rPr>
          <w:rFonts w:hint="eastAsia" w:ascii="华文仿宋" w:hAnsi="华文仿宋" w:eastAsia="华文仿宋" w:cs="华文仿宋"/>
          <w:bCs/>
          <w:color w:val="auto"/>
          <w:sz w:val="24"/>
          <w:highlight w:val="none"/>
          <w:lang w:val="en-US" w:eastAsia="zh-CN"/>
        </w:rPr>
        <w:t>8</w:t>
      </w:r>
      <w:r>
        <w:rPr>
          <w:rFonts w:hint="eastAsia" w:ascii="华文仿宋" w:hAnsi="华文仿宋" w:eastAsia="华文仿宋" w:cs="华文仿宋"/>
          <w:bCs/>
          <w:color w:val="auto"/>
          <w:sz w:val="24"/>
          <w:highlight w:val="none"/>
        </w:rPr>
        <w:t>、其它装御、清运等车辆根据需要自行配置或租用（自拟）</w:t>
      </w:r>
      <w:r>
        <w:rPr>
          <w:rFonts w:hint="eastAsia" w:ascii="华文仿宋" w:hAnsi="华文仿宋" w:eastAsia="华文仿宋" w:cs="华文仿宋"/>
          <w:bCs/>
          <w:color w:val="auto"/>
          <w:sz w:val="24"/>
          <w:highlight w:val="none"/>
          <w:lang w:eastAsia="zh-CN"/>
        </w:rPr>
        <w:t>。</w:t>
      </w:r>
    </w:p>
    <w:p w14:paraId="1372E236">
      <w:pPr>
        <w:keepNext w:val="0"/>
        <w:keepLines w:val="0"/>
        <w:pageBreakBefore w:val="0"/>
        <w:kinsoku/>
        <w:wordWrap/>
        <w:overflowPunct/>
        <w:topLinePunct w:val="0"/>
        <w:autoSpaceDE/>
        <w:bidi w:val="0"/>
        <w:snapToGrid w:val="0"/>
        <w:spacing w:line="360" w:lineRule="auto"/>
        <w:ind w:firstLine="482" w:firstLineChars="200"/>
        <w:textAlignment w:val="auto"/>
        <w:rPr>
          <w:rFonts w:hint="eastAsia" w:ascii="华文仿宋" w:hAnsi="华文仿宋" w:eastAsia="华文仿宋" w:cs="华文仿宋"/>
          <w:b/>
          <w:color w:val="auto"/>
          <w:sz w:val="24"/>
          <w:highlight w:val="none"/>
        </w:rPr>
      </w:pPr>
      <w:r>
        <w:rPr>
          <w:rFonts w:hint="eastAsia" w:ascii="华文仿宋" w:hAnsi="华文仿宋" w:eastAsia="华文仿宋" w:cs="华文仿宋"/>
          <w:b/>
          <w:color w:val="auto"/>
          <w:sz w:val="24"/>
          <w:highlight w:val="none"/>
        </w:rPr>
        <w:t>1.3人员要求</w:t>
      </w:r>
    </w:p>
    <w:p w14:paraId="34085BE9">
      <w:pPr>
        <w:keepNext w:val="0"/>
        <w:keepLines w:val="0"/>
        <w:pageBreakBefore w:val="0"/>
        <w:kinsoku/>
        <w:wordWrap/>
        <w:overflowPunct/>
        <w:topLinePunct w:val="0"/>
        <w:autoSpaceDE/>
        <w:bidi w:val="0"/>
        <w:snapToGrid w:val="0"/>
        <w:spacing w:line="360" w:lineRule="auto"/>
        <w:ind w:firstLine="480" w:firstLineChars="200"/>
        <w:textAlignment w:val="auto"/>
        <w:rPr>
          <w:rFonts w:hint="eastAsia" w:ascii="华文仿宋" w:hAnsi="华文仿宋" w:eastAsia="华文仿宋" w:cs="华文仿宋"/>
          <w:bCs/>
          <w:color w:val="auto"/>
          <w:sz w:val="24"/>
          <w:highlight w:val="none"/>
          <w:lang w:eastAsia="zh-CN"/>
        </w:rPr>
      </w:pPr>
      <w:r>
        <w:rPr>
          <w:rFonts w:hint="eastAsia" w:ascii="华文仿宋" w:hAnsi="华文仿宋" w:eastAsia="华文仿宋" w:cs="华文仿宋"/>
          <w:bCs/>
          <w:color w:val="auto"/>
          <w:sz w:val="24"/>
          <w:highlight w:val="none"/>
        </w:rPr>
        <w:t>项目经理1人，管理员2 人，车队长1人，保洁员38人，驾驶员</w:t>
      </w:r>
      <w:r>
        <w:rPr>
          <w:rFonts w:hint="eastAsia" w:ascii="华文仿宋" w:hAnsi="华文仿宋" w:eastAsia="华文仿宋" w:cs="华文仿宋"/>
          <w:bCs/>
          <w:color w:val="auto"/>
          <w:sz w:val="24"/>
          <w:highlight w:val="none"/>
          <w:lang w:val="en-US" w:eastAsia="zh-CN"/>
        </w:rPr>
        <w:t>13</w:t>
      </w:r>
      <w:r>
        <w:rPr>
          <w:rFonts w:hint="eastAsia" w:ascii="华文仿宋" w:hAnsi="华文仿宋" w:eastAsia="华文仿宋" w:cs="华文仿宋"/>
          <w:bCs/>
          <w:color w:val="auto"/>
          <w:sz w:val="24"/>
          <w:highlight w:val="none"/>
        </w:rPr>
        <w:t>人</w:t>
      </w:r>
      <w:r>
        <w:rPr>
          <w:rFonts w:hint="eastAsia" w:ascii="华文仿宋" w:hAnsi="华文仿宋" w:eastAsia="华文仿宋" w:cs="华文仿宋"/>
          <w:bCs/>
          <w:color w:val="auto"/>
          <w:sz w:val="24"/>
          <w:highlight w:val="none"/>
          <w:lang w:eastAsia="zh-CN"/>
        </w:rPr>
        <w:t>，合计</w:t>
      </w:r>
      <w:r>
        <w:rPr>
          <w:rFonts w:hint="eastAsia" w:ascii="华文仿宋" w:hAnsi="华文仿宋" w:eastAsia="华文仿宋" w:cs="华文仿宋"/>
          <w:bCs/>
          <w:color w:val="auto"/>
          <w:sz w:val="24"/>
          <w:highlight w:val="none"/>
          <w:lang w:val="en-US" w:eastAsia="zh-CN"/>
        </w:rPr>
        <w:t>55人。</w:t>
      </w:r>
    </w:p>
    <w:p w14:paraId="71A53519">
      <w:pPr>
        <w:keepNext w:val="0"/>
        <w:keepLines w:val="0"/>
        <w:pageBreakBefore w:val="0"/>
        <w:kinsoku/>
        <w:wordWrap/>
        <w:overflowPunct/>
        <w:topLinePunct w:val="0"/>
        <w:autoSpaceDE/>
        <w:bidi w:val="0"/>
        <w:snapToGrid w:val="0"/>
        <w:spacing w:line="360" w:lineRule="auto"/>
        <w:ind w:firstLine="482" w:firstLineChars="200"/>
        <w:textAlignment w:val="auto"/>
        <w:rPr>
          <w:rFonts w:hint="eastAsia" w:ascii="华文仿宋" w:hAnsi="华文仿宋" w:eastAsia="华文仿宋" w:cs="华文仿宋"/>
          <w:b/>
          <w:color w:val="auto"/>
          <w:sz w:val="24"/>
          <w:highlight w:val="none"/>
        </w:rPr>
      </w:pPr>
      <w:r>
        <w:rPr>
          <w:rFonts w:hint="eastAsia" w:ascii="华文仿宋" w:hAnsi="华文仿宋" w:eastAsia="华文仿宋" w:cs="华文仿宋"/>
          <w:b/>
          <w:color w:val="auto"/>
          <w:sz w:val="24"/>
          <w:highlight w:val="none"/>
        </w:rPr>
        <w:t>1.4.服务要求：优质服务，符合本标文所有条款要求。</w:t>
      </w:r>
    </w:p>
    <w:p w14:paraId="3D396E43">
      <w:pPr>
        <w:keepNext w:val="0"/>
        <w:keepLines w:val="0"/>
        <w:pageBreakBefore w:val="0"/>
        <w:kinsoku/>
        <w:wordWrap/>
        <w:overflowPunct/>
        <w:topLinePunct w:val="0"/>
        <w:autoSpaceDE/>
        <w:bidi w:val="0"/>
        <w:snapToGrid w:val="0"/>
        <w:spacing w:line="360" w:lineRule="auto"/>
        <w:ind w:firstLine="480" w:firstLineChars="200"/>
        <w:textAlignment w:val="auto"/>
        <w:rPr>
          <w:rFonts w:ascii="仿宋" w:hAnsi="仿宋" w:eastAsia="仿宋"/>
          <w:color w:val="auto"/>
          <w:highlight w:val="none"/>
        </w:rPr>
      </w:pPr>
      <w:r>
        <w:rPr>
          <w:rFonts w:ascii="仿宋" w:hAnsi="仿宋" w:eastAsia="仿宋"/>
          <w:color w:val="auto"/>
          <w:sz w:val="24"/>
          <w:highlight w:val="none"/>
        </w:rPr>
        <w:t>达</w:t>
      </w:r>
      <w:r>
        <w:rPr>
          <w:rFonts w:hint="eastAsia" w:ascii="仿宋" w:hAnsi="仿宋" w:eastAsia="仿宋"/>
          <w:color w:val="auto"/>
          <w:sz w:val="24"/>
          <w:highlight w:val="none"/>
        </w:rPr>
        <w:t>到《柯</w:t>
      </w:r>
      <w:r>
        <w:rPr>
          <w:rFonts w:hint="eastAsia" w:ascii="仿宋" w:hAnsi="仿宋" w:eastAsia="仿宋"/>
          <w:color w:val="auto"/>
          <w:sz w:val="24"/>
          <w:highlight w:val="none"/>
          <w:lang w:eastAsia="zh-CN"/>
        </w:rPr>
        <w:t>岩</w:t>
      </w:r>
      <w:r>
        <w:rPr>
          <w:rFonts w:hint="eastAsia" w:ascii="仿宋" w:hAnsi="仿宋" w:eastAsia="仿宋"/>
          <w:color w:val="auto"/>
          <w:sz w:val="24"/>
          <w:highlight w:val="none"/>
        </w:rPr>
        <w:t>道路保洁服务要求》</w:t>
      </w:r>
      <w:r>
        <w:rPr>
          <w:rFonts w:hint="eastAsia" w:ascii="仿宋" w:hAnsi="仿宋" w:eastAsia="仿宋"/>
          <w:color w:val="auto"/>
          <w:sz w:val="24"/>
          <w:highlight w:val="none"/>
          <w:lang w:eastAsia="zh-CN"/>
        </w:rPr>
        <w:t>详见附件</w:t>
      </w:r>
      <w:r>
        <w:rPr>
          <w:rFonts w:hint="eastAsia" w:ascii="仿宋" w:hAnsi="仿宋" w:eastAsia="仿宋"/>
          <w:color w:val="auto"/>
          <w:sz w:val="24"/>
          <w:highlight w:val="none"/>
          <w:lang w:val="en-US" w:eastAsia="zh-CN"/>
        </w:rPr>
        <w:t>1；</w:t>
      </w:r>
    </w:p>
    <w:p w14:paraId="1BC74D75">
      <w:pPr>
        <w:keepNext w:val="0"/>
        <w:keepLines w:val="0"/>
        <w:pageBreakBefore w:val="0"/>
        <w:kinsoku/>
        <w:wordWrap/>
        <w:overflowPunct/>
        <w:topLinePunct w:val="0"/>
        <w:autoSpaceDE/>
        <w:bidi w:val="0"/>
        <w:snapToGrid w:val="0"/>
        <w:spacing w:line="360" w:lineRule="auto"/>
        <w:ind w:firstLine="482" w:firstLineChars="200"/>
        <w:textAlignment w:val="auto"/>
        <w:rPr>
          <w:rFonts w:hint="eastAsia" w:ascii="华文仿宋" w:hAnsi="华文仿宋" w:eastAsia="华文仿宋" w:cs="华文仿宋"/>
          <w:b/>
          <w:color w:val="auto"/>
          <w:sz w:val="24"/>
          <w:highlight w:val="none"/>
        </w:rPr>
      </w:pPr>
      <w:r>
        <w:rPr>
          <w:rFonts w:hint="eastAsia" w:ascii="华文仿宋" w:hAnsi="华文仿宋" w:eastAsia="华文仿宋" w:cs="华文仿宋"/>
          <w:b/>
          <w:color w:val="auto"/>
          <w:sz w:val="24"/>
          <w:highlight w:val="none"/>
        </w:rPr>
        <w:t>1.5其他要求</w:t>
      </w:r>
    </w:p>
    <w:p w14:paraId="6896AA24">
      <w:pPr>
        <w:keepNext w:val="0"/>
        <w:keepLines w:val="0"/>
        <w:pageBreakBefore w:val="0"/>
        <w:kinsoku/>
        <w:wordWrap/>
        <w:overflowPunct/>
        <w:topLinePunct w:val="0"/>
        <w:autoSpaceDE/>
        <w:bidi w:val="0"/>
        <w:spacing w:line="360" w:lineRule="auto"/>
        <w:ind w:firstLine="360" w:firstLineChars="150"/>
        <w:textAlignment w:val="auto"/>
        <w:rPr>
          <w:rFonts w:hint="eastAsia" w:ascii="华文仿宋" w:hAnsi="华文仿宋" w:eastAsia="华文仿宋" w:cs="华文仿宋"/>
          <w:bCs/>
          <w:color w:val="auto"/>
          <w:sz w:val="24"/>
          <w:highlight w:val="none"/>
        </w:rPr>
      </w:pPr>
      <w:r>
        <w:rPr>
          <w:rFonts w:hint="eastAsia" w:ascii="华文仿宋" w:hAnsi="华文仿宋" w:eastAsia="华文仿宋" w:cs="华文仿宋"/>
          <w:bCs/>
          <w:color w:val="auto"/>
          <w:sz w:val="24"/>
          <w:highlight w:val="none"/>
          <w:lang w:val="en-US" w:eastAsia="zh-CN"/>
        </w:rPr>
        <w:t>1.5.1</w:t>
      </w:r>
      <w:r>
        <w:rPr>
          <w:rFonts w:hint="eastAsia" w:ascii="华文仿宋" w:hAnsi="华文仿宋" w:eastAsia="华文仿宋" w:cs="华文仿宋"/>
          <w:bCs/>
          <w:color w:val="auto"/>
          <w:sz w:val="24"/>
          <w:highlight w:val="none"/>
        </w:rPr>
        <w:t>中标供应商所招收的</w:t>
      </w:r>
      <w:r>
        <w:rPr>
          <w:rFonts w:hint="eastAsia" w:ascii="华文仿宋" w:hAnsi="华文仿宋" w:eastAsia="华文仿宋" w:cs="华文仿宋"/>
          <w:bCs/>
          <w:color w:val="auto"/>
          <w:sz w:val="24"/>
          <w:highlight w:val="none"/>
          <w:lang w:eastAsia="zh-CN"/>
        </w:rPr>
        <w:t>职工</w:t>
      </w:r>
      <w:r>
        <w:rPr>
          <w:rFonts w:hint="eastAsia" w:ascii="华文仿宋" w:hAnsi="华文仿宋" w:eastAsia="华文仿宋" w:cs="华文仿宋"/>
          <w:bCs/>
          <w:color w:val="auto"/>
          <w:sz w:val="24"/>
          <w:highlight w:val="none"/>
        </w:rPr>
        <w:t>须符合国家有关法律规定，身体健康，</w:t>
      </w:r>
      <w:r>
        <w:rPr>
          <w:rFonts w:hint="eastAsia" w:ascii="华文仿宋" w:hAnsi="华文仿宋" w:eastAsia="华文仿宋" w:cs="华文仿宋"/>
          <w:bCs/>
          <w:color w:val="auto"/>
          <w:sz w:val="24"/>
          <w:highlight w:val="none"/>
          <w:lang w:eastAsia="zh-CN"/>
        </w:rPr>
        <w:t>原则上</w:t>
      </w:r>
      <w:r>
        <w:rPr>
          <w:rFonts w:hint="eastAsia" w:ascii="华文仿宋" w:hAnsi="华文仿宋" w:eastAsia="华文仿宋" w:cs="华文仿宋"/>
          <w:bCs/>
          <w:color w:val="auto"/>
          <w:sz w:val="24"/>
          <w:highlight w:val="none"/>
        </w:rPr>
        <w:t>男性年龄在65周岁以下，女性年龄在60周岁以下。按月按时发放</w:t>
      </w:r>
      <w:r>
        <w:rPr>
          <w:rFonts w:hint="eastAsia" w:ascii="华文仿宋" w:hAnsi="华文仿宋" w:eastAsia="华文仿宋" w:cs="华文仿宋"/>
          <w:bCs/>
          <w:color w:val="auto"/>
          <w:sz w:val="24"/>
          <w:highlight w:val="none"/>
          <w:lang w:eastAsia="zh-CN"/>
        </w:rPr>
        <w:t>职工</w:t>
      </w:r>
      <w:r>
        <w:rPr>
          <w:rFonts w:hint="eastAsia" w:ascii="华文仿宋" w:hAnsi="华文仿宋" w:eastAsia="华文仿宋" w:cs="华文仿宋"/>
          <w:bCs/>
          <w:color w:val="auto"/>
          <w:sz w:val="24"/>
          <w:highlight w:val="none"/>
        </w:rPr>
        <w:t>工资、不发生拖欠，</w:t>
      </w:r>
      <w:r>
        <w:rPr>
          <w:rFonts w:hint="eastAsia" w:ascii="华文仿宋" w:hAnsi="华文仿宋" w:eastAsia="华文仿宋" w:cs="华文仿宋"/>
          <w:bCs/>
          <w:color w:val="auto"/>
          <w:sz w:val="24"/>
          <w:highlight w:val="none"/>
          <w:lang w:eastAsia="zh-CN"/>
        </w:rPr>
        <w:t>职工</w:t>
      </w:r>
      <w:r>
        <w:rPr>
          <w:rFonts w:hint="eastAsia" w:ascii="华文仿宋" w:hAnsi="华文仿宋" w:eastAsia="华文仿宋" w:cs="华文仿宋"/>
          <w:bCs/>
          <w:color w:val="auto"/>
          <w:sz w:val="24"/>
          <w:highlight w:val="none"/>
        </w:rPr>
        <w:t>工资最低不得低于绍兴市最低工资标准110%</w:t>
      </w:r>
      <w:r>
        <w:rPr>
          <w:rFonts w:hint="eastAsia" w:ascii="华文仿宋" w:hAnsi="华文仿宋" w:eastAsia="华文仿宋" w:cs="华文仿宋"/>
          <w:bCs/>
          <w:color w:val="auto"/>
          <w:sz w:val="24"/>
          <w:highlight w:val="none"/>
          <w:lang w:eastAsia="zh-CN"/>
        </w:rPr>
        <w:t>，</w:t>
      </w:r>
      <w:r>
        <w:rPr>
          <w:rFonts w:hint="eastAsia" w:ascii="华文仿宋" w:hAnsi="华文仿宋" w:eastAsia="华文仿宋" w:cs="华文仿宋"/>
          <w:bCs/>
          <w:color w:val="auto"/>
          <w:sz w:val="24"/>
          <w:highlight w:val="none"/>
        </w:rPr>
        <w:t>同时为</w:t>
      </w:r>
      <w:r>
        <w:rPr>
          <w:rFonts w:hint="eastAsia" w:ascii="华文仿宋" w:hAnsi="华文仿宋" w:eastAsia="华文仿宋" w:cs="华文仿宋"/>
          <w:bCs/>
          <w:color w:val="auto"/>
          <w:sz w:val="24"/>
          <w:highlight w:val="none"/>
          <w:lang w:eastAsia="zh-CN"/>
        </w:rPr>
        <w:t>职工</w:t>
      </w:r>
      <w:r>
        <w:rPr>
          <w:rFonts w:hint="eastAsia" w:ascii="仿宋" w:hAnsi="仿宋" w:eastAsia="仿宋" w:cs="宋体"/>
          <w:color w:val="auto"/>
          <w:sz w:val="24"/>
          <w:highlight w:val="none"/>
        </w:rPr>
        <w:t>按规定缴纳相关社会保险及意外保险费用</w:t>
      </w:r>
      <w:r>
        <w:rPr>
          <w:rFonts w:hint="eastAsia" w:ascii="仿宋" w:hAnsi="仿宋" w:eastAsia="仿宋" w:cs="宋体"/>
          <w:color w:val="auto"/>
          <w:sz w:val="24"/>
          <w:highlight w:val="none"/>
          <w:lang w:eastAsia="zh-CN"/>
        </w:rPr>
        <w:t>、</w:t>
      </w:r>
      <w:r>
        <w:rPr>
          <w:rFonts w:hint="eastAsia" w:ascii="华文仿宋" w:hAnsi="华文仿宋" w:eastAsia="华文仿宋" w:cs="华文仿宋"/>
          <w:bCs/>
          <w:color w:val="auto"/>
          <w:sz w:val="24"/>
          <w:highlight w:val="none"/>
        </w:rPr>
        <w:t>发放高温费等各种补贴。</w:t>
      </w:r>
      <w:r>
        <w:rPr>
          <w:rFonts w:hint="eastAsia" w:ascii="华文仿宋" w:hAnsi="华文仿宋" w:eastAsia="华文仿宋" w:cs="华文仿宋"/>
          <w:bCs/>
          <w:color w:val="auto"/>
          <w:sz w:val="24"/>
          <w:highlight w:val="none"/>
          <w:lang w:eastAsia="zh-CN"/>
        </w:rPr>
        <w:t>在与采购人合同签订</w:t>
      </w:r>
      <w:r>
        <w:rPr>
          <w:rFonts w:hint="eastAsia" w:ascii="华文仿宋" w:hAnsi="华文仿宋" w:eastAsia="华文仿宋" w:cs="华文仿宋"/>
          <w:bCs/>
          <w:color w:val="auto"/>
          <w:sz w:val="24"/>
          <w:highlight w:val="none"/>
        </w:rPr>
        <w:t>后15个工作日内给</w:t>
      </w:r>
      <w:r>
        <w:rPr>
          <w:rFonts w:hint="eastAsia" w:ascii="华文仿宋" w:hAnsi="华文仿宋" w:eastAsia="华文仿宋" w:cs="华文仿宋"/>
          <w:bCs/>
          <w:color w:val="auto"/>
          <w:sz w:val="24"/>
          <w:highlight w:val="none"/>
          <w:lang w:eastAsia="zh-CN"/>
        </w:rPr>
        <w:t>职工</w:t>
      </w:r>
      <w:r>
        <w:rPr>
          <w:rFonts w:hint="eastAsia" w:ascii="华文仿宋" w:hAnsi="华文仿宋" w:eastAsia="华文仿宋" w:cs="华文仿宋"/>
          <w:bCs/>
          <w:color w:val="auto"/>
          <w:sz w:val="24"/>
          <w:highlight w:val="none"/>
        </w:rPr>
        <w:t>办理好意外保险手续，并将保险人员名单上报街道环卫线（办）。</w:t>
      </w:r>
    </w:p>
    <w:p w14:paraId="35A8E644">
      <w:pPr>
        <w:keepNext w:val="0"/>
        <w:keepLines w:val="0"/>
        <w:pageBreakBefore w:val="0"/>
        <w:kinsoku/>
        <w:wordWrap/>
        <w:overflowPunct/>
        <w:topLinePunct w:val="0"/>
        <w:autoSpaceDE/>
        <w:bidi w:val="0"/>
        <w:snapToGrid w:val="0"/>
        <w:spacing w:line="360" w:lineRule="auto"/>
        <w:ind w:firstLine="480" w:firstLineChars="200"/>
        <w:textAlignment w:val="auto"/>
        <w:rPr>
          <w:rFonts w:hint="eastAsia" w:ascii="华文仿宋" w:hAnsi="华文仿宋" w:eastAsia="华文仿宋" w:cs="华文仿宋"/>
          <w:bCs/>
          <w:color w:val="auto"/>
          <w:sz w:val="24"/>
          <w:highlight w:val="none"/>
        </w:rPr>
      </w:pPr>
      <w:r>
        <w:rPr>
          <w:rFonts w:hint="eastAsia" w:ascii="华文仿宋" w:hAnsi="华文仿宋" w:eastAsia="华文仿宋" w:cs="华文仿宋"/>
          <w:bCs/>
          <w:color w:val="auto"/>
          <w:sz w:val="24"/>
          <w:highlight w:val="none"/>
          <w:lang w:val="en-US" w:eastAsia="zh-CN"/>
        </w:rPr>
        <w:t>1.5.2</w:t>
      </w:r>
      <w:r>
        <w:rPr>
          <w:rFonts w:hint="eastAsia" w:ascii="华文仿宋" w:hAnsi="华文仿宋" w:eastAsia="华文仿宋" w:cs="华文仿宋"/>
          <w:bCs/>
          <w:color w:val="auto"/>
          <w:sz w:val="24"/>
          <w:highlight w:val="none"/>
        </w:rPr>
        <w:t>中标供应商对</w:t>
      </w:r>
      <w:r>
        <w:rPr>
          <w:rFonts w:hint="eastAsia" w:ascii="华文仿宋" w:hAnsi="华文仿宋" w:eastAsia="华文仿宋" w:cs="华文仿宋"/>
          <w:bCs/>
          <w:color w:val="auto"/>
          <w:sz w:val="24"/>
          <w:highlight w:val="none"/>
          <w:lang w:eastAsia="zh-CN"/>
        </w:rPr>
        <w:t>保洁服务</w:t>
      </w:r>
      <w:r>
        <w:rPr>
          <w:rFonts w:hint="eastAsia" w:ascii="华文仿宋" w:hAnsi="华文仿宋" w:eastAsia="华文仿宋" w:cs="华文仿宋"/>
          <w:bCs/>
          <w:color w:val="auto"/>
          <w:sz w:val="24"/>
          <w:highlight w:val="none"/>
        </w:rPr>
        <w:t>范围内的工业垃圾、大件垃圾、建筑垃圾</w:t>
      </w:r>
      <w:r>
        <w:rPr>
          <w:rFonts w:hint="eastAsia" w:ascii="华文仿宋" w:hAnsi="华文仿宋" w:eastAsia="华文仿宋" w:cs="华文仿宋"/>
          <w:bCs/>
          <w:color w:val="auto"/>
          <w:sz w:val="24"/>
          <w:highlight w:val="none"/>
          <w:lang w:eastAsia="zh-CN"/>
        </w:rPr>
        <w:t>等乱堆乱放、偷倒等乱象</w:t>
      </w:r>
      <w:r>
        <w:rPr>
          <w:rFonts w:hint="eastAsia" w:ascii="华文仿宋" w:hAnsi="华文仿宋" w:eastAsia="华文仿宋" w:cs="华文仿宋"/>
          <w:bCs/>
          <w:color w:val="auto"/>
          <w:sz w:val="24"/>
          <w:highlight w:val="none"/>
        </w:rPr>
        <w:t>具有监督责任</w:t>
      </w:r>
      <w:r>
        <w:rPr>
          <w:rFonts w:hint="eastAsia" w:ascii="华文仿宋" w:hAnsi="华文仿宋" w:eastAsia="华文仿宋" w:cs="华文仿宋"/>
          <w:bCs/>
          <w:color w:val="auto"/>
          <w:sz w:val="24"/>
          <w:highlight w:val="none"/>
          <w:lang w:eastAsia="zh-CN"/>
        </w:rPr>
        <w:t>，一经发现须第一时间</w:t>
      </w:r>
      <w:r>
        <w:rPr>
          <w:rFonts w:hint="eastAsia" w:ascii="华文仿宋" w:hAnsi="华文仿宋" w:eastAsia="华文仿宋" w:cs="华文仿宋"/>
          <w:bCs/>
          <w:color w:val="auto"/>
          <w:sz w:val="24"/>
          <w:highlight w:val="none"/>
        </w:rPr>
        <w:t>上报街道环卫线（办）。</w:t>
      </w:r>
    </w:p>
    <w:p w14:paraId="48B208A3">
      <w:pPr>
        <w:keepNext w:val="0"/>
        <w:keepLines w:val="0"/>
        <w:pageBreakBefore w:val="0"/>
        <w:widowControl/>
        <w:kinsoku/>
        <w:wordWrap/>
        <w:overflowPunct/>
        <w:topLinePunct w:val="0"/>
        <w:autoSpaceDE/>
        <w:bidi w:val="0"/>
        <w:snapToGrid w:val="0"/>
        <w:spacing w:line="360" w:lineRule="auto"/>
        <w:ind w:firstLine="480" w:firstLineChars="200"/>
        <w:textAlignment w:val="auto"/>
        <w:rPr>
          <w:rFonts w:hint="eastAsia" w:ascii="华文仿宋" w:hAnsi="华文仿宋" w:eastAsia="华文仿宋" w:cs="华文仿宋"/>
          <w:bCs/>
          <w:color w:val="auto"/>
          <w:sz w:val="24"/>
          <w:highlight w:val="none"/>
        </w:rPr>
      </w:pPr>
      <w:r>
        <w:rPr>
          <w:rFonts w:hint="eastAsia" w:ascii="华文仿宋" w:hAnsi="华文仿宋" w:eastAsia="华文仿宋" w:cs="华文仿宋"/>
          <w:bCs/>
          <w:color w:val="auto"/>
          <w:sz w:val="24"/>
          <w:highlight w:val="none"/>
          <w:lang w:val="en-US" w:eastAsia="zh-CN"/>
        </w:rPr>
        <w:t>1.5.3</w:t>
      </w:r>
      <w:r>
        <w:rPr>
          <w:rFonts w:hint="eastAsia" w:ascii="华文仿宋" w:hAnsi="华文仿宋" w:eastAsia="华文仿宋" w:cs="华文仿宋"/>
          <w:bCs/>
          <w:color w:val="auto"/>
          <w:sz w:val="24"/>
          <w:highlight w:val="none"/>
        </w:rPr>
        <w:t>投标洗扫车</w:t>
      </w:r>
      <w:r>
        <w:rPr>
          <w:rFonts w:hint="eastAsia" w:ascii="华文仿宋" w:hAnsi="华文仿宋" w:eastAsia="华文仿宋" w:cs="华文仿宋"/>
          <w:bCs/>
          <w:color w:val="auto"/>
          <w:sz w:val="24"/>
          <w:highlight w:val="none"/>
          <w:lang w:eastAsia="zh-CN"/>
        </w:rPr>
        <w:t>、</w:t>
      </w:r>
      <w:r>
        <w:rPr>
          <w:rFonts w:hint="eastAsia" w:ascii="华文仿宋" w:hAnsi="华文仿宋" w:eastAsia="华文仿宋" w:cs="华文仿宋"/>
          <w:bCs/>
          <w:color w:val="auto"/>
          <w:sz w:val="24"/>
          <w:highlight w:val="none"/>
        </w:rPr>
        <w:t>洒水车</w:t>
      </w:r>
      <w:r>
        <w:rPr>
          <w:rFonts w:hint="eastAsia" w:ascii="华文仿宋" w:hAnsi="华文仿宋" w:eastAsia="华文仿宋" w:cs="华文仿宋"/>
          <w:bCs/>
          <w:color w:val="auto"/>
          <w:sz w:val="24"/>
          <w:highlight w:val="none"/>
          <w:lang w:eastAsia="zh-CN"/>
        </w:rPr>
        <w:t>、</w:t>
      </w:r>
      <w:r>
        <w:rPr>
          <w:rFonts w:hint="eastAsia" w:ascii="华文仿宋" w:hAnsi="华文仿宋" w:eastAsia="华文仿宋" w:cs="华文仿宋"/>
          <w:bCs/>
          <w:color w:val="auto"/>
          <w:sz w:val="24"/>
          <w:highlight w:val="none"/>
        </w:rPr>
        <w:t>路面养护车车辆</w:t>
      </w:r>
      <w:r>
        <w:rPr>
          <w:rFonts w:hint="eastAsia" w:ascii="华文仿宋" w:hAnsi="华文仿宋" w:eastAsia="华文仿宋" w:cs="华文仿宋"/>
          <w:bCs/>
          <w:color w:val="auto"/>
          <w:sz w:val="24"/>
          <w:highlight w:val="none"/>
          <w:lang w:eastAsia="zh-CN"/>
        </w:rPr>
        <w:t>需安装</w:t>
      </w:r>
      <w:r>
        <w:rPr>
          <w:rFonts w:hint="eastAsia" w:ascii="华文仿宋" w:hAnsi="华文仿宋" w:eastAsia="华文仿宋" w:cs="华文仿宋"/>
          <w:bCs/>
          <w:color w:val="auto"/>
          <w:sz w:val="24"/>
          <w:highlight w:val="none"/>
        </w:rPr>
        <w:t>GPS定位</w:t>
      </w:r>
      <w:r>
        <w:rPr>
          <w:rFonts w:hint="eastAsia" w:ascii="华文仿宋" w:hAnsi="华文仿宋" w:eastAsia="华文仿宋" w:cs="华文仿宋"/>
          <w:bCs/>
          <w:color w:val="auto"/>
          <w:sz w:val="24"/>
          <w:highlight w:val="none"/>
          <w:lang w:eastAsia="zh-CN"/>
        </w:rPr>
        <w:t>装置</w:t>
      </w:r>
      <w:r>
        <w:rPr>
          <w:rFonts w:hint="eastAsia" w:ascii="华文仿宋" w:hAnsi="华文仿宋" w:eastAsia="华文仿宋" w:cs="华文仿宋"/>
          <w:bCs/>
          <w:color w:val="auto"/>
          <w:sz w:val="24"/>
          <w:highlight w:val="none"/>
        </w:rPr>
        <w:t>，由业主监控</w:t>
      </w:r>
      <w:r>
        <w:rPr>
          <w:rFonts w:hint="eastAsia" w:ascii="华文仿宋" w:hAnsi="华文仿宋" w:eastAsia="华文仿宋" w:cs="华文仿宋"/>
          <w:bCs/>
          <w:color w:val="auto"/>
          <w:sz w:val="24"/>
          <w:highlight w:val="none"/>
          <w:lang w:eastAsia="zh-CN"/>
        </w:rPr>
        <w:t>及统计</w:t>
      </w:r>
      <w:r>
        <w:rPr>
          <w:rFonts w:hint="eastAsia" w:ascii="华文仿宋" w:hAnsi="华文仿宋" w:eastAsia="华文仿宋" w:cs="华文仿宋"/>
          <w:bCs/>
          <w:color w:val="auto"/>
          <w:sz w:val="24"/>
          <w:highlight w:val="none"/>
        </w:rPr>
        <w:t>作业</w:t>
      </w:r>
      <w:r>
        <w:rPr>
          <w:rFonts w:hint="eastAsia" w:ascii="华文仿宋" w:hAnsi="华文仿宋" w:eastAsia="华文仿宋" w:cs="华文仿宋"/>
          <w:bCs/>
          <w:color w:val="auto"/>
          <w:sz w:val="24"/>
          <w:highlight w:val="none"/>
          <w:lang w:eastAsia="zh-CN"/>
        </w:rPr>
        <w:t>情况</w:t>
      </w:r>
      <w:r>
        <w:rPr>
          <w:rFonts w:hint="eastAsia" w:ascii="华文仿宋" w:hAnsi="华文仿宋" w:eastAsia="华文仿宋" w:cs="华文仿宋"/>
          <w:bCs/>
          <w:color w:val="auto"/>
          <w:sz w:val="24"/>
          <w:highlight w:val="none"/>
        </w:rPr>
        <w:t>，</w:t>
      </w:r>
      <w:r>
        <w:rPr>
          <w:rFonts w:hint="eastAsia" w:ascii="华文仿宋" w:hAnsi="华文仿宋" w:eastAsia="华文仿宋" w:cs="华文仿宋"/>
          <w:bCs/>
          <w:color w:val="auto"/>
          <w:sz w:val="24"/>
          <w:highlight w:val="none"/>
          <w:lang w:eastAsia="zh-CN"/>
        </w:rPr>
        <w:t>平时如有擅自离开本标段并影响执行保洁任务的，</w:t>
      </w:r>
      <w:r>
        <w:rPr>
          <w:rFonts w:hint="eastAsia" w:ascii="华文仿宋" w:hAnsi="华文仿宋" w:eastAsia="华文仿宋" w:cs="华文仿宋"/>
          <w:bCs/>
          <w:color w:val="auto"/>
          <w:sz w:val="24"/>
          <w:highlight w:val="none"/>
        </w:rPr>
        <w:t>业主</w:t>
      </w:r>
      <w:r>
        <w:rPr>
          <w:rFonts w:hint="eastAsia" w:ascii="华文仿宋" w:hAnsi="华文仿宋" w:eastAsia="华文仿宋" w:cs="华文仿宋"/>
          <w:bCs/>
          <w:color w:val="auto"/>
          <w:sz w:val="24"/>
          <w:highlight w:val="none"/>
          <w:lang w:eastAsia="zh-CN"/>
        </w:rPr>
        <w:t>视情以车辆缺勤双倍扣分</w:t>
      </w:r>
      <w:r>
        <w:rPr>
          <w:rFonts w:hint="eastAsia" w:ascii="华文仿宋" w:hAnsi="华文仿宋" w:eastAsia="华文仿宋" w:cs="华文仿宋"/>
          <w:bCs/>
          <w:color w:val="auto"/>
          <w:sz w:val="24"/>
          <w:highlight w:val="none"/>
        </w:rPr>
        <w:t>。</w:t>
      </w:r>
    </w:p>
    <w:p w14:paraId="6528C9C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华文仿宋" w:hAnsi="华文仿宋" w:eastAsia="华文仿宋" w:cs="华文仿宋"/>
          <w:bCs/>
          <w:color w:val="auto"/>
          <w:sz w:val="24"/>
          <w:highlight w:val="none"/>
        </w:rPr>
      </w:pPr>
      <w:r>
        <w:rPr>
          <w:rFonts w:hint="eastAsia" w:ascii="华文仿宋" w:hAnsi="华文仿宋" w:eastAsia="华文仿宋" w:cs="华文仿宋"/>
          <w:bCs/>
          <w:color w:val="auto"/>
          <w:sz w:val="24"/>
          <w:highlight w:val="none"/>
          <w:lang w:val="en-US" w:eastAsia="zh-CN"/>
        </w:rPr>
        <w:t>1.5.4</w:t>
      </w:r>
      <w:r>
        <w:rPr>
          <w:rFonts w:hint="eastAsia" w:ascii="华文仿宋" w:hAnsi="华文仿宋" w:eastAsia="华文仿宋" w:cs="华文仿宋"/>
          <w:bCs/>
          <w:color w:val="auto"/>
          <w:sz w:val="24"/>
          <w:highlight w:val="none"/>
        </w:rPr>
        <w:t>中标人对该项目配备的项目经理须与投标文件中上报的项目经理一致，未经采购人许可，不得更换。有特殊情况确实需要更换项目经理的，必须提前1个月提出书面申请并经采购人同意，方可更换。</w:t>
      </w:r>
    </w:p>
    <w:p w14:paraId="3118D452">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eastAsia" w:ascii="华文仿宋" w:hAnsi="华文仿宋" w:eastAsia="华文仿宋" w:cs="华文仿宋"/>
          <w:b/>
          <w:color w:val="auto"/>
          <w:sz w:val="24"/>
          <w:highlight w:val="none"/>
          <w:lang w:eastAsia="zh-CN"/>
        </w:rPr>
      </w:pPr>
      <w:r>
        <w:rPr>
          <w:rFonts w:hint="eastAsia" w:ascii="华文仿宋" w:hAnsi="华文仿宋" w:eastAsia="华文仿宋" w:cs="华文仿宋"/>
          <w:b/>
          <w:color w:val="auto"/>
          <w:sz w:val="24"/>
          <w:highlight w:val="none"/>
          <w:lang w:val="en-US" w:eastAsia="zh-CN"/>
        </w:rPr>
        <w:t>1.6</w:t>
      </w:r>
      <w:r>
        <w:rPr>
          <w:rFonts w:hint="eastAsia" w:ascii="华文仿宋" w:hAnsi="华文仿宋" w:eastAsia="华文仿宋" w:cs="华文仿宋"/>
          <w:b/>
          <w:color w:val="auto"/>
          <w:sz w:val="24"/>
          <w:highlight w:val="none"/>
        </w:rPr>
        <w:t>智慧化管理的相关要求</w:t>
      </w:r>
      <w:r>
        <w:rPr>
          <w:rFonts w:hint="eastAsia" w:ascii="华文仿宋" w:hAnsi="华文仿宋" w:eastAsia="华文仿宋" w:cs="华文仿宋"/>
          <w:b/>
          <w:color w:val="auto"/>
          <w:sz w:val="24"/>
          <w:highlight w:val="none"/>
          <w:lang w:eastAsia="zh-CN"/>
        </w:rPr>
        <w:t>。</w:t>
      </w:r>
    </w:p>
    <w:p w14:paraId="515B66A0">
      <w:pPr>
        <w:keepNext w:val="0"/>
        <w:keepLines w:val="0"/>
        <w:pageBreakBefore w:val="0"/>
        <w:kinsoku/>
        <w:wordWrap/>
        <w:overflowPunct/>
        <w:topLinePunct w:val="0"/>
        <w:autoSpaceDE/>
        <w:bidi w:val="0"/>
        <w:snapToGrid w:val="0"/>
        <w:spacing w:line="360" w:lineRule="auto"/>
        <w:ind w:firstLine="480" w:firstLineChars="200"/>
        <w:textAlignment w:val="auto"/>
        <w:rPr>
          <w:rFonts w:hint="eastAsia" w:ascii="仿宋" w:hAnsi="仿宋" w:eastAsia="仿宋"/>
          <w:color w:val="auto"/>
          <w:sz w:val="24"/>
          <w:highlight w:val="none"/>
          <w:lang w:eastAsia="zh-CN"/>
        </w:rPr>
      </w:pPr>
      <w:r>
        <w:rPr>
          <w:rFonts w:hint="eastAsia" w:ascii="仿宋" w:hAnsi="仿宋" w:eastAsia="仿宋"/>
          <w:color w:val="auto"/>
          <w:sz w:val="24"/>
          <w:highlight w:val="none"/>
          <w:lang w:val="en-US" w:eastAsia="zh-CN"/>
        </w:rPr>
        <w:t>1.</w:t>
      </w:r>
      <w:r>
        <w:rPr>
          <w:rFonts w:hint="eastAsia" w:ascii="仿宋" w:hAnsi="仿宋" w:eastAsia="仿宋"/>
          <w:color w:val="auto"/>
          <w:sz w:val="24"/>
          <w:highlight w:val="none"/>
        </w:rPr>
        <w:t>6.1中标人本项目的车辆需纳入采购人智慧化平台的监管，应提供车辆</w:t>
      </w:r>
      <w:r>
        <w:rPr>
          <w:rFonts w:hint="eastAsia" w:ascii="仿宋" w:hAnsi="仿宋" w:eastAsia="仿宋"/>
          <w:color w:val="auto"/>
          <w:sz w:val="24"/>
          <w:highlight w:val="none"/>
          <w:lang w:eastAsia="zh-CN"/>
        </w:rPr>
        <w:t>（不含保洁员车辆）</w:t>
      </w:r>
      <w:r>
        <w:rPr>
          <w:rFonts w:hint="eastAsia" w:ascii="仿宋" w:hAnsi="仿宋" w:eastAsia="仿宋"/>
          <w:color w:val="auto"/>
          <w:sz w:val="24"/>
          <w:highlight w:val="none"/>
        </w:rPr>
        <w:t>定位、作业工况等数据，配套的相关硬件由中标供应商自行采购，产生的网络流量费用由中标供应商承担</w:t>
      </w:r>
      <w:r>
        <w:rPr>
          <w:rFonts w:hint="eastAsia" w:ascii="仿宋" w:hAnsi="仿宋" w:eastAsia="仿宋"/>
          <w:color w:val="auto"/>
          <w:sz w:val="24"/>
          <w:highlight w:val="none"/>
          <w:lang w:eastAsia="zh-CN"/>
        </w:rPr>
        <w:t>。</w:t>
      </w:r>
    </w:p>
    <w:p w14:paraId="2940C4DF">
      <w:pPr>
        <w:keepNext w:val="0"/>
        <w:keepLines w:val="0"/>
        <w:pageBreakBefore w:val="0"/>
        <w:kinsoku/>
        <w:wordWrap/>
        <w:overflowPunct/>
        <w:topLinePunct w:val="0"/>
        <w:autoSpaceDE/>
        <w:bidi w:val="0"/>
        <w:adjustRightInd/>
        <w:spacing w:line="360" w:lineRule="auto"/>
        <w:ind w:firstLine="480" w:firstLineChars="200"/>
        <w:textAlignment w:val="auto"/>
        <w:rPr>
          <w:rFonts w:ascii="仿宋" w:hAnsi="仿宋" w:eastAsia="仿宋"/>
          <w:color w:val="auto"/>
          <w:sz w:val="24"/>
          <w:highlight w:val="none"/>
        </w:rPr>
      </w:pPr>
      <w:r>
        <w:rPr>
          <w:rFonts w:hint="eastAsia" w:ascii="仿宋" w:hAnsi="仿宋" w:eastAsia="仿宋"/>
          <w:color w:val="auto"/>
          <w:sz w:val="24"/>
          <w:highlight w:val="none"/>
          <w:lang w:val="en-US" w:eastAsia="zh-CN"/>
        </w:rPr>
        <w:t>1.</w:t>
      </w:r>
      <w:r>
        <w:rPr>
          <w:rFonts w:hint="eastAsia" w:ascii="仿宋" w:hAnsi="仿宋" w:eastAsia="仿宋"/>
          <w:color w:val="auto"/>
          <w:sz w:val="24"/>
          <w:highlight w:val="none"/>
        </w:rPr>
        <w:t>6.2 中标供应商应在交接期内完成硬件设备的采购、安装、对接、调试等相关工作，需充分考虑车辆和人员监管配套的相关硬件与平台的兼容性，积极做好对接工作，由此产生的相关费用由中标供应商承担；</w:t>
      </w:r>
    </w:p>
    <w:p w14:paraId="4134C048">
      <w:pPr>
        <w:keepNext w:val="0"/>
        <w:keepLines w:val="0"/>
        <w:pageBreakBefore w:val="0"/>
        <w:kinsoku/>
        <w:wordWrap/>
        <w:overflowPunct/>
        <w:topLinePunct w:val="0"/>
        <w:autoSpaceDE/>
        <w:autoSpaceDN w:val="0"/>
        <w:bidi w:val="0"/>
        <w:adjustRightInd/>
        <w:spacing w:line="360" w:lineRule="auto"/>
        <w:ind w:firstLine="480"/>
        <w:jc w:val="left"/>
        <w:textAlignment w:val="auto"/>
        <w:rPr>
          <w:rFonts w:hint="eastAsia" w:ascii="华文仿宋" w:hAnsi="华文仿宋" w:eastAsia="华文仿宋" w:cs="华文仿宋"/>
          <w:b/>
          <w:color w:val="auto"/>
          <w:sz w:val="24"/>
          <w:highlight w:val="none"/>
          <w:lang w:val="en-US" w:eastAsia="zh-CN"/>
        </w:rPr>
      </w:pPr>
      <w:r>
        <w:rPr>
          <w:rFonts w:hint="eastAsia" w:ascii="仿宋" w:hAnsi="仿宋" w:eastAsia="仿宋"/>
          <w:color w:val="auto"/>
          <w:sz w:val="24"/>
          <w:highlight w:val="none"/>
          <w:lang w:val="en-US" w:eastAsia="zh-CN"/>
        </w:rPr>
        <w:t>1.</w:t>
      </w:r>
      <w:r>
        <w:rPr>
          <w:rFonts w:hint="eastAsia" w:ascii="仿宋" w:hAnsi="仿宋" w:eastAsia="仿宋"/>
          <w:color w:val="auto"/>
          <w:sz w:val="24"/>
          <w:highlight w:val="none"/>
        </w:rPr>
        <w:t>6.3保洁项目运营期间，中标供应商需做好车辆和人员监管配套的相关硬件的维护</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升级，确保设备运行正常；</w:t>
      </w:r>
      <w:r>
        <w:rPr>
          <w:rFonts w:hint="eastAsia" w:ascii="仿宋" w:hAnsi="仿宋" w:eastAsia="仿宋"/>
          <w:color w:val="auto"/>
          <w:sz w:val="24"/>
          <w:highlight w:val="none"/>
          <w:lang w:eastAsia="zh-CN"/>
        </w:rPr>
        <w:t>并</w:t>
      </w:r>
      <w:r>
        <w:rPr>
          <w:rFonts w:hint="eastAsia" w:ascii="仿宋" w:hAnsi="仿宋" w:eastAsia="仿宋"/>
          <w:color w:val="auto"/>
          <w:sz w:val="24"/>
          <w:highlight w:val="none"/>
        </w:rPr>
        <w:t>根据采购人的管理</w:t>
      </w:r>
      <w:r>
        <w:rPr>
          <w:rFonts w:hint="eastAsia" w:ascii="仿宋" w:hAnsi="仿宋" w:eastAsia="仿宋"/>
          <w:color w:val="auto"/>
          <w:sz w:val="24"/>
          <w:highlight w:val="none"/>
          <w:lang w:eastAsia="zh-CN"/>
        </w:rPr>
        <w:t>要</w:t>
      </w:r>
      <w:r>
        <w:rPr>
          <w:rFonts w:hint="eastAsia" w:ascii="仿宋" w:hAnsi="仿宋" w:eastAsia="仿宋"/>
          <w:color w:val="auto"/>
          <w:sz w:val="24"/>
          <w:highlight w:val="none"/>
        </w:rPr>
        <w:t>求提供车辆、人员等各项生产作业要素相关的台账</w:t>
      </w:r>
      <w:r>
        <w:rPr>
          <w:rFonts w:hint="eastAsia" w:ascii="仿宋" w:hAnsi="仿宋" w:eastAsia="仿宋"/>
          <w:color w:val="auto"/>
          <w:sz w:val="24"/>
          <w:highlight w:val="none"/>
          <w:lang w:eastAsia="zh-CN"/>
        </w:rPr>
        <w:t>。</w:t>
      </w:r>
    </w:p>
    <w:p w14:paraId="5D645EDB">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Times New Roman"/>
          <w:color w:val="auto"/>
          <w:sz w:val="24"/>
          <w:highlight w:val="none"/>
          <w:lang w:eastAsia="zh-CN"/>
        </w:rPr>
      </w:pPr>
      <w:r>
        <w:rPr>
          <w:rFonts w:hint="eastAsia" w:ascii="华文仿宋" w:hAnsi="华文仿宋" w:eastAsia="华文仿宋" w:cs="华文仿宋"/>
          <w:b/>
          <w:color w:val="auto"/>
          <w:sz w:val="24"/>
          <w:highlight w:val="none"/>
          <w:lang w:val="en-US" w:eastAsia="zh-CN"/>
        </w:rPr>
        <w:t>1.7大气污染防治的相关要求。</w:t>
      </w:r>
      <w:r>
        <w:rPr>
          <w:rFonts w:hint="eastAsia" w:ascii="仿宋" w:hAnsi="仿宋" w:eastAsia="仿宋" w:cs="Times New Roman"/>
          <w:color w:val="auto"/>
          <w:sz w:val="24"/>
          <w:highlight w:val="none"/>
          <w:lang w:eastAsia="zh-CN"/>
        </w:rPr>
        <w:t>本招标项目需积极落实局部重点区域和重点道路大气污染防治工作，主要涉及区妇保医院站点近距离道路</w:t>
      </w:r>
      <w:r>
        <w:rPr>
          <w:rFonts w:hint="eastAsia" w:ascii="仿宋" w:hAnsi="仿宋" w:eastAsia="仿宋" w:cs="Times New Roman"/>
          <w:color w:val="auto"/>
          <w:sz w:val="24"/>
          <w:highlight w:val="none"/>
          <w:lang w:val="en-US" w:eastAsia="zh-CN"/>
        </w:rPr>
        <w:t>湖山南路（檀院西面段）和货车可通行道路涉及的南复线（苏台高架桥下-财经旅游学校大门段）及香林大道（南复线-鉴湖中学大门段）等2条重点道路，</w:t>
      </w:r>
      <w:r>
        <w:rPr>
          <w:rFonts w:hint="eastAsia" w:ascii="仿宋" w:hAnsi="仿宋" w:eastAsia="仿宋" w:cs="Times New Roman"/>
          <w:color w:val="auto"/>
          <w:sz w:val="24"/>
          <w:highlight w:val="none"/>
          <w:lang w:eastAsia="zh-CN"/>
        </w:rPr>
        <w:t>根据地面扬尘对站点监测数据影响较大的现实状况，</w:t>
      </w:r>
      <w:r>
        <w:rPr>
          <w:rFonts w:hint="eastAsia" w:ascii="仿宋" w:hAnsi="仿宋" w:eastAsia="仿宋" w:cs="Times New Roman"/>
          <w:color w:val="auto"/>
          <w:sz w:val="24"/>
          <w:highlight w:val="none"/>
          <w:lang w:val="en-US" w:eastAsia="zh-CN"/>
        </w:rPr>
        <w:t>结合</w:t>
      </w:r>
      <w:r>
        <w:rPr>
          <w:rFonts w:hint="eastAsia" w:ascii="仿宋" w:hAnsi="仿宋" w:eastAsia="仿宋" w:cs="Times New Roman"/>
          <w:color w:val="auto"/>
          <w:sz w:val="24"/>
          <w:highlight w:val="none"/>
          <w:lang w:eastAsia="zh-CN"/>
        </w:rPr>
        <w:t>妇保国控站点位置、地形等实际因素，投标人须制定重点道路（区域）扬尘精准精细综合防治方案，科学分析、制定扬尘精准精细综合防治方案，要求</w:t>
      </w:r>
      <w:r>
        <w:rPr>
          <w:rFonts w:hint="eastAsia" w:ascii="仿宋" w:hAnsi="仿宋" w:eastAsia="仿宋" w:cs="Times New Roman"/>
          <w:color w:val="auto"/>
          <w:sz w:val="24"/>
          <w:highlight w:val="none"/>
        </w:rPr>
        <w:t>方案完善、科学合理</w:t>
      </w:r>
      <w:r>
        <w:rPr>
          <w:rFonts w:hint="eastAsia" w:ascii="仿宋" w:hAnsi="仿宋" w:eastAsia="仿宋" w:cs="Times New Roman"/>
          <w:color w:val="auto"/>
          <w:sz w:val="24"/>
          <w:highlight w:val="none"/>
          <w:lang w:eastAsia="zh-CN"/>
        </w:rPr>
        <w:t>，</w:t>
      </w:r>
      <w:r>
        <w:rPr>
          <w:rFonts w:hint="eastAsia" w:ascii="仿宋" w:hAnsi="仿宋" w:eastAsia="仿宋" w:cs="Times New Roman"/>
          <w:color w:val="auto"/>
          <w:sz w:val="24"/>
          <w:highlight w:val="none"/>
        </w:rPr>
        <w:t>具有可操作性</w:t>
      </w:r>
      <w:r>
        <w:rPr>
          <w:rFonts w:hint="eastAsia" w:ascii="仿宋" w:hAnsi="仿宋" w:eastAsia="仿宋" w:cs="Times New Roman"/>
          <w:color w:val="auto"/>
          <w:sz w:val="24"/>
          <w:highlight w:val="none"/>
          <w:lang w:eastAsia="zh-CN"/>
        </w:rPr>
        <w:t>且治理贡献效果明显。</w:t>
      </w:r>
    </w:p>
    <w:p w14:paraId="551A7C57">
      <w:pPr>
        <w:keepNext/>
        <w:keepLines w:val="0"/>
        <w:pageBreakBefore w:val="0"/>
        <w:widowControl/>
        <w:tabs>
          <w:tab w:val="left" w:pos="851"/>
          <w:tab w:val="left" w:pos="2269"/>
        </w:tabs>
        <w:kinsoku/>
        <w:wordWrap/>
        <w:overflowPunct/>
        <w:topLinePunct w:val="0"/>
        <w:autoSpaceDE/>
        <w:autoSpaceDN/>
        <w:bidi w:val="0"/>
        <w:adjustRightInd/>
        <w:snapToGrid/>
        <w:spacing w:line="360" w:lineRule="auto"/>
        <w:jc w:val="both"/>
        <w:textAlignment w:val="auto"/>
        <w:outlineLvl w:val="0"/>
        <w:rPr>
          <w:rFonts w:hint="eastAsia" w:ascii="仿宋" w:hAnsi="仿宋" w:eastAsia="仿宋"/>
          <w:b/>
          <w:color w:val="auto"/>
          <w:spacing w:val="6"/>
          <w:sz w:val="32"/>
          <w:szCs w:val="32"/>
          <w:highlight w:val="none"/>
        </w:rPr>
      </w:pPr>
    </w:p>
    <w:p w14:paraId="62B09E0F">
      <w:pPr>
        <w:pStyle w:val="3"/>
        <w:rPr>
          <w:rFonts w:hint="eastAsia" w:ascii="仿宋" w:hAnsi="仿宋" w:eastAsia="仿宋"/>
          <w:b/>
          <w:color w:val="auto"/>
          <w:spacing w:val="6"/>
          <w:sz w:val="32"/>
          <w:szCs w:val="32"/>
          <w:highlight w:val="none"/>
        </w:rPr>
      </w:pPr>
    </w:p>
    <w:p w14:paraId="24E26B01">
      <w:pPr>
        <w:rPr>
          <w:rFonts w:hint="eastAsia" w:ascii="仿宋" w:hAnsi="仿宋" w:eastAsia="仿宋"/>
          <w:b/>
          <w:color w:val="auto"/>
          <w:spacing w:val="6"/>
          <w:sz w:val="32"/>
          <w:szCs w:val="32"/>
          <w:highlight w:val="none"/>
        </w:rPr>
      </w:pPr>
    </w:p>
    <w:p w14:paraId="274C3663">
      <w:pPr>
        <w:pStyle w:val="3"/>
        <w:rPr>
          <w:rFonts w:hint="eastAsia" w:ascii="仿宋" w:hAnsi="仿宋" w:eastAsia="仿宋"/>
          <w:b/>
          <w:color w:val="auto"/>
          <w:spacing w:val="6"/>
          <w:sz w:val="32"/>
          <w:szCs w:val="32"/>
          <w:highlight w:val="none"/>
        </w:rPr>
      </w:pPr>
    </w:p>
    <w:p w14:paraId="7521F94B">
      <w:pPr>
        <w:rPr>
          <w:rFonts w:hint="eastAsia" w:ascii="仿宋" w:hAnsi="仿宋" w:eastAsia="仿宋"/>
          <w:b/>
          <w:color w:val="auto"/>
          <w:spacing w:val="6"/>
          <w:sz w:val="32"/>
          <w:szCs w:val="32"/>
          <w:highlight w:val="none"/>
        </w:rPr>
      </w:pPr>
    </w:p>
    <w:p w14:paraId="4260D499">
      <w:pPr>
        <w:pStyle w:val="3"/>
        <w:rPr>
          <w:rFonts w:hint="eastAsia"/>
          <w:highlight w:val="none"/>
        </w:rPr>
      </w:pPr>
    </w:p>
    <w:p w14:paraId="1677C804">
      <w:pPr>
        <w:rPr>
          <w:rFonts w:hint="eastAsia" w:ascii="仿宋" w:hAnsi="仿宋" w:eastAsia="仿宋"/>
          <w:b/>
          <w:color w:val="auto"/>
          <w:spacing w:val="6"/>
          <w:sz w:val="32"/>
          <w:szCs w:val="32"/>
          <w:highlight w:val="none"/>
        </w:rPr>
      </w:pPr>
      <w:r>
        <w:rPr>
          <w:rFonts w:hint="eastAsia" w:ascii="仿宋" w:hAnsi="仿宋" w:eastAsia="仿宋"/>
          <w:b/>
          <w:color w:val="auto"/>
          <w:spacing w:val="6"/>
          <w:sz w:val="32"/>
          <w:szCs w:val="32"/>
          <w:highlight w:val="none"/>
        </w:rPr>
        <w:br w:type="page"/>
      </w:r>
    </w:p>
    <w:p w14:paraId="4B444399">
      <w:pPr>
        <w:keepNext/>
        <w:widowControl/>
        <w:tabs>
          <w:tab w:val="left" w:pos="851"/>
          <w:tab w:val="left" w:pos="2269"/>
        </w:tabs>
        <w:adjustRightInd/>
        <w:spacing w:before="240" w:line="500" w:lineRule="exact"/>
        <w:jc w:val="center"/>
        <w:outlineLvl w:val="0"/>
        <w:rPr>
          <w:rFonts w:hint="eastAsia" w:ascii="仿宋" w:hAnsi="仿宋" w:eastAsia="仿宋"/>
          <w:b/>
          <w:color w:val="auto"/>
          <w:spacing w:val="6"/>
          <w:sz w:val="32"/>
          <w:szCs w:val="32"/>
          <w:highlight w:val="none"/>
        </w:rPr>
      </w:pPr>
      <w:r>
        <w:rPr>
          <w:rFonts w:hint="eastAsia" w:ascii="仿宋" w:hAnsi="仿宋" w:eastAsia="仿宋"/>
          <w:b/>
          <w:color w:val="auto"/>
          <w:spacing w:val="6"/>
          <w:sz w:val="32"/>
          <w:szCs w:val="32"/>
          <w:highlight w:val="none"/>
        </w:rPr>
        <w:t>附件1：</w:t>
      </w:r>
      <w:r>
        <w:rPr>
          <w:rFonts w:hint="eastAsia" w:ascii="仿宋" w:hAnsi="仿宋" w:eastAsia="仿宋"/>
          <w:b/>
          <w:color w:val="auto"/>
          <w:spacing w:val="6"/>
          <w:sz w:val="32"/>
          <w:szCs w:val="32"/>
          <w:highlight w:val="none"/>
          <w:lang w:eastAsia="zh-CN"/>
        </w:rPr>
        <w:t>柯岩</w:t>
      </w:r>
      <w:r>
        <w:rPr>
          <w:rFonts w:hint="eastAsia" w:ascii="仿宋" w:hAnsi="仿宋" w:eastAsia="仿宋"/>
          <w:b/>
          <w:color w:val="auto"/>
          <w:spacing w:val="6"/>
          <w:sz w:val="32"/>
          <w:szCs w:val="32"/>
          <w:highlight w:val="none"/>
        </w:rPr>
        <w:t>道路保洁服务要求</w:t>
      </w:r>
    </w:p>
    <w:p w14:paraId="25C2F4E1">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一、管理制度:</w:t>
      </w:r>
    </w:p>
    <w:p w14:paraId="3694AF5C">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①承包单位必须在作业区域内设立管理用房与场地，用于管理人员办公及堆放</w:t>
      </w:r>
      <w:r>
        <w:rPr>
          <w:rFonts w:hint="eastAsia" w:ascii="仿宋" w:hAnsi="仿宋" w:eastAsia="仿宋" w:cs="宋体"/>
          <w:color w:val="auto"/>
          <w:sz w:val="24"/>
          <w:highlight w:val="none"/>
          <w:lang w:eastAsia="zh-CN"/>
        </w:rPr>
        <w:t>、停放</w:t>
      </w:r>
      <w:r>
        <w:rPr>
          <w:rFonts w:hint="eastAsia" w:ascii="仿宋" w:hAnsi="仿宋" w:eastAsia="仿宋" w:cs="宋体"/>
          <w:color w:val="auto"/>
          <w:sz w:val="24"/>
          <w:highlight w:val="none"/>
        </w:rPr>
        <w:t>作业工具</w:t>
      </w:r>
      <w:r>
        <w:rPr>
          <w:rFonts w:hint="eastAsia" w:ascii="仿宋" w:hAnsi="仿宋" w:eastAsia="仿宋" w:cs="宋体"/>
          <w:color w:val="auto"/>
          <w:sz w:val="24"/>
          <w:highlight w:val="none"/>
          <w:lang w:eastAsia="zh-CN"/>
        </w:rPr>
        <w:t>、车辆等</w:t>
      </w:r>
      <w:r>
        <w:rPr>
          <w:rFonts w:hint="eastAsia" w:ascii="仿宋" w:hAnsi="仿宋" w:eastAsia="仿宋" w:cs="宋体"/>
          <w:color w:val="auto"/>
          <w:sz w:val="24"/>
          <w:highlight w:val="none"/>
        </w:rPr>
        <w:t>，管理用房及场地由各承包单位自行租赁，费用包含在投标价中。</w:t>
      </w:r>
    </w:p>
    <w:p w14:paraId="0EA7EC6D">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②清扫保洁员上岗须统一着装。</w:t>
      </w:r>
    </w:p>
    <w:p w14:paraId="560D5DA5">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③承包单位及保洁人员不得向沿街单位和个人擅自收取任何费用。</w:t>
      </w:r>
    </w:p>
    <w:p w14:paraId="7971BD4B">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④保洁时不能将垃圾、污水溅到行人身上，作业工具应摆（停）放地点适当，不影响行人和交通，不焚烧垃圾、树叶。</w:t>
      </w:r>
    </w:p>
    <w:p w14:paraId="4F334DFF">
      <w:pPr>
        <w:spacing w:line="360" w:lineRule="auto"/>
        <w:ind w:firstLine="360" w:firstLineChars="150"/>
        <w:rPr>
          <w:rFonts w:hint="eastAsia" w:ascii="仿宋" w:hAnsi="仿宋" w:eastAsia="仿宋" w:cs="宋体"/>
          <w:color w:val="auto"/>
          <w:sz w:val="24"/>
          <w:highlight w:val="none"/>
          <w:lang w:eastAsia="zh-CN"/>
        </w:rPr>
      </w:pPr>
      <w:r>
        <w:rPr>
          <w:rFonts w:hint="eastAsia" w:ascii="仿宋" w:hAnsi="仿宋" w:eastAsia="仿宋" w:cs="宋体"/>
          <w:color w:val="auto"/>
          <w:sz w:val="24"/>
          <w:highlight w:val="none"/>
        </w:rPr>
        <w:t>⑤专用作业车辆</w:t>
      </w:r>
      <w:r>
        <w:rPr>
          <w:rFonts w:hint="eastAsia" w:ascii="仿宋" w:hAnsi="仿宋" w:eastAsia="仿宋" w:cs="宋体"/>
          <w:color w:val="auto"/>
          <w:sz w:val="24"/>
          <w:highlight w:val="none"/>
          <w:lang w:eastAsia="zh-CN"/>
        </w:rPr>
        <w:t>外观</w:t>
      </w:r>
      <w:r>
        <w:rPr>
          <w:rFonts w:hint="eastAsia" w:ascii="仿宋" w:hAnsi="仿宋" w:eastAsia="仿宋" w:cs="宋体"/>
          <w:color w:val="auto"/>
          <w:sz w:val="24"/>
          <w:highlight w:val="none"/>
        </w:rPr>
        <w:t>要有编号和公司名称，车辆按规定安装GPS（费用由中标人承担）</w:t>
      </w:r>
      <w:r>
        <w:rPr>
          <w:rFonts w:hint="eastAsia" w:ascii="仿宋" w:hAnsi="仿宋" w:eastAsia="仿宋" w:cs="宋体"/>
          <w:color w:val="auto"/>
          <w:sz w:val="24"/>
          <w:highlight w:val="none"/>
          <w:lang w:eastAsia="zh-CN"/>
        </w:rPr>
        <w:t>。</w:t>
      </w:r>
    </w:p>
    <w:p w14:paraId="1107FAFE">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⑥及时发放环卫职工的工资、岗位津贴、加班工资等。按规定为职工缴纳相关社会保险及意外保险费用。</w:t>
      </w:r>
    </w:p>
    <w:p w14:paraId="1611BABE">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⑦作业时必须遵守交通管理法规，文明作业，出现意外事故情况，由中标人自行负责解决。</w:t>
      </w:r>
    </w:p>
    <w:p w14:paraId="592599AC">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二、保洁范围及内容</w:t>
      </w:r>
    </w:p>
    <w:p w14:paraId="74CD127C">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通常为“墙到墙”，含机、非车行道、绿化隔离带、人行道（横向为建筑物门面或围墙至路边侧石）、两侧绿化带（花坛）的清扫保洁，沿街垃圾（果壳箱、垃圾桶）分类收集清运，隔离栏清洗，公共自行车停放点（含停车广告棚、自行车、停车桩、地面等）清扫冲洗（擦洗），卫生死角清除，道路两边乱倒无主垃圾（含建筑垃圾、弃土、工业垃圾等）清除；果壳箱、垃圾桶清洗、更换、补缺（果壳箱、垃圾桶由采购人提供），沿街建筑物、人行道、地面、市政、交通、环卫设施等立面乱涂写，乱张贴清除保洁，清除道路上车辆漏洒混凝土块、沙石等。</w:t>
      </w:r>
    </w:p>
    <w:p w14:paraId="5D6DA53E">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u w:val="none"/>
          <w:lang w:val="en-US" w:eastAsia="zh-CN"/>
        </w:rPr>
        <w:t xml:space="preserve"> 如对上述</w:t>
      </w:r>
      <w:r>
        <w:rPr>
          <w:rFonts w:hint="eastAsia" w:ascii="仿宋" w:hAnsi="仿宋" w:eastAsia="仿宋" w:cs="宋体"/>
          <w:color w:val="auto"/>
          <w:sz w:val="24"/>
          <w:highlight w:val="none"/>
          <w:u w:val="none"/>
        </w:rPr>
        <w:t>保洁范围及内容</w:t>
      </w:r>
      <w:r>
        <w:rPr>
          <w:rFonts w:hint="eastAsia" w:ascii="仿宋" w:hAnsi="仿宋" w:eastAsia="仿宋" w:cs="宋体"/>
          <w:color w:val="auto"/>
          <w:sz w:val="24"/>
          <w:highlight w:val="none"/>
          <w:u w:val="none"/>
          <w:lang w:eastAsia="zh-CN"/>
        </w:rPr>
        <w:t>在</w:t>
      </w:r>
      <w:r>
        <w:rPr>
          <w:rFonts w:hint="eastAsia" w:ascii="仿宋" w:hAnsi="仿宋" w:eastAsia="仿宋" w:cs="宋体"/>
          <w:color w:val="auto"/>
          <w:sz w:val="24"/>
          <w:highlight w:val="none"/>
          <w:u w:val="none"/>
          <w:lang w:val="en-US" w:eastAsia="zh-CN"/>
        </w:rPr>
        <w:t>理解上有不一致的，由采购人确定，一经确定，中标单位必须无条件服从，并落实好相应的保洁服务工作。</w:t>
      </w:r>
    </w:p>
    <w:p w14:paraId="0FA93F7F">
      <w:pPr>
        <w:spacing w:line="360" w:lineRule="auto"/>
        <w:ind w:firstLine="360" w:firstLineChars="150"/>
        <w:rPr>
          <w:rFonts w:hint="eastAsia" w:ascii="仿宋" w:hAnsi="仿宋" w:eastAsia="仿宋" w:cs="宋体"/>
          <w:color w:val="auto"/>
          <w:sz w:val="24"/>
          <w:highlight w:val="none"/>
          <w:lang w:val="en-US" w:eastAsia="zh-CN"/>
        </w:rPr>
      </w:pPr>
      <w:r>
        <w:rPr>
          <w:rFonts w:hint="eastAsia" w:ascii="仿宋" w:hAnsi="仿宋" w:eastAsia="仿宋" w:cs="宋体"/>
          <w:color w:val="auto"/>
          <w:sz w:val="24"/>
          <w:highlight w:val="none"/>
        </w:rPr>
        <w:t xml:space="preserve">三、时间要求： </w:t>
      </w:r>
    </w:p>
    <w:p w14:paraId="4536E9AE">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①“道路人工清扫保洁日工作小时数”说明： 道路实行17小时保洁（5:00-22:00），白班为5:00-17:00；晚班（</w:t>
      </w:r>
      <w:r>
        <w:rPr>
          <w:rFonts w:hint="eastAsia" w:ascii="仿宋" w:hAnsi="仿宋" w:eastAsia="仿宋"/>
          <w:color w:val="auto"/>
          <w:sz w:val="24"/>
          <w:highlight w:val="none"/>
          <w:lang w:eastAsia="zh-CN"/>
        </w:rPr>
        <w:t>以巡查并处置突发事件为主</w:t>
      </w:r>
      <w:r>
        <w:rPr>
          <w:rFonts w:hint="eastAsia" w:ascii="仿宋" w:hAnsi="仿宋" w:eastAsia="仿宋" w:cs="宋体"/>
          <w:color w:val="auto"/>
          <w:sz w:val="24"/>
          <w:highlight w:val="none"/>
        </w:rPr>
        <w:t>）为17:00-22:00，快速保洁为7:30-12:00，13:00-1</w:t>
      </w:r>
      <w:r>
        <w:rPr>
          <w:rFonts w:hint="eastAsia" w:ascii="仿宋" w:hAnsi="仿宋" w:eastAsia="仿宋" w:cs="宋体"/>
          <w:color w:val="auto"/>
          <w:sz w:val="24"/>
          <w:highlight w:val="none"/>
          <w:lang w:val="en-US" w:eastAsia="zh-CN"/>
        </w:rPr>
        <w:t>7</w:t>
      </w:r>
      <w:r>
        <w:rPr>
          <w:rFonts w:hint="eastAsia" w:ascii="仿宋" w:hAnsi="仿宋" w:eastAsia="仿宋" w:cs="宋体"/>
          <w:color w:val="auto"/>
          <w:sz w:val="24"/>
          <w:highlight w:val="none"/>
        </w:rPr>
        <w:t>:00。每日按规定时间完成两次普扫，首次普扫必须在7:00前完成，其中11月、12月、1月、2月四个月必须在7:30前完成；第二次普扫于12:30至14:30之间完成。</w:t>
      </w:r>
    </w:p>
    <w:p w14:paraId="24A597CC">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②有关休息时间的说明：具体在岗作业休息时间由中标人灵活安排；遇重大检查时作业方式按采购人的要求执行；高温季节作业时间由采购人另行通知。</w:t>
      </w:r>
    </w:p>
    <w:p w14:paraId="4254635E">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四、道路清扫保洁容貌要求：</w:t>
      </w:r>
    </w:p>
    <w:p w14:paraId="4525E98B">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①保洁质量应达到路面、人行道“五无”、“五净”。“五无”：即道路无垃圾、无杂物、无积泥、无积水、无污迹；“五净”：即路面干净、绿地和树圈干净，边角侧石干净，雨水井沟眼畅通干净、果壳箱等环卫设施及交通隔离栏（墩）、路灯杆和交通信号杆（2.2米以下部分）干净。</w:t>
      </w:r>
    </w:p>
    <w:p w14:paraId="7177DA0F">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②车行道、人行道不得漏扫或反扫到交叉路口、里弄口内侧、喇叭口；也不得扫入窨井和绿化带内；交界路口各向外延伸5米；岔道喇叭口清扫向外延伸10米。</w:t>
      </w:r>
    </w:p>
    <w:p w14:paraId="2F7F73FE">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③立面保洁：沿街建筑物，人行道，地面，市政、交通、环卫设施等立面乱涂写，乱张贴清除保洁。若有发现应及时清除，无法清除的应采用同色同种材料覆盖。</w:t>
      </w:r>
    </w:p>
    <w:p w14:paraId="410C1EB5">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④绿化带保洁：道路红线内绿地整洁，草坪、地被和灌木内应无杂物，无枯枝腐叶，无明显污物。不得有石块、果壳、纸屑、塑料袋、烟头、树枝、面积较大的落叶（落叶季节草坪上每天清扫落叶）及其它垃圾堆积物。每月大规模集中清理一次。</w:t>
      </w:r>
    </w:p>
    <w:p w14:paraId="2BECC2AB">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⑤道路保洁采取普扫加巡回保洁模式。普扫作业的主次干道采用大型机扫车，背街小巷及设交通隔离栏的非机动车道采用中、小型机扫车进行，不适合机扫的采用人工普扫作业。同时，通过合理配置捡、擦、洗等保洁人员，进行不间断巡回检查，及时清理垃圾和污迹。</w:t>
      </w:r>
    </w:p>
    <w:p w14:paraId="0C0C2478">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一级道路洗扫要求为每天</w:t>
      </w:r>
      <w:r>
        <w:rPr>
          <w:rFonts w:hint="eastAsia" w:ascii="仿宋" w:hAnsi="仿宋" w:eastAsia="仿宋" w:cs="宋体"/>
          <w:color w:val="auto"/>
          <w:sz w:val="24"/>
          <w:highlight w:val="none"/>
          <w:lang w:eastAsia="zh-CN"/>
        </w:rPr>
        <w:t>不少于</w:t>
      </w:r>
      <w:r>
        <w:rPr>
          <w:rFonts w:hint="eastAsia" w:ascii="仿宋" w:hAnsi="仿宋" w:eastAsia="仿宋" w:cs="宋体"/>
          <w:color w:val="auto"/>
          <w:sz w:val="24"/>
          <w:highlight w:val="none"/>
        </w:rPr>
        <w:t>3遍，二级</w:t>
      </w:r>
      <w:r>
        <w:rPr>
          <w:rFonts w:hint="eastAsia" w:ascii="仿宋" w:hAnsi="仿宋" w:eastAsia="仿宋" w:cs="宋体"/>
          <w:color w:val="auto"/>
          <w:sz w:val="24"/>
          <w:highlight w:val="none"/>
          <w:lang w:eastAsia="zh-CN"/>
        </w:rPr>
        <w:t>及以下</w:t>
      </w:r>
      <w:r>
        <w:rPr>
          <w:rFonts w:hint="eastAsia" w:ascii="仿宋" w:hAnsi="仿宋" w:eastAsia="仿宋" w:cs="宋体"/>
          <w:color w:val="auto"/>
          <w:sz w:val="24"/>
          <w:highlight w:val="none"/>
        </w:rPr>
        <w:t>道路每天</w:t>
      </w:r>
      <w:r>
        <w:rPr>
          <w:rFonts w:hint="eastAsia" w:ascii="仿宋" w:hAnsi="仿宋" w:eastAsia="仿宋" w:cs="宋体"/>
          <w:color w:val="auto"/>
          <w:sz w:val="24"/>
          <w:highlight w:val="none"/>
          <w:lang w:eastAsia="zh-CN"/>
        </w:rPr>
        <w:t>不少于</w:t>
      </w:r>
      <w:r>
        <w:rPr>
          <w:rFonts w:hint="eastAsia" w:ascii="仿宋" w:hAnsi="仿宋" w:eastAsia="仿宋" w:cs="宋体"/>
          <w:color w:val="auto"/>
          <w:sz w:val="24"/>
          <w:highlight w:val="none"/>
        </w:rPr>
        <w:t>2遍，普扫结束后做好巡回保洁工作。</w:t>
      </w:r>
    </w:p>
    <w:p w14:paraId="723CE0B4">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lang w:eastAsia="zh-CN"/>
        </w:rPr>
        <w:t>常规时段带</w:t>
      </w:r>
      <w:r>
        <w:rPr>
          <w:rFonts w:hint="eastAsia" w:ascii="仿宋" w:hAnsi="仿宋" w:eastAsia="仿宋" w:cs="仿宋"/>
          <w:i w:val="0"/>
          <w:iCs w:val="0"/>
          <w:color w:val="auto"/>
          <w:kern w:val="0"/>
          <w:sz w:val="24"/>
          <w:szCs w:val="24"/>
          <w:highlight w:val="none"/>
          <w:u w:val="none"/>
          <w:lang w:val="en-US" w:eastAsia="zh-CN" w:bidi="ar"/>
        </w:rPr>
        <w:t>●</w:t>
      </w:r>
      <w:r>
        <w:rPr>
          <w:rFonts w:hint="eastAsia" w:ascii="仿宋" w:hAnsi="仿宋" w:eastAsia="仿宋" w:cs="宋体"/>
          <w:color w:val="auto"/>
          <w:sz w:val="24"/>
          <w:highlight w:val="none"/>
        </w:rPr>
        <w:t>一级道路洒水要求为每天</w:t>
      </w:r>
      <w:r>
        <w:rPr>
          <w:rFonts w:hint="eastAsia" w:ascii="仿宋" w:hAnsi="仿宋" w:eastAsia="仿宋" w:cs="宋体"/>
          <w:color w:val="auto"/>
          <w:sz w:val="24"/>
          <w:highlight w:val="none"/>
          <w:lang w:eastAsia="zh-CN"/>
        </w:rPr>
        <w:t>不少于</w:t>
      </w:r>
      <w:r>
        <w:rPr>
          <w:rFonts w:hint="eastAsia" w:ascii="仿宋" w:hAnsi="仿宋" w:eastAsia="仿宋" w:cs="宋体"/>
          <w:color w:val="auto"/>
          <w:sz w:val="24"/>
          <w:highlight w:val="none"/>
          <w:lang w:val="en-US" w:eastAsia="zh-CN"/>
        </w:rPr>
        <w:t>20</w:t>
      </w:r>
      <w:r>
        <w:rPr>
          <w:rFonts w:hint="eastAsia" w:ascii="仿宋" w:hAnsi="仿宋" w:eastAsia="仿宋" w:cs="宋体"/>
          <w:color w:val="auto"/>
          <w:sz w:val="24"/>
          <w:highlight w:val="none"/>
        </w:rPr>
        <w:t>遍（遍通常是指每覆盖双向车行道全路面一次，一级道路双向车行道来回作业算计作一遍）</w:t>
      </w:r>
      <w:r>
        <w:rPr>
          <w:rFonts w:hint="eastAsia" w:ascii="仿宋" w:hAnsi="仿宋" w:eastAsia="仿宋" w:cs="宋体"/>
          <w:color w:val="auto"/>
          <w:sz w:val="24"/>
          <w:highlight w:val="none"/>
          <w:lang w:eastAsia="zh-CN"/>
        </w:rPr>
        <w:t>，未带</w:t>
      </w:r>
      <w:r>
        <w:rPr>
          <w:rFonts w:hint="eastAsia" w:ascii="仿宋" w:hAnsi="仿宋" w:eastAsia="仿宋" w:cs="仿宋"/>
          <w:i w:val="0"/>
          <w:iCs w:val="0"/>
          <w:color w:val="auto"/>
          <w:kern w:val="0"/>
          <w:sz w:val="24"/>
          <w:szCs w:val="24"/>
          <w:highlight w:val="none"/>
          <w:u w:val="none"/>
          <w:lang w:val="en-US" w:eastAsia="zh-CN" w:bidi="ar"/>
        </w:rPr>
        <w:t>●</w:t>
      </w:r>
      <w:r>
        <w:rPr>
          <w:rFonts w:hint="eastAsia" w:ascii="仿宋" w:hAnsi="仿宋" w:eastAsia="仿宋" w:cs="宋体"/>
          <w:color w:val="auto"/>
          <w:sz w:val="24"/>
          <w:highlight w:val="none"/>
        </w:rPr>
        <w:t>一级道路洒水要求为每天</w:t>
      </w:r>
      <w:r>
        <w:rPr>
          <w:rFonts w:hint="eastAsia" w:ascii="仿宋" w:hAnsi="仿宋" w:eastAsia="仿宋" w:cs="宋体"/>
          <w:color w:val="auto"/>
          <w:sz w:val="24"/>
          <w:highlight w:val="none"/>
          <w:lang w:eastAsia="zh-CN"/>
        </w:rPr>
        <w:t>不少于</w:t>
      </w:r>
      <w:r>
        <w:rPr>
          <w:rFonts w:hint="eastAsia" w:ascii="仿宋" w:hAnsi="仿宋" w:eastAsia="仿宋" w:cs="宋体"/>
          <w:color w:val="auto"/>
          <w:sz w:val="24"/>
          <w:highlight w:val="none"/>
          <w:lang w:val="en-US" w:eastAsia="zh-CN"/>
        </w:rPr>
        <w:t>12</w:t>
      </w:r>
      <w:r>
        <w:rPr>
          <w:rFonts w:hint="eastAsia" w:ascii="仿宋" w:hAnsi="仿宋" w:eastAsia="仿宋" w:cs="宋体"/>
          <w:color w:val="auto"/>
          <w:sz w:val="24"/>
          <w:highlight w:val="none"/>
        </w:rPr>
        <w:t>遍，二级</w:t>
      </w:r>
      <w:r>
        <w:rPr>
          <w:rFonts w:hint="eastAsia" w:ascii="仿宋" w:hAnsi="仿宋" w:eastAsia="仿宋" w:cs="宋体"/>
          <w:color w:val="auto"/>
          <w:sz w:val="24"/>
          <w:highlight w:val="none"/>
          <w:lang w:eastAsia="zh-CN"/>
        </w:rPr>
        <w:t>及以下</w:t>
      </w:r>
      <w:r>
        <w:rPr>
          <w:rFonts w:hint="eastAsia" w:ascii="仿宋" w:hAnsi="仿宋" w:eastAsia="仿宋" w:cs="宋体"/>
          <w:color w:val="auto"/>
          <w:sz w:val="24"/>
          <w:highlight w:val="none"/>
        </w:rPr>
        <w:t>道路每天</w:t>
      </w:r>
      <w:r>
        <w:rPr>
          <w:rFonts w:hint="eastAsia" w:ascii="仿宋" w:hAnsi="仿宋" w:eastAsia="仿宋" w:cs="宋体"/>
          <w:color w:val="auto"/>
          <w:sz w:val="24"/>
          <w:highlight w:val="none"/>
          <w:lang w:eastAsia="zh-CN"/>
        </w:rPr>
        <w:t>不少于</w:t>
      </w:r>
      <w:r>
        <w:rPr>
          <w:rFonts w:hint="eastAsia" w:ascii="仿宋" w:hAnsi="仿宋" w:eastAsia="仿宋" w:cs="宋体"/>
          <w:color w:val="auto"/>
          <w:sz w:val="24"/>
          <w:highlight w:val="none"/>
        </w:rPr>
        <w:t>4遍，(夏季高温期间视情况而定）。三级道路要求能机械化的则机械化，能冲则冲，路面全覆盖，人行道作业采用机械与人工保洁相结合。具备冲洗条件的人行道每3天至少须冲洗1次。</w:t>
      </w:r>
    </w:p>
    <w:p w14:paraId="6581829F">
      <w:pPr>
        <w:spacing w:line="360" w:lineRule="auto"/>
        <w:ind w:firstLine="360" w:firstLineChars="150"/>
        <w:rPr>
          <w:rFonts w:hint="eastAsia" w:ascii="仿宋" w:hAnsi="仿宋" w:eastAsia="仿宋" w:cs="宋体"/>
          <w:color w:val="auto"/>
          <w:sz w:val="24"/>
          <w:highlight w:val="none"/>
          <w:lang w:val="en-US" w:eastAsia="zh-CN"/>
        </w:rPr>
      </w:pPr>
      <w:r>
        <w:rPr>
          <w:rFonts w:hint="eastAsia" w:ascii="仿宋" w:hAnsi="仿宋" w:eastAsia="仿宋" w:cs="宋体"/>
          <w:color w:val="auto"/>
          <w:sz w:val="24"/>
          <w:highlight w:val="none"/>
          <w:lang w:eastAsia="zh-CN"/>
        </w:rPr>
        <w:t>特别时段：</w:t>
      </w:r>
      <w:r>
        <w:rPr>
          <w:rFonts w:hint="eastAsia" w:ascii="仿宋" w:hAnsi="仿宋" w:eastAsia="仿宋" w:cs="宋体"/>
          <w:color w:val="auto"/>
          <w:sz w:val="24"/>
          <w:highlight w:val="none"/>
          <w:lang w:val="en-US" w:eastAsia="zh-CN"/>
        </w:rPr>
        <w:t>南复线（苏台高架桥下-财经旅游学校大门）道路5、6、11、12月要求为每天不少于24遍；7-10月要求为每天不少于32遍。</w:t>
      </w:r>
    </w:p>
    <w:p w14:paraId="0D35461C">
      <w:pPr>
        <w:spacing w:line="360" w:lineRule="auto"/>
        <w:ind w:firstLine="360" w:firstLineChars="150"/>
        <w:rPr>
          <w:rFonts w:hint="eastAsia" w:ascii="仿宋" w:hAnsi="仿宋" w:eastAsia="仿宋" w:cs="宋体"/>
          <w:color w:val="auto"/>
          <w:sz w:val="24"/>
          <w:highlight w:val="none"/>
          <w:lang w:val="en-US" w:eastAsia="zh-CN"/>
        </w:rPr>
      </w:pPr>
      <w:r>
        <w:rPr>
          <w:rFonts w:hint="eastAsia" w:ascii="仿宋" w:hAnsi="仿宋" w:eastAsia="仿宋" w:cs="仿宋"/>
          <w:color w:val="auto"/>
          <w:sz w:val="24"/>
          <w:szCs w:val="24"/>
          <w:highlight w:val="none"/>
          <w:lang w:eastAsia="zh-CN"/>
        </w:rPr>
        <w:t>临时调派保湿洒水作业暂定</w:t>
      </w:r>
      <w:r>
        <w:rPr>
          <w:rFonts w:hint="eastAsia" w:ascii="仿宋" w:hAnsi="仿宋" w:eastAsia="仿宋" w:cs="仿宋"/>
          <w:color w:val="auto"/>
          <w:sz w:val="24"/>
          <w:szCs w:val="24"/>
          <w:highlight w:val="none"/>
          <w:lang w:val="en-US" w:eastAsia="zh-CN"/>
        </w:rPr>
        <w:t>1万公里，</w:t>
      </w:r>
      <w:r>
        <w:rPr>
          <w:rFonts w:hint="eastAsia" w:ascii="仿宋" w:hAnsi="仿宋" w:eastAsia="仿宋" w:cs="仿宋"/>
          <w:color w:val="auto"/>
          <w:sz w:val="24"/>
          <w:szCs w:val="24"/>
          <w:highlight w:val="none"/>
          <w:lang w:eastAsia="zh-CN"/>
        </w:rPr>
        <w:t>临时雾炮降尘作业量暂定</w:t>
      </w:r>
      <w:r>
        <w:rPr>
          <w:rFonts w:hint="eastAsia" w:ascii="仿宋" w:hAnsi="仿宋" w:eastAsia="仿宋" w:cs="仿宋"/>
          <w:color w:val="auto"/>
          <w:sz w:val="24"/>
          <w:szCs w:val="24"/>
          <w:highlight w:val="none"/>
          <w:lang w:val="en-US" w:eastAsia="zh-CN"/>
        </w:rPr>
        <w:t>1万公里，</w:t>
      </w:r>
      <w:r>
        <w:rPr>
          <w:rFonts w:hint="eastAsia" w:ascii="仿宋" w:hAnsi="仿宋" w:eastAsia="仿宋" w:cs="宋体"/>
          <w:color w:val="auto"/>
          <w:sz w:val="24"/>
          <w:highlight w:val="none"/>
          <w:lang w:val="en-US" w:eastAsia="zh-CN"/>
        </w:rPr>
        <w:t>具体以业主指令为准。费用按实予以结算。</w:t>
      </w:r>
    </w:p>
    <w:p w14:paraId="14687A33">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每7天（具体视路面或应急突击等情况按采购人指令）对南复线及相关道路进行全覆盖深度清洗（吸尘、洒水、冲洗、清扫等）。特殊道路（路段）采购人另有要求的，按采购人要求执行。</w:t>
      </w:r>
    </w:p>
    <w:p w14:paraId="77172FA1">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每7天</w:t>
      </w:r>
      <w:r>
        <w:rPr>
          <w:rFonts w:hint="eastAsia" w:ascii="仿宋" w:hAnsi="仿宋" w:eastAsia="仿宋" w:cs="宋体"/>
          <w:color w:val="auto"/>
          <w:sz w:val="24"/>
          <w:highlight w:val="none"/>
          <w:lang w:eastAsia="zh-CN"/>
        </w:rPr>
        <w:t>对带</w:t>
      </w:r>
      <w:r>
        <w:rPr>
          <w:rFonts w:hint="eastAsia" w:ascii="仿宋" w:hAnsi="仿宋" w:eastAsia="仿宋" w:cs="仿宋"/>
          <w:i w:val="0"/>
          <w:iCs w:val="0"/>
          <w:color w:val="auto"/>
          <w:kern w:val="0"/>
          <w:sz w:val="24"/>
          <w:szCs w:val="24"/>
          <w:highlight w:val="none"/>
          <w:u w:val="none"/>
          <w:lang w:val="en-US" w:eastAsia="zh-CN" w:bidi="ar"/>
        </w:rPr>
        <w:t>●</w:t>
      </w:r>
      <w:r>
        <w:rPr>
          <w:rFonts w:hint="eastAsia" w:ascii="仿宋" w:hAnsi="仿宋" w:eastAsia="仿宋" w:cs="宋体"/>
          <w:color w:val="auto"/>
          <w:sz w:val="24"/>
          <w:highlight w:val="none"/>
        </w:rPr>
        <w:t>一级道路</w:t>
      </w:r>
      <w:r>
        <w:rPr>
          <w:rFonts w:hint="eastAsia" w:ascii="仿宋" w:hAnsi="仿宋" w:eastAsia="仿宋" w:cs="宋体"/>
          <w:color w:val="auto"/>
          <w:sz w:val="24"/>
          <w:highlight w:val="none"/>
          <w:lang w:eastAsia="zh-CN"/>
        </w:rPr>
        <w:t>的</w:t>
      </w:r>
      <w:r>
        <w:rPr>
          <w:rFonts w:hint="eastAsia" w:ascii="仿宋" w:hAnsi="仿宋" w:eastAsia="仿宋" w:cs="宋体"/>
          <w:color w:val="auto"/>
          <w:sz w:val="24"/>
          <w:highlight w:val="none"/>
        </w:rPr>
        <w:t>两侧灌木绿化表面</w:t>
      </w:r>
      <w:r>
        <w:rPr>
          <w:rFonts w:hint="eastAsia" w:ascii="仿宋" w:hAnsi="仿宋" w:eastAsia="仿宋" w:cs="宋体"/>
          <w:color w:val="auto"/>
          <w:sz w:val="24"/>
          <w:highlight w:val="none"/>
          <w:lang w:eastAsia="zh-CN"/>
        </w:rPr>
        <w:t>进行深度清洗不少于</w:t>
      </w:r>
      <w:r>
        <w:rPr>
          <w:rFonts w:hint="eastAsia" w:ascii="仿宋" w:hAnsi="仿宋" w:eastAsia="仿宋" w:cs="宋体"/>
          <w:color w:val="auto"/>
          <w:sz w:val="24"/>
          <w:highlight w:val="none"/>
          <w:lang w:val="en-US" w:eastAsia="zh-CN"/>
        </w:rPr>
        <w:t>2次。</w:t>
      </w:r>
    </w:p>
    <w:p w14:paraId="0DF832E5">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有隔离栏的主次干道应清洗隔离栏，对护栏清洗车未洗净的地方进行人工补洗。</w:t>
      </w:r>
    </w:p>
    <w:p w14:paraId="73545BB3">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各项机械化作业应充分考虑道路交通状况，避开高峰时段，最大程度降低对市民出行的影响；当气温低于3℃时，停止冲洗、洒水、雾炮作业；合理安排环卫工人的工作时间，优化作业模式，加强安全管理工作。</w:t>
      </w:r>
    </w:p>
    <w:p w14:paraId="22ECBFBC">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中标方每日需按照采购热要求，在制定工作群，上报一级道路16张、12张洒水轨迹图及对应的洒水水印照片。同时，每周在群里提供南复线（含两侧灌木绿化表面）及相关道路进行全覆盖深度清洗（吸尘、洒水、冲洗、清扫等）照片，供采购方考核使用。</w:t>
      </w:r>
    </w:p>
    <w:p w14:paraId="4E371AA9">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⑥合理设置每条道路上的清扫、垃圾清运及管理人员，确保每条道路保洁不缺。</w:t>
      </w:r>
    </w:p>
    <w:p w14:paraId="7AE8199C">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⑦发生严重污染时应第一时间清洗路面。遇有重大活动或突发事件，及时组织力量做好清扫保洁等保障工作，并视情及时启动城市管理保障应急机制，人员必须及时到位（需要集中时的具体位置另行通知），并根据应急命令决定早到和离岗，或必须使用机械设备。</w:t>
      </w:r>
    </w:p>
    <w:p w14:paraId="7E0128D9">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⑧在规定时间内及时完成问题反应案卷，并及时予以回复。</w:t>
      </w:r>
    </w:p>
    <w:p w14:paraId="51E62888">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五、垃圾收运要求：</w:t>
      </w:r>
    </w:p>
    <w:p w14:paraId="3EE29C1B">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①在清扫、无主偷倒、沿街（路）果壳箱（垃圾桶）、运输车掉漏等产生的各类（包含但不限于生活、工业、建筑、绿化、大件）垃圾做到分类运输</w:t>
      </w:r>
      <w:r>
        <w:rPr>
          <w:rFonts w:hint="eastAsia" w:ascii="仿宋" w:hAnsi="仿宋" w:eastAsia="仿宋" w:cs="宋体"/>
          <w:color w:val="auto"/>
          <w:sz w:val="24"/>
          <w:highlight w:val="none"/>
          <w:lang w:eastAsia="zh-CN"/>
        </w:rPr>
        <w:t>处置</w:t>
      </w:r>
      <w:r>
        <w:rPr>
          <w:rFonts w:hint="eastAsia" w:ascii="仿宋" w:hAnsi="仿宋" w:eastAsia="仿宋" w:cs="宋体"/>
          <w:color w:val="auto"/>
          <w:sz w:val="24"/>
          <w:highlight w:val="none"/>
        </w:rPr>
        <w:t>，产生的相应费用包含在投标价中。</w:t>
      </w:r>
    </w:p>
    <w:p w14:paraId="1494DB27">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②垃圾清运车辆必须符合相关标准要求，自觉遵守交通规则，做到安全生产。</w:t>
      </w:r>
    </w:p>
    <w:p w14:paraId="2BA84865">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六、机械化作业基本要求</w:t>
      </w:r>
    </w:p>
    <w:p w14:paraId="5AE270B2">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①车体完好整洁明亮、各种配件齐全、使用功能齐备，各项作业装置保持完好、有效。车身如有宣传标贴，须保持清洁完整。</w:t>
      </w:r>
    </w:p>
    <w:p w14:paraId="1B73AE6F">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②车辆不得停放在消防栓、公交车站旁，停放离人行道侧石不超过20厘米，作业完毕后将工具清理干净，停放在规定地点。</w:t>
      </w:r>
    </w:p>
    <w:p w14:paraId="0FBD2CB5">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③城市居民生活区交通道路机械化作业应充分考虑道路交通状况，日间以安排机械化洒水(后洒)作业为主，机械化清扫作业和冲洗作业尽量安排在夜间，其它郊区交通道路可不受此限制。</w:t>
      </w:r>
    </w:p>
    <w:p w14:paraId="5CA58578">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④每日组织首次清扫和清洗（普扫）作业至7:00（7：30）前全部撤离作业路段；洒水季节（当气温＞3℃时）白天组织车辆在9:00—16:00作业</w:t>
      </w:r>
      <w:r>
        <w:rPr>
          <w:rFonts w:hint="eastAsia" w:ascii="仿宋" w:hAnsi="仿宋" w:eastAsia="仿宋" w:cs="宋体"/>
          <w:color w:val="auto"/>
          <w:sz w:val="24"/>
          <w:highlight w:val="none"/>
          <w:lang w:eastAsia="zh-CN"/>
        </w:rPr>
        <w:t>（不含特殊情况）</w:t>
      </w:r>
      <w:r>
        <w:rPr>
          <w:rFonts w:hint="eastAsia" w:ascii="仿宋" w:hAnsi="仿宋" w:eastAsia="仿宋" w:cs="宋体"/>
          <w:color w:val="auto"/>
          <w:sz w:val="24"/>
          <w:highlight w:val="none"/>
        </w:rPr>
        <w:t>。日间机械化清扫作业，在确保回避交通高峰的情况下，作业时间可根据需要自行组织。</w:t>
      </w:r>
    </w:p>
    <w:p w14:paraId="62777897">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⑤当气温≤5℃时，桥面、坡道的冲洗及清洗作业应暂停；当气温≤3℃时，必须停止全部冲洗及清洗作业，与此同时道路清扫全部采用干扫（不喷水）作业方式。</w:t>
      </w:r>
    </w:p>
    <w:p w14:paraId="5E4906CB">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⑥下雨</w:t>
      </w:r>
      <w:r>
        <w:rPr>
          <w:rFonts w:hint="eastAsia" w:ascii="仿宋" w:hAnsi="仿宋" w:eastAsia="仿宋" w:cs="宋体"/>
          <w:color w:val="auto"/>
          <w:sz w:val="24"/>
          <w:highlight w:val="none"/>
          <w:lang w:eastAsia="zh-CN"/>
        </w:rPr>
        <w:t>时段</w:t>
      </w:r>
      <w:r>
        <w:rPr>
          <w:rFonts w:hint="eastAsia" w:ascii="仿宋" w:hAnsi="仿宋" w:eastAsia="仿宋" w:cs="宋体"/>
          <w:color w:val="auto"/>
          <w:sz w:val="24"/>
          <w:highlight w:val="none"/>
        </w:rPr>
        <w:t>，</w:t>
      </w:r>
      <w:r>
        <w:rPr>
          <w:rFonts w:hint="eastAsia" w:ascii="仿宋" w:hAnsi="仿宋" w:eastAsia="仿宋" w:cs="宋体"/>
          <w:color w:val="auto"/>
          <w:sz w:val="24"/>
          <w:highlight w:val="none"/>
          <w:lang w:val="en-US" w:eastAsia="zh-CN"/>
        </w:rPr>
        <w:t>暂停</w:t>
      </w:r>
      <w:r>
        <w:rPr>
          <w:rFonts w:hint="eastAsia" w:ascii="仿宋" w:hAnsi="仿宋" w:eastAsia="仿宋" w:cs="宋体"/>
          <w:color w:val="auto"/>
          <w:sz w:val="24"/>
          <w:highlight w:val="none"/>
        </w:rPr>
        <w:t>洒水作业。</w:t>
      </w:r>
    </w:p>
    <w:p w14:paraId="072119BA">
      <w:pPr>
        <w:spacing w:line="360" w:lineRule="auto"/>
        <w:ind w:firstLine="360" w:firstLineChars="150"/>
        <w:rPr>
          <w:rFonts w:hint="eastAsia" w:ascii="仿宋" w:hAnsi="仿宋" w:eastAsia="仿宋" w:cs="宋体"/>
          <w:color w:val="auto"/>
          <w:sz w:val="24"/>
          <w:highlight w:val="none"/>
          <w:lang w:eastAsia="zh-CN"/>
        </w:rPr>
      </w:pPr>
      <w:r>
        <w:rPr>
          <w:rFonts w:hint="eastAsia" w:ascii="仿宋" w:hAnsi="仿宋" w:eastAsia="仿宋" w:cs="宋体"/>
          <w:color w:val="auto"/>
          <w:sz w:val="24"/>
          <w:highlight w:val="none"/>
        </w:rPr>
        <w:t>⑦</w:t>
      </w:r>
      <w:r>
        <w:rPr>
          <w:rFonts w:hint="eastAsia" w:ascii="仿宋" w:hAnsi="仿宋" w:eastAsia="仿宋" w:cs="宋体"/>
          <w:color w:val="auto"/>
          <w:sz w:val="24"/>
          <w:highlight w:val="none"/>
          <w:lang w:eastAsia="zh-CN"/>
        </w:rPr>
        <w:t>因涉及上述第</w:t>
      </w:r>
      <w:r>
        <w:rPr>
          <w:rFonts w:hint="eastAsia" w:ascii="仿宋" w:hAnsi="仿宋" w:eastAsia="仿宋" w:cs="宋体"/>
          <w:color w:val="auto"/>
          <w:sz w:val="24"/>
          <w:highlight w:val="none"/>
        </w:rPr>
        <w:t>⑤</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rPr>
        <w:t>⑥</w:t>
      </w:r>
      <w:r>
        <w:rPr>
          <w:rFonts w:hint="eastAsia" w:ascii="仿宋" w:hAnsi="仿宋" w:eastAsia="仿宋" w:cs="宋体"/>
          <w:color w:val="auto"/>
          <w:sz w:val="24"/>
          <w:highlight w:val="none"/>
          <w:lang w:eastAsia="zh-CN"/>
        </w:rPr>
        <w:t>等天气客观原因</w:t>
      </w:r>
      <w:r>
        <w:rPr>
          <w:rFonts w:hint="eastAsia" w:ascii="仿宋" w:hAnsi="仿宋" w:eastAsia="仿宋" w:cs="宋体"/>
          <w:color w:val="auto"/>
          <w:sz w:val="24"/>
          <w:highlight w:val="none"/>
          <w:lang w:val="en-US" w:eastAsia="zh-CN"/>
        </w:rPr>
        <w:t>而引起的</w:t>
      </w:r>
      <w:r>
        <w:rPr>
          <w:rFonts w:hint="eastAsia" w:ascii="仿宋" w:hAnsi="仿宋" w:eastAsia="仿宋" w:cs="宋体"/>
          <w:color w:val="auto"/>
          <w:sz w:val="24"/>
          <w:highlight w:val="none"/>
          <w:lang w:eastAsia="zh-CN"/>
        </w:rPr>
        <w:t>暂停作业，致使作业频次数或作业轨迹间断未达到采购人考核管理要求的，中标人应记录好相关情况，做好</w:t>
      </w:r>
      <w:r>
        <w:rPr>
          <w:rFonts w:hint="eastAsia" w:ascii="仿宋" w:hAnsi="仿宋" w:eastAsia="仿宋" w:cs="宋体"/>
          <w:color w:val="auto"/>
          <w:sz w:val="24"/>
          <w:highlight w:val="none"/>
          <w:lang w:val="en-US" w:eastAsia="zh-CN"/>
        </w:rPr>
        <w:t>相关</w:t>
      </w:r>
      <w:r>
        <w:rPr>
          <w:rFonts w:hint="eastAsia" w:ascii="仿宋" w:hAnsi="仿宋" w:eastAsia="仿宋" w:cs="宋体"/>
          <w:color w:val="auto"/>
          <w:sz w:val="24"/>
          <w:highlight w:val="none"/>
          <w:lang w:eastAsia="zh-CN"/>
        </w:rPr>
        <w:t>台账资料，并及时向采购人报备确认，采购人可视作完成当日保洁服务。</w:t>
      </w:r>
    </w:p>
    <w:p w14:paraId="5B34564C">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七、作业行驶要求：</w:t>
      </w:r>
    </w:p>
    <w:p w14:paraId="66791DC2">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①清扫作业时选用一挡，行驶速度不超过10公里/小时，副机转速不超过2000转/分，应严格按照放刷、喷水、调整箱体压力和刷盘转速、清扫的顺序进行操作；非特殊气候情况下，避免“干扫”；作业时禁止扫刷、吸嘴不落地。</w:t>
      </w:r>
    </w:p>
    <w:p w14:paraId="75EA15C9">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②冲洗作业时控制车速为5-10公里/小时，冲洗压力≥300千帕，洒水量0.2-2.0升/平方米，喷水口喷水有力，不得出现断续喷水的现象。</w:t>
      </w:r>
    </w:p>
    <w:p w14:paraId="2AE87E95">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③洒水作业时控制车速为20-25公里/小时，喷水口喷水有力，不得出现断续喷水的现象；早间普扫时可采用高压冲水模式，日间洒水作业须采用喷水模式，喷水呈扇形均匀雾状，覆盖道路的所有机动车道，不得漏洒，作业后路面达到“见潮不见流水”的效果。</w:t>
      </w:r>
    </w:p>
    <w:p w14:paraId="686687AD">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④清洗作业车速不超过10公里/小时，副发动机转速控制在1800转/分（正常档），路面较脏时，副发动机转速控制在2200转/分（强洗档），并应开双侧吸嘴喷杆喷水。</w:t>
      </w:r>
    </w:p>
    <w:p w14:paraId="1AAB17C9">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⑤作业时须开启警示灯和示宽灯，夜间禁鸣，日间适当鸣号。</w:t>
      </w:r>
    </w:p>
    <w:p w14:paraId="5820D116">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⑥作业人员必须按照规定的时间、线路、频次和作业模式作业；作业时应穿戴统一的具有明显警示标识的工作服，并保持着装整洁。不得有滞留马路和加油加水超时等情况。</w:t>
      </w:r>
    </w:p>
    <w:p w14:paraId="77950F53">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⑦车辆行驶、停放必须遵守《道路交通安全法》对车辆的基本管理要求，任何交通违法行为责任由中标人自行承担。</w:t>
      </w:r>
    </w:p>
    <w:p w14:paraId="3BB62991">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八、调度和管理要求：</w:t>
      </w:r>
    </w:p>
    <w:p w14:paraId="69C8A0C3">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①科学合理调配作业车辆分布比例及运行。作业车辆应在</w:t>
      </w:r>
      <w:r>
        <w:rPr>
          <w:rFonts w:hint="eastAsia" w:ascii="仿宋" w:hAnsi="仿宋" w:eastAsia="仿宋" w:cs="宋体"/>
          <w:color w:val="auto"/>
          <w:sz w:val="24"/>
          <w:highlight w:val="none"/>
          <w:lang w:eastAsia="zh-CN"/>
        </w:rPr>
        <w:t>合规</w:t>
      </w:r>
      <w:r>
        <w:rPr>
          <w:rFonts w:hint="eastAsia" w:ascii="仿宋" w:hAnsi="仿宋" w:eastAsia="仿宋" w:cs="宋体"/>
          <w:color w:val="auto"/>
          <w:sz w:val="24"/>
          <w:highlight w:val="none"/>
        </w:rPr>
        <w:t>地点取水、清洁污物箱，机械化作业收集的垃圾</w:t>
      </w:r>
      <w:r>
        <w:rPr>
          <w:rFonts w:hint="eastAsia" w:ascii="仿宋" w:hAnsi="仿宋" w:eastAsia="仿宋" w:cs="宋体"/>
          <w:color w:val="auto"/>
          <w:sz w:val="24"/>
          <w:highlight w:val="none"/>
          <w:lang w:eastAsia="zh-CN"/>
        </w:rPr>
        <w:t>、污水由中标人合规自行解决处置</w:t>
      </w:r>
      <w:r>
        <w:rPr>
          <w:rFonts w:hint="eastAsia" w:ascii="仿宋" w:hAnsi="仿宋" w:eastAsia="仿宋" w:cs="宋体"/>
          <w:color w:val="auto"/>
          <w:sz w:val="24"/>
          <w:highlight w:val="none"/>
        </w:rPr>
        <w:t>。</w:t>
      </w:r>
    </w:p>
    <w:p w14:paraId="01F23079">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②建立健全车辆维修、保养和检查制度，必须确保出车车况良好。</w:t>
      </w:r>
    </w:p>
    <w:p w14:paraId="5D73CE7D">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③如遇死角、深沟、道路两侧行道树过低过近、垃圾杂物体积过长过大、落叶季节、窨井沟眼不畅通、有杂物或被堵塞等工况无法满足环卫机械化作业条件时，需组织人工配合作业。</w:t>
      </w:r>
    </w:p>
    <w:p w14:paraId="11A6D30C">
      <w:pPr>
        <w:spacing w:line="360" w:lineRule="auto"/>
        <w:ind w:firstLine="360" w:firstLineChars="150"/>
        <w:rPr>
          <w:rFonts w:hint="eastAsia" w:ascii="仿宋" w:hAnsi="仿宋" w:eastAsia="仿宋" w:cs="宋体"/>
          <w:color w:val="auto"/>
          <w:sz w:val="24"/>
          <w:highlight w:val="none"/>
        </w:rPr>
      </w:pPr>
      <w:r>
        <w:rPr>
          <w:rFonts w:hint="eastAsia" w:ascii="仿宋" w:hAnsi="仿宋" w:eastAsia="仿宋" w:cs="宋体"/>
          <w:color w:val="auto"/>
          <w:sz w:val="24"/>
          <w:highlight w:val="none"/>
        </w:rPr>
        <w:t>④专用作业机动车辆一律安装GPS监管设施，日常管理要确保智能监管设施设备的完好，一旦出现故障要及时维修并向采购方报备。</w:t>
      </w:r>
    </w:p>
    <w:p w14:paraId="4743DA52">
      <w:pPr>
        <w:spacing w:line="360" w:lineRule="auto"/>
        <w:ind w:firstLine="360" w:firstLineChars="150"/>
        <w:rPr>
          <w:rFonts w:ascii="仿宋" w:hAnsi="仿宋" w:eastAsia="仿宋"/>
          <w:color w:val="auto"/>
          <w:highlight w:val="none"/>
        </w:rPr>
      </w:pPr>
      <w:r>
        <w:rPr>
          <w:rFonts w:hint="eastAsia" w:ascii="仿宋" w:hAnsi="仿宋" w:eastAsia="仿宋" w:cs="宋体"/>
          <w:color w:val="auto"/>
          <w:sz w:val="24"/>
          <w:highlight w:val="none"/>
        </w:rPr>
        <w:t>⑤</w:t>
      </w:r>
      <w:r>
        <w:rPr>
          <w:rFonts w:hint="eastAsia" w:ascii="仿宋" w:hAnsi="仿宋" w:eastAsia="仿宋" w:cs="宋体"/>
          <w:color w:val="auto"/>
          <w:sz w:val="24"/>
          <w:highlight w:val="none"/>
          <w:lang w:val="en-US" w:eastAsia="zh-CN"/>
        </w:rPr>
        <w:t>作业水费采购人已包含在上限价中，具体价格需供应商在投标报价时综合考虑</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lang w:val="en-US" w:eastAsia="zh-CN"/>
        </w:rPr>
        <w:t>采购人不再另行支付，</w:t>
      </w:r>
      <w:r>
        <w:rPr>
          <w:rFonts w:hint="eastAsia" w:ascii="仿宋" w:hAnsi="仿宋" w:eastAsia="仿宋" w:cs="宋体"/>
          <w:color w:val="auto"/>
          <w:sz w:val="24"/>
          <w:highlight w:val="none"/>
        </w:rPr>
        <w:t>车辆加</w:t>
      </w:r>
      <w:r>
        <w:rPr>
          <w:rFonts w:hint="eastAsia" w:ascii="仿宋" w:hAnsi="仿宋" w:eastAsia="仿宋" w:cs="宋体"/>
          <w:color w:val="auto"/>
          <w:sz w:val="24"/>
          <w:highlight w:val="none"/>
          <w:lang w:eastAsia="zh-CN"/>
        </w:rPr>
        <w:t>（取）</w:t>
      </w:r>
      <w:r>
        <w:rPr>
          <w:rFonts w:hint="eastAsia" w:ascii="仿宋" w:hAnsi="仿宋" w:eastAsia="仿宋" w:cs="宋体"/>
          <w:color w:val="auto"/>
          <w:sz w:val="24"/>
          <w:highlight w:val="none"/>
        </w:rPr>
        <w:t>水</w:t>
      </w:r>
      <w:r>
        <w:rPr>
          <w:rFonts w:hint="eastAsia" w:ascii="仿宋" w:hAnsi="仿宋" w:eastAsia="仿宋" w:cs="宋体"/>
          <w:color w:val="auto"/>
          <w:sz w:val="24"/>
          <w:highlight w:val="none"/>
          <w:lang w:eastAsia="zh-CN"/>
        </w:rPr>
        <w:t>点由中标方自行负责解决，办理相关合规手续，采购人给予协调支持，用水要注重节约，</w:t>
      </w:r>
      <w:r>
        <w:rPr>
          <w:rFonts w:hint="eastAsia" w:ascii="仿宋" w:hAnsi="仿宋" w:eastAsia="仿宋" w:cs="宋体"/>
          <w:color w:val="auto"/>
          <w:sz w:val="24"/>
          <w:highlight w:val="none"/>
        </w:rPr>
        <w:t>严禁浪费水资源。</w:t>
      </w:r>
    </w:p>
    <w:p w14:paraId="29929E9A">
      <w:pPr>
        <w:spacing w:line="520" w:lineRule="exact"/>
        <w:jc w:val="center"/>
        <w:outlineLvl w:val="0"/>
        <w:rPr>
          <w:rFonts w:hint="eastAsia" w:ascii="仿宋" w:hAnsi="仿宋" w:eastAsia="仿宋" w:cs="仿宋"/>
          <w:color w:val="auto"/>
          <w:sz w:val="24"/>
          <w:szCs w:val="24"/>
          <w:highlight w:val="none"/>
        </w:rPr>
      </w:pPr>
      <w:r>
        <w:rPr>
          <w:rFonts w:hint="eastAsia" w:ascii="仿宋" w:hAnsi="仿宋" w:eastAsia="仿宋" w:cs="仿宋"/>
          <w:b/>
          <w:bCs/>
          <w:color w:val="auto"/>
          <w:sz w:val="32"/>
          <w:szCs w:val="32"/>
          <w:highlight w:val="none"/>
          <w:lang w:val="en-US" w:eastAsia="zh-CN"/>
        </w:rPr>
        <w:br w:type="page"/>
      </w:r>
      <w:r>
        <w:rPr>
          <w:rFonts w:hint="eastAsia" w:ascii="仿宋" w:hAnsi="仿宋" w:eastAsia="仿宋" w:cs="仿宋"/>
          <w:b/>
          <w:bCs/>
          <w:color w:val="auto"/>
          <w:sz w:val="32"/>
          <w:szCs w:val="32"/>
          <w:highlight w:val="none"/>
          <w:lang w:val="en-US" w:eastAsia="zh-CN"/>
        </w:rPr>
        <w:t>附件2：</w:t>
      </w:r>
      <w:r>
        <w:rPr>
          <w:rFonts w:hint="eastAsia" w:ascii="仿宋" w:hAnsi="仿宋" w:eastAsia="仿宋" w:cs="仿宋"/>
          <w:b/>
          <w:bCs/>
          <w:color w:val="auto"/>
          <w:sz w:val="32"/>
          <w:szCs w:val="32"/>
          <w:highlight w:val="none"/>
          <w:lang w:eastAsia="zh-CN"/>
        </w:rPr>
        <w:t>《道路保洁</w:t>
      </w:r>
      <w:r>
        <w:rPr>
          <w:rFonts w:hint="eastAsia" w:ascii="仿宋" w:hAnsi="仿宋" w:eastAsia="仿宋" w:cs="仿宋"/>
          <w:b/>
          <w:bCs/>
          <w:color w:val="auto"/>
          <w:sz w:val="32"/>
          <w:szCs w:val="32"/>
          <w:highlight w:val="none"/>
        </w:rPr>
        <w:t>考核办法</w:t>
      </w:r>
      <w:r>
        <w:rPr>
          <w:rFonts w:hint="eastAsia" w:ascii="仿宋" w:hAnsi="仿宋" w:eastAsia="仿宋" w:cs="仿宋"/>
          <w:b/>
          <w:bCs/>
          <w:color w:val="auto"/>
          <w:sz w:val="32"/>
          <w:szCs w:val="32"/>
          <w:highlight w:val="none"/>
          <w:lang w:eastAsia="zh-CN"/>
        </w:rPr>
        <w:t>》</w:t>
      </w:r>
    </w:p>
    <w:p w14:paraId="54E20980">
      <w:pPr>
        <w:spacing w:line="52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eastAsia="zh-CN"/>
        </w:rPr>
        <w:t>一</w:t>
      </w:r>
      <w:r>
        <w:rPr>
          <w:rFonts w:hint="eastAsia" w:ascii="仿宋" w:hAnsi="仿宋" w:eastAsia="仿宋" w:cs="仿宋"/>
          <w:b/>
          <w:color w:val="auto"/>
          <w:sz w:val="24"/>
          <w:szCs w:val="24"/>
          <w:highlight w:val="none"/>
        </w:rPr>
        <w:t>、考核机构</w:t>
      </w:r>
      <w:r>
        <w:rPr>
          <w:rFonts w:hint="eastAsia" w:ascii="仿宋" w:hAnsi="仿宋" w:eastAsia="仿宋" w:cs="仿宋"/>
          <w:b/>
          <w:color w:val="auto"/>
          <w:sz w:val="24"/>
          <w:szCs w:val="24"/>
          <w:highlight w:val="none"/>
          <w:lang w:eastAsia="zh-CN"/>
        </w:rPr>
        <w:t>。</w:t>
      </w:r>
      <w:r>
        <w:rPr>
          <w:rFonts w:hint="eastAsia" w:ascii="仿宋" w:hAnsi="仿宋" w:eastAsia="仿宋" w:cs="仿宋"/>
          <w:color w:val="auto"/>
          <w:sz w:val="24"/>
          <w:szCs w:val="24"/>
          <w:highlight w:val="none"/>
          <w:lang w:eastAsia="zh-CN"/>
        </w:rPr>
        <w:t>街道分</w:t>
      </w:r>
      <w:r>
        <w:rPr>
          <w:rFonts w:hint="eastAsia" w:ascii="仿宋" w:hAnsi="仿宋" w:eastAsia="仿宋" w:cs="仿宋"/>
          <w:color w:val="auto"/>
          <w:sz w:val="24"/>
          <w:szCs w:val="24"/>
          <w:highlight w:val="none"/>
        </w:rPr>
        <w:t>管部门相关领导</w:t>
      </w:r>
      <w:r>
        <w:rPr>
          <w:rFonts w:hint="eastAsia" w:ascii="仿宋" w:hAnsi="仿宋" w:eastAsia="仿宋" w:cs="仿宋"/>
          <w:color w:val="auto"/>
          <w:sz w:val="24"/>
          <w:szCs w:val="24"/>
          <w:highlight w:val="none"/>
          <w:lang w:eastAsia="zh-CN"/>
        </w:rPr>
        <w:t>总牵头</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成员有环卫线和第三方（如有成立）</w:t>
      </w:r>
      <w:r>
        <w:rPr>
          <w:rFonts w:hint="eastAsia" w:ascii="仿宋" w:hAnsi="仿宋" w:eastAsia="仿宋" w:cs="仿宋"/>
          <w:color w:val="auto"/>
          <w:sz w:val="24"/>
          <w:szCs w:val="24"/>
          <w:highlight w:val="none"/>
        </w:rPr>
        <w:t>检查考核</w:t>
      </w:r>
      <w:r>
        <w:rPr>
          <w:rFonts w:hint="eastAsia" w:ascii="仿宋" w:hAnsi="仿宋" w:eastAsia="仿宋" w:cs="仿宋"/>
          <w:color w:val="auto"/>
          <w:sz w:val="24"/>
          <w:szCs w:val="24"/>
          <w:highlight w:val="none"/>
          <w:lang w:eastAsia="zh-CN"/>
        </w:rPr>
        <w:t>聘任人员组成，</w:t>
      </w:r>
      <w:r>
        <w:rPr>
          <w:rFonts w:hint="eastAsia" w:ascii="仿宋" w:hAnsi="仿宋" w:eastAsia="仿宋" w:cs="仿宋"/>
          <w:color w:val="auto"/>
          <w:sz w:val="24"/>
          <w:szCs w:val="24"/>
          <w:highlight w:val="none"/>
        </w:rPr>
        <w:t>对</w:t>
      </w:r>
      <w:r>
        <w:rPr>
          <w:rFonts w:hint="eastAsia" w:ascii="仿宋" w:hAnsi="仿宋" w:eastAsia="仿宋" w:cs="仿宋"/>
          <w:color w:val="auto"/>
          <w:sz w:val="24"/>
          <w:szCs w:val="24"/>
          <w:highlight w:val="none"/>
          <w:lang w:eastAsia="zh-CN"/>
        </w:rPr>
        <w:t>招标范围保洁质量</w:t>
      </w:r>
      <w:r>
        <w:rPr>
          <w:rFonts w:hint="eastAsia" w:ascii="仿宋" w:hAnsi="仿宋" w:eastAsia="仿宋" w:cs="仿宋"/>
          <w:color w:val="auto"/>
          <w:sz w:val="24"/>
          <w:szCs w:val="24"/>
          <w:highlight w:val="none"/>
        </w:rPr>
        <w:t>进行考核、奖惩。</w:t>
      </w:r>
    </w:p>
    <w:p w14:paraId="102D15F3">
      <w:pPr>
        <w:spacing w:line="52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二</w:t>
      </w:r>
      <w:r>
        <w:rPr>
          <w:rFonts w:hint="eastAsia" w:ascii="仿宋" w:hAnsi="仿宋" w:eastAsia="仿宋" w:cs="仿宋"/>
          <w:b/>
          <w:color w:val="auto"/>
          <w:sz w:val="24"/>
          <w:szCs w:val="24"/>
          <w:highlight w:val="none"/>
        </w:rPr>
        <w:t>、考核方式</w:t>
      </w:r>
    </w:p>
    <w:p w14:paraId="1F67BEE2">
      <w:pPr>
        <w:spacing w:line="52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1.日常督查</w:t>
      </w:r>
      <w:r>
        <w:rPr>
          <w:rFonts w:hint="eastAsia" w:ascii="仿宋" w:hAnsi="仿宋" w:eastAsia="仿宋" w:cs="仿宋"/>
          <w:color w:val="auto"/>
          <w:sz w:val="24"/>
          <w:szCs w:val="24"/>
          <w:highlight w:val="none"/>
          <w:lang w:eastAsia="zh-CN"/>
        </w:rPr>
        <w:t>考核</w:t>
      </w:r>
    </w:p>
    <w:p w14:paraId="1072C87C">
      <w:pP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作业范围进行全时段检查，检查中发现的问题</w:t>
      </w:r>
      <w:r>
        <w:rPr>
          <w:rFonts w:hint="eastAsia" w:ascii="仿宋" w:hAnsi="仿宋" w:eastAsia="仿宋" w:cs="仿宋"/>
          <w:color w:val="auto"/>
          <w:sz w:val="24"/>
          <w:szCs w:val="24"/>
          <w:highlight w:val="none"/>
          <w:lang w:eastAsia="zh-CN"/>
        </w:rPr>
        <w:t>及时告示中标人，中标人</w:t>
      </w:r>
      <w:r>
        <w:rPr>
          <w:rFonts w:hint="eastAsia" w:ascii="仿宋" w:hAnsi="仿宋" w:eastAsia="仿宋" w:cs="仿宋"/>
          <w:color w:val="auto"/>
          <w:sz w:val="24"/>
          <w:szCs w:val="24"/>
          <w:highlight w:val="none"/>
        </w:rPr>
        <w:t>接收案卷后须及时处置，在处置时限内整改问题，不扣分；若超时整改，则根据《考核</w:t>
      </w:r>
      <w:r>
        <w:rPr>
          <w:rFonts w:hint="eastAsia" w:ascii="仿宋" w:hAnsi="仿宋" w:eastAsia="仿宋" w:cs="仿宋"/>
          <w:color w:val="auto"/>
          <w:sz w:val="24"/>
          <w:szCs w:val="24"/>
          <w:highlight w:val="none"/>
          <w:lang w:eastAsia="zh-CN"/>
        </w:rPr>
        <w:t>评分表</w:t>
      </w:r>
      <w:r>
        <w:rPr>
          <w:rFonts w:hint="eastAsia" w:ascii="仿宋" w:hAnsi="仿宋" w:eastAsia="仿宋" w:cs="仿宋"/>
          <w:color w:val="auto"/>
          <w:sz w:val="24"/>
          <w:szCs w:val="24"/>
          <w:highlight w:val="none"/>
        </w:rPr>
        <w:t>》规定</w:t>
      </w:r>
      <w:r>
        <w:rPr>
          <w:rFonts w:hint="eastAsia" w:ascii="仿宋" w:hAnsi="仿宋" w:eastAsia="仿宋" w:cs="仿宋"/>
          <w:color w:val="auto"/>
          <w:sz w:val="24"/>
          <w:szCs w:val="24"/>
          <w:highlight w:val="none"/>
          <w:lang w:eastAsia="zh-CN"/>
        </w:rPr>
        <w:t>累计</w:t>
      </w:r>
      <w:r>
        <w:rPr>
          <w:rFonts w:hint="eastAsia" w:ascii="仿宋" w:hAnsi="仿宋" w:eastAsia="仿宋" w:cs="仿宋"/>
          <w:color w:val="auto"/>
          <w:sz w:val="24"/>
          <w:szCs w:val="24"/>
          <w:highlight w:val="none"/>
        </w:rPr>
        <w:t>扣分，直至其整改问题后停止扣分。</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在处置案卷时若出现弄虚作假的情况，一经查实，加倍扣分。</w:t>
      </w:r>
    </w:p>
    <w:p w14:paraId="4DDA20EA">
      <w:pPr>
        <w:numPr>
          <w:ilvl w:val="0"/>
          <w:numId w:val="1"/>
        </w:numPr>
        <w:spacing w:line="52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不定时检查考核</w:t>
      </w:r>
    </w:p>
    <w:p w14:paraId="1EB4860A">
      <w:pPr>
        <w:numPr>
          <w:ilvl w:val="0"/>
          <w:numId w:val="0"/>
        </w:numP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每月不定时日集中组织一至二次考核，对照</w:t>
      </w:r>
      <w:r>
        <w:rPr>
          <w:rFonts w:hint="eastAsia" w:ascii="仿宋" w:hAnsi="仿宋" w:eastAsia="仿宋" w:cs="仿宋"/>
          <w:color w:val="auto"/>
          <w:sz w:val="24"/>
          <w:szCs w:val="24"/>
          <w:highlight w:val="none"/>
        </w:rPr>
        <w:t>《考核</w:t>
      </w:r>
      <w:r>
        <w:rPr>
          <w:rFonts w:hint="eastAsia" w:ascii="仿宋" w:hAnsi="仿宋" w:eastAsia="仿宋" w:cs="仿宋"/>
          <w:color w:val="auto"/>
          <w:sz w:val="24"/>
          <w:szCs w:val="24"/>
          <w:highlight w:val="none"/>
          <w:lang w:eastAsia="zh-CN"/>
        </w:rPr>
        <w:t>评分表</w:t>
      </w:r>
      <w:r>
        <w:rPr>
          <w:rFonts w:hint="eastAsia" w:ascii="仿宋" w:hAnsi="仿宋" w:eastAsia="仿宋" w:cs="仿宋"/>
          <w:color w:val="auto"/>
          <w:sz w:val="24"/>
          <w:szCs w:val="24"/>
          <w:highlight w:val="none"/>
        </w:rPr>
        <w:t>》一经发现问题就</w:t>
      </w:r>
      <w:r>
        <w:rPr>
          <w:rFonts w:hint="eastAsia" w:ascii="仿宋" w:hAnsi="仿宋" w:eastAsia="仿宋" w:cs="仿宋"/>
          <w:color w:val="auto"/>
          <w:sz w:val="24"/>
          <w:szCs w:val="24"/>
          <w:highlight w:val="none"/>
          <w:lang w:eastAsia="zh-CN"/>
        </w:rPr>
        <w:t>按</w:t>
      </w:r>
      <w:r>
        <w:rPr>
          <w:rFonts w:hint="eastAsia" w:ascii="仿宋" w:hAnsi="仿宋" w:eastAsia="仿宋" w:cs="仿宋"/>
          <w:color w:val="auto"/>
          <w:sz w:val="24"/>
          <w:szCs w:val="24"/>
          <w:highlight w:val="none"/>
        </w:rPr>
        <w:t>规定扣分，且责任</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须在规定时间内整改问题，</w:t>
      </w:r>
      <w:r>
        <w:rPr>
          <w:rFonts w:hint="eastAsia" w:ascii="仿宋" w:hAnsi="仿宋" w:eastAsia="仿宋" w:cs="仿宋"/>
          <w:color w:val="auto"/>
          <w:sz w:val="24"/>
          <w:szCs w:val="24"/>
          <w:highlight w:val="none"/>
          <w:lang w:eastAsia="zh-CN"/>
        </w:rPr>
        <w:t>中标人未按时整改或</w:t>
      </w:r>
      <w:r>
        <w:rPr>
          <w:rFonts w:hint="eastAsia" w:ascii="仿宋" w:hAnsi="仿宋" w:eastAsia="仿宋" w:cs="仿宋"/>
          <w:color w:val="auto"/>
          <w:sz w:val="24"/>
          <w:szCs w:val="24"/>
          <w:highlight w:val="none"/>
        </w:rPr>
        <w:t>弄虚作假的情况，一经查实，加倍扣分。</w:t>
      </w:r>
    </w:p>
    <w:p w14:paraId="1C7682E8">
      <w:pP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.公众监督</w:t>
      </w:r>
    </w:p>
    <w:p w14:paraId="20195CA9">
      <w:pP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各</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需接受群众、媒体、上级领导部门的监督，公众通过各类途径</w:t>
      </w:r>
      <w:r>
        <w:rPr>
          <w:rFonts w:hint="eastAsia" w:ascii="仿宋" w:hAnsi="仿宋" w:eastAsia="仿宋" w:cs="仿宋"/>
          <w:color w:val="auto"/>
          <w:sz w:val="24"/>
          <w:szCs w:val="24"/>
          <w:highlight w:val="none"/>
          <w:lang w:eastAsia="zh-CN"/>
        </w:rPr>
        <w:t>反映中标人</w:t>
      </w:r>
      <w:r>
        <w:rPr>
          <w:rFonts w:hint="eastAsia" w:ascii="仿宋" w:hAnsi="仿宋" w:eastAsia="仿宋" w:cs="仿宋"/>
          <w:color w:val="auto"/>
          <w:sz w:val="24"/>
          <w:szCs w:val="24"/>
          <w:highlight w:val="none"/>
        </w:rPr>
        <w:t>存在的问题</w:t>
      </w:r>
      <w:r>
        <w:rPr>
          <w:rFonts w:hint="eastAsia" w:ascii="仿宋" w:hAnsi="仿宋" w:eastAsia="仿宋" w:cs="仿宋"/>
          <w:color w:val="auto"/>
          <w:sz w:val="24"/>
          <w:szCs w:val="24"/>
          <w:highlight w:val="none"/>
          <w:lang w:eastAsia="zh-CN"/>
        </w:rPr>
        <w:t>，经</w:t>
      </w:r>
      <w:r>
        <w:rPr>
          <w:rFonts w:hint="eastAsia" w:ascii="仿宋" w:hAnsi="仿宋" w:eastAsia="仿宋" w:cs="仿宋"/>
          <w:color w:val="auto"/>
          <w:sz w:val="24"/>
          <w:szCs w:val="24"/>
          <w:highlight w:val="none"/>
        </w:rPr>
        <w:t>核实确认</w:t>
      </w:r>
      <w:r>
        <w:rPr>
          <w:rFonts w:hint="eastAsia" w:ascii="仿宋" w:hAnsi="仿宋" w:eastAsia="仿宋" w:cs="仿宋"/>
          <w:color w:val="auto"/>
          <w:sz w:val="24"/>
          <w:szCs w:val="24"/>
          <w:highlight w:val="none"/>
          <w:lang w:eastAsia="zh-CN"/>
        </w:rPr>
        <w:t>为中标人</w:t>
      </w:r>
      <w:r>
        <w:rPr>
          <w:rFonts w:hint="eastAsia" w:ascii="仿宋" w:hAnsi="仿宋" w:eastAsia="仿宋" w:cs="仿宋"/>
          <w:color w:val="auto"/>
          <w:sz w:val="24"/>
          <w:szCs w:val="24"/>
          <w:highlight w:val="none"/>
        </w:rPr>
        <w:t>责</w:t>
      </w:r>
      <w:r>
        <w:rPr>
          <w:rFonts w:hint="eastAsia" w:ascii="仿宋" w:hAnsi="仿宋" w:eastAsia="仿宋" w:cs="仿宋"/>
          <w:color w:val="auto"/>
          <w:sz w:val="24"/>
          <w:szCs w:val="24"/>
          <w:highlight w:val="none"/>
          <w:lang w:eastAsia="zh-CN"/>
        </w:rPr>
        <w:t>任</w:t>
      </w:r>
      <w:r>
        <w:rPr>
          <w:rFonts w:hint="eastAsia" w:ascii="仿宋" w:hAnsi="仿宋" w:eastAsia="仿宋" w:cs="仿宋"/>
          <w:color w:val="auto"/>
          <w:sz w:val="24"/>
          <w:szCs w:val="24"/>
          <w:highlight w:val="none"/>
        </w:rPr>
        <w:t>后责令其整改</w:t>
      </w:r>
      <w:r>
        <w:rPr>
          <w:rFonts w:hint="eastAsia" w:ascii="仿宋" w:hAnsi="仿宋" w:eastAsia="仿宋" w:cs="仿宋"/>
          <w:color w:val="auto"/>
          <w:sz w:val="24"/>
          <w:szCs w:val="24"/>
          <w:highlight w:val="none"/>
          <w:lang w:eastAsia="zh-CN"/>
        </w:rPr>
        <w:t>，并</w:t>
      </w:r>
      <w:r>
        <w:rPr>
          <w:rFonts w:hint="eastAsia" w:ascii="仿宋" w:hAnsi="仿宋" w:eastAsia="仿宋" w:cs="仿宋"/>
          <w:color w:val="auto"/>
          <w:sz w:val="24"/>
          <w:szCs w:val="24"/>
          <w:highlight w:val="none"/>
        </w:rPr>
        <w:t>根据《考核</w:t>
      </w:r>
      <w:r>
        <w:rPr>
          <w:rFonts w:hint="eastAsia" w:ascii="仿宋" w:hAnsi="仿宋" w:eastAsia="仿宋" w:cs="仿宋"/>
          <w:color w:val="auto"/>
          <w:sz w:val="24"/>
          <w:szCs w:val="24"/>
          <w:highlight w:val="none"/>
          <w:lang w:eastAsia="zh-CN"/>
        </w:rPr>
        <w:t>评分表</w:t>
      </w:r>
      <w:r>
        <w:rPr>
          <w:rFonts w:hint="eastAsia" w:ascii="仿宋" w:hAnsi="仿宋" w:eastAsia="仿宋" w:cs="仿宋"/>
          <w:color w:val="auto"/>
          <w:sz w:val="24"/>
          <w:szCs w:val="24"/>
          <w:highlight w:val="none"/>
        </w:rPr>
        <w:t>》规定扣分，若</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未能在整改期内及时整改或弄虚作假，加倍扣分。</w:t>
      </w:r>
    </w:p>
    <w:p w14:paraId="069D4AA1">
      <w:pPr>
        <w:spacing w:line="52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三</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eastAsia="zh-CN"/>
        </w:rPr>
        <w:t>奖罚标准</w:t>
      </w:r>
    </w:p>
    <w:p w14:paraId="5411DA60">
      <w:pP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.各类问题处置过程中，若责任中标人存在弄虚作假情况，一经查实，按基础分值及超时扣分之和加倍扣分；</w:t>
      </w:r>
    </w:p>
    <w:p w14:paraId="134BD3FA">
      <w:pP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.发生二次或多次派遣的，按基础分值及超时扣分之和加倍扣分；</w:t>
      </w:r>
    </w:p>
    <w:p w14:paraId="5E0BBD83">
      <w:pP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以下情况定义为二次或多次派遣：</w:t>
      </w:r>
    </w:p>
    <w:p w14:paraId="32E15EBF">
      <w:pP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1）案卷派遣给保洁公司后，随意回退或无正当理由回退，且最终派遣至该保洁公司处理的；</w:t>
      </w:r>
    </w:p>
    <w:p w14:paraId="0053E7A8">
      <w:pPr>
        <w:keepNext w:val="0"/>
        <w:keepLines w:val="0"/>
        <w:pageBreakBefore w:val="0"/>
        <w:widowControl w:val="0"/>
        <w:kinsoku/>
        <w:wordWrap/>
        <w:overflowPunct/>
        <w:topLinePunct w:val="0"/>
        <w:autoSpaceDE/>
        <w:autoSpaceDN/>
        <w:bidi w:val="0"/>
        <w:adjustRightInd w:val="0"/>
        <w:snapToGrid/>
        <w:spacing w:line="520" w:lineRule="exact"/>
        <w:ind w:left="420" w:leftChars="20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2）案卷内反映的问题未彻底处理造成二次或多次回退的；</w:t>
      </w:r>
    </w:p>
    <w:p w14:paraId="347E7D4D">
      <w:pPr>
        <w:keepNext w:val="0"/>
        <w:keepLines w:val="0"/>
        <w:pageBreakBefore w:val="0"/>
        <w:widowControl w:val="0"/>
        <w:kinsoku/>
        <w:wordWrap/>
        <w:overflowPunct/>
        <w:topLinePunct w:val="0"/>
        <w:autoSpaceDE/>
        <w:autoSpaceDN/>
        <w:bidi w:val="0"/>
        <w:adjustRightInd w:val="0"/>
        <w:snapToGrid/>
        <w:spacing w:line="520" w:lineRule="exact"/>
        <w:ind w:left="420" w:leftChars="20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3）反馈照片未能清晰反映处理结果造成二次或多次回退的；</w:t>
      </w:r>
    </w:p>
    <w:p w14:paraId="0C125364">
      <w:pPr>
        <w:keepNext w:val="0"/>
        <w:keepLines w:val="0"/>
        <w:pageBreakBefore w:val="0"/>
        <w:widowControl w:val="0"/>
        <w:kinsoku/>
        <w:wordWrap/>
        <w:overflowPunct/>
        <w:topLinePunct w:val="0"/>
        <w:autoSpaceDE/>
        <w:autoSpaceDN/>
        <w:bidi w:val="0"/>
        <w:adjustRightInd w:val="0"/>
        <w:snapToGrid/>
        <w:spacing w:line="520" w:lineRule="exact"/>
        <w:ind w:left="0" w:lef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每扣（加）</w:t>
      </w:r>
      <w:r>
        <w:rPr>
          <w:rFonts w:hint="eastAsia" w:ascii="仿宋" w:hAnsi="仿宋" w:eastAsia="仿宋" w:cs="仿宋"/>
          <w:color w:val="auto"/>
          <w:sz w:val="24"/>
          <w:szCs w:val="24"/>
          <w:highlight w:val="none"/>
        </w:rPr>
        <w:t>1分</w:t>
      </w:r>
      <w:r>
        <w:rPr>
          <w:rFonts w:hint="eastAsia" w:ascii="仿宋" w:hAnsi="仿宋" w:eastAsia="仿宋" w:cs="仿宋"/>
          <w:color w:val="auto"/>
          <w:sz w:val="24"/>
          <w:szCs w:val="24"/>
          <w:highlight w:val="none"/>
          <w:lang w:eastAsia="zh-CN"/>
        </w:rPr>
        <w:t>值按</w:t>
      </w:r>
      <w:r>
        <w:rPr>
          <w:rFonts w:hint="eastAsia" w:ascii="仿宋" w:hAnsi="仿宋" w:eastAsia="仿宋" w:cs="仿宋"/>
          <w:color w:val="auto"/>
          <w:sz w:val="24"/>
          <w:szCs w:val="24"/>
          <w:highlight w:val="none"/>
          <w:lang w:val="en-US" w:eastAsia="zh-CN"/>
        </w:rPr>
        <w:t>3000</w:t>
      </w:r>
      <w:r>
        <w:rPr>
          <w:rFonts w:hint="eastAsia" w:ascii="仿宋" w:hAnsi="仿宋" w:eastAsia="仿宋" w:cs="仿宋"/>
          <w:color w:val="auto"/>
          <w:sz w:val="24"/>
          <w:szCs w:val="24"/>
          <w:highlight w:val="none"/>
        </w:rPr>
        <w:t>元折算。</w:t>
      </w:r>
    </w:p>
    <w:p w14:paraId="077405F2">
      <w:pPr>
        <w:keepNext w:val="0"/>
        <w:keepLines w:val="0"/>
        <w:pageBreakBefore w:val="0"/>
        <w:widowControl w:val="0"/>
        <w:kinsoku/>
        <w:wordWrap/>
        <w:overflowPunct/>
        <w:topLinePunct w:val="0"/>
        <w:autoSpaceDE/>
        <w:autoSpaceDN/>
        <w:bidi w:val="0"/>
        <w:adjustRightInd w:val="0"/>
        <w:snapToGrid/>
        <w:spacing w:line="520" w:lineRule="exact"/>
        <w:ind w:left="479" w:leftChars="228"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 xml:space="preserve">.如承包单位存在重大失责行为或社会影响极坏事件，采购人有权解除合同。                            </w:t>
      </w:r>
      <w:r>
        <w:rPr>
          <w:rFonts w:hint="eastAsia" w:ascii="仿宋" w:hAnsi="仿宋" w:eastAsia="仿宋" w:cs="仿宋"/>
          <w:color w:val="auto"/>
          <w:sz w:val="24"/>
          <w:szCs w:val="24"/>
          <w:highlight w:val="none"/>
          <w:lang w:val="en-US" w:eastAsia="zh-CN"/>
        </w:rPr>
        <w:t xml:space="preserve">  </w:t>
      </w:r>
    </w:p>
    <w:p w14:paraId="49C0698D">
      <w:pPr>
        <w:keepNext w:val="0"/>
        <w:keepLines w:val="0"/>
        <w:pageBreakBefore w:val="0"/>
        <w:widowControl w:val="0"/>
        <w:kinsoku/>
        <w:wordWrap/>
        <w:overflowPunct/>
        <w:topLinePunct w:val="0"/>
        <w:autoSpaceDE/>
        <w:autoSpaceDN/>
        <w:bidi w:val="0"/>
        <w:adjustRightInd w:val="0"/>
        <w:snapToGrid/>
        <w:spacing w:line="520" w:lineRule="exact"/>
        <w:ind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.处置时限是指立案后至实际组织整改起始时间，现场连续作业整改期间不记累计拖延时间，如果整改无故中断或整改不彻底，则按相应时限累计扣分，直至整改完毕</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p>
    <w:p w14:paraId="28AAFB2A">
      <w:pPr>
        <w:keepNext w:val="0"/>
        <w:keepLines w:val="0"/>
        <w:pageBreakBefore w:val="0"/>
        <w:widowControl w:val="0"/>
        <w:kinsoku/>
        <w:wordWrap/>
        <w:overflowPunct/>
        <w:topLinePunct w:val="0"/>
        <w:autoSpaceDE/>
        <w:autoSpaceDN/>
        <w:bidi w:val="0"/>
        <w:adjustRightInd w:val="0"/>
        <w:snapToGrid/>
        <w:spacing w:line="52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.每大类扣分累计不超过最高限额分 ，每小类扣分最高限额不超过10倍。</w:t>
      </w:r>
    </w:p>
    <w:p w14:paraId="65A25A00">
      <w:pPr>
        <w:keepNext w:val="0"/>
        <w:keepLines w:val="0"/>
        <w:pageBreakBefore w:val="0"/>
        <w:widowControl w:val="0"/>
        <w:numPr>
          <w:ilvl w:val="0"/>
          <w:numId w:val="0"/>
        </w:numPr>
        <w:kinsoku/>
        <w:wordWrap/>
        <w:overflowPunct/>
        <w:topLinePunct w:val="0"/>
        <w:autoSpaceDE/>
        <w:autoSpaceDN/>
        <w:bidi w:val="0"/>
        <w:adjustRightInd w:val="0"/>
        <w:snapToGrid/>
        <w:spacing w:line="52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7.</w:t>
      </w:r>
      <w:r>
        <w:rPr>
          <w:rFonts w:hint="eastAsia" w:ascii="仿宋" w:hAnsi="仿宋" w:eastAsia="仿宋" w:cs="仿宋"/>
          <w:color w:val="auto"/>
          <w:sz w:val="24"/>
          <w:szCs w:val="24"/>
          <w:highlight w:val="none"/>
        </w:rPr>
        <w:t>表中“扣分标准”通常指</w:t>
      </w:r>
      <w:r>
        <w:rPr>
          <w:rFonts w:hint="eastAsia" w:ascii="仿宋" w:hAnsi="仿宋" w:eastAsia="仿宋" w:cs="仿宋"/>
          <w:color w:val="auto"/>
          <w:sz w:val="24"/>
          <w:szCs w:val="24"/>
          <w:highlight w:val="none"/>
          <w:lang w:eastAsia="zh-CN"/>
        </w:rPr>
        <w:t>某考核日每</w:t>
      </w:r>
      <w:r>
        <w:rPr>
          <w:rFonts w:hint="eastAsia" w:ascii="仿宋" w:hAnsi="仿宋" w:eastAsia="仿宋" w:cs="仿宋"/>
          <w:color w:val="auto"/>
          <w:sz w:val="24"/>
          <w:szCs w:val="24"/>
          <w:highlight w:val="none"/>
        </w:rPr>
        <w:t>人、车、处、次、路段</w:t>
      </w:r>
      <w:r>
        <w:rPr>
          <w:rFonts w:hint="eastAsia" w:ascii="仿宋" w:hAnsi="仿宋" w:eastAsia="仿宋" w:cs="仿宋"/>
          <w:color w:val="auto"/>
          <w:sz w:val="24"/>
          <w:szCs w:val="24"/>
          <w:highlight w:val="none"/>
          <w:lang w:eastAsia="zh-CN"/>
        </w:rPr>
        <w:t>等的问题</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当日有多量或不同日考</w:t>
      </w:r>
      <w:r>
        <w:rPr>
          <w:rFonts w:hint="eastAsia" w:ascii="仿宋" w:hAnsi="仿宋" w:eastAsia="仿宋" w:cs="仿宋"/>
          <w:color w:val="auto"/>
          <w:sz w:val="24"/>
          <w:szCs w:val="24"/>
          <w:highlight w:val="none"/>
        </w:rPr>
        <w:t>的累加扣分 。</w:t>
      </w:r>
    </w:p>
    <w:p w14:paraId="482FD7B8">
      <w:pPr>
        <w:keepNext w:val="0"/>
        <w:keepLines w:val="0"/>
        <w:pageBreakBefore w:val="0"/>
        <w:widowControl w:val="0"/>
        <w:kinsoku/>
        <w:wordWrap/>
        <w:overflowPunct/>
        <w:topLinePunct w:val="0"/>
        <w:autoSpaceDE/>
        <w:autoSpaceDN/>
        <w:bidi w:val="0"/>
        <w:adjustRightInd w:val="0"/>
        <w:snapToGrid/>
        <w:spacing w:line="52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 xml:space="preserve">.单月综合得分不封顶，每3 月合计得分不超过300分。        </w:t>
      </w:r>
    </w:p>
    <w:p w14:paraId="6201DF24">
      <w:pPr>
        <w:rPr>
          <w:color w:val="auto"/>
          <w:highlight w:val="none"/>
        </w:rPr>
      </w:pPr>
    </w:p>
    <w:p w14:paraId="1287036B">
      <w:pPr>
        <w:rPr>
          <w:rFonts w:hint="eastAsia" w:eastAsia="宋体"/>
          <w:color w:val="auto"/>
          <w:highlight w:val="none"/>
          <w:lang w:val="en-US" w:eastAsia="zh-CN"/>
        </w:rPr>
      </w:pPr>
      <w:r>
        <w:rPr>
          <w:rFonts w:hint="eastAsia" w:eastAsia="宋体"/>
          <w:color w:val="auto"/>
          <w:highlight w:val="none"/>
          <w:lang w:val="en-US" w:eastAsia="zh-CN"/>
        </w:rPr>
        <w:br w:type="page"/>
      </w:r>
    </w:p>
    <w:p w14:paraId="56FAEDA8">
      <w:pPr>
        <w:rPr>
          <w:rFonts w:hint="eastAsia" w:eastAsia="宋体"/>
          <w:color w:val="auto"/>
          <w:highlight w:val="none"/>
          <w:lang w:val="en-US" w:eastAsia="zh-CN"/>
        </w:rPr>
      </w:pPr>
    </w:p>
    <w:tbl>
      <w:tblPr>
        <w:tblStyle w:val="62"/>
        <w:tblW w:w="519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2"/>
        <w:gridCol w:w="441"/>
        <w:gridCol w:w="2403"/>
        <w:gridCol w:w="464"/>
        <w:gridCol w:w="951"/>
        <w:gridCol w:w="2103"/>
        <w:gridCol w:w="727"/>
        <w:gridCol w:w="783"/>
        <w:gridCol w:w="466"/>
      </w:tblGrid>
      <w:tr w14:paraId="3BB48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5000" w:type="pct"/>
            <w:gridSpan w:val="9"/>
            <w:tcBorders>
              <w:top w:val="nil"/>
              <w:left w:val="nil"/>
              <w:bottom w:val="nil"/>
              <w:right w:val="nil"/>
            </w:tcBorders>
            <w:noWrap w:val="0"/>
            <w:vAlign w:val="center"/>
          </w:tcPr>
          <w:p w14:paraId="4EF912E5">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ascii="仿宋" w:hAnsi="仿宋" w:eastAsia="仿宋" w:cs="仿宋"/>
                <w:i w:val="0"/>
                <w:iCs w:val="0"/>
                <w:color w:val="auto"/>
                <w:sz w:val="36"/>
                <w:szCs w:val="36"/>
                <w:highlight w:val="none"/>
                <w:u w:val="none"/>
              </w:rPr>
            </w:pPr>
            <w:r>
              <w:rPr>
                <w:rFonts w:hint="eastAsia" w:ascii="仿宋" w:hAnsi="仿宋" w:eastAsia="仿宋" w:cs="仿宋"/>
                <w:i w:val="0"/>
                <w:iCs w:val="0"/>
                <w:color w:val="auto"/>
                <w:kern w:val="0"/>
                <w:sz w:val="36"/>
                <w:szCs w:val="36"/>
                <w:highlight w:val="none"/>
                <w:u w:val="none"/>
                <w:lang w:val="en-US" w:eastAsia="zh-CN" w:bidi="ar"/>
              </w:rPr>
              <w:t>考核评分表</w:t>
            </w:r>
          </w:p>
        </w:tc>
      </w:tr>
      <w:tr w14:paraId="59A80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tcBorders>
              <w:top w:val="single" w:color="000000" w:sz="4" w:space="0"/>
              <w:left w:val="single" w:color="000000" w:sz="4" w:space="0"/>
              <w:bottom w:val="single" w:color="000000" w:sz="4" w:space="0"/>
              <w:right w:val="single" w:color="000000" w:sz="4" w:space="0"/>
            </w:tcBorders>
            <w:noWrap w:val="0"/>
            <w:vAlign w:val="center"/>
          </w:tcPr>
          <w:p w14:paraId="1098F1F7">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大类名称</w:t>
            </w: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4AB909D0">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小类代码</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5A231AF5">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问题描述</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4629BD17">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处置时限</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1AB0AC9C">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扣分标准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200D6993">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扣分方式</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232AE74E">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6"/>
                <w:szCs w:val="16"/>
                <w:highlight w:val="none"/>
                <w:u w:val="none"/>
                <w:lang w:val="en-US" w:eastAsia="zh-CN" w:bidi="ar"/>
              </w:rPr>
              <w:t>当月累计扣（加）分</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14:paraId="3461C0E9">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合计扣（加）分</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6613F926">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备注</w:t>
            </w:r>
          </w:p>
        </w:tc>
      </w:tr>
      <w:tr w14:paraId="3B97F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restart"/>
            <w:tcBorders>
              <w:top w:val="single" w:color="000000" w:sz="4" w:space="0"/>
              <w:left w:val="single" w:color="000000" w:sz="4" w:space="0"/>
              <w:bottom w:val="single" w:color="000000" w:sz="4" w:space="0"/>
              <w:right w:val="single" w:color="000000" w:sz="4" w:space="0"/>
            </w:tcBorders>
            <w:noWrap w:val="0"/>
            <w:vAlign w:val="center"/>
          </w:tcPr>
          <w:p w14:paraId="6969F8C0">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公司管理10分</w:t>
            </w: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1320D82A">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2AE813B9">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未按招标文件及合同设置的保洁（普保、快保）人数，现地每缺一人次扣0.1分</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4E771C33">
            <w:pPr>
              <w:keepNext w:val="0"/>
              <w:keepLines w:val="0"/>
              <w:pageBreakBefore w:val="0"/>
              <w:kinsoku/>
              <w:wordWrap/>
              <w:overflowPunct/>
              <w:topLinePunct w:val="0"/>
              <w:autoSpaceDE/>
              <w:autoSpaceDN/>
              <w:bidi w:val="0"/>
              <w:adjustRightInd w:val="0"/>
              <w:snapToGrid/>
              <w:spacing w:line="240" w:lineRule="exact"/>
              <w:rPr>
                <w:rFonts w:hint="eastAsia" w:ascii="仿宋" w:hAnsi="仿宋" w:eastAsia="仿宋" w:cs="仿宋"/>
                <w:i w:val="0"/>
                <w:iCs w:val="0"/>
                <w:color w:val="auto"/>
                <w:sz w:val="20"/>
                <w:szCs w:val="20"/>
                <w:highlight w:val="none"/>
                <w:u w:val="none"/>
              </w:rPr>
            </w:pP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173A5284">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0D332F33">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一立案即扣分</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66E2642B">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restart"/>
            <w:tcBorders>
              <w:top w:val="single" w:color="000000" w:sz="4" w:space="0"/>
              <w:left w:val="single" w:color="000000" w:sz="4" w:space="0"/>
              <w:bottom w:val="single" w:color="000000" w:sz="4" w:space="0"/>
              <w:right w:val="single" w:color="000000" w:sz="4" w:space="0"/>
            </w:tcBorders>
            <w:noWrap w:val="0"/>
            <w:vAlign w:val="center"/>
          </w:tcPr>
          <w:p w14:paraId="5CF6D552">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2894439E">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4C36C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single" w:color="000000" w:sz="4" w:space="0"/>
              <w:right w:val="single" w:color="000000" w:sz="4" w:space="0"/>
            </w:tcBorders>
            <w:noWrap w:val="0"/>
            <w:vAlign w:val="center"/>
          </w:tcPr>
          <w:p w14:paraId="1C44B4F6">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7FA071C8">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039BEB81">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经理或管理员未按要求到岗履职；未按要求参加会议、检查等活动的，每缺一人次扣0.2分</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5AD0FCB8">
            <w:pPr>
              <w:keepNext w:val="0"/>
              <w:keepLines w:val="0"/>
              <w:pageBreakBefore w:val="0"/>
              <w:kinsoku/>
              <w:wordWrap/>
              <w:overflowPunct/>
              <w:topLinePunct w:val="0"/>
              <w:autoSpaceDE/>
              <w:autoSpaceDN/>
              <w:bidi w:val="0"/>
              <w:adjustRightInd w:val="0"/>
              <w:snapToGrid/>
              <w:spacing w:line="240" w:lineRule="exact"/>
              <w:rPr>
                <w:rFonts w:hint="eastAsia" w:ascii="仿宋" w:hAnsi="仿宋" w:eastAsia="仿宋" w:cs="仿宋"/>
                <w:i w:val="0"/>
                <w:iCs w:val="0"/>
                <w:color w:val="auto"/>
                <w:sz w:val="20"/>
                <w:szCs w:val="20"/>
                <w:highlight w:val="none"/>
                <w:u w:val="none"/>
              </w:rPr>
            </w:pP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76A4BBDC">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0.2分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24C03205">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一立案即扣分</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5689AD27">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5274862C">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14B2617F">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2547E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9" w:hRule="atLeast"/>
        </w:trPr>
        <w:tc>
          <w:tcPr>
            <w:tcW w:w="274" w:type="pct"/>
            <w:vMerge w:val="continue"/>
            <w:tcBorders>
              <w:top w:val="single" w:color="000000" w:sz="4" w:space="0"/>
              <w:left w:val="single" w:color="000000" w:sz="4" w:space="0"/>
              <w:bottom w:val="single" w:color="000000" w:sz="4" w:space="0"/>
              <w:right w:val="single" w:color="000000" w:sz="4" w:space="0"/>
            </w:tcBorders>
            <w:noWrap w:val="0"/>
            <w:vAlign w:val="center"/>
          </w:tcPr>
          <w:p w14:paraId="78FA56AA">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0984E453">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15F46637">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不遵守劳动纪律，责任保洁范围内不洁且立岗、坐岗、扎堆聊天的；擅自离开工作岗位、脱岗缺岗、迟到、早退、服务态度差，或交由非工作人员代为管理的</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69ACFC54">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立即整改</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4FE00D25">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0.1-0.2分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6B998D2A">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一立案即扣分，即刻整改</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08B76CB5">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676FA106">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3485D24C">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3896F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FA11C3">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62990770">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3CEC1899">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未按要求统一着装或着装不规范的</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3B31AD42">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立即整改</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7D64664F">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每人次0.05分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74E88DA3">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一立案即扣分，即刻整改</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598FE2A2">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7683A046">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29566689">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1E814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single" w:color="000000" w:sz="4" w:space="0"/>
              <w:right w:val="single" w:color="000000" w:sz="4" w:space="0"/>
            </w:tcBorders>
            <w:noWrap w:val="0"/>
            <w:vAlign w:val="center"/>
          </w:tcPr>
          <w:p w14:paraId="6CA3C6DE">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0AAA19F3">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56F4DD65">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遇重大活动，不配合作业的；未能配合其他部门开展整治活动的</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39E7B2BC">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立即整改</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1747698F">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0.5-1分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7940DB53">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一立案即扣分，即刻整改</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254EE639">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1D8CBD7E">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5002E4F4">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3F1E8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single" w:color="000000" w:sz="4" w:space="0"/>
              <w:right w:val="single" w:color="000000" w:sz="4" w:space="0"/>
            </w:tcBorders>
            <w:noWrap w:val="0"/>
            <w:vAlign w:val="center"/>
          </w:tcPr>
          <w:p w14:paraId="49B37037">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4D6EA4BA">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5E39BE86">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出现保洁人员焚烧垃圾、树叶等现象的</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05EC9C23">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立即整改</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73FB608A">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0.2分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27806297">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一立案即扣分，即刻整改</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4DDACD70">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3D9E142A">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4AC17B37">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2A820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274" w:type="pct"/>
            <w:vMerge w:val="continue"/>
            <w:tcBorders>
              <w:top w:val="single" w:color="000000" w:sz="4" w:space="0"/>
              <w:left w:val="single" w:color="000000" w:sz="4" w:space="0"/>
              <w:bottom w:val="single" w:color="000000" w:sz="4" w:space="0"/>
              <w:right w:val="single" w:color="000000" w:sz="4" w:space="0"/>
            </w:tcBorders>
            <w:noWrap w:val="0"/>
            <w:vAlign w:val="center"/>
          </w:tcPr>
          <w:p w14:paraId="563D25AF">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3D6626FE">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3E232859">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管理用房、停车场地不到位或不能满足需要的</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54B209FE">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7工作日</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126C120B">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0.5分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2BD85D06">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一立案即扣0.5分。立案后7个工作日内整改则结束扣分；超过7个工作日整改，每7个工作日扣05分，扣分累计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41B1636F">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6E0F1F99">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4C79AF10">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4F4C1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9" w:hRule="atLeast"/>
        </w:trPr>
        <w:tc>
          <w:tcPr>
            <w:tcW w:w="274"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ECE427">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4CFD5F34">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6E823761">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车辆GPS等智能监管设备未按要求安装或损坏后未在规定时间内修复，影响平台数据的</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0447300D">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2工作日</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1C535065">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609B4675">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一立案每一机车即扣0.1分。立案后2个工作日内整改则结束扣分；超过2个工作日整改，每2个工作日扣0.1分，扣分累计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79EA5730">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07D052A2">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37ABA715">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55C4B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2" w:hRule="atLeast"/>
        </w:trPr>
        <w:tc>
          <w:tcPr>
            <w:tcW w:w="274" w:type="pct"/>
            <w:vMerge w:val="continue"/>
            <w:tcBorders>
              <w:top w:val="single" w:color="000000" w:sz="4" w:space="0"/>
              <w:left w:val="single" w:color="000000" w:sz="4" w:space="0"/>
              <w:bottom w:val="single" w:color="000000" w:sz="4" w:space="0"/>
              <w:right w:val="single" w:color="000000" w:sz="4" w:space="0"/>
            </w:tcBorders>
            <w:noWrap w:val="0"/>
            <w:vAlign w:val="center"/>
          </w:tcPr>
          <w:p w14:paraId="038FA51F">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22E988FF">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61CCC3F7">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车辆（船舶）无标志标识或标志标识不清楚、不准确的</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7A57EDE4">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7工作日</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1163DA73">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0.2分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77A10E40">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一立案即扣0.2分。立案后7个工作日内整改则结束扣分；超过7个工作日整改，加倍扣，扣分累计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451094B2">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4FC09EB2">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54865B47">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12561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single" w:color="000000" w:sz="4" w:space="0"/>
              <w:right w:val="single" w:color="000000" w:sz="4" w:space="0"/>
            </w:tcBorders>
            <w:noWrap w:val="0"/>
            <w:vAlign w:val="center"/>
          </w:tcPr>
          <w:p w14:paraId="15599BD5">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7C985D4B">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51514861">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无故未按保有作业车辆在位的</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2F540FDF">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2工作日</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3703CEAE">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0.5分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61EDEF85">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一立案每缺1辆扣0.5分，即刻整改，立案后2个工作日内整改则结束扣分；超过2个工作日整改，加倍扣，扣分累计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3AD7EE0A">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7627C806">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014A2908">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682E2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restart"/>
            <w:tcBorders>
              <w:top w:val="single" w:color="000000" w:sz="4" w:space="0"/>
              <w:left w:val="single" w:color="000000" w:sz="4" w:space="0"/>
              <w:bottom w:val="nil"/>
              <w:right w:val="single" w:color="000000" w:sz="4" w:space="0"/>
            </w:tcBorders>
            <w:noWrap w:val="0"/>
            <w:vAlign w:val="center"/>
          </w:tcPr>
          <w:p w14:paraId="7EB2018E">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道路清扫保洁80分</w:t>
            </w: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62EEBCA5">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733BF122">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未在招标文件及合同规定时间内落实普扫（特殊情况除外，如落叶季节等）</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33DACE47">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1小时</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22372719">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0.5分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27A645DE">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一立案即扣0.5分。立案后超过1小时整改，每1小时加扣0.2分，扣分累计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30A04289">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restart"/>
            <w:tcBorders>
              <w:top w:val="single" w:color="000000" w:sz="4" w:space="0"/>
              <w:left w:val="single" w:color="000000" w:sz="4" w:space="0"/>
              <w:bottom w:val="single" w:color="000000" w:sz="4" w:space="0"/>
              <w:right w:val="single" w:color="000000" w:sz="4" w:space="0"/>
            </w:tcBorders>
            <w:noWrap w:val="0"/>
            <w:vAlign w:val="center"/>
          </w:tcPr>
          <w:p w14:paraId="3E2F37A8">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7C86394A">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2422B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4D8C49B9">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5A07D328">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461A0D65">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道路、绿化带（墙到墙）上有零星垃圾</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518C86D8">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30分钟</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643AC985">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34BCCA65">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30分钟内整改不扣分；超过30分钟整改，每30分钟扣0.1分，扣分累计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1980B6E4">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550DE098">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11EFC66E">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34059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70D75DBB">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vMerge w:val="restart"/>
            <w:tcBorders>
              <w:top w:val="single" w:color="000000" w:sz="4" w:space="0"/>
              <w:left w:val="single" w:color="000000" w:sz="4" w:space="0"/>
              <w:bottom w:val="single" w:color="000000" w:sz="4" w:space="0"/>
              <w:right w:val="single" w:color="000000" w:sz="4" w:space="0"/>
            </w:tcBorders>
            <w:noWrap w:val="0"/>
            <w:vAlign w:val="center"/>
          </w:tcPr>
          <w:p w14:paraId="6F537494">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490AF0A9">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道路、绿化带（墙到墙）上有成堆、成片的生活、建筑、渣土、工业、大件垃圾等，面积＜5㎡</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44BE2CA5">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3小时</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733075C6">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0.1-0.3分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6D54E03D">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一立案即扣0.1分，超过3小时整改，每3小时扣0.3分，扣分累计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0EE18052">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3132FB03">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56495780">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4DC98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6EECDCD7">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21915B">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64A12666">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道路、绿化带（墙到墙）上有大堆建筑、渣土、工业、大件垃圾等，面积≥5㎡</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476A54BE">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6小时</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7944B9C1">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0.1-0.5分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74B23114">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一立案即扣0.1分，超过6小时整改，每6小时扣0.5分，扣分累计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661F0FA5">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7DF2109E">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284E6C0F">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3D9E5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74987D17">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0F3E2DBD">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6BDD4448">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人行道、机、非车道沙石、积泥、积水（晴天）长度＜2米</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16713EFD">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30分钟</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3787BDED">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176252AC">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一立案即扣0.1分，超过30分钟后整改，每30分钟扣0.1分，扣分累计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1849232C">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4B2FB5">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38380B6D">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7CAE2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43601F6F">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55AFA000">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2A783501">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人行道、机、非车道沙石、积泥、积水（晴天）长度≥2米</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009DB597">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1小时</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380D6EFE">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0.2分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029B60AF">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一立案即扣0.2分，超过1小时后整改，每1小时扣0.2分，扣分累计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521A91C2">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4EF5C354">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7257DB1A">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475EA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75D2CD70">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vMerge w:val="restart"/>
            <w:tcBorders>
              <w:top w:val="single" w:color="000000" w:sz="4" w:space="0"/>
              <w:left w:val="single" w:color="000000" w:sz="4" w:space="0"/>
              <w:bottom w:val="single" w:color="000000" w:sz="4" w:space="0"/>
              <w:right w:val="single" w:color="000000" w:sz="4" w:space="0"/>
            </w:tcBorders>
            <w:noWrap w:val="0"/>
            <w:vAlign w:val="center"/>
          </w:tcPr>
          <w:p w14:paraId="5CDF9BC6">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737A647A">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冬季（晴天）路面积水导致路面结冰（因市政排水设施堵塞、下雨、霜造成的除外）</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27158515">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1小时</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4416A90C">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53267BB4">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立案后1小时内整改则不扣分；超过1小时整改，每1小时扣0.1分，扣分累计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5387DAAF">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48D22260">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7536772A">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7CC29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5C4DA3FC">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0780D3FA">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18156B5F">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道路（墙到墙）上有明显污水、污迹</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24CAD157">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30分钟</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2DA8DD29">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0.1-0.2分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512E8233">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一立案即扣0.1分，超过30分钟整改，每30分钟扣0.2分，扣分累计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2214B86B">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29DD694D">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7E96BE39">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00572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2"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1799CAA3">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1B1E31AA">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5B951016">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清扫的垃圾归拢归堆后未处理（特殊情况除外，如落叶季节）</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198F7131">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30分钟</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01A9671B">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18FDCA86">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立案后30分钟内整改则结束扣分；超过30分钟整改，每30分钟扣0.1分，扣分累计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7CE26B44">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1794A0D3">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554764E4">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0CD45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5B1D999D">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790A5F20">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76DA8314">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保洁员将垃圾扫入、倒入窨井、河道、绿化带等</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1D916B3A">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立即整改</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76AC606C">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0.2分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3E4DD1D1">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一立案即扣0.2分，即刻整改</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3B3102A2">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23A9D1E5">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45ACBA84">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268AF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2981E7DD">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vMerge w:val="restart"/>
            <w:tcBorders>
              <w:top w:val="single" w:color="000000" w:sz="4" w:space="0"/>
              <w:left w:val="single" w:color="000000" w:sz="4" w:space="0"/>
              <w:bottom w:val="single" w:color="000000" w:sz="4" w:space="0"/>
              <w:right w:val="single" w:color="000000" w:sz="4" w:space="0"/>
            </w:tcBorders>
            <w:noWrap w:val="0"/>
            <w:vAlign w:val="center"/>
          </w:tcPr>
          <w:p w14:paraId="6FE1CE0D">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56439C66">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人行道、树圈有杂草，高度＜10㎝、面积＜1㎡或10米内不多于5处</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11B9C1B5">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30分钟</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17C58137">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0AE2D9E4">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30分钟内整改不扣分；超过30分钟整改，每30分钟扣0.1分，扣分累计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162F0807">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700EBF60">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4AC5B42F">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3AB31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2"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4BEA8BEE">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04E51D5E">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02A015B9">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人行道、树圈有杂草，高度≥10㎝、面积≥1㎡或10米内5处以上</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4A81615F">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1小时</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2628515D">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6F166854">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一立案即扣0.1分。立案后1小时内整改则结束扣分；超过1小时整改，每1小时扣0.1分，扣分累计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35010ABF">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721A2CA2">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1761797F">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4C40C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52938630">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2FB295BF">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4D4F27B8">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公交站亭表面有积灰、污迹</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6F456282">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1小时</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1B313A3E">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1CA1B388">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立案后1小时内整改则结束扣分；超过1小时整改，每1小时扣0.1分，扣分累计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66849688">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4C1369A3">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233020F8">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699B3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6F2D4873">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7178B008">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5DF4CA40">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交通隔离栏（墩）表面积灰，长度≥3米</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63B979DD">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1小时</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6A0552B7">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0FC72A7C">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立案后1小时内整改则结束扣分；超过1小时整改，每1小时扣0.1分，扣分累计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0C5A9BE1">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5F08BCA9">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69A1AB64">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21AE3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0673A7CC">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25D6491A">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7C6DE6AE">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公共自行车停放点有积灰、污迹</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208B0913">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1小时</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7DCB3AD8">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745BF5A9">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立案后1小时内整改则结束扣分；超过1小时整改，每1小时扣0.1分，扣分累计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6EA7DB9F">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6D9B3217">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39BB194D">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2B962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1D63C0D6">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5CE97780">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50956314">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果壳箱表面有积灰、污迹、满溢、周围有暴露垃圾、污水、污迹</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29882D10">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30分钟</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68EC7807">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10CDC27E">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一立案即扣0.1分。立案后30分钟内整改则结束扣分；超过30分钟整改，每30分钟扣0.1分，扣分累计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6318A776">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0CF6B55F">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1D65FDBA">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12CF8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9"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6263D3AA">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3F7CB0F8">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4A69ECB4">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路灯杆、公交站亭、交通信号杆、建筑物等立面有零星非法张贴小广告、乱涂乱写（自身建筑物上张贴招工、转让等广告；雨天淋雨处涂料无法附着除外）</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7238BBB9">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1小时</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7D5DB0B9">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5EBF70E1">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一立案即扣0.1分。超过1小时整改，每1小时扣0.1分，扣分累计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251A56AE">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36F70380">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6D99C3E0">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1F6F2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2"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19D8F75D">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58E36F3B">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2B4CD9EF">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责任路段内机械化作业车辆漏扫漏冲，未覆盖全路段</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682D5720">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1小时</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39B3CD28">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0.2分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224A43BD">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一立案即扣0.2分。立案后1小时内整改则结束扣分；超过1小时整改，每1小时扣0.2分，扣分累计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4BC45B86">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5CDFD456">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541CC04A">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36A9E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15E5221B">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3EAE4138">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6A7621E1">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车辆作业频次和保洁效果均未达到要求（洒水、雾炮作业：冰冻、雨天等特殊情况除外）</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779A2E43">
            <w:pPr>
              <w:keepNext w:val="0"/>
              <w:keepLines w:val="0"/>
              <w:pageBreakBefore w:val="0"/>
              <w:kinsoku/>
              <w:wordWrap/>
              <w:overflowPunct/>
              <w:topLinePunct w:val="0"/>
              <w:autoSpaceDE/>
              <w:autoSpaceDN/>
              <w:bidi w:val="0"/>
              <w:adjustRightInd w:val="0"/>
              <w:snapToGrid/>
              <w:spacing w:line="240" w:lineRule="exact"/>
              <w:rPr>
                <w:rFonts w:hint="eastAsia" w:ascii="仿宋" w:hAnsi="仿宋" w:eastAsia="仿宋" w:cs="仿宋"/>
                <w:i w:val="0"/>
                <w:iCs w:val="0"/>
                <w:color w:val="auto"/>
                <w:sz w:val="20"/>
                <w:szCs w:val="20"/>
                <w:highlight w:val="none"/>
                <w:u w:val="none"/>
              </w:rPr>
            </w:pP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2764D0A5">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0.2分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290926E8">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根据GPS轨迹，按每车次0.2分进行相应扣分</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58CDD87A">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5EE5A0">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3EB018FA">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72F61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7A61127A">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6CD4ACF1">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022284BC">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未按规定的周期清洗道路或部分清洗（冰冻、雨天等特殊情况除外）</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05521672">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1工作日</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118999FE">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0.5-2分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2AE7C461">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一立案即扣0.5分。立案后超过1个工作日整改，每1个工作日扣2分，扣分累计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2FC77C61">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4D025255">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613EDE29">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7887D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4DBACE5C">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58C853A9">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14D590D9">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公卫（城管驿站）未在规定时间内（包括用水用电）开放</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6EA7AE8E">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30分钟</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349E6C9A">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67E22306">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一立案即扣0.1分。立案后30分钟内整改则结束扣分，超过30分钟整改，每30分钟扣0.1分，扣分累计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7E8D1201">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0AD09819">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6DE40FD2">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3FECB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73D856F8">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2806A398">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20FDA488">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公卫指示牌、设施存在设置不规范、缺失、破损等情况，周围地面有零星垃圾杂物、墙面有小广告、污迹、化粪池、倒粪处粪水满溢、污迹等</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23B213EB">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1工作日</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1F07895D">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072CC320">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1个工作日内整改不扣分；超过1个工作日整改，每1个工作日扣0.1分，扣分累计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709086C7">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2BC5C6ED">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1009FFB7">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11012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7" w:hRule="atLeast"/>
        </w:trPr>
        <w:tc>
          <w:tcPr>
            <w:tcW w:w="274" w:type="pct"/>
            <w:vMerge w:val="continue"/>
            <w:tcBorders>
              <w:top w:val="single" w:color="000000" w:sz="4" w:space="0"/>
              <w:left w:val="single" w:color="000000" w:sz="4" w:space="0"/>
              <w:bottom w:val="nil"/>
              <w:right w:val="single" w:color="000000" w:sz="4" w:space="0"/>
            </w:tcBorders>
            <w:noWrap w:val="0"/>
            <w:vAlign w:val="center"/>
          </w:tcPr>
          <w:p w14:paraId="75C6F429">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2C8E5FC1">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04A7C837">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公卫内四壁、天花板、地面、门窗、隔板、台盆、镜面等处有积灰、积水、湿滑、污迹、蛛网、废纸、烟头、张贴涂写小广告、蚊蝇、老鼠等现象，大小便器（槽）有水锈、尿垢、污垢、积粪、粪迹等</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0522AD92">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1小时</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3844787E">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0.1分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15D8276E">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一立案即扣0.1分，立案后超过1小时整改，每1小时扣0.1分，扣分累计</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37EB7E77">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18EB2C03">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6FD51851">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01AC7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274" w:type="pct"/>
            <w:vMerge w:val="restart"/>
            <w:tcBorders>
              <w:top w:val="single" w:color="000000" w:sz="4" w:space="0"/>
              <w:left w:val="single" w:color="000000" w:sz="4" w:space="0"/>
              <w:right w:val="single" w:color="000000" w:sz="4" w:space="0"/>
            </w:tcBorders>
            <w:noWrap w:val="0"/>
            <w:vAlign w:val="center"/>
          </w:tcPr>
          <w:p w14:paraId="457FB9D5">
            <w:pPr>
              <w:keepNext w:val="0"/>
              <w:keepLines w:val="0"/>
              <w:pageBreakBefore w:val="0"/>
              <w:widowControl/>
              <w:suppressLineNumbers w:val="0"/>
              <w:kinsoku/>
              <w:wordWrap/>
              <w:overflowPunct/>
              <w:topLinePunct w:val="0"/>
              <w:autoSpaceDE/>
              <w:autoSpaceDN/>
              <w:bidi w:val="0"/>
              <w:adjustRightInd w:val="0"/>
              <w:snapToGrid/>
              <w:spacing w:line="240" w:lineRule="exact"/>
              <w:jc w:val="both"/>
              <w:textAlignment w:val="center"/>
              <w:rPr>
                <w:rFonts w:ascii="Arial" w:hAnsi="Arial" w:eastAsia="宋体" w:cs="Arial"/>
                <w:i w:val="0"/>
                <w:iCs w:val="0"/>
                <w:color w:val="auto"/>
                <w:sz w:val="20"/>
                <w:szCs w:val="20"/>
                <w:highlight w:val="none"/>
                <w:u w:val="none"/>
              </w:rPr>
            </w:pPr>
            <w:r>
              <w:rPr>
                <w:rFonts w:hint="eastAsia" w:ascii="仿宋" w:hAnsi="仿宋" w:eastAsia="仿宋" w:cs="仿宋"/>
                <w:i w:val="0"/>
                <w:iCs w:val="0"/>
                <w:snapToGrid w:val="0"/>
                <w:color w:val="auto"/>
                <w:kern w:val="0"/>
                <w:sz w:val="20"/>
                <w:szCs w:val="20"/>
                <w:highlight w:val="none"/>
                <w:u w:val="none"/>
                <w:lang w:val="en-US" w:eastAsia="zh-CN" w:bidi="ar"/>
              </w:rPr>
              <w:t>各类督办</w:t>
            </w:r>
            <w:r>
              <w:rPr>
                <w:rFonts w:hint="default" w:ascii="Arial" w:hAnsi="Arial" w:eastAsia="宋体" w:cs="Arial"/>
                <w:i w:val="0"/>
                <w:iCs w:val="0"/>
                <w:snapToGrid w:val="0"/>
                <w:color w:val="auto"/>
                <w:kern w:val="0"/>
                <w:sz w:val="20"/>
                <w:szCs w:val="20"/>
                <w:highlight w:val="none"/>
                <w:u w:val="none"/>
                <w:lang w:val="en-US" w:eastAsia="zh-CN" w:bidi="ar"/>
              </w:rPr>
              <w:t>10</w:t>
            </w:r>
            <w:r>
              <w:rPr>
                <w:rFonts w:hint="eastAsia" w:ascii="宋体" w:hAnsi="宋体" w:eastAsia="宋体" w:cs="宋体"/>
                <w:i w:val="0"/>
                <w:iCs w:val="0"/>
                <w:snapToGrid w:val="0"/>
                <w:color w:val="auto"/>
                <w:kern w:val="0"/>
                <w:sz w:val="20"/>
                <w:szCs w:val="20"/>
                <w:highlight w:val="none"/>
                <w:u w:val="none"/>
                <w:lang w:val="en-US" w:eastAsia="zh-CN" w:bidi="ar"/>
              </w:rPr>
              <w:t>分</w:t>
            </w: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7D0AC5F2">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64DDDEA4">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收到来人、来电、市长热线等信访投诉并确认有责的，区级的限扣5分内；市级及以上的限扣10分内。</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660B1D4F">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根据实际情况决定</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39DA8047">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上限10分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006C7C60">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一立案即按日常相应扣分内容项分数双倍扣分。立案后在规定时间内整改则结束扣分；超过规定时间整改按双倍累计扣分</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29B642A8">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restart"/>
            <w:tcBorders>
              <w:top w:val="single" w:color="000000" w:sz="4" w:space="0"/>
              <w:left w:val="single" w:color="000000" w:sz="4" w:space="0"/>
              <w:bottom w:val="single" w:color="000000" w:sz="4" w:space="0"/>
              <w:right w:val="single" w:color="000000" w:sz="4" w:space="0"/>
            </w:tcBorders>
            <w:noWrap w:val="0"/>
            <w:vAlign w:val="center"/>
          </w:tcPr>
          <w:p w14:paraId="3C7D7E9C">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598FEC5B">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3B4A1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7" w:hRule="atLeast"/>
        </w:trPr>
        <w:tc>
          <w:tcPr>
            <w:tcW w:w="274" w:type="pct"/>
            <w:vMerge w:val="continue"/>
            <w:tcBorders>
              <w:left w:val="single" w:color="000000" w:sz="4" w:space="0"/>
              <w:right w:val="single" w:color="000000" w:sz="4" w:space="0"/>
            </w:tcBorders>
            <w:noWrap w:val="0"/>
            <w:vAlign w:val="center"/>
          </w:tcPr>
          <w:p w14:paraId="64C2189F">
            <w:pPr>
              <w:keepNext w:val="0"/>
              <w:keepLines w:val="0"/>
              <w:pageBreakBefore w:val="0"/>
              <w:kinsoku/>
              <w:wordWrap/>
              <w:overflowPunct/>
              <w:topLinePunct w:val="0"/>
              <w:autoSpaceDE/>
              <w:autoSpaceDN/>
              <w:bidi w:val="0"/>
              <w:adjustRightInd w:val="0"/>
              <w:snapToGrid/>
              <w:spacing w:line="240" w:lineRule="exact"/>
              <w:jc w:val="center"/>
              <w:rPr>
                <w:rFonts w:hint="default" w:ascii="Arial" w:hAnsi="Arial" w:eastAsia="宋体" w:cs="Arial"/>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4E0F8ACE">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31638A3A">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遭新闻媒体爆光后查实有责的，区级的扣5分；市级及以上的扣10分。</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1B45F995">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根据实际情况决定</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3139DD22">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上限10分</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0C8CECE0">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一立案即按日常相应扣分内容项分数3倍扣分。立案后在规定时间内整改则结束扣分；超过规定时间整改按3倍累计扣分</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3EEF1F4E">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4FA33F0B">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64958855">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30556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7" w:hRule="atLeast"/>
        </w:trPr>
        <w:tc>
          <w:tcPr>
            <w:tcW w:w="274" w:type="pct"/>
            <w:vMerge w:val="continue"/>
            <w:tcBorders>
              <w:left w:val="single" w:color="000000" w:sz="4" w:space="0"/>
              <w:right w:val="single" w:color="000000" w:sz="4" w:space="0"/>
            </w:tcBorders>
            <w:noWrap w:val="0"/>
            <w:vAlign w:val="center"/>
          </w:tcPr>
          <w:p w14:paraId="011BCC4F">
            <w:pPr>
              <w:keepNext w:val="0"/>
              <w:keepLines w:val="0"/>
              <w:pageBreakBefore w:val="0"/>
              <w:kinsoku/>
              <w:wordWrap/>
              <w:overflowPunct/>
              <w:topLinePunct w:val="0"/>
              <w:autoSpaceDE/>
              <w:autoSpaceDN/>
              <w:bidi w:val="0"/>
              <w:adjustRightInd w:val="0"/>
              <w:snapToGrid/>
              <w:spacing w:line="240" w:lineRule="exact"/>
              <w:jc w:val="center"/>
              <w:rPr>
                <w:rFonts w:hint="default" w:ascii="Arial" w:hAnsi="Arial" w:eastAsia="宋体" w:cs="Arial"/>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6DF35333">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54C41BA7">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存在重大失责行为或社会影响极坏</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46EA1821">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根据实际情况决定</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38532AB6">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不封顶</w:t>
            </w:r>
          </w:p>
        </w:tc>
        <w:tc>
          <w:tcPr>
            <w:tcW w:w="1192" w:type="pct"/>
            <w:tcBorders>
              <w:top w:val="single" w:color="000000" w:sz="4" w:space="0"/>
              <w:left w:val="single" w:color="000000" w:sz="4" w:space="0"/>
              <w:bottom w:val="single" w:color="000000" w:sz="4" w:space="0"/>
              <w:right w:val="single" w:color="000000" w:sz="4" w:space="0"/>
            </w:tcBorders>
            <w:noWrap w:val="0"/>
            <w:vAlign w:val="center"/>
          </w:tcPr>
          <w:p w14:paraId="3E26C92A">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一立案即按日常相应扣分内容项分数4倍扣分。立案后在规定时间内整改则结束扣分；超过规定时间整改按4倍累计扣分</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02D3D5D1">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70FA5D57">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6573C2D4">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65196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5" w:hRule="atLeast"/>
        </w:trPr>
        <w:tc>
          <w:tcPr>
            <w:tcW w:w="274" w:type="pct"/>
            <w:vMerge w:val="continue"/>
            <w:tcBorders>
              <w:left w:val="single" w:color="000000" w:sz="4" w:space="0"/>
              <w:bottom w:val="single" w:color="000000" w:sz="4" w:space="0"/>
              <w:right w:val="single" w:color="000000" w:sz="4" w:space="0"/>
            </w:tcBorders>
            <w:noWrap w:val="0"/>
            <w:vAlign w:val="center"/>
          </w:tcPr>
          <w:p w14:paraId="466BFAF5">
            <w:pPr>
              <w:keepNext w:val="0"/>
              <w:keepLines w:val="0"/>
              <w:pageBreakBefore w:val="0"/>
              <w:kinsoku/>
              <w:wordWrap/>
              <w:overflowPunct/>
              <w:topLinePunct w:val="0"/>
              <w:autoSpaceDE/>
              <w:autoSpaceDN/>
              <w:bidi w:val="0"/>
              <w:adjustRightInd w:val="0"/>
              <w:snapToGrid/>
              <w:spacing w:line="240" w:lineRule="exact"/>
              <w:jc w:val="center"/>
              <w:rPr>
                <w:rFonts w:hint="default" w:ascii="Arial" w:hAnsi="Arial" w:eastAsia="宋体" w:cs="Arial"/>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513C6709">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4</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4DC16DAC">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olor w:val="auto"/>
                <w:szCs w:val="21"/>
                <w:highlight w:val="none"/>
                <w:lang w:eastAsia="zh-CN"/>
              </w:rPr>
              <w:t>重点道路（区域）扬尘精准精细综合防治方案实施情况</w:t>
            </w:r>
          </w:p>
        </w:tc>
        <w:tc>
          <w:tcPr>
            <w:tcW w:w="1994" w:type="pct"/>
            <w:gridSpan w:val="3"/>
            <w:tcBorders>
              <w:top w:val="single" w:color="000000" w:sz="4" w:space="0"/>
              <w:left w:val="single" w:color="000000" w:sz="4" w:space="0"/>
              <w:bottom w:val="single" w:color="000000" w:sz="4" w:space="0"/>
              <w:right w:val="single" w:color="000000" w:sz="4" w:space="0"/>
            </w:tcBorders>
            <w:noWrap w:val="0"/>
            <w:vAlign w:val="center"/>
          </w:tcPr>
          <w:p w14:paraId="747CDA27">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未按中标方案落实防治措施的，每次扣5分，最高不超过20分</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2A95720E">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tcBorders>
              <w:top w:val="single" w:color="000000" w:sz="4" w:space="0"/>
              <w:left w:val="single" w:color="000000" w:sz="4" w:space="0"/>
              <w:bottom w:val="single" w:color="000000" w:sz="4" w:space="0"/>
              <w:right w:val="single" w:color="000000" w:sz="4" w:space="0"/>
            </w:tcBorders>
            <w:noWrap w:val="0"/>
            <w:vAlign w:val="center"/>
          </w:tcPr>
          <w:p w14:paraId="1502A4C3">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7EBD26E5">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0D1B4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274" w:type="pct"/>
            <w:vMerge w:val="restart"/>
            <w:tcBorders>
              <w:top w:val="single" w:color="000000" w:sz="4" w:space="0"/>
              <w:left w:val="single" w:color="000000" w:sz="4" w:space="0"/>
              <w:right w:val="single" w:color="000000" w:sz="4" w:space="0"/>
            </w:tcBorders>
            <w:noWrap w:val="0"/>
            <w:vAlign w:val="center"/>
          </w:tcPr>
          <w:p w14:paraId="7D3FC4C7">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附加分</w:t>
            </w: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79E138E5">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16EE0726">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受到上级领导或新闻媒体表扬</w:t>
            </w:r>
          </w:p>
        </w:tc>
        <w:tc>
          <w:tcPr>
            <w:tcW w:w="1994" w:type="pct"/>
            <w:gridSpan w:val="3"/>
            <w:tcBorders>
              <w:top w:val="single" w:color="000000" w:sz="4" w:space="0"/>
              <w:left w:val="single" w:color="000000" w:sz="4" w:space="0"/>
              <w:bottom w:val="single" w:color="000000" w:sz="4" w:space="0"/>
              <w:right w:val="single" w:color="000000" w:sz="4" w:space="0"/>
            </w:tcBorders>
            <w:noWrap w:val="0"/>
            <w:vAlign w:val="center"/>
          </w:tcPr>
          <w:p w14:paraId="2A430E0F">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附加+0.3—2分</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4DA7B2DD">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restart"/>
            <w:tcBorders>
              <w:top w:val="single" w:color="000000" w:sz="4" w:space="0"/>
              <w:left w:val="single" w:color="000000" w:sz="4" w:space="0"/>
              <w:bottom w:val="single" w:color="000000" w:sz="4" w:space="0"/>
              <w:right w:val="single" w:color="000000" w:sz="4" w:space="0"/>
            </w:tcBorders>
            <w:noWrap w:val="0"/>
            <w:vAlign w:val="center"/>
          </w:tcPr>
          <w:p w14:paraId="4C0E2883">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42144650">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5E4EE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274" w:type="pct"/>
            <w:vMerge w:val="continue"/>
            <w:tcBorders>
              <w:left w:val="single" w:color="000000" w:sz="4" w:space="0"/>
              <w:right w:val="single" w:color="000000" w:sz="4" w:space="0"/>
            </w:tcBorders>
            <w:noWrap w:val="0"/>
            <w:vAlign w:val="center"/>
          </w:tcPr>
          <w:p w14:paraId="4CC2CB63">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3D2ADFE0">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61E6F714">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在服务区范围内配合重大任务完成出色的</w:t>
            </w:r>
          </w:p>
        </w:tc>
        <w:tc>
          <w:tcPr>
            <w:tcW w:w="1994" w:type="pct"/>
            <w:gridSpan w:val="3"/>
            <w:tcBorders>
              <w:top w:val="single" w:color="000000" w:sz="4" w:space="0"/>
              <w:left w:val="single" w:color="000000" w:sz="4" w:space="0"/>
              <w:bottom w:val="single" w:color="000000" w:sz="4" w:space="0"/>
              <w:right w:val="single" w:color="000000" w:sz="4" w:space="0"/>
            </w:tcBorders>
            <w:noWrap w:val="0"/>
            <w:vAlign w:val="center"/>
          </w:tcPr>
          <w:p w14:paraId="2FD42B54">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附加+0.3—1分</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5FE527C2">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2032DED8">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75D0C408">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3A3D5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274" w:type="pct"/>
            <w:vMerge w:val="continue"/>
            <w:tcBorders>
              <w:left w:val="single" w:color="000000" w:sz="4" w:space="0"/>
              <w:right w:val="single" w:color="000000" w:sz="4" w:space="0"/>
            </w:tcBorders>
            <w:noWrap w:val="0"/>
            <w:vAlign w:val="center"/>
          </w:tcPr>
          <w:p w14:paraId="416F430C">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50" w:type="pct"/>
            <w:tcBorders>
              <w:top w:val="single" w:color="000000" w:sz="4" w:space="0"/>
              <w:left w:val="single" w:color="000000" w:sz="4" w:space="0"/>
              <w:bottom w:val="single" w:color="000000" w:sz="4" w:space="0"/>
              <w:right w:val="single" w:color="000000" w:sz="4" w:space="0"/>
            </w:tcBorders>
            <w:noWrap w:val="0"/>
            <w:vAlign w:val="center"/>
          </w:tcPr>
          <w:p w14:paraId="34141FF5">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1362" w:type="pct"/>
            <w:tcBorders>
              <w:top w:val="single" w:color="000000" w:sz="4" w:space="0"/>
              <w:left w:val="single" w:color="000000" w:sz="4" w:space="0"/>
              <w:bottom w:val="single" w:color="000000" w:sz="4" w:space="0"/>
              <w:right w:val="single" w:color="000000" w:sz="4" w:space="0"/>
            </w:tcBorders>
            <w:noWrap w:val="0"/>
            <w:vAlign w:val="center"/>
          </w:tcPr>
          <w:p w14:paraId="11644A19">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在服务区范围外配合重大任务完成出色的</w:t>
            </w:r>
          </w:p>
        </w:tc>
        <w:tc>
          <w:tcPr>
            <w:tcW w:w="1994" w:type="pct"/>
            <w:gridSpan w:val="3"/>
            <w:tcBorders>
              <w:top w:val="single" w:color="000000" w:sz="4" w:space="0"/>
              <w:left w:val="single" w:color="000000" w:sz="4" w:space="0"/>
              <w:bottom w:val="single" w:color="000000" w:sz="4" w:space="0"/>
              <w:right w:val="single" w:color="000000" w:sz="4" w:space="0"/>
            </w:tcBorders>
            <w:noWrap w:val="0"/>
            <w:vAlign w:val="center"/>
          </w:tcPr>
          <w:p w14:paraId="48D84EC6">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视服务工程量相应加分</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1B45CE09">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444" w:type="pct"/>
            <w:vMerge w:val="continue"/>
            <w:tcBorders>
              <w:top w:val="single" w:color="000000" w:sz="4" w:space="0"/>
              <w:left w:val="single" w:color="000000" w:sz="4" w:space="0"/>
              <w:bottom w:val="single" w:color="000000" w:sz="4" w:space="0"/>
              <w:right w:val="single" w:color="000000" w:sz="4" w:space="0"/>
            </w:tcBorders>
            <w:noWrap w:val="0"/>
            <w:vAlign w:val="center"/>
          </w:tcPr>
          <w:p w14:paraId="313EBF55">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1BBD9C9B">
            <w:pPr>
              <w:keepNext w:val="0"/>
              <w:keepLines w:val="0"/>
              <w:pageBreakBefore w:val="0"/>
              <w:kinsoku/>
              <w:wordWrap/>
              <w:overflowPunct/>
              <w:topLinePunct w:val="0"/>
              <w:autoSpaceDE/>
              <w:autoSpaceDN/>
              <w:bidi w:val="0"/>
              <w:adjustRightInd w:val="0"/>
              <w:snapToGrid/>
              <w:spacing w:line="240" w:lineRule="exact"/>
              <w:jc w:val="center"/>
              <w:rPr>
                <w:rFonts w:hint="eastAsia" w:ascii="仿宋" w:hAnsi="仿宋" w:eastAsia="仿宋" w:cs="仿宋"/>
                <w:i w:val="0"/>
                <w:iCs w:val="0"/>
                <w:color w:val="auto"/>
                <w:sz w:val="20"/>
                <w:szCs w:val="20"/>
                <w:highlight w:val="none"/>
                <w:u w:val="none"/>
              </w:rPr>
            </w:pPr>
          </w:p>
        </w:tc>
      </w:tr>
      <w:tr w14:paraId="1224B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4292" w:type="pct"/>
            <w:gridSpan w:val="7"/>
            <w:tcBorders>
              <w:top w:val="single" w:color="000000" w:sz="4" w:space="0"/>
              <w:left w:val="single" w:color="000000" w:sz="4" w:space="0"/>
              <w:bottom w:val="single" w:color="000000" w:sz="4" w:space="0"/>
              <w:right w:val="single" w:color="000000" w:sz="4" w:space="0"/>
            </w:tcBorders>
            <w:noWrap w:val="0"/>
            <w:vAlign w:val="center"/>
          </w:tcPr>
          <w:p w14:paraId="6D9201E7">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宋体" w:hAnsi="宋体" w:eastAsia="宋体" w:cs="宋体"/>
                <w:i w:val="0"/>
                <w:iCs w:val="0"/>
                <w:color w:val="auto"/>
                <w:sz w:val="22"/>
                <w:szCs w:val="22"/>
                <w:highlight w:val="none"/>
                <w:u w:val="none"/>
              </w:rPr>
            </w:pPr>
            <w:r>
              <w:rPr>
                <w:rFonts w:hint="eastAsia" w:ascii="仿宋" w:hAnsi="仿宋" w:eastAsia="仿宋" w:cs="仿宋"/>
                <w:i w:val="0"/>
                <w:iCs w:val="0"/>
                <w:color w:val="auto"/>
                <w:kern w:val="0"/>
                <w:sz w:val="20"/>
                <w:szCs w:val="20"/>
                <w:highlight w:val="none"/>
                <w:u w:val="none"/>
                <w:lang w:val="en-US" w:eastAsia="zh-CN" w:bidi="ar"/>
              </w:rPr>
              <w:t>综合得分</w:t>
            </w:r>
          </w:p>
        </w:tc>
        <w:tc>
          <w:tcPr>
            <w:tcW w:w="444" w:type="pct"/>
            <w:tcBorders>
              <w:top w:val="single" w:color="000000" w:sz="4" w:space="0"/>
              <w:left w:val="single" w:color="000000" w:sz="4" w:space="0"/>
              <w:bottom w:val="single" w:color="000000" w:sz="4" w:space="0"/>
              <w:right w:val="single" w:color="000000" w:sz="4" w:space="0"/>
            </w:tcBorders>
            <w:noWrap w:val="0"/>
            <w:vAlign w:val="top"/>
          </w:tcPr>
          <w:p w14:paraId="36669000">
            <w:pPr>
              <w:keepNext w:val="0"/>
              <w:keepLines w:val="0"/>
              <w:pageBreakBefore w:val="0"/>
              <w:kinsoku/>
              <w:wordWrap/>
              <w:overflowPunct/>
              <w:topLinePunct w:val="0"/>
              <w:autoSpaceDE/>
              <w:autoSpaceDN/>
              <w:bidi w:val="0"/>
              <w:adjustRightInd w:val="0"/>
              <w:snapToGrid/>
              <w:spacing w:line="240" w:lineRule="exact"/>
              <w:jc w:val="left"/>
              <w:rPr>
                <w:rFonts w:hint="eastAsia" w:ascii="宋体" w:hAnsi="宋体" w:eastAsia="宋体" w:cs="宋体"/>
                <w:i w:val="0"/>
                <w:iCs w:val="0"/>
                <w:color w:val="auto"/>
                <w:sz w:val="22"/>
                <w:szCs w:val="22"/>
                <w:highlight w:val="none"/>
                <w:u w:val="none"/>
              </w:rPr>
            </w:pPr>
          </w:p>
        </w:tc>
        <w:tc>
          <w:tcPr>
            <w:tcW w:w="263" w:type="pct"/>
            <w:tcBorders>
              <w:top w:val="single" w:color="000000" w:sz="4" w:space="0"/>
              <w:left w:val="single" w:color="000000" w:sz="4" w:space="0"/>
              <w:bottom w:val="single" w:color="000000" w:sz="4" w:space="0"/>
              <w:right w:val="single" w:color="000000" w:sz="4" w:space="0"/>
            </w:tcBorders>
            <w:noWrap w:val="0"/>
            <w:vAlign w:val="top"/>
          </w:tcPr>
          <w:p w14:paraId="56B5DBAB">
            <w:pPr>
              <w:keepNext w:val="0"/>
              <w:keepLines w:val="0"/>
              <w:pageBreakBefore w:val="0"/>
              <w:kinsoku/>
              <w:wordWrap/>
              <w:overflowPunct/>
              <w:topLinePunct w:val="0"/>
              <w:autoSpaceDE/>
              <w:autoSpaceDN/>
              <w:bidi w:val="0"/>
              <w:adjustRightInd w:val="0"/>
              <w:snapToGrid/>
              <w:spacing w:line="240" w:lineRule="exact"/>
              <w:jc w:val="left"/>
              <w:rPr>
                <w:rFonts w:hint="eastAsia" w:ascii="宋体" w:hAnsi="宋体" w:eastAsia="宋体" w:cs="宋体"/>
                <w:i w:val="0"/>
                <w:iCs w:val="0"/>
                <w:color w:val="auto"/>
                <w:sz w:val="22"/>
                <w:szCs w:val="22"/>
                <w:highlight w:val="none"/>
                <w:u w:val="none"/>
              </w:rPr>
            </w:pPr>
          </w:p>
        </w:tc>
      </w:tr>
    </w:tbl>
    <w:p w14:paraId="569E3BF9">
      <w:pPr>
        <w:keepNext w:val="0"/>
        <w:keepLines w:val="0"/>
        <w:pageBreakBefore w:val="0"/>
        <w:kinsoku/>
        <w:wordWrap/>
        <w:overflowPunct/>
        <w:topLinePunct w:val="0"/>
        <w:autoSpaceDN w:val="0"/>
        <w:bidi w:val="0"/>
        <w:adjustRightInd/>
        <w:spacing w:line="360" w:lineRule="auto"/>
        <w:ind w:firstLine="480"/>
        <w:jc w:val="center"/>
        <w:textAlignment w:val="auto"/>
        <w:rPr>
          <w:rFonts w:ascii="仿宋" w:hAnsi="仿宋" w:eastAsia="仿宋"/>
          <w:b/>
          <w:color w:val="auto"/>
          <w:sz w:val="28"/>
          <w:szCs w:val="28"/>
          <w:highlight w:val="none"/>
        </w:rPr>
      </w:pPr>
      <w:r>
        <w:rPr>
          <w:rFonts w:hint="eastAsia" w:ascii="仿宋" w:hAnsi="仿宋" w:eastAsia="仿宋" w:cs="仿宋_GB2312"/>
          <w:b/>
          <w:color w:val="auto"/>
          <w:sz w:val="32"/>
          <w:highlight w:val="none"/>
        </w:rPr>
        <w:br w:type="page"/>
      </w:r>
      <w:r>
        <w:rPr>
          <w:rFonts w:hint="eastAsia" w:ascii="仿宋" w:hAnsi="仿宋" w:eastAsia="仿宋" w:cs="仿宋_GB2312"/>
          <w:b/>
          <w:color w:val="auto"/>
          <w:sz w:val="32"/>
          <w:highlight w:val="none"/>
        </w:rPr>
        <w:t>二、商务要求</w:t>
      </w:r>
    </w:p>
    <w:p w14:paraId="2349A079">
      <w:pPr>
        <w:keepNext w:val="0"/>
        <w:keepLines w:val="0"/>
        <w:pageBreakBefore w:val="0"/>
        <w:widowControl/>
        <w:kinsoku/>
        <w:wordWrap/>
        <w:overflowPunct/>
        <w:topLinePunct w:val="0"/>
        <w:bidi w:val="0"/>
        <w:snapToGrid w:val="0"/>
        <w:spacing w:line="360" w:lineRule="auto"/>
        <w:ind w:firstLine="480" w:firstLineChars="200"/>
        <w:textAlignment w:val="auto"/>
        <w:rPr>
          <w:rFonts w:hint="eastAsia" w:ascii="仿宋" w:hAnsi="仿宋" w:eastAsia="仿宋" w:cs="仿宋"/>
          <w:b/>
          <w:bCs/>
          <w:color w:val="auto"/>
          <w:kern w:val="0"/>
          <w:sz w:val="24"/>
          <w:szCs w:val="24"/>
          <w:highlight w:val="none"/>
        </w:rPr>
      </w:pPr>
      <w:r>
        <w:rPr>
          <w:rFonts w:hint="eastAsia" w:ascii="仿宋" w:hAnsi="仿宋" w:eastAsia="仿宋" w:cs="仿宋"/>
          <w:sz w:val="24"/>
          <w:highlight w:val="none"/>
        </w:rPr>
        <w:t>★</w:t>
      </w:r>
      <w:r>
        <w:rPr>
          <w:rFonts w:hint="eastAsia" w:ascii="仿宋" w:hAnsi="仿宋" w:eastAsia="仿宋" w:cs="仿宋"/>
          <w:b/>
          <w:bCs/>
          <w:color w:val="auto"/>
          <w:kern w:val="0"/>
          <w:sz w:val="24"/>
          <w:szCs w:val="24"/>
          <w:highlight w:val="none"/>
        </w:rPr>
        <w:t>2.1服务期限</w:t>
      </w:r>
    </w:p>
    <w:p w14:paraId="6998FA6F">
      <w:pPr>
        <w:keepNext w:val="0"/>
        <w:keepLines w:val="0"/>
        <w:pageBreakBefore w:val="0"/>
        <w:widowControl/>
        <w:kinsoku/>
        <w:wordWrap/>
        <w:overflowPunct/>
        <w:topLinePunct w:val="0"/>
        <w:bidi w:val="0"/>
        <w:snapToGrid w:val="0"/>
        <w:spacing w:line="360" w:lineRule="auto"/>
        <w:ind w:firstLine="480" w:firstLineChars="200"/>
        <w:textAlignment w:val="auto"/>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val="en-US" w:eastAsia="zh-CN"/>
        </w:rPr>
        <w:t>1</w:t>
      </w:r>
      <w:r>
        <w:rPr>
          <w:rFonts w:hint="eastAsia" w:ascii="仿宋" w:hAnsi="仿宋" w:eastAsia="仿宋" w:cs="仿宋"/>
          <w:b w:val="0"/>
          <w:bCs w:val="0"/>
          <w:color w:val="auto"/>
          <w:kern w:val="0"/>
          <w:sz w:val="24"/>
          <w:szCs w:val="24"/>
          <w:highlight w:val="none"/>
        </w:rPr>
        <w:t>年</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rPr>
        <w:t>具体起始时间以合同签订时间为准</w:t>
      </w:r>
      <w:r>
        <w:rPr>
          <w:rFonts w:hint="eastAsia" w:ascii="仿宋" w:hAnsi="仿宋" w:eastAsia="仿宋" w:cs="仿宋"/>
          <w:b w:val="0"/>
          <w:bCs w:val="0"/>
          <w:color w:val="auto"/>
          <w:kern w:val="0"/>
          <w:sz w:val="24"/>
          <w:szCs w:val="24"/>
          <w:highlight w:val="none"/>
          <w:lang w:eastAsia="zh-CN"/>
        </w:rPr>
        <w:t>。</w:t>
      </w:r>
    </w:p>
    <w:p w14:paraId="65C5D57A">
      <w:pPr>
        <w:keepNext w:val="0"/>
        <w:keepLines w:val="0"/>
        <w:pageBreakBefore w:val="0"/>
        <w:widowControl/>
        <w:kinsoku/>
        <w:wordWrap/>
        <w:overflowPunct/>
        <w:topLinePunct w:val="0"/>
        <w:bidi w:val="0"/>
        <w:snapToGrid w:val="0"/>
        <w:spacing w:line="360" w:lineRule="auto"/>
        <w:ind w:firstLine="480"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sz w:val="24"/>
          <w:highlight w:val="none"/>
        </w:rPr>
        <w:t>★</w:t>
      </w:r>
      <w:r>
        <w:rPr>
          <w:rFonts w:hint="eastAsia" w:ascii="仿宋" w:hAnsi="仿宋" w:eastAsia="仿宋" w:cs="仿宋"/>
          <w:b/>
          <w:bCs/>
          <w:color w:val="auto"/>
          <w:sz w:val="24"/>
          <w:szCs w:val="24"/>
          <w:highlight w:val="none"/>
        </w:rPr>
        <w:t>2.2数量调整</w:t>
      </w:r>
    </w:p>
    <w:p w14:paraId="3DBCA8FD">
      <w:pPr>
        <w:keepNext w:val="0"/>
        <w:keepLines w:val="0"/>
        <w:pageBreakBefore w:val="0"/>
        <w:widowControl/>
        <w:kinsoku/>
        <w:wordWrap/>
        <w:overflowPunct/>
        <w:topLinePunct w:val="0"/>
        <w:bidi w:val="0"/>
        <w:snapToGrid w:val="0"/>
        <w:spacing w:line="360"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75CB11F1">
      <w:pPr>
        <w:keepNext w:val="0"/>
        <w:keepLines w:val="0"/>
        <w:pageBreakBefore w:val="0"/>
        <w:widowControl/>
        <w:kinsoku/>
        <w:wordWrap/>
        <w:overflowPunct/>
        <w:topLinePunct w:val="0"/>
        <w:bidi w:val="0"/>
        <w:snapToGrid w:val="0"/>
        <w:spacing w:line="360" w:lineRule="auto"/>
        <w:ind w:firstLine="480" w:firstLineChars="200"/>
        <w:textAlignment w:val="auto"/>
        <w:rPr>
          <w:rFonts w:hint="eastAsia" w:ascii="仿宋" w:hAnsi="仿宋" w:eastAsia="仿宋" w:cs="仿宋"/>
          <w:b/>
          <w:bCs/>
          <w:color w:val="auto"/>
          <w:kern w:val="0"/>
          <w:sz w:val="24"/>
          <w:szCs w:val="24"/>
          <w:highlight w:val="none"/>
        </w:rPr>
      </w:pPr>
      <w:r>
        <w:rPr>
          <w:rFonts w:hint="eastAsia" w:ascii="仿宋" w:hAnsi="仿宋" w:eastAsia="仿宋" w:cs="仿宋"/>
          <w:sz w:val="24"/>
          <w:highlight w:val="none"/>
        </w:rPr>
        <w:t>★</w:t>
      </w:r>
      <w:r>
        <w:rPr>
          <w:rFonts w:hint="eastAsia" w:ascii="仿宋" w:hAnsi="仿宋" w:eastAsia="仿宋" w:cs="仿宋"/>
          <w:b/>
          <w:bCs/>
          <w:color w:val="auto"/>
          <w:kern w:val="0"/>
          <w:sz w:val="24"/>
          <w:szCs w:val="24"/>
          <w:highlight w:val="none"/>
        </w:rPr>
        <w:t>2.3付款方式</w:t>
      </w:r>
    </w:p>
    <w:p w14:paraId="415CD197">
      <w:pPr>
        <w:keepNext w:val="0"/>
        <w:keepLines w:val="0"/>
        <w:pageBreakBefore w:val="0"/>
        <w:kinsoku/>
        <w:wordWrap/>
        <w:overflowPunct/>
        <w:topLinePunct w:val="0"/>
        <w:bidi w:val="0"/>
        <w:adjustRightInd/>
        <w:snapToGrid w:val="0"/>
        <w:spacing w:line="360" w:lineRule="auto"/>
        <w:ind w:firstLine="481"/>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2.3.1</w:t>
      </w:r>
      <w:r>
        <w:rPr>
          <w:rFonts w:hint="eastAsia" w:ascii="仿宋" w:hAnsi="仿宋" w:eastAsia="仿宋" w:cs="仿宋"/>
          <w:color w:val="auto"/>
          <w:sz w:val="24"/>
          <w:highlight w:val="none"/>
        </w:rPr>
        <w:t>本项目不支付预付款</w:t>
      </w:r>
      <w:r>
        <w:rPr>
          <w:rFonts w:hint="eastAsia" w:ascii="仿宋" w:hAnsi="仿宋" w:eastAsia="仿宋" w:cs="仿宋"/>
          <w:color w:val="auto"/>
          <w:sz w:val="24"/>
          <w:highlight w:val="none"/>
          <w:lang w:eastAsia="zh-CN"/>
        </w:rPr>
        <w:t>。</w:t>
      </w:r>
    </w:p>
    <w:p w14:paraId="4874EE8F">
      <w:pPr>
        <w:keepNext w:val="0"/>
        <w:keepLines w:val="0"/>
        <w:pageBreakBefore w:val="0"/>
        <w:kinsoku/>
        <w:wordWrap/>
        <w:overflowPunct/>
        <w:topLinePunct w:val="0"/>
        <w:bidi w:val="0"/>
        <w:adjustRightInd/>
        <w:snapToGrid w:val="0"/>
        <w:spacing w:line="360" w:lineRule="auto"/>
        <w:ind w:firstLine="481"/>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2.3.2实际承包款按月考核按</w:t>
      </w:r>
      <w:r>
        <w:rPr>
          <w:rFonts w:hint="eastAsia" w:ascii="仿宋" w:hAnsi="仿宋" w:eastAsia="仿宋" w:cs="仿宋"/>
          <w:color w:val="auto"/>
          <w:sz w:val="24"/>
          <w:szCs w:val="24"/>
          <w:highlight w:val="none"/>
          <w:lang w:eastAsia="zh-CN"/>
        </w:rPr>
        <w:t>季（每</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月）</w:t>
      </w:r>
      <w:r>
        <w:rPr>
          <w:rFonts w:hint="eastAsia" w:ascii="仿宋" w:hAnsi="仿宋" w:eastAsia="仿宋" w:cs="仿宋"/>
          <w:color w:val="auto"/>
          <w:sz w:val="24"/>
          <w:szCs w:val="24"/>
          <w:highlight w:val="none"/>
        </w:rPr>
        <w:t>支付</w:t>
      </w:r>
      <w:r>
        <w:rPr>
          <w:rFonts w:hint="eastAsia" w:ascii="仿宋" w:hAnsi="仿宋" w:eastAsia="仿宋" w:cs="仿宋"/>
          <w:color w:val="auto"/>
          <w:sz w:val="24"/>
          <w:szCs w:val="24"/>
          <w:highlight w:val="none"/>
          <w:lang w:eastAsia="zh-CN"/>
        </w:rPr>
        <w:t>。</w:t>
      </w:r>
    </w:p>
    <w:p w14:paraId="1649A8F2">
      <w:pPr>
        <w:keepNext w:val="0"/>
        <w:keepLines w:val="0"/>
        <w:pageBreakBefore w:val="0"/>
        <w:kinsoku/>
        <w:wordWrap/>
        <w:overflowPunct/>
        <w:topLinePunct w:val="0"/>
        <w:bidi w:val="0"/>
        <w:adjustRightInd/>
        <w:snapToGrid w:val="0"/>
        <w:spacing w:line="360" w:lineRule="auto"/>
        <w:ind w:firstLine="481"/>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2.3.3</w:t>
      </w:r>
      <w:r>
        <w:rPr>
          <w:rFonts w:hint="eastAsia" w:ascii="仿宋" w:hAnsi="仿宋" w:eastAsia="仿宋" w:cs="仿宋"/>
          <w:color w:val="auto"/>
          <w:sz w:val="24"/>
          <w:szCs w:val="24"/>
          <w:highlight w:val="none"/>
        </w:rPr>
        <w:t>注：涉及中小企业合同的，按采购文件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五、授予合同第5条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规定执行。</w:t>
      </w:r>
    </w:p>
    <w:p w14:paraId="3AD1D525">
      <w:pPr>
        <w:keepNext w:val="0"/>
        <w:keepLines w:val="0"/>
        <w:pageBreakBefore w:val="0"/>
        <w:widowControl/>
        <w:kinsoku/>
        <w:wordWrap/>
        <w:overflowPunct/>
        <w:topLinePunct w:val="0"/>
        <w:bidi w:val="0"/>
        <w:snapToGrid w:val="0"/>
        <w:spacing w:line="360" w:lineRule="auto"/>
        <w:ind w:firstLine="480" w:firstLineChars="200"/>
        <w:textAlignment w:val="auto"/>
        <w:rPr>
          <w:rFonts w:hint="eastAsia" w:ascii="仿宋" w:hAnsi="仿宋" w:eastAsia="仿宋" w:cs="仿宋"/>
          <w:b/>
          <w:bCs/>
          <w:color w:val="auto"/>
          <w:kern w:val="0"/>
          <w:sz w:val="24"/>
          <w:szCs w:val="24"/>
          <w:highlight w:val="none"/>
        </w:rPr>
      </w:pPr>
      <w:r>
        <w:rPr>
          <w:rFonts w:hint="eastAsia" w:ascii="仿宋" w:hAnsi="仿宋" w:eastAsia="仿宋" w:cs="仿宋"/>
          <w:sz w:val="24"/>
          <w:highlight w:val="none"/>
        </w:rPr>
        <w:t>★</w:t>
      </w:r>
      <w:r>
        <w:rPr>
          <w:rFonts w:hint="eastAsia" w:ascii="仿宋" w:hAnsi="仿宋" w:eastAsia="仿宋" w:cs="仿宋"/>
          <w:b/>
          <w:bCs/>
          <w:color w:val="auto"/>
          <w:kern w:val="0"/>
          <w:sz w:val="24"/>
          <w:szCs w:val="24"/>
          <w:highlight w:val="none"/>
        </w:rPr>
        <w:t>2.4检查、考核</w:t>
      </w:r>
    </w:p>
    <w:p w14:paraId="1A58FDBD">
      <w:pPr>
        <w:keepNext w:val="0"/>
        <w:keepLines w:val="0"/>
        <w:pageBreakBefore w:val="0"/>
        <w:kinsoku/>
        <w:wordWrap/>
        <w:overflowPunct/>
        <w:topLinePunct w:val="0"/>
        <w:bidi w:val="0"/>
        <w:adjustRightInd/>
        <w:snapToGrid w:val="0"/>
        <w:spacing w:line="360" w:lineRule="auto"/>
        <w:ind w:firstLine="481"/>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2.4.1按附件《道路保洁考核办法》等检查、考核。</w:t>
      </w:r>
    </w:p>
    <w:p w14:paraId="3598E165">
      <w:pPr>
        <w:keepNext w:val="0"/>
        <w:keepLines w:val="0"/>
        <w:pageBreakBefore w:val="0"/>
        <w:kinsoku/>
        <w:wordWrap/>
        <w:overflowPunct/>
        <w:topLinePunct w:val="0"/>
        <w:autoSpaceDE w:val="0"/>
        <w:autoSpaceDN w:val="0"/>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2.4.2 </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对保洁质量进行检查、考核，每月该考核扣分相加即为每月各中标供应商的考核扣分。</w:t>
      </w:r>
    </w:p>
    <w:p w14:paraId="1B01ABBE">
      <w:pPr>
        <w:keepNext w:val="0"/>
        <w:keepLines w:val="0"/>
        <w:pageBreakBefore w:val="0"/>
        <w:kinsoku/>
        <w:wordWrap/>
        <w:overflowPunct/>
        <w:topLinePunct w:val="0"/>
        <w:autoSpaceDE w:val="0"/>
        <w:autoSpaceDN w:val="0"/>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2.4.3 如发现中标供应商将所中标标段转包，采购人有权单方面终止合同，履约保证金不予退还。</w:t>
      </w:r>
    </w:p>
    <w:p w14:paraId="45EF45C1">
      <w:pPr>
        <w:keepNext w:val="0"/>
        <w:keepLines w:val="0"/>
        <w:pageBreakBefore w:val="0"/>
        <w:kinsoku/>
        <w:wordWrap/>
        <w:overflowPunct/>
        <w:topLinePunct w:val="0"/>
        <w:autoSpaceDE w:val="0"/>
        <w:autoSpaceDN w:val="0"/>
        <w:bidi w:val="0"/>
        <w:spacing w:line="360" w:lineRule="auto"/>
        <w:ind w:firstLine="480"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 xml:space="preserve">2.4.4 </w:t>
      </w:r>
      <w:r>
        <w:rPr>
          <w:rFonts w:hint="eastAsia" w:ascii="仿宋" w:hAnsi="仿宋" w:eastAsia="仿宋" w:cs="仿宋"/>
          <w:b/>
          <w:bCs/>
          <w:color w:val="auto"/>
          <w:sz w:val="24"/>
          <w:szCs w:val="24"/>
          <w:highlight w:val="none"/>
        </w:rPr>
        <w:t>若中标供应商在连续两个月月考核扣款比例（月考核扣款/月承包款）都大于等于</w:t>
      </w:r>
      <w:r>
        <w:rPr>
          <w:rFonts w:hint="eastAsia" w:ascii="仿宋" w:hAnsi="仿宋" w:eastAsia="仿宋" w:cs="仿宋"/>
          <w:b/>
          <w:bCs/>
          <w:color w:val="auto"/>
          <w:sz w:val="24"/>
          <w:szCs w:val="24"/>
          <w:highlight w:val="none"/>
          <w:lang w:val="en-US" w:eastAsia="zh-CN"/>
        </w:rPr>
        <w:t>25</w:t>
      </w:r>
      <w:r>
        <w:rPr>
          <w:rFonts w:hint="eastAsia" w:ascii="仿宋" w:hAnsi="仿宋" w:eastAsia="仿宋" w:cs="仿宋"/>
          <w:b/>
          <w:bCs/>
          <w:color w:val="auto"/>
          <w:sz w:val="24"/>
          <w:szCs w:val="24"/>
          <w:highlight w:val="none"/>
        </w:rPr>
        <w:t>%，采购人有权中止或解除合同，履约保证金不予退还。</w:t>
      </w:r>
      <w:r>
        <w:rPr>
          <w:rFonts w:hint="eastAsia" w:ascii="仿宋" w:hAnsi="仿宋" w:eastAsia="仿宋" w:cs="仿宋"/>
          <w:b/>
          <w:bCs/>
          <w:color w:val="auto"/>
          <w:kern w:val="0"/>
          <w:sz w:val="24"/>
          <w:szCs w:val="24"/>
          <w:highlight w:val="none"/>
        </w:rPr>
        <w:t>（注：</w:t>
      </w:r>
      <w:r>
        <w:rPr>
          <w:rFonts w:hint="eastAsia" w:ascii="仿宋" w:hAnsi="仿宋" w:eastAsia="仿宋" w:cs="仿宋"/>
          <w:b/>
          <w:bCs/>
          <w:color w:val="auto"/>
          <w:sz w:val="24"/>
          <w:szCs w:val="24"/>
          <w:highlight w:val="none"/>
        </w:rPr>
        <w:t>月承包款=年承包款/12</w:t>
      </w:r>
      <w:r>
        <w:rPr>
          <w:rFonts w:hint="eastAsia" w:ascii="仿宋" w:hAnsi="仿宋" w:eastAsia="仿宋" w:cs="仿宋"/>
          <w:b/>
          <w:bCs/>
          <w:color w:val="auto"/>
          <w:kern w:val="0"/>
          <w:sz w:val="24"/>
          <w:szCs w:val="24"/>
          <w:highlight w:val="none"/>
        </w:rPr>
        <w:t>）</w:t>
      </w:r>
    </w:p>
    <w:p w14:paraId="64F43B24">
      <w:pPr>
        <w:keepNext w:val="0"/>
        <w:keepLines w:val="0"/>
        <w:pageBreakBefore w:val="0"/>
        <w:widowControl/>
        <w:kinsoku/>
        <w:wordWrap/>
        <w:overflowPunct/>
        <w:topLinePunct w:val="0"/>
        <w:bidi w:val="0"/>
        <w:snapToGrid w:val="0"/>
        <w:spacing w:line="360" w:lineRule="auto"/>
        <w:ind w:firstLine="480" w:firstLineChars="200"/>
        <w:textAlignment w:val="auto"/>
        <w:rPr>
          <w:rFonts w:hint="eastAsia" w:ascii="仿宋" w:hAnsi="仿宋" w:eastAsia="仿宋" w:cs="仿宋"/>
          <w:b/>
          <w:bCs/>
          <w:color w:val="auto"/>
          <w:kern w:val="0"/>
          <w:sz w:val="24"/>
          <w:szCs w:val="24"/>
          <w:highlight w:val="none"/>
          <w:lang w:val="zh-CN"/>
        </w:rPr>
      </w:pPr>
      <w:r>
        <w:rPr>
          <w:rFonts w:hint="eastAsia" w:ascii="仿宋" w:hAnsi="仿宋" w:eastAsia="仿宋" w:cs="仿宋"/>
          <w:sz w:val="24"/>
          <w:highlight w:val="none"/>
        </w:rPr>
        <w:t>★</w:t>
      </w:r>
      <w:r>
        <w:rPr>
          <w:rFonts w:hint="eastAsia" w:ascii="仿宋" w:hAnsi="仿宋" w:eastAsia="仿宋" w:cs="仿宋"/>
          <w:b/>
          <w:bCs/>
          <w:color w:val="auto"/>
          <w:kern w:val="0"/>
          <w:sz w:val="24"/>
          <w:szCs w:val="24"/>
          <w:highlight w:val="none"/>
          <w:lang w:val="zh-CN"/>
        </w:rPr>
        <w:t>2.5结算原则</w:t>
      </w:r>
    </w:p>
    <w:p w14:paraId="3F118811">
      <w:pPr>
        <w:keepNext w:val="0"/>
        <w:keepLines w:val="0"/>
        <w:pageBreakBefore w:val="0"/>
        <w:kinsoku/>
        <w:wordWrap/>
        <w:overflowPunct/>
        <w:topLinePunct w:val="0"/>
        <w:bidi w:val="0"/>
        <w:adjustRightInd/>
        <w:spacing w:line="360"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2.5.1采购文件、招标答疑会纪要、中标供应商的中标报价等作为结算依据；</w:t>
      </w:r>
    </w:p>
    <w:p w14:paraId="1F604E97">
      <w:pPr>
        <w:keepNext w:val="0"/>
        <w:keepLines w:val="0"/>
        <w:pageBreakBefore w:val="0"/>
        <w:kinsoku/>
        <w:wordWrap/>
        <w:overflowPunct/>
        <w:topLinePunct w:val="0"/>
        <w:bidi w:val="0"/>
        <w:spacing w:line="360" w:lineRule="auto"/>
        <w:ind w:firstLine="480" w:firstLineChars="200"/>
        <w:jc w:val="left"/>
        <w:textAlignment w:val="auto"/>
        <w:rPr>
          <w:rFonts w:hint="eastAsia" w:ascii="仿宋" w:hAnsi="仿宋" w:eastAsia="仿宋" w:cs="仿宋"/>
          <w:bCs/>
          <w:color w:val="auto"/>
          <w:kern w:val="0"/>
          <w:sz w:val="24"/>
          <w:szCs w:val="24"/>
          <w:highlight w:val="none"/>
          <w:lang w:val="zh-CN"/>
        </w:rPr>
      </w:pPr>
      <w:r>
        <w:rPr>
          <w:rFonts w:hint="eastAsia" w:ascii="仿宋" w:hAnsi="仿宋" w:eastAsia="仿宋" w:cs="仿宋"/>
          <w:color w:val="auto"/>
          <w:kern w:val="0"/>
          <w:sz w:val="24"/>
          <w:szCs w:val="24"/>
          <w:highlight w:val="none"/>
        </w:rPr>
        <w:t>2.5.2</w:t>
      </w:r>
      <w:r>
        <w:rPr>
          <w:rFonts w:hint="eastAsia" w:ascii="仿宋" w:hAnsi="仿宋" w:eastAsia="仿宋" w:cs="仿宋"/>
          <w:color w:val="auto"/>
          <w:sz w:val="24"/>
          <w:szCs w:val="24"/>
          <w:highlight w:val="none"/>
          <w:lang w:val="en-US" w:eastAsia="zh-CN"/>
        </w:rPr>
        <w:t>本项目采用固定单价形式，中标后</w:t>
      </w:r>
      <w:r>
        <w:rPr>
          <w:rFonts w:hint="eastAsia" w:ascii="仿宋" w:hAnsi="仿宋" w:eastAsia="仿宋" w:cs="仿宋"/>
          <w:color w:val="auto"/>
          <w:sz w:val="24"/>
          <w:szCs w:val="24"/>
          <w:highlight w:val="none"/>
        </w:rPr>
        <w:t>不再调整。</w:t>
      </w:r>
      <w:r>
        <w:rPr>
          <w:rFonts w:hint="eastAsia" w:ascii="仿宋" w:hAnsi="仿宋" w:eastAsia="仿宋" w:cs="仿宋"/>
          <w:bCs/>
          <w:color w:val="auto"/>
          <w:kern w:val="0"/>
          <w:sz w:val="24"/>
          <w:szCs w:val="24"/>
          <w:highlight w:val="none"/>
          <w:lang w:val="zh-CN"/>
        </w:rPr>
        <w:t>经采购人分级审批认可的数量增减，在结算时按中标单价按实调整。</w:t>
      </w:r>
    </w:p>
    <w:p w14:paraId="452A65A3">
      <w:pPr>
        <w:keepNext w:val="0"/>
        <w:keepLines w:val="0"/>
        <w:pageBreakBefore w:val="0"/>
        <w:kinsoku/>
        <w:wordWrap/>
        <w:overflowPunct/>
        <w:topLinePunct w:val="0"/>
        <w:bidi w:val="0"/>
        <w:spacing w:line="360" w:lineRule="auto"/>
        <w:ind w:firstLine="480" w:firstLineChars="200"/>
        <w:jc w:val="left"/>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color w:val="auto"/>
          <w:kern w:val="0"/>
          <w:sz w:val="24"/>
          <w:szCs w:val="24"/>
          <w:highlight w:val="none"/>
        </w:rPr>
        <w:t>2.5.</w:t>
      </w:r>
      <w:r>
        <w:rPr>
          <w:rFonts w:hint="eastAsia" w:ascii="仿宋" w:hAnsi="仿宋" w:eastAsia="仿宋" w:cs="仿宋"/>
          <w:color w:val="auto"/>
          <w:kern w:val="0"/>
          <w:sz w:val="24"/>
          <w:szCs w:val="24"/>
          <w:highlight w:val="none"/>
          <w:lang w:val="en-US" w:eastAsia="zh-CN"/>
        </w:rPr>
        <w:t>3本项目实施过程中如遇部分路面大修导致保洁范围减少，在结算时协商确定按实扣减。</w:t>
      </w:r>
    </w:p>
    <w:p w14:paraId="01178A7A">
      <w:pPr>
        <w:keepNext w:val="0"/>
        <w:keepLines w:val="0"/>
        <w:pageBreakBefore w:val="0"/>
        <w:widowControl/>
        <w:kinsoku/>
        <w:wordWrap/>
        <w:overflowPunct/>
        <w:topLinePunct w:val="0"/>
        <w:bidi w:val="0"/>
        <w:snapToGrid w:val="0"/>
        <w:spacing w:line="360" w:lineRule="auto"/>
        <w:ind w:firstLine="480" w:firstLineChars="200"/>
        <w:textAlignment w:val="auto"/>
        <w:rPr>
          <w:rFonts w:hint="eastAsia" w:ascii="仿宋" w:hAnsi="仿宋" w:eastAsia="仿宋" w:cs="仿宋"/>
          <w:b/>
          <w:bCs/>
          <w:color w:val="auto"/>
          <w:kern w:val="0"/>
          <w:sz w:val="24"/>
          <w:szCs w:val="24"/>
          <w:highlight w:val="none"/>
        </w:rPr>
      </w:pPr>
      <w:r>
        <w:rPr>
          <w:rFonts w:hint="eastAsia" w:ascii="仿宋" w:hAnsi="仿宋" w:eastAsia="仿宋" w:cs="仿宋"/>
          <w:sz w:val="24"/>
          <w:highlight w:val="none"/>
        </w:rPr>
        <w:t>★</w:t>
      </w:r>
      <w:r>
        <w:rPr>
          <w:rFonts w:hint="eastAsia" w:ascii="仿宋" w:hAnsi="仿宋" w:eastAsia="仿宋" w:cs="仿宋"/>
          <w:b/>
          <w:bCs/>
          <w:color w:val="auto"/>
          <w:kern w:val="0"/>
          <w:sz w:val="24"/>
          <w:szCs w:val="24"/>
          <w:highlight w:val="none"/>
        </w:rPr>
        <w:t>2.6其他要求：</w:t>
      </w:r>
    </w:p>
    <w:p w14:paraId="4E2BA062">
      <w:pPr>
        <w:keepNext w:val="0"/>
        <w:keepLines w:val="0"/>
        <w:pageBreakBefore w:val="0"/>
        <w:kinsoku/>
        <w:wordWrap/>
        <w:overflowPunct/>
        <w:topLinePunct w:val="0"/>
        <w:autoSpaceDE w:val="0"/>
        <w:autoSpaceDN w:val="0"/>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2.6.1中标供应商必须遵守国家相应法律法规，按规定程序和安全文明服务有关要求进行实施，人员招聘、录用，劳资福利待遇、清扫、机扫、冲洗、中转站（堆放点）管理、垃圾清运、保洁、管理等过程中的各种意外及纠纷，其责任由中标供应商承担，采购人不承担任何责任。</w:t>
      </w:r>
    </w:p>
    <w:p w14:paraId="33A53FF0">
      <w:pPr>
        <w:keepNext w:val="0"/>
        <w:keepLines w:val="0"/>
        <w:pageBreakBefore w:val="0"/>
        <w:kinsoku/>
        <w:wordWrap/>
        <w:overflowPunct/>
        <w:topLinePunct w:val="0"/>
        <w:bidi w:val="0"/>
        <w:adjustRightInd/>
        <w:snapToGrid w:val="0"/>
        <w:spacing w:line="360" w:lineRule="auto"/>
        <w:ind w:firstLine="480" w:firstLineChars="200"/>
        <w:textAlignment w:val="auto"/>
        <w:rPr>
          <w:rFonts w:hint="eastAsia" w:ascii="仿宋" w:hAnsi="仿宋" w:eastAsia="仿宋" w:cs="仿宋"/>
          <w:color w:val="auto"/>
          <w:sz w:val="24"/>
          <w:szCs w:val="24"/>
          <w:highlight w:val="none"/>
        </w:rPr>
      </w:pPr>
      <w:r>
        <w:rPr>
          <w:rFonts w:ascii="仿宋" w:eastAsia="仿宋"/>
          <w:color w:val="auto"/>
          <w:kern w:val="0"/>
          <w:sz w:val="24"/>
          <w:highlight w:val="none"/>
        </w:rPr>
        <w:t>2.</w:t>
      </w:r>
      <w:r>
        <w:rPr>
          <w:rFonts w:hint="eastAsia" w:ascii="仿宋" w:eastAsia="仿宋"/>
          <w:color w:val="auto"/>
          <w:kern w:val="0"/>
          <w:sz w:val="24"/>
          <w:highlight w:val="none"/>
          <w:lang w:val="en-US" w:eastAsia="zh-CN"/>
        </w:rPr>
        <w:t>6</w:t>
      </w:r>
      <w:r>
        <w:rPr>
          <w:rFonts w:ascii="仿宋" w:eastAsia="仿宋"/>
          <w:color w:val="auto"/>
          <w:kern w:val="0"/>
          <w:sz w:val="24"/>
          <w:highlight w:val="none"/>
        </w:rPr>
        <w:t>.</w:t>
      </w:r>
      <w:r>
        <w:rPr>
          <w:rFonts w:hint="eastAsia" w:ascii="仿宋" w:eastAsia="仿宋"/>
          <w:color w:val="auto"/>
          <w:kern w:val="0"/>
          <w:sz w:val="24"/>
          <w:highlight w:val="none"/>
        </w:rPr>
        <w:t>2所有车辆由投标单位自行提供，必须在中标通知书签发之日起15天内保证车辆、人员全部到位，如车辆不能全部到位发包方有权罚没履约保证金，取消中标人资格。由此涉及的一切费用及实施过程中的各种意外，其责任均由中标单位承担，招标人不承担任何责任。</w:t>
      </w:r>
    </w:p>
    <w:p w14:paraId="0CF75F54">
      <w:pPr>
        <w:keepNext w:val="0"/>
        <w:keepLines w:val="0"/>
        <w:pageBreakBefore w:val="0"/>
        <w:kinsoku/>
        <w:wordWrap/>
        <w:overflowPunct/>
        <w:topLinePunct w:val="0"/>
        <w:autoSpaceDE w:val="0"/>
        <w:autoSpaceDN w:val="0"/>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 xml:space="preserve"> 项目配备的项目经理必须和投标文件上一致，合同履行期间，供应商未提前1个月提出书面申请并经采购人同意而随意更换项目经理的，</w:t>
      </w:r>
      <w:r>
        <w:rPr>
          <w:rFonts w:hint="eastAsia" w:ascii="仿宋" w:hAnsi="仿宋" w:eastAsia="仿宋" w:cs="仿宋"/>
          <w:b/>
          <w:bCs/>
          <w:color w:val="auto"/>
          <w:sz w:val="24"/>
          <w:szCs w:val="24"/>
          <w:highlight w:val="none"/>
        </w:rPr>
        <w:t>采购人有权中止或解除合同，履约保证金不予退还。</w:t>
      </w:r>
      <w:r>
        <w:rPr>
          <w:rFonts w:hint="eastAsia" w:ascii="仿宋" w:hAnsi="仿宋" w:eastAsia="仿宋" w:cs="仿宋"/>
          <w:bCs/>
          <w:color w:val="auto"/>
          <w:sz w:val="24"/>
          <w:szCs w:val="24"/>
          <w:highlight w:val="none"/>
        </w:rPr>
        <w:t>供应商</w:t>
      </w:r>
      <w:r>
        <w:rPr>
          <w:rFonts w:hint="eastAsia" w:ascii="仿宋" w:hAnsi="仿宋" w:eastAsia="仿宋" w:cs="仿宋"/>
          <w:color w:val="auto"/>
          <w:sz w:val="24"/>
          <w:szCs w:val="24"/>
          <w:highlight w:val="none"/>
        </w:rPr>
        <w:t>有特殊情况确实需要更换项目经理的，必须提前1个月提出书面申请（更换后的项目经理须与投标文件上的项目经理具有同等及以上资质）并经采购人同意，方可更换。因供应商管理不善，造成保洁质量不能达到招标文件要求，或者在合同履行过程中的各类检查、创建、评比等活动及媒体曝光中有失责行为的，采购人要求更换项目经理的，供应商必须无条件同意。</w:t>
      </w:r>
    </w:p>
    <w:p w14:paraId="150B8330">
      <w:pPr>
        <w:keepNext w:val="0"/>
        <w:keepLines w:val="0"/>
        <w:pageBreakBefore w:val="0"/>
        <w:kinsoku/>
        <w:wordWrap/>
        <w:overflowPunct/>
        <w:topLinePunct w:val="0"/>
        <w:bidi w:val="0"/>
        <w:adjustRightIn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 xml:space="preserve"> 在合同履行期间，供应商为项目配备的车辆、设备（满足招标文件要求）等因特殊情况确实需要调换的，必须提前1个月提出书面申请并经采购人同意，且调换的车辆、设备等要不低于原有要求。未按要求而随意调换车辆、设备等的，采购人有权中止或解除合同，履约保证金不予退还。</w:t>
      </w:r>
    </w:p>
    <w:p w14:paraId="0162CA7C">
      <w:pPr>
        <w:pStyle w:val="23"/>
        <w:rPr>
          <w:rFonts w:hint="eastAsia" w:ascii="仿宋" w:hAnsi="仿宋" w:eastAsia="仿宋" w:cs="仿宋"/>
          <w:b/>
          <w:sz w:val="36"/>
          <w:szCs w:val="36"/>
          <w:highlight w:val="none"/>
        </w:rPr>
      </w:pPr>
    </w:p>
    <w:p w14:paraId="2C8BB13E">
      <w:pPr>
        <w:pStyle w:val="24"/>
        <w:rPr>
          <w:rFonts w:hint="eastAsia" w:ascii="仿宋" w:hAnsi="仿宋" w:eastAsia="仿宋" w:cs="仿宋"/>
          <w:b/>
          <w:sz w:val="36"/>
          <w:szCs w:val="36"/>
          <w:highlight w:val="none"/>
        </w:rPr>
      </w:pPr>
    </w:p>
    <w:p w14:paraId="33C77D8B">
      <w:pPr>
        <w:pStyle w:val="25"/>
        <w:rPr>
          <w:rFonts w:hint="eastAsia" w:ascii="仿宋" w:hAnsi="仿宋" w:eastAsia="仿宋" w:cs="仿宋"/>
          <w:b/>
          <w:sz w:val="36"/>
          <w:szCs w:val="36"/>
          <w:highlight w:val="none"/>
        </w:rPr>
      </w:pPr>
    </w:p>
    <w:p w14:paraId="1B798C1E">
      <w:pPr>
        <w:rPr>
          <w:rFonts w:hint="eastAsia" w:ascii="仿宋" w:hAnsi="仿宋" w:eastAsia="仿宋" w:cs="仿宋"/>
          <w:b/>
          <w:sz w:val="36"/>
          <w:szCs w:val="36"/>
          <w:highlight w:val="none"/>
        </w:rPr>
      </w:pPr>
    </w:p>
    <w:p w14:paraId="15C8F741">
      <w:pPr>
        <w:pStyle w:val="23"/>
        <w:rPr>
          <w:rFonts w:hint="eastAsia" w:ascii="仿宋" w:hAnsi="仿宋" w:eastAsia="仿宋" w:cs="仿宋"/>
          <w:b/>
          <w:sz w:val="36"/>
          <w:szCs w:val="36"/>
          <w:highlight w:val="none"/>
        </w:rPr>
      </w:pPr>
    </w:p>
    <w:p w14:paraId="330D04C0">
      <w:pPr>
        <w:pStyle w:val="24"/>
        <w:rPr>
          <w:rFonts w:hint="eastAsia" w:ascii="仿宋" w:hAnsi="仿宋" w:eastAsia="仿宋" w:cs="仿宋"/>
          <w:b/>
          <w:sz w:val="36"/>
          <w:szCs w:val="36"/>
          <w:highlight w:val="none"/>
        </w:rPr>
      </w:pPr>
    </w:p>
    <w:p w14:paraId="5AD5BD1B">
      <w:pPr>
        <w:rPr>
          <w:rFonts w:hint="eastAsia" w:ascii="仿宋" w:hAnsi="仿宋" w:eastAsia="仿宋" w:cs="仿宋"/>
          <w:b/>
          <w:sz w:val="36"/>
          <w:szCs w:val="36"/>
          <w:highlight w:val="none"/>
        </w:rPr>
      </w:pPr>
      <w:r>
        <w:rPr>
          <w:rFonts w:hint="eastAsia" w:ascii="仿宋" w:hAnsi="仿宋" w:eastAsia="仿宋" w:cs="仿宋"/>
          <w:b/>
          <w:sz w:val="36"/>
          <w:szCs w:val="36"/>
          <w:highlight w:val="none"/>
        </w:rPr>
        <w:br w:type="page"/>
      </w:r>
    </w:p>
    <w:p w14:paraId="771C8A4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w:t>
      </w:r>
      <w:r>
        <w:rPr>
          <w:rFonts w:hint="eastAsia" w:ascii="仿宋" w:hAnsi="仿宋" w:eastAsia="仿宋" w:cs="仿宋"/>
          <w:b/>
          <w:sz w:val="36"/>
          <w:szCs w:val="36"/>
          <w:highlight w:val="none"/>
          <w:lang w:eastAsia="zh-CN"/>
        </w:rPr>
        <w:t>四</w:t>
      </w:r>
      <w:r>
        <w:rPr>
          <w:rFonts w:hint="eastAsia" w:ascii="仿宋" w:hAnsi="仿宋" w:eastAsia="仿宋" w:cs="仿宋"/>
          <w:b/>
          <w:sz w:val="36"/>
          <w:szCs w:val="36"/>
          <w:highlight w:val="none"/>
        </w:rPr>
        <w:t>部分 拟签订的合同文本</w:t>
      </w:r>
    </w:p>
    <w:p w14:paraId="4231FD50">
      <w:pPr>
        <w:rPr>
          <w:rFonts w:hint="eastAsia"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14:paraId="2621CB56">
      <w:pPr>
        <w:spacing w:line="480" w:lineRule="auto"/>
        <w:jc w:val="center"/>
        <w:rPr>
          <w:rFonts w:hint="eastAsia" w:ascii="仿宋" w:hAnsi="仿宋" w:eastAsia="仿宋" w:cs="仿宋"/>
          <w:b/>
          <w:sz w:val="28"/>
          <w:szCs w:val="28"/>
          <w:highlight w:val="none"/>
        </w:rPr>
      </w:pPr>
    </w:p>
    <w:p w14:paraId="6D00592B">
      <w:pPr>
        <w:spacing w:line="480" w:lineRule="auto"/>
        <w:jc w:val="center"/>
        <w:rPr>
          <w:rFonts w:hint="eastAsia" w:ascii="仿宋" w:hAnsi="仿宋" w:eastAsia="仿宋" w:cs="仿宋"/>
          <w:b/>
          <w:sz w:val="24"/>
          <w:highlight w:val="none"/>
        </w:rPr>
      </w:pPr>
    </w:p>
    <w:p w14:paraId="5D74258F">
      <w:pPr>
        <w:spacing w:line="480" w:lineRule="auto"/>
        <w:jc w:val="center"/>
        <w:rPr>
          <w:rFonts w:hint="eastAsia" w:ascii="仿宋" w:hAnsi="仿宋" w:eastAsia="仿宋" w:cs="仿宋"/>
          <w:b/>
          <w:sz w:val="24"/>
          <w:highlight w:val="none"/>
        </w:rPr>
      </w:pPr>
    </w:p>
    <w:p w14:paraId="6D4171D8">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14:paraId="150C6F1B">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（服务类）</w:t>
      </w:r>
    </w:p>
    <w:p w14:paraId="378CD7DA">
      <w:pPr>
        <w:pStyle w:val="700"/>
        <w:ind w:firstLine="2843" w:firstLineChars="1180"/>
        <w:rPr>
          <w:rFonts w:hint="eastAsia" w:ascii="仿宋" w:hAnsi="仿宋" w:eastAsia="仿宋" w:cs="仿宋"/>
          <w:b/>
          <w:szCs w:val="24"/>
          <w:highlight w:val="none"/>
        </w:rPr>
      </w:pPr>
      <w:r>
        <w:rPr>
          <w:rFonts w:hint="eastAsia" w:ascii="仿宋" w:hAnsi="仿宋" w:eastAsia="仿宋" w:cs="仿宋"/>
          <w:b/>
          <w:szCs w:val="24"/>
          <w:highlight w:val="none"/>
        </w:rPr>
        <w:t>第一部分 合同书</w:t>
      </w:r>
    </w:p>
    <w:p w14:paraId="348371B7">
      <w:pPr>
        <w:spacing w:before="120" w:line="22" w:lineRule="atLeast"/>
        <w:rPr>
          <w:rFonts w:hint="eastAsia" w:ascii="仿宋" w:hAnsi="仿宋" w:eastAsia="仿宋" w:cs="仿宋"/>
          <w:sz w:val="24"/>
          <w:highlight w:val="none"/>
        </w:rPr>
      </w:pPr>
    </w:p>
    <w:p w14:paraId="228904E7">
      <w:pPr>
        <w:pStyle w:val="3"/>
        <w:rPr>
          <w:rFonts w:hint="eastAsia" w:ascii="仿宋" w:hAnsi="仿宋" w:eastAsia="仿宋" w:cs="仿宋"/>
          <w:highlight w:val="none"/>
        </w:rPr>
      </w:pPr>
    </w:p>
    <w:p w14:paraId="56508AFF">
      <w:pPr>
        <w:spacing w:before="120" w:line="22" w:lineRule="atLeast"/>
        <w:ind w:left="960"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14:paraId="267A1B22">
      <w:pPr>
        <w:pStyle w:val="597"/>
        <w:spacing w:before="120" w:line="22" w:lineRule="atLeast"/>
        <w:rPr>
          <w:rFonts w:hint="eastAsia" w:ascii="仿宋" w:hAnsi="仿宋" w:eastAsia="仿宋" w:cs="仿宋"/>
          <w:szCs w:val="24"/>
          <w:highlight w:val="none"/>
        </w:rPr>
      </w:pPr>
    </w:p>
    <w:p w14:paraId="5835BB92">
      <w:pPr>
        <w:pStyle w:val="597"/>
        <w:spacing w:before="120" w:line="22" w:lineRule="atLeast"/>
        <w:rPr>
          <w:rFonts w:hint="eastAsia" w:ascii="仿宋" w:hAnsi="仿宋" w:eastAsia="仿宋" w:cs="仿宋"/>
          <w:szCs w:val="24"/>
          <w:highlight w:val="none"/>
        </w:rPr>
      </w:pPr>
    </w:p>
    <w:p w14:paraId="763A8D34">
      <w:pPr>
        <w:rPr>
          <w:rFonts w:hint="eastAsia" w:ascii="仿宋" w:hAnsi="仿宋" w:eastAsia="仿宋" w:cs="仿宋"/>
          <w:sz w:val="24"/>
          <w:highlight w:val="none"/>
        </w:rPr>
      </w:pPr>
    </w:p>
    <w:p w14:paraId="708A7D8F">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14:paraId="27C0F7D8">
      <w:pPr>
        <w:spacing w:before="120" w:line="22" w:lineRule="atLeast"/>
        <w:rPr>
          <w:rFonts w:hint="eastAsia" w:ascii="仿宋" w:hAnsi="仿宋" w:eastAsia="仿宋" w:cs="仿宋"/>
          <w:sz w:val="24"/>
          <w:highlight w:val="none"/>
        </w:rPr>
      </w:pPr>
    </w:p>
    <w:p w14:paraId="1F753737">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14:paraId="1E9671C8">
      <w:pPr>
        <w:spacing w:before="120" w:line="22" w:lineRule="atLeast"/>
        <w:rPr>
          <w:rFonts w:hint="eastAsia" w:ascii="仿宋" w:hAnsi="仿宋" w:eastAsia="仿宋" w:cs="仿宋"/>
          <w:sz w:val="24"/>
          <w:highlight w:val="none"/>
        </w:rPr>
      </w:pPr>
    </w:p>
    <w:p w14:paraId="737BB353">
      <w:pPr>
        <w:spacing w:before="120" w:line="22" w:lineRule="atLeast"/>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14:paraId="7C6BDA3E">
      <w:pPr>
        <w:spacing w:before="120" w:line="22" w:lineRule="atLeast"/>
        <w:rPr>
          <w:rFonts w:hint="eastAsia" w:ascii="仿宋" w:hAnsi="仿宋" w:eastAsia="仿宋" w:cs="仿宋"/>
          <w:sz w:val="24"/>
          <w:highlight w:val="none"/>
        </w:rPr>
      </w:pPr>
    </w:p>
    <w:p w14:paraId="128FF13F">
      <w:pPr>
        <w:spacing w:before="120" w:line="22" w:lineRule="atLeast"/>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3A3D6CF">
      <w:pPr>
        <w:widowControl/>
        <w:jc w:val="left"/>
        <w:rPr>
          <w:rFonts w:hint="eastAsia" w:ascii="仿宋" w:hAnsi="仿宋" w:eastAsia="仿宋" w:cs="仿宋"/>
          <w:kern w:val="0"/>
          <w:sz w:val="24"/>
          <w:highlight w:val="none"/>
        </w:rPr>
        <w:sectPr>
          <w:pgSz w:w="11907" w:h="16840"/>
          <w:pgMar w:top="1474" w:right="1814" w:bottom="1474" w:left="1814" w:header="851" w:footer="851" w:gutter="0"/>
          <w:pgNumType w:fmt="decimal"/>
          <w:cols w:space="720" w:num="1"/>
        </w:sectPr>
      </w:pPr>
    </w:p>
    <w:p w14:paraId="737B2817">
      <w:pPr>
        <w:rPr>
          <w:rFonts w:hint="eastAsia" w:ascii="仿宋" w:hAnsi="仿宋" w:eastAsia="仿宋" w:cs="仿宋"/>
          <w:b/>
          <w:sz w:val="24"/>
          <w:highlight w:val="none"/>
        </w:rPr>
      </w:pPr>
    </w:p>
    <w:p w14:paraId="7334C5A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4B3DADC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362C514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highlight w:val="none"/>
        </w:rPr>
      </w:pPr>
      <w:bookmarkStart w:id="38" w:name="_Toc22967"/>
      <w:bookmarkStart w:id="39" w:name="_Toc15367"/>
      <w:bookmarkStart w:id="40" w:name="_Toc28855"/>
      <w:bookmarkStart w:id="41" w:name="_Toc19273"/>
      <w:bookmarkStart w:id="42" w:name="_Toc20421"/>
      <w:r>
        <w:rPr>
          <w:rFonts w:hint="eastAsia" w:ascii="仿宋" w:hAnsi="仿宋" w:eastAsia="仿宋" w:cs="仿宋"/>
          <w:b/>
          <w:sz w:val="24"/>
          <w:highlight w:val="none"/>
        </w:rPr>
        <w:t>1.1 合同组成部分</w:t>
      </w:r>
      <w:bookmarkEnd w:id="38"/>
      <w:bookmarkEnd w:id="39"/>
      <w:bookmarkEnd w:id="40"/>
      <w:bookmarkEnd w:id="41"/>
      <w:bookmarkEnd w:id="42"/>
    </w:p>
    <w:p w14:paraId="1FFBD81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9DB270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1.1.1 本合同及其补充合同、变更协议；</w:t>
      </w:r>
    </w:p>
    <w:p w14:paraId="64AFC60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1.1.2 中标或者成交通知书；</w:t>
      </w:r>
    </w:p>
    <w:p w14:paraId="0A9829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1.1.3 投标或者响应文件（含澄清或者说明文件）；</w:t>
      </w:r>
    </w:p>
    <w:p w14:paraId="1DBCDE1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1.1.4 采购文件（含澄清或者修改文件）；</w:t>
      </w:r>
    </w:p>
    <w:p w14:paraId="73AD8F1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1.1.5 其他相关采购文件。</w:t>
      </w:r>
    </w:p>
    <w:p w14:paraId="382ECCB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bookmarkStart w:id="43" w:name="_Toc18585"/>
      <w:bookmarkStart w:id="44" w:name="_Toc6773"/>
      <w:bookmarkStart w:id="45" w:name="_Toc6311"/>
      <w:bookmarkStart w:id="46" w:name="_Toc22185"/>
      <w:bookmarkStart w:id="47" w:name="_Toc2918"/>
      <w:r>
        <w:rPr>
          <w:rFonts w:hint="eastAsia" w:ascii="仿宋" w:hAnsi="仿宋" w:eastAsia="仿宋" w:cs="仿宋"/>
          <w:b/>
          <w:sz w:val="24"/>
          <w:highlight w:val="none"/>
        </w:rPr>
        <w:t>1.2 标的</w:t>
      </w:r>
      <w:bookmarkEnd w:id="43"/>
      <w:bookmarkEnd w:id="44"/>
      <w:bookmarkEnd w:id="45"/>
      <w:bookmarkEnd w:id="46"/>
      <w:bookmarkEnd w:id="47"/>
    </w:p>
    <w:p w14:paraId="1253011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1.2.1 服务内容：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664E142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1.2.2 服务标准：</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03616FF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1.2.3 技术保障：</w:t>
      </w:r>
      <w:r>
        <w:rPr>
          <w:rFonts w:hint="eastAsia" w:ascii="仿宋" w:hAnsi="仿宋" w:eastAsia="仿宋" w:cs="仿宋"/>
          <w:sz w:val="24"/>
          <w:highlight w:val="none"/>
          <w:u w:val="single"/>
        </w:rPr>
        <w:t>　　　　　　　　　                      　      ；</w:t>
      </w:r>
    </w:p>
    <w:p w14:paraId="3846D48A">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1.2.4 服务人员组成：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564CE8D8">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1.2.5合同</w:t>
      </w:r>
      <w:r>
        <w:rPr>
          <w:rFonts w:hint="eastAsia" w:ascii="仿宋" w:hAnsi="仿宋" w:eastAsia="仿宋" w:cs="仿宋"/>
          <w:highlight w:val="none"/>
          <w:u w:val="single"/>
        </w:rPr>
        <w:t xml:space="preserve">     </w:t>
      </w:r>
      <w:r>
        <w:rPr>
          <w:rFonts w:hint="eastAsia" w:ascii="仿宋" w:hAnsi="仿宋" w:eastAsia="仿宋" w:cs="仿宋"/>
          <w:highlight w:val="none"/>
        </w:rPr>
        <w:t>（是/否）涉及货物。若涉及货物的，则：</w:t>
      </w:r>
    </w:p>
    <w:p w14:paraId="286E8FA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bookmarkStart w:id="48" w:name="_Toc21124"/>
      <w:bookmarkStart w:id="49" w:name="_Toc13918"/>
      <w:bookmarkStart w:id="50" w:name="_Toc4929"/>
      <w:bookmarkStart w:id="51" w:name="_Toc1386"/>
      <w:bookmarkStart w:id="52" w:name="_Toc5635"/>
      <w:r>
        <w:rPr>
          <w:rFonts w:hint="eastAsia" w:ascii="仿宋" w:hAnsi="仿宋" w:eastAsia="仿宋" w:cs="仿宋"/>
          <w:sz w:val="24"/>
          <w:highlight w:val="none"/>
        </w:rPr>
        <w:t>1.2.5.1 货物名称、品牌、规格型号、花色：</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37D76DD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1.2.5.2 货物数量：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3D203AF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1.2.5.3 货物质量：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0E21FA6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1.3 价款</w:t>
      </w:r>
      <w:bookmarkEnd w:id="48"/>
      <w:bookmarkEnd w:id="49"/>
      <w:bookmarkEnd w:id="50"/>
      <w:bookmarkEnd w:id="51"/>
      <w:bookmarkEnd w:id="52"/>
    </w:p>
    <w:p w14:paraId="63E0A21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本项目采用以下第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条款规定的计价方式计价。</w:t>
      </w:r>
    </w:p>
    <w:p w14:paraId="599A0C1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1.3.1总价合同，本合同总价（含税）为：￥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22D1A9C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AA12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BECEEB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vAlign w:val="center"/>
          </w:tcPr>
          <w:p w14:paraId="6576942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vAlign w:val="center"/>
          </w:tcPr>
          <w:p w14:paraId="7F2EB03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分项价格</w:t>
            </w:r>
          </w:p>
        </w:tc>
      </w:tr>
      <w:tr w14:paraId="1781B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F14434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14:paraId="0741BE4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14:paraId="2A0B629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14:paraId="067C6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BCA9AB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14:paraId="154F76E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14:paraId="7BDC777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14:paraId="23412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DC687A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14:paraId="37FC1CA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14:paraId="657CD31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14:paraId="0EE03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D49F5C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14:paraId="48EBB9C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14:paraId="4A3A22C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14:paraId="0382E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11C90DE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vAlign w:val="center"/>
          </w:tcPr>
          <w:p w14:paraId="640F57B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bl>
    <w:p w14:paraId="0B20E0A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bookmarkStart w:id="53" w:name="_Toc3654"/>
      <w:bookmarkStart w:id="54" w:name="_Toc30158"/>
      <w:bookmarkStart w:id="55" w:name="_Toc14993"/>
      <w:bookmarkStart w:id="56" w:name="_Toc30506"/>
      <w:bookmarkStart w:id="57" w:name="_Toc26916"/>
      <w:r>
        <w:rPr>
          <w:rFonts w:hint="eastAsia" w:ascii="仿宋" w:hAnsi="仿宋" w:eastAsia="仿宋" w:cs="仿宋"/>
          <w:bCs/>
          <w:sz w:val="24"/>
          <w:highlight w:val="none"/>
        </w:rPr>
        <w:t>1.3.2单价合同，本合同单价（含税）标准为：</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。服务工作量的计量方式为：</w:t>
      </w:r>
      <w:r>
        <w:rPr>
          <w:rFonts w:hint="eastAsia" w:ascii="仿宋" w:hAnsi="仿宋" w:eastAsia="仿宋" w:cs="仿宋"/>
          <w:bCs/>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。单价合同，在合同履行期间内，根据实际完成的工作量据实结算，但结算总价上限不得超过预算金额或者双方确定的金额￥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5CC144BE">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highlight w:val="none"/>
          <w:lang w:val="en-US"/>
        </w:rPr>
      </w:pPr>
      <w:r>
        <w:rPr>
          <w:rFonts w:hint="eastAsia" w:ascii="仿宋" w:hAnsi="仿宋" w:eastAsia="仿宋" w:cs="仿宋"/>
          <w:b w:val="0"/>
          <w:bCs w:val="0"/>
          <w:sz w:val="24"/>
          <w:highlight w:val="none"/>
          <w:lang w:val="en-US"/>
        </w:rPr>
        <w:t>1.3.3其他计价方式：</w:t>
      </w:r>
      <w:r>
        <w:rPr>
          <w:rFonts w:hint="eastAsia" w:ascii="仿宋" w:hAnsi="仿宋" w:eastAsia="仿宋" w:cs="仿宋"/>
          <w:b w:val="0"/>
          <w:bCs w:val="0"/>
          <w:sz w:val="24"/>
          <w:highlight w:val="none"/>
          <w:u w:val="single"/>
          <w:lang w:val="en-US"/>
        </w:rPr>
        <w:t xml:space="preserve">                   </w:t>
      </w:r>
      <w:r>
        <w:rPr>
          <w:rFonts w:hint="eastAsia" w:ascii="仿宋" w:hAnsi="仿宋" w:eastAsia="仿宋" w:cs="仿宋"/>
          <w:b w:val="0"/>
          <w:bCs w:val="0"/>
          <w:sz w:val="24"/>
          <w:highlight w:val="none"/>
        </w:rPr>
        <w:t>。</w:t>
      </w:r>
    </w:p>
    <w:bookmarkEnd w:id="53"/>
    <w:bookmarkEnd w:id="54"/>
    <w:bookmarkEnd w:id="55"/>
    <w:bookmarkEnd w:id="56"/>
    <w:bookmarkEnd w:id="57"/>
    <w:p w14:paraId="4965FF7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highlight w:val="none"/>
        </w:rPr>
      </w:pPr>
      <w:bookmarkStart w:id="58" w:name="_Toc22618"/>
      <w:bookmarkStart w:id="59" w:name="_Toc10340"/>
      <w:bookmarkStart w:id="60" w:name="_Toc1814"/>
      <w:bookmarkStart w:id="61" w:name="_Toc4760"/>
      <w:bookmarkStart w:id="62" w:name="_Toc11108"/>
      <w:bookmarkStart w:id="63" w:name="_Toc31421"/>
      <w:bookmarkStart w:id="64" w:name="_Toc8772"/>
      <w:bookmarkStart w:id="65" w:name="_Toc3625"/>
      <w:r>
        <w:rPr>
          <w:rFonts w:hint="eastAsia" w:ascii="仿宋" w:hAnsi="仿宋" w:eastAsia="仿宋" w:cs="仿宋"/>
          <w:b/>
          <w:highlight w:val="none"/>
        </w:rPr>
        <w:t>1.4履约保证金</w:t>
      </w:r>
    </w:p>
    <w:p w14:paraId="41C486A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（是/否）需要支付履约保证金。若需要支付履约保证金的，则：</w:t>
      </w:r>
    </w:p>
    <w:p w14:paraId="188129A5">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2797720E">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67026931">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highlight w:val="none"/>
          <w:lang w:val="en-US"/>
        </w:rPr>
      </w:pPr>
      <w:r>
        <w:rPr>
          <w:rFonts w:hint="eastAsia" w:ascii="仿宋" w:hAns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226EAC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1.4.4甲方在项目验收结束后及时退还履约保证金。甲方在项目通过验收之日起</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%计算，最高限额为本合同履约保证金的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14:paraId="105D6DA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1.5</w:t>
      </w:r>
      <w:bookmarkEnd w:id="58"/>
      <w:bookmarkEnd w:id="59"/>
      <w:bookmarkEnd w:id="60"/>
      <w:r>
        <w:rPr>
          <w:rFonts w:hint="eastAsia" w:ascii="仿宋" w:hAnsi="仿宋" w:eastAsia="仿宋" w:cs="仿宋"/>
          <w:b/>
          <w:sz w:val="24"/>
          <w:highlight w:val="none"/>
        </w:rPr>
        <w:t>预付款</w:t>
      </w:r>
    </w:p>
    <w:p w14:paraId="794E7C2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甲方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（是/否）需要支付预付款。若需要支付预付款的，则：</w:t>
      </w:r>
    </w:p>
    <w:p w14:paraId="0AD21F0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622DEEB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2EF7CB52">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7FA43E6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highlight w:val="none"/>
        </w:rPr>
      </w:pPr>
      <w:r>
        <w:rPr>
          <w:rFonts w:hint="eastAsia" w:ascii="仿宋" w:hAnsi="仿宋" w:eastAsia="仿宋" w:cs="仿宋"/>
          <w:b/>
          <w:bCs/>
          <w:highlight w:val="none"/>
        </w:rPr>
        <w:t>1.6资金支付</w:t>
      </w:r>
    </w:p>
    <w:p w14:paraId="12CFB28C">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1.6.1甲方应严格履行合同，及时组织验收，验收合格后及时将合同款支付完毕。对于满足合同约定支付条</w:t>
      </w:r>
      <w:r>
        <w:rPr>
          <w:rFonts w:hint="eastAsia" w:ascii="仿宋" w:hAnsi="仿宋" w:eastAsia="仿宋" w:cs="仿宋"/>
          <w:color w:val="000000" w:themeColor="text1"/>
          <w:highlight w:val="none"/>
          <w14:textFill>
            <w14:solidFill>
              <w14:schemeClr w14:val="tx1"/>
            </w14:solidFill>
          </w14:textFill>
        </w:rPr>
        <w:t>件的，甲方自收到发票后</w:t>
      </w:r>
      <w:r>
        <w:rPr>
          <w:rFonts w:hint="eastAsia" w:ascii="仿宋" w:hAnsi="仿宋" w:eastAsia="仿宋" w:cs="仿宋"/>
          <w:color w:val="000000" w:themeColor="text1"/>
          <w:highlight w:val="none"/>
          <w:lang w:val="en-US" w:eastAsia="zh-CN"/>
          <w14:textFill>
            <w14:solidFill>
              <w14:schemeClr w14:val="tx1"/>
            </w14:solidFill>
          </w14:textFill>
        </w:rPr>
        <w:t>7</w:t>
      </w:r>
      <w:r>
        <w:rPr>
          <w:rFonts w:hint="eastAsia" w:ascii="仿宋" w:hAnsi="仿宋" w:eastAsia="仿宋" w:cs="仿宋"/>
          <w:color w:val="000000" w:themeColor="text1"/>
          <w:highlight w:val="none"/>
          <w14:textFill>
            <w14:solidFill>
              <w14:schemeClr w14:val="tx1"/>
            </w14:solidFill>
          </w14:textFill>
        </w:rPr>
        <w:t>个工作日内将资金支付到合同约定的乙方账户，有条件的甲方可</w:t>
      </w:r>
      <w:r>
        <w:rPr>
          <w:rFonts w:hint="eastAsia" w:ascii="仿宋" w:hAnsi="仿宋" w:eastAsia="仿宋" w:cs="仿宋"/>
          <w:highlight w:val="none"/>
        </w:rPr>
        <w:t>以即时支付。甲方不得以机构变动、人员更替、政策调整、单位放假等为由延迟付款。</w:t>
      </w:r>
    </w:p>
    <w:p w14:paraId="25192E0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3C32CB9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1.7 履行期限、地点和方式</w:t>
      </w:r>
      <w:bookmarkEnd w:id="61"/>
      <w:bookmarkEnd w:id="62"/>
      <w:bookmarkEnd w:id="63"/>
      <w:bookmarkEnd w:id="64"/>
      <w:bookmarkEnd w:id="65"/>
    </w:p>
    <w:p w14:paraId="6C685D3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1.7.1 服务交付（实施）的时间（期限）：</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575AEEB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1.7.2 服务交付（实施）的地点（地域范围）：</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7703DD4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1.7.3 服务交付（实施）的方式：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77A314F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highlight w:val="none"/>
        </w:rPr>
      </w:pPr>
      <w:bookmarkStart w:id="66" w:name="_Toc24662"/>
      <w:bookmarkStart w:id="67" w:name="_Toc8586"/>
      <w:bookmarkStart w:id="68" w:name="_Toc5698"/>
      <w:bookmarkStart w:id="69" w:name="_Toc3079"/>
      <w:bookmarkStart w:id="70" w:name="_Toc2375"/>
      <w:r>
        <w:rPr>
          <w:rFonts w:hint="eastAsia" w:ascii="仿宋" w:hAnsi="仿宋" w:eastAsia="仿宋" w:cs="仿宋"/>
          <w:bCs/>
          <w:sz w:val="24"/>
          <w:highlight w:val="none"/>
        </w:rPr>
        <w:t>1.7.4若服务涉及货物的，则货物的：</w:t>
      </w:r>
    </w:p>
    <w:p w14:paraId="24337C7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1.7.4.1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5ECD204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1.7.4.2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0257C37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1.7.4.3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5759138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highlight w:val="none"/>
          <w:u w:val="single"/>
        </w:rPr>
      </w:pPr>
      <w:r>
        <w:rPr>
          <w:rFonts w:hint="eastAsia" w:ascii="仿宋" w:hAnsi="仿宋" w:eastAsia="仿宋" w:cs="仿宋"/>
          <w:b/>
          <w:sz w:val="24"/>
          <w:highlight w:val="none"/>
        </w:rPr>
        <w:t>1.8违约责任</w:t>
      </w:r>
      <w:bookmarkEnd w:id="66"/>
      <w:bookmarkEnd w:id="67"/>
      <w:bookmarkEnd w:id="68"/>
      <w:bookmarkEnd w:id="69"/>
      <w:bookmarkEnd w:id="70"/>
    </w:p>
    <w:p w14:paraId="67A672D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%；迟延履行的违约金计算数额达到前述最高限额之日起，甲方有权在要求乙方支付违约金的同时，书面通知乙方解除本合同；</w:t>
      </w:r>
    </w:p>
    <w:p w14:paraId="5A18E102">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highlight w:val="none"/>
          <w:lang w:val="en-US"/>
        </w:rPr>
      </w:pPr>
      <w:r>
        <w:rPr>
          <w:rFonts w:hint="eastAsia" w:ascii="仿宋" w:hAnsi="仿宋" w:eastAsia="仿宋" w:cs="仿宋"/>
          <w:b w:val="0"/>
          <w:bCs w:val="0"/>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u w:val="single"/>
          <w:lang w:val="en-US"/>
        </w:rPr>
        <w:t xml:space="preserve"> </w:t>
      </w:r>
      <w:r>
        <w:rPr>
          <w:rFonts w:hint="eastAsia" w:ascii="仿宋" w:hAnsi="仿宋" w:eastAsia="仿宋" w:cs="仿宋"/>
          <w:b w:val="0"/>
          <w:bCs w:val="0"/>
          <w:sz w:val="24"/>
          <w:szCs w:val="24"/>
          <w:highlight w:val="none"/>
          <w:lang w:val="en-US"/>
        </w:rPr>
        <w:t>%计算，最高限额为本合同总价的</w:t>
      </w:r>
      <w:r>
        <w:rPr>
          <w:rFonts w:hint="eastAsia" w:ascii="仿宋" w:hAns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u w:val="single"/>
          <w:lang w:val="en-US"/>
        </w:rPr>
        <w:t xml:space="preserve"> </w:t>
      </w:r>
      <w:r>
        <w:rPr>
          <w:rFonts w:hint="eastAsia" w:ascii="仿宋" w:hAnsi="仿宋" w:eastAsia="仿宋" w:cs="仿宋"/>
          <w:b w:val="0"/>
          <w:bCs w:val="0"/>
          <w:sz w:val="24"/>
          <w:szCs w:val="24"/>
          <w:highlight w:val="none"/>
          <w:lang w:val="en-US"/>
        </w:rPr>
        <w:t>%；迟延交付货物的违约金计算数额达到前述最高限额之日起，甲方有权在要求乙方支付违约金的同时，书面通知乙方解除本合同；</w:t>
      </w:r>
    </w:p>
    <w:p w14:paraId="4F711F8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14:paraId="2722BE7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bookmarkStart w:id="71" w:name="_Toc30329"/>
      <w:bookmarkStart w:id="72" w:name="_Toc18683"/>
      <w:bookmarkStart w:id="73" w:name="_Toc26807"/>
      <w:bookmarkStart w:id="74" w:name="_Toc32454"/>
      <w:bookmarkStart w:id="75" w:name="_Toc9497"/>
      <w:r>
        <w:rPr>
          <w:rFonts w:hint="eastAsia" w:ascii="仿宋" w:hAnsi="仿宋" w:eastAsia="仿宋"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E54B79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09980A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0399575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sz w:val="24"/>
          <w:highlight w:val="none"/>
        </w:rPr>
        <w:t>1.8.7违约责任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bookmarkEnd w:id="71"/>
    <w:bookmarkEnd w:id="72"/>
    <w:bookmarkEnd w:id="73"/>
    <w:bookmarkEnd w:id="74"/>
    <w:bookmarkEnd w:id="75"/>
    <w:p w14:paraId="7940529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bookmarkStart w:id="76" w:name="_Toc28375"/>
      <w:bookmarkStart w:id="77" w:name="_Toc15583"/>
      <w:bookmarkStart w:id="78" w:name="_Toc16021"/>
      <w:r>
        <w:rPr>
          <w:rFonts w:hint="eastAsia" w:ascii="仿宋" w:hAnsi="仿宋" w:eastAsia="仿宋" w:cs="仿宋"/>
          <w:b/>
          <w:sz w:val="24"/>
          <w:highlight w:val="none"/>
        </w:rPr>
        <w:t>1.9合同争议的解决</w:t>
      </w:r>
      <w:bookmarkEnd w:id="76"/>
      <w:bookmarkEnd w:id="77"/>
      <w:bookmarkEnd w:id="78"/>
    </w:p>
    <w:p w14:paraId="23F505C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000000" w:themeColor="text1"/>
          <w:kern w:val="0"/>
          <w:sz w:val="24"/>
          <w:szCs w:val="20"/>
          <w:highlight w:val="none"/>
          <w:lang w:eastAsia="zh-CN"/>
          <w14:textFill>
            <w14:solidFill>
              <w14:schemeClr w14:val="tx1"/>
            </w14:solidFill>
          </w14:textFill>
        </w:rPr>
        <w:t>柯桥分会</w:t>
      </w:r>
      <w:r>
        <w:rPr>
          <w:rFonts w:hint="eastAsia" w:ascii="仿宋" w:hAnsi="仿宋" w:eastAsia="仿宋" w:cs="仿宋"/>
          <w:color w:val="000000" w:themeColor="text1"/>
          <w:sz w:val="24"/>
          <w:highlight w:val="none"/>
          <w14:textFill>
            <w14:solidFill>
              <w14:schemeClr w14:val="tx1"/>
            </w14:solidFill>
          </w14:textFill>
        </w:rPr>
        <w:t>仲裁。</w:t>
      </w:r>
    </w:p>
    <w:p w14:paraId="0525AB9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bookmarkStart w:id="79" w:name="_Toc15322"/>
      <w:bookmarkStart w:id="80" w:name="_Toc7245"/>
      <w:bookmarkStart w:id="81" w:name="_Toc11173"/>
      <w:r>
        <w:rPr>
          <w:rFonts w:hint="eastAsia" w:ascii="仿宋" w:hAnsi="仿宋" w:eastAsia="仿宋" w:cs="仿宋"/>
          <w:b/>
          <w:sz w:val="24"/>
          <w:highlight w:val="none"/>
        </w:rPr>
        <w:t>2.0 合同生效</w:t>
      </w:r>
      <w:bookmarkEnd w:id="79"/>
      <w:bookmarkEnd w:id="80"/>
      <w:bookmarkEnd w:id="81"/>
    </w:p>
    <w:p w14:paraId="29492C5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本合同自双方当事人盖章签字时生效。</w:t>
      </w:r>
    </w:p>
    <w:p w14:paraId="4C1F5A4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14:paraId="05EFC5A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14:paraId="1FAD274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住所：                                   住所：</w:t>
      </w:r>
    </w:p>
    <w:p w14:paraId="0985CA2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法定代表人或                             法定代表人或</w:t>
      </w:r>
    </w:p>
    <w:p w14:paraId="19619F9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授权代表（签字）: </w:t>
      </w:r>
    </w:p>
    <w:p w14:paraId="324469F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联系人：                                 联系人：</w:t>
      </w:r>
    </w:p>
    <w:p w14:paraId="2E2FA60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14:paraId="7BA0D64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14:paraId="337FB00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14:paraId="1B21CA5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传真:                                    传真:</w:t>
      </w:r>
    </w:p>
    <w:p w14:paraId="7324C5C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lang w:val="zh-CN"/>
        </w:rPr>
        <w:t>电子邮箱：                               电子邮箱：</w:t>
      </w:r>
    </w:p>
    <w:p w14:paraId="49D1711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开户银行：                               开户银行： </w:t>
      </w:r>
    </w:p>
    <w:p w14:paraId="39E742A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开户名称：                               开户名称： </w:t>
      </w:r>
    </w:p>
    <w:p w14:paraId="577C23F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14:paraId="10C40C79">
      <w:pPr>
        <w:widowControl/>
        <w:adjustRightInd/>
        <w:jc w:val="left"/>
        <w:rPr>
          <w:rFonts w:hint="eastAsia" w:ascii="仿宋" w:hAnsi="仿宋" w:eastAsia="仿宋" w:cs="仿宋"/>
          <w:b/>
          <w:sz w:val="24"/>
          <w:highlight w:val="none"/>
        </w:rPr>
      </w:pPr>
      <w:r>
        <w:rPr>
          <w:rFonts w:hint="eastAsia" w:ascii="仿宋" w:hAnsi="仿宋" w:eastAsia="仿宋" w:cs="仿宋"/>
          <w:b/>
          <w:highlight w:val="none"/>
        </w:rPr>
        <w:br w:type="page"/>
      </w:r>
    </w:p>
    <w:p w14:paraId="25696F1B">
      <w:pPr>
        <w:pStyle w:val="700"/>
        <w:spacing w:line="560" w:lineRule="exact"/>
        <w:ind w:firstLine="482"/>
        <w:jc w:val="center"/>
        <w:rPr>
          <w:rFonts w:hint="eastAsia" w:ascii="仿宋" w:hAnsi="仿宋" w:eastAsia="仿宋" w:cs="仿宋"/>
          <w:b/>
          <w:szCs w:val="24"/>
          <w:highlight w:val="none"/>
        </w:rPr>
      </w:pPr>
      <w:r>
        <w:rPr>
          <w:rFonts w:hint="eastAsia" w:ascii="仿宋" w:hAnsi="仿宋" w:eastAsia="仿宋" w:cs="仿宋"/>
          <w:b/>
          <w:szCs w:val="24"/>
          <w:highlight w:val="none"/>
        </w:rPr>
        <w:t>第二部分 合同一般条款</w:t>
      </w:r>
    </w:p>
    <w:p w14:paraId="5C5810FB">
      <w:pPr>
        <w:spacing w:line="560" w:lineRule="exact"/>
        <w:ind w:firstLine="482" w:firstLineChars="200"/>
        <w:outlineLvl w:val="0"/>
        <w:rPr>
          <w:rFonts w:hint="eastAsia" w:ascii="仿宋" w:hAnsi="仿宋" w:eastAsia="仿宋" w:cs="仿宋"/>
          <w:b/>
          <w:sz w:val="24"/>
          <w:highlight w:val="none"/>
        </w:rPr>
      </w:pPr>
      <w:bookmarkStart w:id="82" w:name="_Toc19680"/>
      <w:bookmarkStart w:id="83" w:name="_Toc31297"/>
      <w:bookmarkStart w:id="84" w:name="_Toc14021"/>
      <w:bookmarkStart w:id="85" w:name="_Toc5228"/>
      <w:bookmarkStart w:id="86" w:name="_Toc25079"/>
      <w:r>
        <w:rPr>
          <w:rFonts w:hint="eastAsia" w:ascii="仿宋" w:hAnsi="仿宋" w:eastAsia="仿宋" w:cs="仿宋"/>
          <w:b/>
          <w:sz w:val="24"/>
          <w:highlight w:val="none"/>
        </w:rPr>
        <w:t>2.1 定义</w:t>
      </w:r>
      <w:bookmarkEnd w:id="82"/>
      <w:bookmarkEnd w:id="83"/>
      <w:bookmarkEnd w:id="84"/>
      <w:bookmarkEnd w:id="85"/>
      <w:bookmarkEnd w:id="86"/>
    </w:p>
    <w:p w14:paraId="414FB5F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14:paraId="65A11A2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14:paraId="71756CB9">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14:paraId="7A6E534D">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2.1.3 “服务”系指中标或成交供应商根据合同约定应向采购人履行的除货物和工程以外的其他政府采购对象，包括采购人自身需要的服务和向社会公众提供的公共服务。</w:t>
      </w:r>
    </w:p>
    <w:p w14:paraId="4752E18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 “甲方”系指与中标或成交供应商签署合同的采购人；采购人委托采购代理机构代表其与乙方签订合同的，采购人的授权委托书作为合同附件。</w:t>
      </w:r>
    </w:p>
    <w:p w14:paraId="17C5B2CD">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A1E88A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 “现场”系指合同约定提供服务的地点。</w:t>
      </w:r>
    </w:p>
    <w:p w14:paraId="2F6ADF89">
      <w:pPr>
        <w:spacing w:line="560" w:lineRule="exact"/>
        <w:ind w:firstLine="482" w:firstLineChars="200"/>
        <w:outlineLvl w:val="0"/>
        <w:rPr>
          <w:rFonts w:hint="eastAsia" w:ascii="仿宋" w:hAnsi="仿宋" w:eastAsia="仿宋" w:cs="仿宋"/>
          <w:b/>
          <w:sz w:val="24"/>
          <w:highlight w:val="none"/>
        </w:rPr>
      </w:pPr>
      <w:bookmarkStart w:id="87" w:name="_Toc23289"/>
      <w:bookmarkStart w:id="88" w:name="_Toc3769"/>
      <w:bookmarkStart w:id="89" w:name="_Toc16752"/>
      <w:bookmarkStart w:id="90" w:name="_Toc31402"/>
      <w:bookmarkStart w:id="91" w:name="_Toc19539"/>
      <w:r>
        <w:rPr>
          <w:rFonts w:hint="eastAsia" w:ascii="仿宋" w:hAnsi="仿宋" w:eastAsia="仿宋" w:cs="仿宋"/>
          <w:b/>
          <w:sz w:val="24"/>
          <w:highlight w:val="none"/>
        </w:rPr>
        <w:t>2.2 技术规范</w:t>
      </w:r>
      <w:bookmarkEnd w:id="87"/>
      <w:bookmarkEnd w:id="88"/>
      <w:bookmarkEnd w:id="89"/>
      <w:bookmarkEnd w:id="90"/>
      <w:bookmarkEnd w:id="91"/>
    </w:p>
    <w:p w14:paraId="2149CFD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FFC4B12">
      <w:pPr>
        <w:spacing w:line="560" w:lineRule="exact"/>
        <w:ind w:firstLine="482" w:firstLineChars="200"/>
        <w:outlineLvl w:val="0"/>
        <w:rPr>
          <w:rFonts w:hint="eastAsia" w:ascii="仿宋" w:hAnsi="仿宋" w:eastAsia="仿宋" w:cs="仿宋"/>
          <w:b/>
          <w:sz w:val="24"/>
          <w:highlight w:val="none"/>
        </w:rPr>
      </w:pPr>
      <w:bookmarkStart w:id="92" w:name="_Toc4133"/>
      <w:bookmarkStart w:id="93" w:name="_Toc12412"/>
      <w:bookmarkStart w:id="94" w:name="_Toc13673"/>
      <w:bookmarkStart w:id="95" w:name="_Toc27945"/>
      <w:bookmarkStart w:id="96" w:name="_Toc9161"/>
      <w:r>
        <w:rPr>
          <w:rFonts w:hint="eastAsia" w:ascii="仿宋" w:hAnsi="仿宋" w:eastAsia="仿宋" w:cs="仿宋"/>
          <w:b/>
          <w:sz w:val="24"/>
          <w:highlight w:val="none"/>
        </w:rPr>
        <w:t>2.3 知识产权</w:t>
      </w:r>
      <w:bookmarkEnd w:id="92"/>
      <w:bookmarkEnd w:id="93"/>
      <w:bookmarkEnd w:id="94"/>
      <w:bookmarkEnd w:id="95"/>
      <w:bookmarkEnd w:id="96"/>
    </w:p>
    <w:p w14:paraId="345F88F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66D0F26">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2.3.2 合同涉及技术成果的归属和收益的分成办法的，详见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51C01043">
      <w:pPr>
        <w:spacing w:line="56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2.4 履约检查和问题反馈</w:t>
      </w:r>
    </w:p>
    <w:p w14:paraId="1B4BF61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AB3EF0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2.4.2 合同履行期间，甲方有权将履行过程中出现的问题反馈给乙方，双方当事人应以书面形式约定需要完善和改进的内容。</w:t>
      </w:r>
    </w:p>
    <w:p w14:paraId="595FEC0C">
      <w:pPr>
        <w:spacing w:line="560" w:lineRule="exact"/>
        <w:ind w:firstLine="482" w:firstLineChars="200"/>
        <w:outlineLvl w:val="0"/>
        <w:rPr>
          <w:rFonts w:hint="eastAsia" w:ascii="仿宋" w:hAnsi="仿宋" w:eastAsia="仿宋" w:cs="仿宋"/>
          <w:b/>
          <w:sz w:val="24"/>
          <w:highlight w:val="none"/>
        </w:rPr>
      </w:pPr>
      <w:bookmarkStart w:id="97" w:name="_Toc31233"/>
      <w:bookmarkStart w:id="98" w:name="_Toc26555"/>
      <w:bookmarkStart w:id="99" w:name="_Toc15447"/>
      <w:bookmarkStart w:id="100" w:name="_Toc32670"/>
      <w:bookmarkStart w:id="101" w:name="_Toc22011"/>
      <w:r>
        <w:rPr>
          <w:rFonts w:hint="eastAsia" w:ascii="仿宋" w:hAnsi="仿宋" w:eastAsia="仿宋" w:cs="仿宋"/>
          <w:b/>
          <w:sz w:val="24"/>
          <w:highlight w:val="none"/>
        </w:rPr>
        <w:t>2.5 结算方式和付款条件</w:t>
      </w:r>
      <w:bookmarkEnd w:id="97"/>
      <w:bookmarkEnd w:id="98"/>
      <w:bookmarkEnd w:id="99"/>
      <w:bookmarkEnd w:id="100"/>
      <w:bookmarkEnd w:id="101"/>
    </w:p>
    <w:p w14:paraId="1C0973FC">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4CAF8C12">
      <w:pPr>
        <w:spacing w:line="560" w:lineRule="exact"/>
        <w:ind w:firstLine="482" w:firstLineChars="200"/>
        <w:outlineLvl w:val="0"/>
        <w:rPr>
          <w:rFonts w:hint="eastAsia" w:ascii="仿宋" w:hAnsi="仿宋" w:eastAsia="仿宋" w:cs="仿宋"/>
          <w:b/>
          <w:sz w:val="24"/>
          <w:highlight w:val="none"/>
        </w:rPr>
      </w:pPr>
      <w:bookmarkStart w:id="102" w:name="_Toc13154"/>
      <w:bookmarkStart w:id="103" w:name="_Toc18990"/>
      <w:bookmarkStart w:id="104" w:name="_Toc13467"/>
      <w:bookmarkStart w:id="105" w:name="_Toc16163"/>
      <w:bookmarkStart w:id="106" w:name="_Toc30507"/>
      <w:r>
        <w:rPr>
          <w:rFonts w:hint="eastAsia" w:ascii="仿宋" w:hAnsi="仿宋" w:eastAsia="仿宋" w:cs="仿宋"/>
          <w:b/>
          <w:sz w:val="24"/>
          <w:highlight w:val="none"/>
        </w:rPr>
        <w:t>2.6 技术资料和保密义务</w:t>
      </w:r>
      <w:bookmarkEnd w:id="102"/>
      <w:bookmarkEnd w:id="103"/>
      <w:bookmarkEnd w:id="104"/>
      <w:bookmarkEnd w:id="105"/>
      <w:bookmarkEnd w:id="106"/>
    </w:p>
    <w:p w14:paraId="436FCF5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14:paraId="0193E0DD">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14:paraId="153507B5">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A7F2A9B">
      <w:pPr>
        <w:spacing w:line="560" w:lineRule="exact"/>
        <w:ind w:firstLine="482" w:firstLineChars="200"/>
        <w:outlineLvl w:val="0"/>
        <w:rPr>
          <w:rFonts w:hint="eastAsia" w:ascii="仿宋" w:hAnsi="仿宋" w:eastAsia="仿宋" w:cs="仿宋"/>
          <w:b/>
          <w:sz w:val="24"/>
          <w:highlight w:val="none"/>
        </w:rPr>
      </w:pPr>
      <w:bookmarkStart w:id="107" w:name="_Toc19069"/>
      <w:r>
        <w:rPr>
          <w:rFonts w:hint="eastAsia" w:ascii="仿宋" w:hAnsi="仿宋" w:eastAsia="仿宋" w:cs="仿宋"/>
          <w:b/>
          <w:sz w:val="24"/>
          <w:highlight w:val="none"/>
        </w:rPr>
        <w:t>2.7 质量保证</w:t>
      </w:r>
      <w:bookmarkEnd w:id="107"/>
    </w:p>
    <w:p w14:paraId="155D973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14:paraId="456C233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14:paraId="5717CA13">
      <w:pPr>
        <w:spacing w:line="560" w:lineRule="exact"/>
        <w:ind w:firstLine="482" w:firstLineChars="200"/>
        <w:outlineLvl w:val="0"/>
        <w:rPr>
          <w:rFonts w:hint="eastAsia" w:ascii="仿宋" w:hAnsi="仿宋" w:eastAsia="仿宋" w:cs="仿宋"/>
          <w:b/>
          <w:sz w:val="24"/>
          <w:highlight w:val="none"/>
        </w:rPr>
      </w:pPr>
      <w:bookmarkStart w:id="108" w:name="_Toc22267"/>
      <w:r>
        <w:rPr>
          <w:rFonts w:hint="eastAsia" w:ascii="仿宋" w:hAnsi="仿宋" w:eastAsia="仿宋" w:cs="仿宋"/>
          <w:b/>
          <w:sz w:val="24"/>
          <w:highlight w:val="none"/>
        </w:rPr>
        <w:t>2.8 延迟履行</w:t>
      </w:r>
      <w:bookmarkEnd w:id="108"/>
    </w:p>
    <w:p w14:paraId="5CD91159">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6CA19638">
      <w:pPr>
        <w:spacing w:line="560" w:lineRule="exact"/>
        <w:ind w:firstLine="482" w:firstLineChars="200"/>
        <w:outlineLvl w:val="0"/>
        <w:rPr>
          <w:rFonts w:hint="eastAsia" w:ascii="仿宋" w:hAnsi="仿宋" w:eastAsia="仿宋" w:cs="仿宋"/>
          <w:b/>
          <w:sz w:val="24"/>
          <w:highlight w:val="none"/>
        </w:rPr>
      </w:pPr>
      <w:bookmarkStart w:id="109" w:name="_Toc10611"/>
      <w:r>
        <w:rPr>
          <w:rFonts w:hint="eastAsia" w:ascii="仿宋" w:hAnsi="仿宋" w:eastAsia="仿宋" w:cs="仿宋"/>
          <w:b/>
          <w:sz w:val="24"/>
          <w:highlight w:val="none"/>
        </w:rPr>
        <w:t>2.9 合同变更</w:t>
      </w:r>
      <w:bookmarkEnd w:id="109"/>
    </w:p>
    <w:p w14:paraId="7A8B43D8">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p>
    <w:p w14:paraId="115DC355">
      <w:pPr>
        <w:spacing w:line="560" w:lineRule="exact"/>
        <w:ind w:firstLine="482" w:firstLineChars="200"/>
        <w:outlineLvl w:val="0"/>
        <w:rPr>
          <w:rFonts w:hint="eastAsia" w:ascii="仿宋" w:hAnsi="仿宋" w:eastAsia="仿宋" w:cs="仿宋"/>
          <w:b/>
          <w:sz w:val="24"/>
          <w:highlight w:val="none"/>
        </w:rPr>
      </w:pPr>
      <w:bookmarkStart w:id="110" w:name="_Toc21830"/>
      <w:bookmarkStart w:id="111" w:name="_Toc26689"/>
      <w:bookmarkStart w:id="112" w:name="_Toc42"/>
      <w:bookmarkStart w:id="113" w:name="_Toc23368"/>
      <w:bookmarkStart w:id="114" w:name="_Toc10663"/>
      <w:r>
        <w:rPr>
          <w:rFonts w:hint="eastAsia" w:ascii="仿宋" w:hAnsi="仿宋" w:eastAsia="仿宋" w:cs="仿宋"/>
          <w:b/>
          <w:sz w:val="24"/>
          <w:highlight w:val="none"/>
        </w:rPr>
        <w:t>2.10 合同转让和分包</w:t>
      </w:r>
      <w:bookmarkEnd w:id="110"/>
      <w:bookmarkEnd w:id="111"/>
      <w:bookmarkEnd w:id="112"/>
      <w:bookmarkEnd w:id="113"/>
      <w:bookmarkEnd w:id="114"/>
    </w:p>
    <w:p w14:paraId="5FAB595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B5FEDA7">
      <w:pPr>
        <w:spacing w:line="560" w:lineRule="exact"/>
        <w:ind w:firstLine="482" w:firstLineChars="200"/>
        <w:outlineLvl w:val="0"/>
        <w:rPr>
          <w:rFonts w:hint="eastAsia" w:ascii="仿宋" w:hAnsi="仿宋" w:eastAsia="仿宋" w:cs="仿宋"/>
          <w:b/>
          <w:sz w:val="24"/>
          <w:highlight w:val="none"/>
        </w:rPr>
      </w:pPr>
      <w:bookmarkStart w:id="115" w:name="_Toc26633"/>
      <w:bookmarkStart w:id="116" w:name="_Toc4720"/>
      <w:bookmarkStart w:id="117" w:name="_Toc14371"/>
      <w:bookmarkStart w:id="118" w:name="_Toc25571"/>
      <w:bookmarkStart w:id="119" w:name="_Toc32494"/>
      <w:r>
        <w:rPr>
          <w:rFonts w:hint="eastAsia" w:ascii="仿宋" w:hAnsi="仿宋" w:eastAsia="仿宋" w:cs="仿宋"/>
          <w:b/>
          <w:sz w:val="24"/>
          <w:highlight w:val="none"/>
        </w:rPr>
        <w:t>2.11 不可抗力</w:t>
      </w:r>
      <w:bookmarkEnd w:id="115"/>
      <w:bookmarkEnd w:id="116"/>
      <w:bookmarkEnd w:id="117"/>
      <w:bookmarkEnd w:id="118"/>
      <w:bookmarkEnd w:id="119"/>
    </w:p>
    <w:p w14:paraId="719C602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2.11.1如果任何一方遭遇法律规定的不可抗力，致使合同履行受阻时，履行合同的期限应予延长，延长的期限应相当于不可抗力所影响的时间；</w:t>
      </w:r>
    </w:p>
    <w:p w14:paraId="79E0DDB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2.11.2 因不可抗力致使不能实现合同目的的，当事人可以解除合同；</w:t>
      </w:r>
    </w:p>
    <w:p w14:paraId="402EB7D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14:paraId="370E357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14:paraId="042FB8DF">
      <w:pPr>
        <w:spacing w:line="560" w:lineRule="exact"/>
        <w:ind w:firstLine="482" w:firstLineChars="200"/>
        <w:outlineLvl w:val="0"/>
        <w:rPr>
          <w:rFonts w:hint="eastAsia" w:ascii="仿宋" w:hAnsi="仿宋" w:eastAsia="仿宋" w:cs="仿宋"/>
          <w:b/>
          <w:sz w:val="24"/>
          <w:highlight w:val="none"/>
        </w:rPr>
      </w:pPr>
      <w:bookmarkStart w:id="120" w:name="_Toc14115"/>
      <w:bookmarkStart w:id="121" w:name="_Toc24465"/>
      <w:bookmarkStart w:id="122" w:name="_Toc3638"/>
      <w:bookmarkStart w:id="123" w:name="_Toc23854"/>
      <w:bookmarkStart w:id="124" w:name="_Toc25783"/>
      <w:r>
        <w:rPr>
          <w:rFonts w:hint="eastAsia" w:ascii="仿宋" w:hAnsi="仿宋" w:eastAsia="仿宋" w:cs="仿宋"/>
          <w:b/>
          <w:sz w:val="24"/>
          <w:highlight w:val="none"/>
        </w:rPr>
        <w:t>2.12 税费</w:t>
      </w:r>
      <w:bookmarkEnd w:id="120"/>
      <w:bookmarkEnd w:id="121"/>
      <w:bookmarkEnd w:id="122"/>
      <w:bookmarkEnd w:id="123"/>
      <w:bookmarkEnd w:id="124"/>
    </w:p>
    <w:p w14:paraId="6342EFC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与合同有关的一切税费，均按照中华人民共和国法律的相关规定缴纳。</w:t>
      </w:r>
    </w:p>
    <w:p w14:paraId="1AF37956">
      <w:pPr>
        <w:spacing w:line="560" w:lineRule="exact"/>
        <w:ind w:firstLine="482" w:firstLineChars="200"/>
        <w:outlineLvl w:val="0"/>
        <w:rPr>
          <w:rFonts w:hint="eastAsia" w:ascii="仿宋" w:hAnsi="仿宋" w:eastAsia="仿宋" w:cs="仿宋"/>
          <w:b/>
          <w:sz w:val="24"/>
          <w:highlight w:val="none"/>
        </w:rPr>
      </w:pPr>
      <w:bookmarkStart w:id="125" w:name="_Toc7315"/>
      <w:bookmarkStart w:id="126" w:name="_Toc30105"/>
      <w:bookmarkStart w:id="127" w:name="_Toc26883"/>
      <w:bookmarkStart w:id="128" w:name="_Toc14814"/>
      <w:bookmarkStart w:id="129" w:name="_Toc25525"/>
      <w:r>
        <w:rPr>
          <w:rFonts w:hint="eastAsia" w:ascii="仿宋" w:hAnsi="仿宋" w:eastAsia="仿宋" w:cs="仿宋"/>
          <w:b/>
          <w:sz w:val="24"/>
          <w:highlight w:val="none"/>
        </w:rPr>
        <w:t>2.13 乙方破产</w:t>
      </w:r>
      <w:bookmarkEnd w:id="125"/>
      <w:bookmarkEnd w:id="126"/>
      <w:bookmarkEnd w:id="127"/>
      <w:bookmarkEnd w:id="128"/>
      <w:bookmarkEnd w:id="129"/>
    </w:p>
    <w:p w14:paraId="015FFCBF">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2BB1618">
      <w:pPr>
        <w:spacing w:line="560" w:lineRule="exact"/>
        <w:ind w:firstLine="482" w:firstLineChars="200"/>
        <w:outlineLvl w:val="0"/>
        <w:rPr>
          <w:rFonts w:hint="eastAsia" w:ascii="仿宋" w:hAnsi="仿宋" w:eastAsia="仿宋" w:cs="仿宋"/>
          <w:b/>
          <w:sz w:val="24"/>
          <w:highlight w:val="none"/>
        </w:rPr>
      </w:pPr>
      <w:bookmarkStart w:id="130" w:name="_Toc1123"/>
      <w:bookmarkStart w:id="131" w:name="_Toc2016"/>
      <w:bookmarkStart w:id="132" w:name="_Toc23323"/>
      <w:r>
        <w:rPr>
          <w:rFonts w:hint="eastAsia" w:ascii="仿宋" w:hAnsi="仿宋" w:eastAsia="仿宋" w:cs="仿宋"/>
          <w:b/>
          <w:sz w:val="24"/>
          <w:highlight w:val="none"/>
        </w:rPr>
        <w:t>2.14 合同中止、终止</w:t>
      </w:r>
      <w:bookmarkEnd w:id="130"/>
      <w:bookmarkEnd w:id="131"/>
      <w:bookmarkEnd w:id="132"/>
    </w:p>
    <w:p w14:paraId="7420F82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2.14.1 双方当事人不得擅自中止或者终止合同；</w:t>
      </w:r>
    </w:p>
    <w:p w14:paraId="55A448BD">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2.14.2合同继续履行将损害国家利益和社会公共利益的，双方当事人应当中止或者终止合同。有过错的一方应当承担赔偿责任，双方当事人都有过错的，各自承担相应的责任。</w:t>
      </w:r>
    </w:p>
    <w:p w14:paraId="4739B2A2">
      <w:pPr>
        <w:spacing w:line="560" w:lineRule="exact"/>
        <w:ind w:firstLine="482" w:firstLineChars="200"/>
        <w:outlineLvl w:val="0"/>
        <w:rPr>
          <w:rFonts w:hint="eastAsia" w:ascii="仿宋" w:hAnsi="仿宋" w:eastAsia="仿宋" w:cs="仿宋"/>
          <w:b/>
          <w:sz w:val="24"/>
          <w:highlight w:val="none"/>
        </w:rPr>
      </w:pPr>
      <w:bookmarkStart w:id="133" w:name="_Toc14525"/>
      <w:bookmarkStart w:id="134" w:name="_Toc1969"/>
      <w:bookmarkStart w:id="135" w:name="_Toc17363"/>
      <w:r>
        <w:rPr>
          <w:rFonts w:hint="eastAsia" w:ascii="仿宋" w:hAnsi="仿宋" w:eastAsia="仿宋" w:cs="仿宋"/>
          <w:b/>
          <w:sz w:val="24"/>
          <w:highlight w:val="none"/>
        </w:rPr>
        <w:t>2.15 检验和验收</w:t>
      </w:r>
      <w:bookmarkEnd w:id="133"/>
      <w:bookmarkEnd w:id="134"/>
      <w:bookmarkEnd w:id="135"/>
    </w:p>
    <w:p w14:paraId="03C82D6C">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2.15.1 乙方按照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的约定，定期提交服务报告，甲方按照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的约定进行定期验收；</w:t>
      </w:r>
    </w:p>
    <w:p w14:paraId="45DC4526">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A041AB3">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p w14:paraId="3E02B0D9">
      <w:pPr>
        <w:spacing w:line="560" w:lineRule="exact"/>
        <w:ind w:firstLine="482" w:firstLineChars="200"/>
        <w:outlineLvl w:val="0"/>
        <w:rPr>
          <w:rFonts w:hint="eastAsia" w:ascii="仿宋" w:hAnsi="仿宋" w:eastAsia="仿宋" w:cs="仿宋"/>
          <w:b/>
          <w:sz w:val="24"/>
          <w:highlight w:val="none"/>
        </w:rPr>
      </w:pPr>
      <w:bookmarkStart w:id="136" w:name="_Toc9808"/>
      <w:bookmarkStart w:id="137" w:name="_Toc12666"/>
      <w:bookmarkStart w:id="138" w:name="_Toc25198"/>
      <w:bookmarkStart w:id="139" w:name="_Toc31892"/>
      <w:bookmarkStart w:id="140" w:name="_Toc2308"/>
      <w:r>
        <w:rPr>
          <w:rFonts w:hint="eastAsia" w:ascii="仿宋" w:hAnsi="仿宋" w:eastAsia="仿宋" w:cs="仿宋"/>
          <w:b/>
          <w:sz w:val="24"/>
          <w:highlight w:val="none"/>
        </w:rPr>
        <w:t>2.16 通知和送达</w:t>
      </w:r>
      <w:bookmarkEnd w:id="136"/>
      <w:bookmarkEnd w:id="137"/>
      <w:bookmarkEnd w:id="138"/>
      <w:bookmarkEnd w:id="139"/>
      <w:bookmarkEnd w:id="140"/>
    </w:p>
    <w:p w14:paraId="238EBF20">
      <w:pPr>
        <w:spacing w:line="560" w:lineRule="exact"/>
        <w:ind w:firstLine="480" w:firstLineChars="200"/>
        <w:rPr>
          <w:rFonts w:hint="eastAsia" w:ascii="仿宋" w:hAnsi="仿宋" w:eastAsia="仿宋" w:cs="仿宋"/>
          <w:sz w:val="24"/>
          <w:highlight w:val="none"/>
        </w:rPr>
      </w:pPr>
      <w:bookmarkStart w:id="141" w:name="_Toc27674"/>
      <w:bookmarkStart w:id="142" w:name="_Toc18401"/>
      <w:r>
        <w:rPr>
          <w:rFonts w:hint="eastAsia" w:ascii="仿宋" w:hAnsi="仿宋" w:eastAsia="仿宋" w:cs="仿宋"/>
          <w:sz w:val="24"/>
          <w:highlight w:val="none"/>
        </w:rPr>
        <w:t>2.1</w:t>
      </w:r>
      <w:r>
        <w:rPr>
          <w:rFonts w:hint="default" w:ascii="仿宋" w:hAnsi="仿宋" w:eastAsia="仿宋" w:cs="仿宋"/>
          <w:sz w:val="24"/>
          <w:highlight w:val="none"/>
          <w:lang w:val="en-US"/>
        </w:rPr>
        <w:t>6</w:t>
      </w:r>
      <w:r>
        <w:rPr>
          <w:rFonts w:hint="eastAsia" w:ascii="仿宋" w:hAnsi="仿宋" w:eastAsia="仿宋" w:cs="仿宋"/>
          <w:sz w:val="24"/>
          <w:highlight w:val="none"/>
        </w:rPr>
        <w:t xml:space="preserve">.1任何一方因履行合同而以合同第一部分尾部所列明的传真或电子邮件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p>
    <w:p w14:paraId="782379F8">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w:t>
      </w:r>
      <w:r>
        <w:rPr>
          <w:rFonts w:hint="default" w:ascii="仿宋" w:hAnsi="仿宋" w:eastAsia="仿宋" w:cs="仿宋"/>
          <w:sz w:val="24"/>
          <w:highlight w:val="none"/>
          <w:lang w:val="en-US"/>
        </w:rPr>
        <w:t>6</w:t>
      </w:r>
      <w:r>
        <w:rPr>
          <w:rFonts w:hint="eastAsia" w:ascii="仿宋" w:hAnsi="仿宋" w:eastAsia="仿宋" w:cs="仿宋"/>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3269E6C9">
      <w:pPr>
        <w:spacing w:line="560" w:lineRule="exact"/>
        <w:ind w:firstLine="482" w:firstLineChars="200"/>
        <w:outlineLvl w:val="0"/>
        <w:rPr>
          <w:rFonts w:hint="eastAsia" w:ascii="仿宋" w:hAnsi="仿宋" w:eastAsia="仿宋" w:cs="仿宋"/>
          <w:b/>
          <w:sz w:val="24"/>
          <w:highlight w:val="none"/>
        </w:rPr>
      </w:pPr>
      <w:bookmarkStart w:id="143" w:name="_Toc5063"/>
      <w:bookmarkStart w:id="144" w:name="_Toc20808"/>
      <w:bookmarkStart w:id="145" w:name="_Toc27644"/>
      <w:bookmarkStart w:id="146" w:name="_Toc28906"/>
      <w:bookmarkStart w:id="147" w:name="_Toc12254"/>
      <w:r>
        <w:rPr>
          <w:rFonts w:hint="eastAsia" w:ascii="仿宋" w:hAnsi="仿宋" w:eastAsia="仿宋" w:cs="仿宋"/>
          <w:b/>
          <w:sz w:val="24"/>
          <w:highlight w:val="none"/>
        </w:rPr>
        <w:t>2.17 合同使用的文字和适用的法律</w:t>
      </w:r>
      <w:bookmarkEnd w:id="143"/>
      <w:bookmarkEnd w:id="144"/>
      <w:bookmarkEnd w:id="145"/>
      <w:bookmarkEnd w:id="146"/>
      <w:bookmarkEnd w:id="147"/>
    </w:p>
    <w:p w14:paraId="64B1DB3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2.17.1 合同使用汉语书就、变更和解释；</w:t>
      </w:r>
    </w:p>
    <w:p w14:paraId="4D2D1065">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2.17.2 合同适用中华人民共和国法律。</w:t>
      </w:r>
    </w:p>
    <w:p w14:paraId="0A23D191">
      <w:pPr>
        <w:spacing w:line="560" w:lineRule="exact"/>
        <w:ind w:firstLine="482" w:firstLineChars="200"/>
        <w:outlineLvl w:val="0"/>
        <w:rPr>
          <w:rFonts w:hint="eastAsia" w:ascii="仿宋" w:hAnsi="仿宋" w:eastAsia="仿宋" w:cs="仿宋"/>
          <w:b/>
          <w:sz w:val="24"/>
          <w:highlight w:val="none"/>
        </w:rPr>
      </w:pPr>
      <w:bookmarkStart w:id="148" w:name="_Toc4355"/>
      <w:bookmarkStart w:id="149" w:name="_Toc30599"/>
      <w:bookmarkStart w:id="150" w:name="_Toc18540"/>
      <w:r>
        <w:rPr>
          <w:rFonts w:hint="eastAsia" w:ascii="仿宋" w:hAnsi="仿宋" w:eastAsia="仿宋" w:cs="仿宋"/>
          <w:b/>
          <w:sz w:val="24"/>
          <w:highlight w:val="none"/>
        </w:rPr>
        <w:t>2.18 计量单位</w:t>
      </w:r>
      <w:bookmarkEnd w:id="148"/>
      <w:bookmarkEnd w:id="149"/>
      <w:bookmarkEnd w:id="150"/>
    </w:p>
    <w:p w14:paraId="4784036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14:paraId="689B154A">
      <w:pPr>
        <w:spacing w:line="560" w:lineRule="exact"/>
        <w:ind w:firstLine="482" w:firstLineChars="200"/>
        <w:outlineLvl w:val="0"/>
        <w:rPr>
          <w:rFonts w:hint="eastAsia" w:ascii="仿宋" w:hAnsi="仿宋" w:eastAsia="仿宋" w:cs="仿宋"/>
          <w:b/>
          <w:sz w:val="24"/>
          <w:highlight w:val="none"/>
        </w:rPr>
      </w:pPr>
      <w:bookmarkStart w:id="151" w:name="_Toc18567"/>
      <w:bookmarkStart w:id="152" w:name="_Toc259093692"/>
      <w:bookmarkStart w:id="153" w:name="_Toc487900373"/>
      <w:bookmarkStart w:id="154" w:name="_Toc279701263"/>
      <w:bookmarkStart w:id="155" w:name="_Toc10330"/>
      <w:bookmarkStart w:id="156" w:name="_Toc12773"/>
      <w:r>
        <w:rPr>
          <w:rFonts w:hint="eastAsia" w:ascii="仿宋" w:hAnsi="仿宋" w:eastAsia="仿宋" w:cs="仿宋"/>
          <w:b/>
          <w:sz w:val="24"/>
          <w:highlight w:val="none"/>
        </w:rPr>
        <w:t>2.19 合同使用的文字和适用的法律</w:t>
      </w:r>
      <w:bookmarkEnd w:id="151"/>
      <w:bookmarkEnd w:id="152"/>
      <w:bookmarkEnd w:id="153"/>
      <w:bookmarkEnd w:id="154"/>
      <w:bookmarkEnd w:id="155"/>
      <w:bookmarkEnd w:id="156"/>
    </w:p>
    <w:p w14:paraId="3B38BC9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2.19.1 合同使用汉语书就、变更和解释；</w:t>
      </w:r>
    </w:p>
    <w:p w14:paraId="6433A8E5">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2.19.2 合同适用中华人民共和国法律。</w:t>
      </w:r>
    </w:p>
    <w:p w14:paraId="3C911333">
      <w:pPr>
        <w:spacing w:line="56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2.</w:t>
      </w:r>
      <w:r>
        <w:rPr>
          <w:rFonts w:hint="eastAsia" w:ascii="仿宋" w:hAnsi="仿宋" w:eastAsia="仿宋" w:cs="仿宋"/>
          <w:b/>
          <w:sz w:val="24"/>
          <w:highlight w:val="none"/>
          <w:lang w:val="en-US" w:eastAsia="zh-CN"/>
        </w:rPr>
        <w:t>20</w:t>
      </w:r>
      <w:r>
        <w:rPr>
          <w:rFonts w:hint="eastAsia" w:ascii="仿宋" w:hAnsi="仿宋" w:eastAsia="仿宋" w:cs="仿宋"/>
          <w:b/>
          <w:sz w:val="24"/>
          <w:highlight w:val="none"/>
        </w:rPr>
        <w:t>合同份数</w:t>
      </w:r>
    </w:p>
    <w:p w14:paraId="318DA31C">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14:paraId="7C4E6424">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highlight w:val="none"/>
        </w:rPr>
      </w:pPr>
      <w:r>
        <w:rPr>
          <w:rFonts w:hint="eastAsia" w:ascii="仿宋" w:hAnsi="仿宋" w:eastAsia="仿宋" w:cs="仿宋"/>
          <w:kern w:val="0"/>
          <w:highlight w:val="none"/>
        </w:rPr>
        <w:br w:type="page"/>
      </w:r>
      <w:bookmarkStart w:id="157" w:name="_Toc331685784"/>
      <w:r>
        <w:rPr>
          <w:rFonts w:hint="eastAsia" w:ascii="仿宋" w:hAnsi="仿宋" w:eastAsia="仿宋" w:cs="仿宋"/>
          <w:b/>
          <w:sz w:val="24"/>
          <w:highlight w:val="none"/>
        </w:rPr>
        <w:t xml:space="preserve"> </w:t>
      </w:r>
      <w:bookmarkEnd w:id="157"/>
      <w:r>
        <w:rPr>
          <w:rFonts w:hint="eastAsia" w:ascii="仿宋" w:hAnsi="仿宋" w:eastAsia="仿宋" w:cs="仿宋"/>
          <w:b/>
          <w:kern w:val="2"/>
          <w:sz w:val="24"/>
          <w:szCs w:val="24"/>
          <w:highlight w:val="none"/>
          <w:lang w:val="en-US" w:eastAsia="zh-CN" w:bidi="ar-SA"/>
        </w:rPr>
        <w:t>第三部分  合同专用条款</w:t>
      </w:r>
    </w:p>
    <w:p w14:paraId="49A3562D">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3D21E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59BBC75">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条款号</w:t>
            </w:r>
          </w:p>
        </w:tc>
        <w:tc>
          <w:tcPr>
            <w:tcW w:w="8149" w:type="dxa"/>
            <w:vAlign w:val="center"/>
          </w:tcPr>
          <w:p w14:paraId="05A3882F">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约定内容</w:t>
            </w:r>
          </w:p>
        </w:tc>
      </w:tr>
      <w:tr w14:paraId="1FF05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40184C">
            <w:pPr>
              <w:spacing w:line="360" w:lineRule="auto"/>
              <w:rPr>
                <w:rFonts w:hint="eastAsia" w:ascii="仿宋" w:hAnsi="仿宋" w:eastAsia="仿宋" w:cs="仿宋"/>
                <w:sz w:val="24"/>
                <w:highlight w:val="none"/>
              </w:rPr>
            </w:pPr>
            <w:r>
              <w:rPr>
                <w:rFonts w:hint="eastAsia" w:ascii="仿宋" w:hAnsi="仿宋" w:eastAsia="仿宋" w:cs="仿宋"/>
                <w:sz w:val="24"/>
                <w:highlight w:val="none"/>
              </w:rPr>
              <w:t>1.3.2</w:t>
            </w:r>
          </w:p>
        </w:tc>
        <w:tc>
          <w:tcPr>
            <w:tcW w:w="8149" w:type="dxa"/>
            <w:vAlign w:val="center"/>
          </w:tcPr>
          <w:p w14:paraId="1CF4469D">
            <w:pPr>
              <w:spacing w:line="360" w:lineRule="auto"/>
              <w:rPr>
                <w:rFonts w:hint="eastAsia" w:ascii="仿宋" w:hAnsi="仿宋" w:eastAsia="仿宋" w:cs="仿宋"/>
                <w:sz w:val="24"/>
                <w:highlight w:val="none"/>
              </w:rPr>
            </w:pPr>
          </w:p>
        </w:tc>
      </w:tr>
      <w:tr w14:paraId="2E848E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FCCFDC">
            <w:pPr>
              <w:spacing w:line="360" w:lineRule="auto"/>
              <w:rPr>
                <w:rFonts w:hint="eastAsia" w:ascii="仿宋" w:hAnsi="仿宋" w:eastAsia="仿宋" w:cs="仿宋"/>
                <w:sz w:val="24"/>
                <w:highlight w:val="none"/>
              </w:rPr>
            </w:pPr>
            <w:r>
              <w:rPr>
                <w:rFonts w:hint="eastAsia" w:ascii="仿宋" w:hAnsi="仿宋" w:eastAsia="仿宋" w:cs="仿宋"/>
                <w:sz w:val="24"/>
                <w:highlight w:val="none"/>
              </w:rPr>
              <w:t>1.4.2</w:t>
            </w:r>
          </w:p>
        </w:tc>
        <w:tc>
          <w:tcPr>
            <w:tcW w:w="8149" w:type="dxa"/>
            <w:vAlign w:val="center"/>
          </w:tcPr>
          <w:p w14:paraId="2F72A9CD">
            <w:pPr>
              <w:spacing w:line="360" w:lineRule="auto"/>
              <w:rPr>
                <w:rFonts w:hint="eastAsia" w:ascii="仿宋" w:hAnsi="仿宋" w:eastAsia="仿宋" w:cs="仿宋"/>
                <w:sz w:val="24"/>
                <w:highlight w:val="none"/>
              </w:rPr>
            </w:pPr>
          </w:p>
        </w:tc>
      </w:tr>
      <w:tr w14:paraId="4B97A6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C8019A">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1.5.1 </w:t>
            </w:r>
          </w:p>
        </w:tc>
        <w:tc>
          <w:tcPr>
            <w:tcW w:w="8149" w:type="dxa"/>
            <w:vAlign w:val="center"/>
          </w:tcPr>
          <w:p w14:paraId="1181B199">
            <w:pPr>
              <w:spacing w:line="360" w:lineRule="auto"/>
              <w:rPr>
                <w:rFonts w:hint="eastAsia" w:ascii="仿宋" w:hAnsi="仿宋" w:eastAsia="仿宋" w:cs="仿宋"/>
                <w:sz w:val="24"/>
                <w:highlight w:val="none"/>
              </w:rPr>
            </w:pPr>
          </w:p>
        </w:tc>
      </w:tr>
      <w:tr w14:paraId="00812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0A97EB">
            <w:pPr>
              <w:spacing w:line="360" w:lineRule="auto"/>
              <w:rPr>
                <w:rFonts w:hint="eastAsia" w:ascii="仿宋" w:hAnsi="仿宋" w:eastAsia="仿宋" w:cs="仿宋"/>
                <w:sz w:val="24"/>
                <w:highlight w:val="none"/>
              </w:rPr>
            </w:pPr>
            <w:r>
              <w:rPr>
                <w:rFonts w:hint="eastAsia" w:ascii="仿宋" w:hAnsi="仿宋" w:eastAsia="仿宋" w:cs="仿宋"/>
                <w:sz w:val="24"/>
                <w:highlight w:val="none"/>
              </w:rPr>
              <w:t>1.5.2</w:t>
            </w:r>
          </w:p>
        </w:tc>
        <w:tc>
          <w:tcPr>
            <w:tcW w:w="8149" w:type="dxa"/>
            <w:vAlign w:val="center"/>
          </w:tcPr>
          <w:p w14:paraId="7F6B6B50">
            <w:pPr>
              <w:spacing w:line="360" w:lineRule="auto"/>
              <w:rPr>
                <w:rFonts w:hint="eastAsia" w:ascii="仿宋" w:hAnsi="仿宋" w:eastAsia="仿宋" w:cs="仿宋"/>
                <w:sz w:val="24"/>
                <w:highlight w:val="none"/>
              </w:rPr>
            </w:pPr>
          </w:p>
        </w:tc>
      </w:tr>
      <w:tr w14:paraId="07ED4F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A83E7C">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1.5.3 </w:t>
            </w:r>
          </w:p>
        </w:tc>
        <w:tc>
          <w:tcPr>
            <w:tcW w:w="8149" w:type="dxa"/>
            <w:vAlign w:val="center"/>
          </w:tcPr>
          <w:p w14:paraId="737CC7E8">
            <w:pPr>
              <w:spacing w:line="360" w:lineRule="auto"/>
              <w:rPr>
                <w:rFonts w:hint="eastAsia" w:ascii="仿宋" w:hAnsi="仿宋" w:eastAsia="仿宋" w:cs="仿宋"/>
                <w:sz w:val="24"/>
                <w:highlight w:val="none"/>
              </w:rPr>
            </w:pPr>
          </w:p>
        </w:tc>
      </w:tr>
      <w:tr w14:paraId="5272D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833FD1A">
            <w:pPr>
              <w:spacing w:line="360" w:lineRule="auto"/>
              <w:rPr>
                <w:rFonts w:hint="eastAsia" w:ascii="仿宋" w:hAnsi="仿宋" w:eastAsia="仿宋" w:cs="仿宋"/>
                <w:sz w:val="24"/>
                <w:highlight w:val="none"/>
              </w:rPr>
            </w:pPr>
            <w:r>
              <w:rPr>
                <w:rFonts w:hint="eastAsia" w:ascii="仿宋" w:hAnsi="仿宋" w:eastAsia="仿宋" w:cs="仿宋"/>
                <w:sz w:val="24"/>
                <w:highlight w:val="none"/>
              </w:rPr>
              <w:t>1.6.2</w:t>
            </w:r>
          </w:p>
        </w:tc>
        <w:tc>
          <w:tcPr>
            <w:tcW w:w="8149" w:type="dxa"/>
            <w:vAlign w:val="center"/>
          </w:tcPr>
          <w:p w14:paraId="1F0D709C">
            <w:pPr>
              <w:spacing w:line="360" w:lineRule="auto"/>
              <w:rPr>
                <w:rFonts w:hint="eastAsia" w:ascii="仿宋" w:hAnsi="仿宋" w:eastAsia="仿宋" w:cs="仿宋"/>
                <w:sz w:val="24"/>
                <w:highlight w:val="none"/>
              </w:rPr>
            </w:pPr>
          </w:p>
        </w:tc>
      </w:tr>
      <w:tr w14:paraId="2FA6B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0B8C8F">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1.7.1</w:t>
            </w:r>
          </w:p>
        </w:tc>
        <w:tc>
          <w:tcPr>
            <w:tcW w:w="8149" w:type="dxa"/>
            <w:vAlign w:val="center"/>
          </w:tcPr>
          <w:p w14:paraId="1EF6B00D">
            <w:pPr>
              <w:spacing w:line="360" w:lineRule="auto"/>
              <w:rPr>
                <w:rFonts w:hint="eastAsia" w:ascii="仿宋" w:hAnsi="仿宋" w:eastAsia="仿宋" w:cs="仿宋"/>
                <w:sz w:val="24"/>
                <w:highlight w:val="none"/>
              </w:rPr>
            </w:pPr>
          </w:p>
        </w:tc>
      </w:tr>
      <w:tr w14:paraId="0CFD4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AFB7ED9">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1.7.2</w:t>
            </w:r>
          </w:p>
        </w:tc>
        <w:tc>
          <w:tcPr>
            <w:tcW w:w="8149" w:type="dxa"/>
            <w:vAlign w:val="center"/>
          </w:tcPr>
          <w:p w14:paraId="57AD6476">
            <w:pPr>
              <w:spacing w:line="360" w:lineRule="auto"/>
              <w:rPr>
                <w:rFonts w:hint="eastAsia" w:ascii="仿宋" w:hAnsi="仿宋" w:eastAsia="仿宋" w:cs="仿宋"/>
                <w:sz w:val="24"/>
                <w:highlight w:val="none"/>
              </w:rPr>
            </w:pPr>
          </w:p>
        </w:tc>
      </w:tr>
      <w:tr w14:paraId="36637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F482617">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1.7.3</w:t>
            </w:r>
          </w:p>
        </w:tc>
        <w:tc>
          <w:tcPr>
            <w:tcW w:w="8149" w:type="dxa"/>
            <w:vAlign w:val="center"/>
          </w:tcPr>
          <w:p w14:paraId="346862B2">
            <w:pPr>
              <w:spacing w:line="360" w:lineRule="auto"/>
              <w:rPr>
                <w:rFonts w:hint="eastAsia" w:ascii="仿宋" w:hAnsi="仿宋" w:eastAsia="仿宋" w:cs="仿宋"/>
                <w:sz w:val="24"/>
                <w:highlight w:val="none"/>
              </w:rPr>
            </w:pPr>
          </w:p>
        </w:tc>
      </w:tr>
      <w:tr w14:paraId="1BD3AF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B704A8">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1.7.4.1</w:t>
            </w:r>
          </w:p>
        </w:tc>
        <w:tc>
          <w:tcPr>
            <w:tcW w:w="8149" w:type="dxa"/>
            <w:vAlign w:val="center"/>
          </w:tcPr>
          <w:p w14:paraId="76CA7875">
            <w:pPr>
              <w:spacing w:line="360" w:lineRule="auto"/>
              <w:rPr>
                <w:rFonts w:hint="eastAsia" w:ascii="仿宋" w:hAnsi="仿宋" w:eastAsia="仿宋" w:cs="仿宋"/>
                <w:sz w:val="24"/>
                <w:highlight w:val="none"/>
              </w:rPr>
            </w:pPr>
          </w:p>
        </w:tc>
      </w:tr>
      <w:tr w14:paraId="24C92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14071F">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1.7.4.2</w:t>
            </w:r>
          </w:p>
        </w:tc>
        <w:tc>
          <w:tcPr>
            <w:tcW w:w="8149" w:type="dxa"/>
            <w:vAlign w:val="center"/>
          </w:tcPr>
          <w:p w14:paraId="5E0DE19A">
            <w:pPr>
              <w:spacing w:line="360" w:lineRule="auto"/>
              <w:rPr>
                <w:rFonts w:hint="eastAsia" w:ascii="仿宋" w:hAnsi="仿宋" w:eastAsia="仿宋" w:cs="仿宋"/>
                <w:sz w:val="24"/>
                <w:highlight w:val="none"/>
              </w:rPr>
            </w:pPr>
          </w:p>
        </w:tc>
      </w:tr>
      <w:tr w14:paraId="4A3FE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0E74C0B">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1.7.4.3</w:t>
            </w:r>
          </w:p>
        </w:tc>
        <w:tc>
          <w:tcPr>
            <w:tcW w:w="8149" w:type="dxa"/>
            <w:vAlign w:val="center"/>
          </w:tcPr>
          <w:p w14:paraId="52841E83">
            <w:pPr>
              <w:spacing w:line="360" w:lineRule="auto"/>
              <w:rPr>
                <w:rFonts w:hint="eastAsia" w:ascii="仿宋" w:hAnsi="仿宋" w:eastAsia="仿宋" w:cs="仿宋"/>
                <w:sz w:val="24"/>
                <w:highlight w:val="none"/>
              </w:rPr>
            </w:pPr>
          </w:p>
        </w:tc>
      </w:tr>
      <w:tr w14:paraId="3207E2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F19C75">
            <w:pPr>
              <w:spacing w:line="360" w:lineRule="auto"/>
              <w:rPr>
                <w:rFonts w:hint="eastAsia" w:ascii="仿宋" w:hAnsi="仿宋" w:eastAsia="仿宋" w:cs="仿宋"/>
                <w:sz w:val="24"/>
                <w:highlight w:val="none"/>
              </w:rPr>
            </w:pPr>
            <w:r>
              <w:rPr>
                <w:rFonts w:hint="eastAsia" w:ascii="仿宋" w:hAnsi="仿宋" w:eastAsia="仿宋" w:cs="仿宋"/>
                <w:sz w:val="24"/>
                <w:highlight w:val="none"/>
              </w:rPr>
              <w:t>1.8.7</w:t>
            </w:r>
          </w:p>
        </w:tc>
        <w:tc>
          <w:tcPr>
            <w:tcW w:w="8149" w:type="dxa"/>
            <w:vAlign w:val="center"/>
          </w:tcPr>
          <w:p w14:paraId="0DB42C79">
            <w:pPr>
              <w:spacing w:line="360" w:lineRule="auto"/>
              <w:rPr>
                <w:rFonts w:hint="eastAsia" w:ascii="仿宋" w:hAnsi="仿宋" w:eastAsia="仿宋" w:cs="仿宋"/>
                <w:sz w:val="24"/>
                <w:highlight w:val="none"/>
              </w:rPr>
            </w:pPr>
          </w:p>
        </w:tc>
      </w:tr>
      <w:tr w14:paraId="57EE8A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DB5A83">
            <w:pPr>
              <w:spacing w:line="360" w:lineRule="auto"/>
              <w:rPr>
                <w:rFonts w:hint="eastAsia" w:ascii="仿宋" w:hAnsi="仿宋" w:eastAsia="仿宋" w:cs="仿宋"/>
                <w:sz w:val="24"/>
                <w:highlight w:val="none"/>
              </w:rPr>
            </w:pPr>
            <w:r>
              <w:rPr>
                <w:rFonts w:hint="eastAsia" w:ascii="仿宋" w:hAnsi="仿宋" w:eastAsia="仿宋" w:cs="仿宋"/>
                <w:sz w:val="24"/>
                <w:highlight w:val="none"/>
              </w:rPr>
              <w:t>1.9.1</w:t>
            </w:r>
          </w:p>
        </w:tc>
        <w:tc>
          <w:tcPr>
            <w:tcW w:w="8149" w:type="dxa"/>
            <w:vAlign w:val="center"/>
          </w:tcPr>
          <w:p w14:paraId="6EEBE88C">
            <w:pPr>
              <w:spacing w:line="360" w:lineRule="auto"/>
              <w:rPr>
                <w:rFonts w:hint="eastAsia" w:ascii="仿宋" w:hAnsi="仿宋" w:eastAsia="仿宋" w:cs="仿宋"/>
                <w:sz w:val="24"/>
                <w:highlight w:val="none"/>
              </w:rPr>
            </w:pPr>
          </w:p>
        </w:tc>
      </w:tr>
      <w:tr w14:paraId="31A14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41C23A">
            <w:pPr>
              <w:spacing w:line="360" w:lineRule="auto"/>
              <w:rPr>
                <w:rFonts w:hint="eastAsia" w:ascii="仿宋" w:hAnsi="仿宋" w:eastAsia="仿宋" w:cs="仿宋"/>
                <w:sz w:val="24"/>
                <w:highlight w:val="none"/>
              </w:rPr>
            </w:pPr>
            <w:r>
              <w:rPr>
                <w:rFonts w:hint="eastAsia" w:ascii="仿宋" w:hAnsi="仿宋" w:eastAsia="仿宋" w:cs="仿宋"/>
                <w:sz w:val="24"/>
                <w:highlight w:val="none"/>
              </w:rPr>
              <w:t>1.9.2</w:t>
            </w:r>
          </w:p>
        </w:tc>
        <w:tc>
          <w:tcPr>
            <w:tcW w:w="8149" w:type="dxa"/>
            <w:vAlign w:val="center"/>
          </w:tcPr>
          <w:p w14:paraId="763D4806">
            <w:pPr>
              <w:spacing w:line="360" w:lineRule="auto"/>
              <w:rPr>
                <w:rFonts w:hint="eastAsia" w:ascii="仿宋" w:hAnsi="仿宋" w:eastAsia="仿宋" w:cs="仿宋"/>
                <w:sz w:val="24"/>
                <w:highlight w:val="none"/>
              </w:rPr>
            </w:pPr>
          </w:p>
        </w:tc>
      </w:tr>
      <w:tr w14:paraId="4B4AA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A1E8D6">
            <w:pPr>
              <w:spacing w:line="360" w:lineRule="auto"/>
              <w:rPr>
                <w:rFonts w:hint="eastAsia" w:ascii="仿宋" w:hAnsi="仿宋" w:eastAsia="仿宋" w:cs="仿宋"/>
                <w:sz w:val="24"/>
                <w:highlight w:val="none"/>
              </w:rPr>
            </w:pPr>
            <w:r>
              <w:rPr>
                <w:rFonts w:hint="eastAsia" w:ascii="仿宋" w:hAnsi="仿宋" w:eastAsia="仿宋" w:cs="仿宋"/>
                <w:sz w:val="24"/>
                <w:highlight w:val="none"/>
              </w:rPr>
              <w:t>2.3.2</w:t>
            </w:r>
          </w:p>
        </w:tc>
        <w:tc>
          <w:tcPr>
            <w:tcW w:w="8149" w:type="dxa"/>
            <w:vAlign w:val="center"/>
          </w:tcPr>
          <w:p w14:paraId="695B5864">
            <w:pPr>
              <w:spacing w:line="360" w:lineRule="auto"/>
              <w:ind w:left="-420" w:leftChars="-200" w:right="-420" w:rightChars="-200" w:firstLine="480" w:firstLineChars="200"/>
              <w:rPr>
                <w:rFonts w:hint="eastAsia" w:ascii="仿宋" w:hAnsi="仿宋" w:eastAsia="仿宋" w:cs="仿宋"/>
                <w:sz w:val="24"/>
                <w:highlight w:val="none"/>
              </w:rPr>
            </w:pPr>
          </w:p>
        </w:tc>
      </w:tr>
      <w:tr w14:paraId="30213C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A849B14">
            <w:pPr>
              <w:spacing w:line="360" w:lineRule="auto"/>
              <w:rPr>
                <w:rFonts w:hint="eastAsia" w:ascii="仿宋" w:hAnsi="仿宋" w:eastAsia="仿宋" w:cs="仿宋"/>
                <w:sz w:val="24"/>
                <w:highlight w:val="none"/>
              </w:rPr>
            </w:pPr>
            <w:r>
              <w:rPr>
                <w:rFonts w:hint="eastAsia" w:ascii="仿宋" w:hAnsi="仿宋" w:eastAsia="仿宋" w:cs="仿宋"/>
                <w:sz w:val="24"/>
                <w:highlight w:val="none"/>
              </w:rPr>
              <w:t>2.5</w:t>
            </w:r>
          </w:p>
        </w:tc>
        <w:tc>
          <w:tcPr>
            <w:tcW w:w="8149" w:type="dxa"/>
            <w:vAlign w:val="center"/>
          </w:tcPr>
          <w:p w14:paraId="5EB3F4F5">
            <w:pPr>
              <w:spacing w:line="360" w:lineRule="auto"/>
              <w:ind w:left="-420" w:leftChars="-200" w:right="-420" w:rightChars="-200" w:firstLine="480" w:firstLineChars="200"/>
              <w:rPr>
                <w:rFonts w:hint="eastAsia" w:ascii="仿宋" w:hAnsi="仿宋" w:eastAsia="仿宋" w:cs="仿宋"/>
                <w:sz w:val="24"/>
                <w:highlight w:val="none"/>
              </w:rPr>
            </w:pPr>
          </w:p>
        </w:tc>
      </w:tr>
      <w:tr w14:paraId="56355C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3B3922E">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2.11.3</w:t>
            </w:r>
          </w:p>
        </w:tc>
        <w:tc>
          <w:tcPr>
            <w:tcW w:w="8149" w:type="dxa"/>
            <w:vAlign w:val="center"/>
          </w:tcPr>
          <w:p w14:paraId="3D401625">
            <w:pPr>
              <w:spacing w:line="360" w:lineRule="auto"/>
              <w:rPr>
                <w:rFonts w:hint="eastAsia" w:ascii="仿宋" w:hAnsi="仿宋" w:eastAsia="仿宋" w:cs="仿宋"/>
                <w:sz w:val="24"/>
                <w:highlight w:val="none"/>
              </w:rPr>
            </w:pPr>
          </w:p>
        </w:tc>
      </w:tr>
      <w:tr w14:paraId="62A769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898A4E1">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2.11.4 </w:t>
            </w:r>
          </w:p>
        </w:tc>
        <w:tc>
          <w:tcPr>
            <w:tcW w:w="8149" w:type="dxa"/>
          </w:tcPr>
          <w:p w14:paraId="51EF31D2">
            <w:pPr>
              <w:spacing w:line="360" w:lineRule="auto"/>
              <w:rPr>
                <w:rFonts w:hint="eastAsia" w:ascii="仿宋" w:hAnsi="仿宋" w:eastAsia="仿宋" w:cs="仿宋"/>
                <w:sz w:val="24"/>
                <w:highlight w:val="none"/>
              </w:rPr>
            </w:pPr>
          </w:p>
        </w:tc>
      </w:tr>
      <w:tr w14:paraId="7ADD4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E5D43C">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2.15.1</w:t>
            </w:r>
          </w:p>
        </w:tc>
        <w:tc>
          <w:tcPr>
            <w:tcW w:w="8149" w:type="dxa"/>
            <w:vAlign w:val="center"/>
          </w:tcPr>
          <w:p w14:paraId="126C6150">
            <w:pPr>
              <w:spacing w:line="360" w:lineRule="auto"/>
              <w:rPr>
                <w:rFonts w:hint="eastAsia" w:ascii="仿宋" w:hAnsi="仿宋" w:eastAsia="仿宋" w:cs="仿宋"/>
                <w:sz w:val="24"/>
                <w:highlight w:val="none"/>
              </w:rPr>
            </w:pPr>
          </w:p>
        </w:tc>
      </w:tr>
      <w:tr w14:paraId="712BD5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A704AD">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2.15.3</w:t>
            </w:r>
          </w:p>
        </w:tc>
        <w:tc>
          <w:tcPr>
            <w:tcW w:w="8149" w:type="dxa"/>
            <w:vAlign w:val="center"/>
          </w:tcPr>
          <w:p w14:paraId="7A858A9B">
            <w:pPr>
              <w:spacing w:line="360" w:lineRule="auto"/>
              <w:rPr>
                <w:rFonts w:hint="eastAsia" w:ascii="仿宋" w:hAnsi="仿宋" w:eastAsia="仿宋" w:cs="仿宋"/>
                <w:sz w:val="24"/>
                <w:highlight w:val="none"/>
              </w:rPr>
            </w:pPr>
          </w:p>
        </w:tc>
      </w:tr>
      <w:tr w14:paraId="4AC682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45B95F6">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2.19</w:t>
            </w:r>
          </w:p>
        </w:tc>
        <w:tc>
          <w:tcPr>
            <w:tcW w:w="8149" w:type="dxa"/>
          </w:tcPr>
          <w:p w14:paraId="0F47060D">
            <w:pPr>
              <w:spacing w:line="360" w:lineRule="auto"/>
              <w:rPr>
                <w:rFonts w:hint="eastAsia" w:ascii="仿宋" w:hAnsi="仿宋" w:eastAsia="仿宋" w:cs="仿宋"/>
                <w:sz w:val="24"/>
                <w:highlight w:val="none"/>
              </w:rPr>
            </w:pPr>
          </w:p>
        </w:tc>
      </w:tr>
    </w:tbl>
    <w:p w14:paraId="4E1F7AE6">
      <w:pPr>
        <w:spacing w:line="360" w:lineRule="auto"/>
        <w:ind w:left="-420" w:leftChars="-200" w:right="-420" w:rightChars="-200" w:firstLine="480" w:firstLineChars="200"/>
        <w:rPr>
          <w:rFonts w:hint="eastAsia" w:ascii="仿宋" w:hAnsi="仿宋" w:eastAsia="仿宋" w:cs="仿宋"/>
          <w:sz w:val="24"/>
          <w:highlight w:val="none"/>
        </w:rPr>
      </w:pPr>
    </w:p>
    <w:p w14:paraId="7E791121">
      <w:pPr>
        <w:spacing w:line="360" w:lineRule="auto"/>
        <w:ind w:left="-420" w:leftChars="-200" w:right="-420" w:rightChars="-200" w:firstLine="480" w:firstLineChars="200"/>
        <w:jc w:val="center"/>
        <w:outlineLvl w:val="0"/>
        <w:rPr>
          <w:rFonts w:hint="eastAsia" w:ascii="仿宋" w:hAnsi="仿宋" w:eastAsia="仿宋" w:cs="仿宋"/>
          <w:sz w:val="24"/>
          <w:highlight w:val="none"/>
        </w:rPr>
      </w:pPr>
    </w:p>
    <w:p w14:paraId="7A90A12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1EDA3938">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1、评标方法：</w:t>
      </w:r>
    </w:p>
    <w:p w14:paraId="5A28A23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10C8C0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lang w:val="en-US" w:eastAsia="zh-CN"/>
        </w:rPr>
        <w:t xml:space="preserve"> 70 </w:t>
      </w:r>
      <w:r>
        <w:rPr>
          <w:rFonts w:hint="eastAsia" w:ascii="仿宋" w:hAnsi="仿宋" w:eastAsia="仿宋" w:cs="仿宋"/>
          <w:sz w:val="24"/>
          <w:highlight w:val="none"/>
        </w:rPr>
        <w:t>分，价格分</w:t>
      </w:r>
      <w:r>
        <w:rPr>
          <w:rFonts w:hint="eastAsia" w:ascii="仿宋" w:hAnsi="仿宋" w:eastAsia="仿宋" w:cs="仿宋"/>
          <w:sz w:val="24"/>
          <w:highlight w:val="none"/>
          <w:u w:val="single"/>
          <w:lang w:val="en-US" w:eastAsia="zh-CN"/>
        </w:rPr>
        <w:t xml:space="preserve"> 30 </w:t>
      </w:r>
      <w:r>
        <w:rPr>
          <w:rFonts w:hint="eastAsia" w:ascii="仿宋" w:hAnsi="仿宋" w:eastAsia="仿宋" w:cs="仿宋"/>
          <w:sz w:val="24"/>
          <w:highlight w:val="none"/>
        </w:rPr>
        <w:t>分。评分依下述所列为评标打分依据，分值如下（计算分值时，按其算术平均值保留小数2位）。</w:t>
      </w:r>
    </w:p>
    <w:p w14:paraId="4B82B01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32"/>
          <w:szCs w:val="20"/>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lang w:val="en-US" w:eastAsia="zh-CN"/>
        </w:rPr>
        <w:t xml:space="preserve"> 70 </w:t>
      </w:r>
      <w:r>
        <w:rPr>
          <w:rFonts w:hint="eastAsia" w:ascii="仿宋" w:hAnsi="仿宋" w:eastAsia="仿宋" w:cs="仿宋"/>
          <w:b/>
          <w:bCs/>
          <w:iCs/>
          <w:sz w:val="24"/>
          <w:highlight w:val="none"/>
        </w:rPr>
        <w:t>分）</w:t>
      </w:r>
    </w:p>
    <w:tbl>
      <w:tblPr>
        <w:tblStyle w:val="62"/>
        <w:tblW w:w="5450" w:type="pct"/>
        <w:tblInd w:w="-363"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85"/>
        <w:gridCol w:w="1033"/>
        <w:gridCol w:w="7439"/>
        <w:gridCol w:w="865"/>
      </w:tblGrid>
      <w:tr w14:paraId="488EC9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3" w:hRule="atLeast"/>
        </w:trPr>
        <w:tc>
          <w:tcPr>
            <w:tcW w:w="388" w:type="pct"/>
            <w:noWrap w:val="0"/>
            <w:vAlign w:val="center"/>
          </w:tcPr>
          <w:p w14:paraId="470647E7">
            <w:pPr>
              <w:keepNext w:val="0"/>
              <w:keepLines w:val="0"/>
              <w:pageBreakBefore w:val="0"/>
              <w:widowControl/>
              <w:kinsoku/>
              <w:wordWrap/>
              <w:topLinePunct w:val="0"/>
              <w:bidi w:val="0"/>
              <w:spacing w:line="240" w:lineRule="auto"/>
              <w:jc w:val="center"/>
              <w:rPr>
                <w:rFonts w:hint="eastAsia" w:ascii="仿宋" w:hAnsi="仿宋" w:eastAsia="仿宋" w:cs="仿宋"/>
                <w:bCs/>
                <w:color w:val="auto"/>
                <w:kern w:val="0"/>
                <w:sz w:val="21"/>
                <w:szCs w:val="21"/>
                <w:highlight w:val="none"/>
              </w:rPr>
            </w:pPr>
            <w:r>
              <w:rPr>
                <w:rFonts w:hint="eastAsia" w:ascii="仿宋" w:hAnsi="仿宋" w:eastAsia="仿宋" w:cs="仿宋"/>
                <w:bCs/>
                <w:color w:val="auto"/>
                <w:kern w:val="0"/>
                <w:sz w:val="21"/>
                <w:szCs w:val="21"/>
                <w:highlight w:val="none"/>
              </w:rPr>
              <w:t>序号</w:t>
            </w:r>
          </w:p>
        </w:tc>
        <w:tc>
          <w:tcPr>
            <w:tcW w:w="510" w:type="pct"/>
            <w:noWrap w:val="0"/>
            <w:vAlign w:val="center"/>
          </w:tcPr>
          <w:p w14:paraId="2CFEA84F">
            <w:pPr>
              <w:keepNext w:val="0"/>
              <w:keepLines w:val="0"/>
              <w:pageBreakBefore w:val="0"/>
              <w:widowControl/>
              <w:kinsoku/>
              <w:wordWrap/>
              <w:topLinePunct w:val="0"/>
              <w:bidi w:val="0"/>
              <w:spacing w:line="240" w:lineRule="auto"/>
              <w:jc w:val="center"/>
              <w:rPr>
                <w:rFonts w:hint="eastAsia" w:ascii="仿宋" w:hAnsi="仿宋" w:eastAsia="仿宋" w:cs="仿宋"/>
                <w:bCs/>
                <w:color w:val="auto"/>
                <w:kern w:val="0"/>
                <w:sz w:val="21"/>
                <w:szCs w:val="21"/>
                <w:highlight w:val="none"/>
              </w:rPr>
            </w:pPr>
            <w:r>
              <w:rPr>
                <w:rFonts w:hint="eastAsia" w:ascii="仿宋" w:hAnsi="仿宋" w:eastAsia="仿宋" w:cs="仿宋"/>
                <w:bCs/>
                <w:color w:val="auto"/>
                <w:kern w:val="0"/>
                <w:sz w:val="21"/>
                <w:szCs w:val="21"/>
                <w:highlight w:val="none"/>
              </w:rPr>
              <w:t>评分内容</w:t>
            </w:r>
          </w:p>
        </w:tc>
        <w:tc>
          <w:tcPr>
            <w:tcW w:w="3673" w:type="pct"/>
            <w:noWrap w:val="0"/>
            <w:vAlign w:val="center"/>
          </w:tcPr>
          <w:p w14:paraId="68037FCD">
            <w:pPr>
              <w:keepNext w:val="0"/>
              <w:keepLines w:val="0"/>
              <w:pageBreakBefore w:val="0"/>
              <w:widowControl/>
              <w:kinsoku/>
              <w:wordWrap/>
              <w:topLinePunct w:val="0"/>
              <w:bidi w:val="0"/>
              <w:spacing w:line="240" w:lineRule="auto"/>
              <w:jc w:val="center"/>
              <w:rPr>
                <w:rFonts w:hint="eastAsia" w:ascii="仿宋" w:hAnsi="仿宋" w:eastAsia="仿宋" w:cs="仿宋"/>
                <w:bCs/>
                <w:color w:val="auto"/>
                <w:kern w:val="0"/>
                <w:sz w:val="21"/>
                <w:szCs w:val="21"/>
                <w:highlight w:val="none"/>
              </w:rPr>
            </w:pPr>
            <w:r>
              <w:rPr>
                <w:rFonts w:hint="eastAsia" w:ascii="仿宋" w:hAnsi="仿宋" w:eastAsia="仿宋" w:cs="仿宋"/>
                <w:bCs/>
                <w:color w:val="auto"/>
                <w:kern w:val="0"/>
                <w:sz w:val="21"/>
                <w:szCs w:val="21"/>
                <w:highlight w:val="none"/>
              </w:rPr>
              <w:t>评审细则</w:t>
            </w:r>
          </w:p>
        </w:tc>
        <w:tc>
          <w:tcPr>
            <w:tcW w:w="427" w:type="pct"/>
            <w:noWrap w:val="0"/>
            <w:vAlign w:val="center"/>
          </w:tcPr>
          <w:p w14:paraId="15AB0986">
            <w:pPr>
              <w:keepNext w:val="0"/>
              <w:keepLines w:val="0"/>
              <w:pageBreakBefore w:val="0"/>
              <w:widowControl/>
              <w:kinsoku/>
              <w:wordWrap/>
              <w:topLinePunct w:val="0"/>
              <w:bidi w:val="0"/>
              <w:spacing w:line="240" w:lineRule="auto"/>
              <w:jc w:val="center"/>
              <w:rPr>
                <w:rFonts w:hint="eastAsia" w:ascii="仿宋" w:hAnsi="仿宋" w:eastAsia="仿宋" w:cs="仿宋"/>
                <w:bCs/>
                <w:color w:val="auto"/>
                <w:kern w:val="0"/>
                <w:sz w:val="21"/>
                <w:szCs w:val="21"/>
                <w:highlight w:val="none"/>
              </w:rPr>
            </w:pPr>
            <w:r>
              <w:rPr>
                <w:rFonts w:hint="eastAsia" w:ascii="仿宋" w:hAnsi="仿宋" w:eastAsia="仿宋" w:cs="仿宋"/>
                <w:bCs/>
                <w:color w:val="auto"/>
                <w:kern w:val="0"/>
                <w:sz w:val="21"/>
                <w:szCs w:val="21"/>
                <w:highlight w:val="none"/>
              </w:rPr>
              <w:t>分值</w:t>
            </w:r>
          </w:p>
        </w:tc>
      </w:tr>
      <w:tr w14:paraId="2604A7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88" w:type="pct"/>
            <w:shd w:val="clear" w:color="auto" w:fill="auto"/>
            <w:noWrap w:val="0"/>
            <w:vAlign w:val="center"/>
          </w:tcPr>
          <w:p w14:paraId="501468A3">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w:t>
            </w:r>
          </w:p>
        </w:tc>
        <w:tc>
          <w:tcPr>
            <w:tcW w:w="510" w:type="pct"/>
            <w:shd w:val="clear" w:color="auto" w:fill="auto"/>
            <w:noWrap w:val="0"/>
            <w:vAlign w:val="center"/>
          </w:tcPr>
          <w:p w14:paraId="485FA5A5">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管理体系</w:t>
            </w:r>
          </w:p>
        </w:tc>
        <w:tc>
          <w:tcPr>
            <w:tcW w:w="3673" w:type="pct"/>
            <w:shd w:val="clear" w:color="auto" w:fill="FFFFFF"/>
            <w:noWrap w:val="0"/>
            <w:vAlign w:val="center"/>
          </w:tcPr>
          <w:p w14:paraId="2B4EAB4E">
            <w:pPr>
              <w:keepNext w:val="0"/>
              <w:keepLines w:val="0"/>
              <w:pageBreakBefore w:val="0"/>
              <w:kinsoku/>
              <w:wordWrap/>
              <w:topLinePunct w:val="0"/>
              <w:bidi w:val="0"/>
              <w:spacing w:line="240"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供应商具有有效期内的质量管理体系认证书（ISO9001）、环境管理体系认证书（ISO14001）、职业健康安全管理体系认证证书（GB/T28001或OHSAS18001或ISO45001）的，每个得1分，最高得3分。</w:t>
            </w:r>
          </w:p>
          <w:p w14:paraId="15BA7A43">
            <w:pPr>
              <w:keepNext w:val="0"/>
              <w:keepLines w:val="0"/>
              <w:pageBreakBefore w:val="0"/>
              <w:kinsoku/>
              <w:wordWrap/>
              <w:topLinePunct w:val="0"/>
              <w:bidi w:val="0"/>
              <w:spacing w:line="240"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注：投标文件中须提供证书复印件加盖投标供应商公章，并提供国家认证认可查询平台（http://cx.cnca.cn/CertECloud/result/skipResultList）网上查询截图加盖公章，未提供或未在有效期限内不得分。</w:t>
            </w:r>
          </w:p>
        </w:tc>
        <w:tc>
          <w:tcPr>
            <w:tcW w:w="427" w:type="pct"/>
            <w:shd w:val="clear" w:color="auto" w:fill="FFFFFF"/>
            <w:noWrap w:val="0"/>
            <w:vAlign w:val="center"/>
          </w:tcPr>
          <w:p w14:paraId="6B179E2C">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w:t>
            </w:r>
          </w:p>
        </w:tc>
      </w:tr>
      <w:tr w14:paraId="7595FD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88" w:type="pct"/>
            <w:shd w:val="clear" w:color="auto" w:fill="auto"/>
            <w:noWrap w:val="0"/>
            <w:vAlign w:val="center"/>
          </w:tcPr>
          <w:p w14:paraId="64193482">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w:t>
            </w:r>
          </w:p>
        </w:tc>
        <w:tc>
          <w:tcPr>
            <w:tcW w:w="510" w:type="pct"/>
            <w:shd w:val="clear" w:color="auto" w:fill="auto"/>
            <w:noWrap w:val="0"/>
            <w:vAlign w:val="center"/>
          </w:tcPr>
          <w:p w14:paraId="76EF2611">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企业业绩</w:t>
            </w:r>
          </w:p>
        </w:tc>
        <w:tc>
          <w:tcPr>
            <w:tcW w:w="3673" w:type="pct"/>
            <w:shd w:val="clear" w:color="auto" w:fill="FFFFFF"/>
            <w:noWrap w:val="0"/>
            <w:vAlign w:val="center"/>
          </w:tcPr>
          <w:p w14:paraId="0AB26C35">
            <w:pPr>
              <w:keepNext w:val="0"/>
              <w:keepLines w:val="0"/>
              <w:pageBreakBefore w:val="0"/>
              <w:kinsoku/>
              <w:wordWrap/>
              <w:topLinePunct w:val="0"/>
              <w:bidi w:val="0"/>
              <w:spacing w:line="240"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供应商提供自</w:t>
            </w:r>
            <w:r>
              <w:rPr>
                <w:rFonts w:hint="eastAsia" w:ascii="仿宋" w:hAnsi="仿宋" w:eastAsia="仿宋" w:cs="仿宋"/>
                <w:color w:val="auto"/>
                <w:sz w:val="21"/>
                <w:szCs w:val="21"/>
                <w:highlight w:val="none"/>
                <w:lang w:val="en-US" w:eastAsia="zh-CN"/>
              </w:rPr>
              <w:t>2020</w:t>
            </w:r>
            <w:r>
              <w:rPr>
                <w:rFonts w:hint="eastAsia" w:ascii="仿宋" w:hAnsi="仿宋" w:eastAsia="仿宋" w:cs="仿宋"/>
                <w:color w:val="auto"/>
                <w:sz w:val="21"/>
                <w:szCs w:val="21"/>
                <w:highlight w:val="none"/>
              </w:rPr>
              <w:t>年1月1日以来承接过类似的道路保洁项目的业绩的，有一个的得1 分，</w:t>
            </w:r>
            <w:r>
              <w:rPr>
                <w:rFonts w:hint="eastAsia" w:ascii="仿宋" w:hAnsi="仿宋" w:eastAsia="仿宋" w:cs="仿宋"/>
                <w:color w:val="auto"/>
                <w:sz w:val="21"/>
                <w:szCs w:val="21"/>
                <w:highlight w:val="none"/>
                <w:lang w:val="en-US" w:eastAsia="zh-CN"/>
              </w:rPr>
              <w:t>最多提供3个业绩，</w:t>
            </w:r>
            <w:r>
              <w:rPr>
                <w:rFonts w:hint="eastAsia" w:ascii="仿宋" w:hAnsi="仿宋" w:eastAsia="仿宋" w:cs="仿宋"/>
                <w:color w:val="auto"/>
                <w:sz w:val="21"/>
                <w:szCs w:val="21"/>
                <w:highlight w:val="none"/>
              </w:rPr>
              <w:t>最高得</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w:t>
            </w:r>
          </w:p>
          <w:p w14:paraId="7BA8E8F1">
            <w:pPr>
              <w:keepNext w:val="0"/>
              <w:keepLines w:val="0"/>
              <w:pageBreakBefore w:val="0"/>
              <w:kinsoku/>
              <w:wordWrap/>
              <w:topLinePunct w:val="0"/>
              <w:bidi w:val="0"/>
              <w:spacing w:line="240" w:lineRule="auto"/>
              <w:jc w:val="left"/>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b/>
                <w:bCs/>
                <w:color w:val="auto"/>
                <w:sz w:val="21"/>
                <w:szCs w:val="21"/>
                <w:highlight w:val="none"/>
              </w:rPr>
              <w:t>同一项目续签的业绩不可重复得分，</w:t>
            </w:r>
            <w:r>
              <w:rPr>
                <w:rFonts w:hint="eastAsia" w:ascii="仿宋" w:hAnsi="仿宋" w:eastAsia="仿宋" w:cs="仿宋"/>
                <w:color w:val="auto"/>
                <w:sz w:val="21"/>
                <w:szCs w:val="21"/>
                <w:highlight w:val="none"/>
              </w:rPr>
              <w:t>提供合同复印件并加盖公章、用户联系方式，不提供不得分，以签订的主合同为准。）</w:t>
            </w:r>
          </w:p>
        </w:tc>
        <w:tc>
          <w:tcPr>
            <w:tcW w:w="427" w:type="pct"/>
            <w:shd w:val="clear" w:color="auto" w:fill="FFFFFF"/>
            <w:noWrap w:val="0"/>
            <w:vAlign w:val="center"/>
          </w:tcPr>
          <w:p w14:paraId="300142F1">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3</w:t>
            </w:r>
          </w:p>
        </w:tc>
      </w:tr>
      <w:tr w14:paraId="267B46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88" w:type="pct"/>
            <w:shd w:val="clear" w:color="auto" w:fill="auto"/>
            <w:noWrap w:val="0"/>
            <w:vAlign w:val="center"/>
          </w:tcPr>
          <w:p w14:paraId="2784379C">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w:t>
            </w:r>
          </w:p>
        </w:tc>
        <w:tc>
          <w:tcPr>
            <w:tcW w:w="510" w:type="pct"/>
            <w:shd w:val="clear" w:color="auto" w:fill="auto"/>
            <w:noWrap w:val="0"/>
            <w:vAlign w:val="center"/>
          </w:tcPr>
          <w:p w14:paraId="263D8DC1">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企业荣誉</w:t>
            </w:r>
          </w:p>
        </w:tc>
        <w:tc>
          <w:tcPr>
            <w:tcW w:w="3673" w:type="pct"/>
            <w:shd w:val="clear" w:color="auto" w:fill="FFFFFF"/>
            <w:noWrap w:val="0"/>
            <w:vAlign w:val="center"/>
          </w:tcPr>
          <w:p w14:paraId="41429AD3">
            <w:pPr>
              <w:keepNext w:val="0"/>
              <w:keepLines w:val="0"/>
              <w:pageBreakBefore w:val="0"/>
              <w:kinsoku/>
              <w:wordWrap/>
              <w:topLinePunct w:val="0"/>
              <w:bidi w:val="0"/>
              <w:spacing w:line="24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自</w:t>
            </w:r>
            <w:r>
              <w:rPr>
                <w:rFonts w:hint="eastAsia" w:ascii="仿宋" w:hAnsi="仿宋" w:eastAsia="仿宋" w:cs="仿宋"/>
                <w:color w:val="auto"/>
                <w:sz w:val="21"/>
                <w:szCs w:val="21"/>
                <w:highlight w:val="none"/>
                <w:lang w:val="en-US" w:eastAsia="zh-CN"/>
              </w:rPr>
              <w:t>2020</w:t>
            </w:r>
            <w:r>
              <w:rPr>
                <w:rFonts w:hint="eastAsia" w:ascii="仿宋" w:hAnsi="仿宋" w:eastAsia="仿宋" w:cs="仿宋"/>
                <w:color w:val="auto"/>
                <w:sz w:val="21"/>
                <w:szCs w:val="21"/>
                <w:highlight w:val="none"/>
              </w:rPr>
              <w:t>年1月1日以来，供应商获得过县区级及以上政府部门颁发的保洁方面荣誉的</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有县区级的得1分，有地市级</w:t>
            </w:r>
            <w:r>
              <w:rPr>
                <w:rFonts w:hint="eastAsia" w:ascii="仿宋" w:hAnsi="仿宋" w:eastAsia="仿宋" w:cs="仿宋"/>
                <w:color w:val="auto"/>
                <w:sz w:val="21"/>
                <w:szCs w:val="21"/>
                <w:highlight w:val="none"/>
                <w:lang w:eastAsia="zh-CN"/>
              </w:rPr>
              <w:t>及以上</w:t>
            </w:r>
            <w:r>
              <w:rPr>
                <w:rFonts w:hint="eastAsia" w:ascii="仿宋" w:hAnsi="仿宋" w:eastAsia="仿宋" w:cs="仿宋"/>
                <w:color w:val="auto"/>
                <w:sz w:val="21"/>
                <w:szCs w:val="21"/>
                <w:highlight w:val="none"/>
              </w:rPr>
              <w:t>的得</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最高得2分。（本项最多提供一项荣誉，只计最高荣誉得分）</w:t>
            </w:r>
          </w:p>
          <w:p w14:paraId="1AC17414">
            <w:pPr>
              <w:keepNext w:val="0"/>
              <w:keepLines w:val="0"/>
              <w:pageBreakBefore w:val="0"/>
              <w:kinsoku/>
              <w:wordWrap/>
              <w:topLinePunct w:val="0"/>
              <w:bidi w:val="0"/>
              <w:spacing w:line="24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注：以证书落款或发文时间为准。投标文件中提供相关荣誉证明或红头文件的复印件加盖投标供应商公章，未提供不得分。</w:t>
            </w:r>
          </w:p>
        </w:tc>
        <w:tc>
          <w:tcPr>
            <w:tcW w:w="427" w:type="pct"/>
            <w:shd w:val="clear" w:color="auto" w:fill="FFFFFF"/>
            <w:noWrap w:val="0"/>
            <w:vAlign w:val="center"/>
          </w:tcPr>
          <w:p w14:paraId="245B9E82">
            <w:pPr>
              <w:keepNext w:val="0"/>
              <w:keepLines w:val="0"/>
              <w:pageBreakBefore w:val="0"/>
              <w:widowControl/>
              <w:kinsoku/>
              <w:wordWrap/>
              <w:topLinePunct w:val="0"/>
              <w:bidi w:val="0"/>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p w14:paraId="49B4CE0B">
            <w:pPr>
              <w:pStyle w:val="61"/>
              <w:keepNext w:val="0"/>
              <w:keepLines w:val="0"/>
              <w:pageBreakBefore w:val="0"/>
              <w:kinsoku/>
              <w:wordWrap/>
              <w:topLinePunct w:val="0"/>
              <w:bidi w:val="0"/>
              <w:spacing w:after="0" w:line="240" w:lineRule="auto"/>
              <w:rPr>
                <w:rFonts w:hint="eastAsia" w:ascii="仿宋" w:hAnsi="仿宋" w:eastAsia="仿宋" w:cs="仿宋"/>
                <w:color w:val="auto"/>
                <w:sz w:val="21"/>
                <w:szCs w:val="21"/>
                <w:highlight w:val="none"/>
                <w:lang w:val="en-US" w:eastAsia="zh-CN"/>
              </w:rPr>
            </w:pPr>
          </w:p>
        </w:tc>
      </w:tr>
      <w:tr w14:paraId="1F1B1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94" w:hRule="atLeast"/>
        </w:trPr>
        <w:tc>
          <w:tcPr>
            <w:tcW w:w="388" w:type="pct"/>
            <w:shd w:val="clear" w:color="auto" w:fill="auto"/>
            <w:noWrap w:val="0"/>
            <w:vAlign w:val="center"/>
          </w:tcPr>
          <w:p w14:paraId="3226BE15">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4</w:t>
            </w:r>
          </w:p>
        </w:tc>
        <w:tc>
          <w:tcPr>
            <w:tcW w:w="510" w:type="pct"/>
            <w:shd w:val="clear" w:color="auto" w:fill="auto"/>
            <w:noWrap w:val="0"/>
            <w:vAlign w:val="center"/>
          </w:tcPr>
          <w:p w14:paraId="0EF19F47">
            <w:pPr>
              <w:keepNext w:val="0"/>
              <w:keepLines w:val="0"/>
              <w:pageBreakBefore w:val="0"/>
              <w:widowControl/>
              <w:kinsoku/>
              <w:wordWrap/>
              <w:topLinePunct w:val="0"/>
              <w:bidi w:val="0"/>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机械设备保障</w:t>
            </w:r>
          </w:p>
        </w:tc>
        <w:tc>
          <w:tcPr>
            <w:tcW w:w="3673" w:type="pct"/>
            <w:tcBorders>
              <w:bottom w:val="single" w:color="auto" w:sz="4" w:space="0"/>
            </w:tcBorders>
            <w:shd w:val="clear" w:color="auto" w:fill="FFFFFF"/>
            <w:noWrap w:val="0"/>
            <w:vAlign w:val="center"/>
          </w:tcPr>
          <w:p w14:paraId="5ADAD00B">
            <w:pPr>
              <w:keepNext w:val="0"/>
              <w:keepLines w:val="0"/>
              <w:pageBreakBefore w:val="0"/>
              <w:kinsoku/>
              <w:wordWrap/>
              <w:topLinePunct w:val="0"/>
              <w:bidi w:val="0"/>
              <w:spacing w:line="240"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针对本项目拟投入的机械车辆配置情况：</w:t>
            </w:r>
          </w:p>
          <w:p w14:paraId="7B5B73EA">
            <w:pPr>
              <w:keepNext w:val="0"/>
              <w:keepLines w:val="0"/>
              <w:pageBreakBefore w:val="0"/>
              <w:kinsoku/>
              <w:wordWrap/>
              <w:topLinePunct w:val="0"/>
              <w:bidi w:val="0"/>
              <w:spacing w:line="240"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1.自有或已租赁</w:t>
            </w:r>
            <w:r>
              <w:rPr>
                <w:rFonts w:hint="eastAsia" w:ascii="仿宋" w:hAnsi="仿宋" w:eastAsia="仿宋" w:cs="仿宋"/>
                <w:color w:val="auto"/>
                <w:sz w:val="21"/>
                <w:szCs w:val="21"/>
                <w:highlight w:val="none"/>
                <w:lang w:val="en-US" w:eastAsia="zh-CN"/>
              </w:rPr>
              <w:t>18吨及以上</w:t>
            </w:r>
            <w:r>
              <w:rPr>
                <w:rFonts w:hint="eastAsia" w:ascii="仿宋" w:hAnsi="仿宋" w:eastAsia="仿宋" w:cs="仿宋"/>
                <w:color w:val="auto"/>
                <w:sz w:val="21"/>
                <w:szCs w:val="21"/>
                <w:highlight w:val="none"/>
              </w:rPr>
              <w:t>扫</w:t>
            </w:r>
            <w:r>
              <w:rPr>
                <w:rFonts w:hint="eastAsia" w:ascii="仿宋" w:hAnsi="仿宋" w:eastAsia="仿宋" w:cs="仿宋"/>
                <w:color w:val="auto"/>
                <w:sz w:val="21"/>
                <w:szCs w:val="21"/>
                <w:highlight w:val="none"/>
                <w:lang w:eastAsia="zh-CN"/>
              </w:rPr>
              <w:t>地</w:t>
            </w:r>
            <w:r>
              <w:rPr>
                <w:rFonts w:hint="eastAsia" w:ascii="仿宋" w:hAnsi="仿宋" w:eastAsia="仿宋" w:cs="仿宋"/>
                <w:color w:val="auto"/>
                <w:sz w:val="21"/>
                <w:szCs w:val="21"/>
                <w:highlight w:val="none"/>
              </w:rPr>
              <w:t>车</w:t>
            </w:r>
            <w:r>
              <w:rPr>
                <w:rFonts w:hint="eastAsia" w:ascii="仿宋" w:hAnsi="仿宋" w:eastAsia="仿宋" w:cs="仿宋"/>
                <w:color w:val="auto"/>
                <w:sz w:val="21"/>
                <w:szCs w:val="21"/>
                <w:highlight w:val="none"/>
                <w:lang w:eastAsia="zh-CN"/>
              </w:rPr>
              <w:t>每</w:t>
            </w:r>
            <w:r>
              <w:rPr>
                <w:rFonts w:hint="eastAsia" w:ascii="仿宋" w:hAnsi="仿宋" w:eastAsia="仿宋" w:cs="仿宋"/>
                <w:color w:val="auto"/>
                <w:sz w:val="21"/>
                <w:szCs w:val="21"/>
                <w:highlight w:val="none"/>
              </w:rPr>
              <w:t>辆得</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最高得2分</w:t>
            </w:r>
            <w:r>
              <w:rPr>
                <w:rFonts w:hint="eastAsia" w:ascii="仿宋" w:hAnsi="仿宋" w:eastAsia="仿宋" w:cs="仿宋"/>
                <w:color w:val="auto"/>
                <w:sz w:val="21"/>
                <w:szCs w:val="21"/>
                <w:highlight w:val="none"/>
                <w:lang w:eastAsia="zh-CN"/>
              </w:rPr>
              <w:t>；</w:t>
            </w:r>
          </w:p>
          <w:p w14:paraId="208AF308">
            <w:pPr>
              <w:keepNext w:val="0"/>
              <w:keepLines w:val="0"/>
              <w:pageBreakBefore w:val="0"/>
              <w:kinsoku/>
              <w:wordWrap/>
              <w:topLinePunct w:val="0"/>
              <w:bidi w:val="0"/>
              <w:spacing w:line="240" w:lineRule="auto"/>
              <w:ind w:left="210" w:hanging="210" w:hangingChars="1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.自有或已租赁</w:t>
            </w:r>
            <w:r>
              <w:rPr>
                <w:rFonts w:hint="eastAsia" w:ascii="仿宋" w:hAnsi="仿宋" w:eastAsia="仿宋" w:cs="仿宋"/>
                <w:color w:val="auto"/>
                <w:sz w:val="21"/>
                <w:szCs w:val="21"/>
                <w:highlight w:val="none"/>
                <w:lang w:val="en-US" w:eastAsia="zh-CN"/>
              </w:rPr>
              <w:t>18吨及以上</w:t>
            </w:r>
            <w:r>
              <w:rPr>
                <w:rFonts w:hint="eastAsia" w:ascii="仿宋" w:hAnsi="仿宋" w:eastAsia="仿宋" w:cs="仿宋"/>
                <w:color w:val="auto"/>
                <w:sz w:val="21"/>
                <w:szCs w:val="21"/>
                <w:highlight w:val="none"/>
              </w:rPr>
              <w:t>洗扫车</w:t>
            </w:r>
            <w:r>
              <w:rPr>
                <w:rFonts w:hint="eastAsia" w:ascii="仿宋" w:hAnsi="仿宋" w:eastAsia="仿宋" w:cs="仿宋"/>
                <w:color w:val="auto"/>
                <w:sz w:val="21"/>
                <w:szCs w:val="21"/>
                <w:highlight w:val="none"/>
                <w:lang w:eastAsia="zh-CN"/>
              </w:rPr>
              <w:t>每</w:t>
            </w:r>
            <w:r>
              <w:rPr>
                <w:rFonts w:hint="eastAsia" w:ascii="仿宋" w:hAnsi="仿宋" w:eastAsia="仿宋" w:cs="仿宋"/>
                <w:color w:val="auto"/>
                <w:sz w:val="21"/>
                <w:szCs w:val="21"/>
                <w:highlight w:val="none"/>
              </w:rPr>
              <w:t>辆得</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val="en-US" w:eastAsia="zh-CN"/>
              </w:rPr>
              <w:t>最高得2分</w:t>
            </w:r>
            <w:r>
              <w:rPr>
                <w:rFonts w:hint="eastAsia" w:ascii="仿宋" w:hAnsi="仿宋" w:eastAsia="仿宋" w:cs="仿宋"/>
                <w:color w:val="auto"/>
                <w:sz w:val="21"/>
                <w:szCs w:val="21"/>
                <w:highlight w:val="none"/>
              </w:rPr>
              <w:t>；</w:t>
            </w:r>
          </w:p>
          <w:p w14:paraId="101A0B1A">
            <w:pPr>
              <w:keepNext w:val="0"/>
              <w:keepLines w:val="0"/>
              <w:pageBreakBefore w:val="0"/>
              <w:kinsoku/>
              <w:wordWrap/>
              <w:topLinePunct w:val="0"/>
              <w:bidi w:val="0"/>
              <w:spacing w:line="240" w:lineRule="auto"/>
              <w:ind w:left="210" w:hanging="210" w:hangingChars="1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自有或已租赁</w:t>
            </w:r>
            <w:r>
              <w:rPr>
                <w:rFonts w:hint="eastAsia" w:ascii="仿宋" w:hAnsi="仿宋" w:eastAsia="仿宋" w:cs="仿宋"/>
                <w:color w:val="auto"/>
                <w:sz w:val="21"/>
                <w:szCs w:val="21"/>
                <w:highlight w:val="none"/>
                <w:lang w:val="en-US" w:eastAsia="zh-CN"/>
              </w:rPr>
              <w:t>18吨及以上洒水</w:t>
            </w:r>
            <w:r>
              <w:rPr>
                <w:rFonts w:hint="eastAsia" w:ascii="仿宋" w:hAnsi="仿宋" w:eastAsia="仿宋" w:cs="仿宋"/>
                <w:color w:val="auto"/>
                <w:sz w:val="21"/>
                <w:szCs w:val="21"/>
                <w:highlight w:val="none"/>
              </w:rPr>
              <w:t>车</w:t>
            </w:r>
            <w:r>
              <w:rPr>
                <w:rFonts w:hint="eastAsia" w:ascii="仿宋" w:hAnsi="仿宋" w:eastAsia="仿宋" w:cs="仿宋"/>
                <w:color w:val="auto"/>
                <w:sz w:val="21"/>
                <w:szCs w:val="21"/>
                <w:highlight w:val="none"/>
                <w:lang w:eastAsia="zh-CN"/>
              </w:rPr>
              <w:t>每</w:t>
            </w:r>
            <w:r>
              <w:rPr>
                <w:rFonts w:hint="eastAsia" w:ascii="仿宋" w:hAnsi="仿宋" w:eastAsia="仿宋" w:cs="仿宋"/>
                <w:color w:val="auto"/>
                <w:sz w:val="21"/>
                <w:szCs w:val="21"/>
                <w:highlight w:val="none"/>
              </w:rPr>
              <w:t>辆得</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最高得2分</w:t>
            </w:r>
            <w:r>
              <w:rPr>
                <w:rFonts w:hint="eastAsia" w:ascii="仿宋" w:hAnsi="仿宋" w:eastAsia="仿宋" w:cs="仿宋"/>
                <w:color w:val="auto"/>
                <w:sz w:val="21"/>
                <w:szCs w:val="21"/>
                <w:highlight w:val="none"/>
              </w:rPr>
              <w:t>；</w:t>
            </w:r>
          </w:p>
          <w:p w14:paraId="7ADD2816">
            <w:pPr>
              <w:keepNext w:val="0"/>
              <w:keepLines w:val="0"/>
              <w:pageBreakBefore w:val="0"/>
              <w:kinsoku/>
              <w:wordWrap/>
              <w:topLinePunct w:val="0"/>
              <w:bidi w:val="0"/>
              <w:spacing w:line="240" w:lineRule="auto"/>
              <w:ind w:left="210" w:hanging="210" w:hangingChars="1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自有或已租赁</w:t>
            </w:r>
            <w:r>
              <w:rPr>
                <w:rFonts w:hint="eastAsia" w:ascii="仿宋" w:hAnsi="仿宋" w:eastAsia="仿宋" w:cs="仿宋"/>
                <w:color w:val="auto"/>
                <w:sz w:val="21"/>
                <w:szCs w:val="21"/>
                <w:highlight w:val="none"/>
                <w:lang w:eastAsia="zh-CN"/>
              </w:rPr>
              <w:t>路面养护</w:t>
            </w:r>
            <w:r>
              <w:rPr>
                <w:rFonts w:hint="eastAsia" w:ascii="仿宋" w:hAnsi="仿宋" w:eastAsia="仿宋" w:cs="仿宋"/>
                <w:color w:val="auto"/>
                <w:sz w:val="21"/>
                <w:szCs w:val="21"/>
                <w:highlight w:val="none"/>
              </w:rPr>
              <w:t>车</w:t>
            </w:r>
            <w:r>
              <w:rPr>
                <w:rFonts w:hint="eastAsia" w:ascii="仿宋" w:hAnsi="仿宋" w:eastAsia="仿宋" w:cs="仿宋"/>
                <w:color w:val="auto"/>
                <w:sz w:val="21"/>
                <w:szCs w:val="21"/>
                <w:highlight w:val="none"/>
                <w:lang w:eastAsia="zh-CN"/>
              </w:rPr>
              <w:t>每</w:t>
            </w:r>
            <w:r>
              <w:rPr>
                <w:rFonts w:hint="eastAsia" w:ascii="仿宋" w:hAnsi="仿宋" w:eastAsia="仿宋" w:cs="仿宋"/>
                <w:color w:val="auto"/>
                <w:sz w:val="21"/>
                <w:szCs w:val="21"/>
                <w:highlight w:val="none"/>
              </w:rPr>
              <w:t>辆得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分，最高得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w:t>
            </w:r>
          </w:p>
          <w:p w14:paraId="1507FBE6">
            <w:pPr>
              <w:keepNext w:val="0"/>
              <w:keepLines w:val="0"/>
              <w:pageBreakBefore w:val="0"/>
              <w:kinsoku/>
              <w:wordWrap/>
              <w:topLinePunct w:val="0"/>
              <w:bidi w:val="0"/>
              <w:spacing w:line="240" w:lineRule="auto"/>
              <w:ind w:left="210" w:hanging="210" w:hangingChars="10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自有或已租赁</w:t>
            </w:r>
            <w:r>
              <w:rPr>
                <w:rFonts w:hint="eastAsia" w:ascii="仿宋" w:hAnsi="仿宋" w:eastAsia="仿宋" w:cs="仿宋"/>
                <w:color w:val="auto"/>
                <w:sz w:val="21"/>
                <w:szCs w:val="21"/>
                <w:highlight w:val="none"/>
                <w:lang w:eastAsia="zh-CN"/>
              </w:rPr>
              <w:t>三轮高压冲洗</w:t>
            </w:r>
            <w:r>
              <w:rPr>
                <w:rFonts w:hint="eastAsia" w:ascii="仿宋" w:hAnsi="仿宋" w:eastAsia="仿宋" w:cs="仿宋"/>
                <w:color w:val="auto"/>
                <w:sz w:val="21"/>
                <w:szCs w:val="21"/>
                <w:highlight w:val="none"/>
              </w:rPr>
              <w:t>车</w:t>
            </w:r>
            <w:r>
              <w:rPr>
                <w:rFonts w:hint="eastAsia" w:ascii="仿宋" w:hAnsi="仿宋" w:eastAsia="仿宋" w:cs="仿宋"/>
                <w:color w:val="auto"/>
                <w:sz w:val="21"/>
                <w:szCs w:val="21"/>
                <w:highlight w:val="none"/>
                <w:lang w:eastAsia="zh-CN"/>
              </w:rPr>
              <w:t>每</w:t>
            </w:r>
            <w:r>
              <w:rPr>
                <w:rFonts w:hint="eastAsia" w:ascii="仿宋" w:hAnsi="仿宋" w:eastAsia="仿宋" w:cs="仿宋"/>
                <w:color w:val="auto"/>
                <w:sz w:val="21"/>
                <w:szCs w:val="21"/>
                <w:highlight w:val="none"/>
              </w:rPr>
              <w:t>辆得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分，最高得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w:t>
            </w:r>
            <w:bookmarkStart w:id="167" w:name="_GoBack"/>
            <w:bookmarkEnd w:id="167"/>
          </w:p>
          <w:p w14:paraId="30E12189">
            <w:pPr>
              <w:keepNext w:val="0"/>
              <w:keepLines w:val="0"/>
              <w:pageBreakBefore w:val="0"/>
              <w:kinsoku/>
              <w:wordWrap/>
              <w:topLinePunct w:val="0"/>
              <w:bidi w:val="0"/>
              <w:spacing w:line="240"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文件中须提供车辆的行驶证复印件、车辆登记证复印件及购买发票复印件加盖投标人公章，其中三轮高压冲洗车只需提供购买发票复印件加盖投标人公章。提供不齐全的，相应评分条款不得分。以上车辆产权属于投标人（含分公司）方予以认可；车辆产权属于子公司或控股公司的均不予认可。</w:t>
            </w:r>
          </w:p>
          <w:p w14:paraId="061E40AC">
            <w:pPr>
              <w:keepNext w:val="0"/>
              <w:keepLines w:val="0"/>
              <w:pageBreakBefore w:val="0"/>
              <w:kinsoku/>
              <w:wordWrap/>
              <w:topLinePunct w:val="0"/>
              <w:bidi w:val="0"/>
              <w:spacing w:line="240"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注：以上车辆如是租赁的，需提供车辆的行驶证复印件、车辆登记证复印件、购买发票复印件及租赁合同复印件加盖投标人公章，提供不齐全的，相应评分条款不得分。</w:t>
            </w:r>
          </w:p>
          <w:p w14:paraId="36EE037A">
            <w:pPr>
              <w:keepNext w:val="0"/>
              <w:keepLines w:val="0"/>
              <w:pageBreakBefore w:val="0"/>
              <w:kinsoku/>
              <w:wordWrap/>
              <w:topLinePunct w:val="0"/>
              <w:bidi w:val="0"/>
              <w:spacing w:line="240" w:lineRule="auto"/>
              <w:jc w:val="left"/>
              <w:rPr>
                <w:rFonts w:hint="eastAsia" w:ascii="仿宋" w:hAnsi="仿宋" w:eastAsia="仿宋" w:cs="仿宋"/>
                <w:b/>
                <w:color w:val="auto"/>
                <w:kern w:val="2"/>
                <w:sz w:val="21"/>
                <w:szCs w:val="21"/>
                <w:highlight w:val="none"/>
                <w:lang w:val="en-US" w:eastAsia="zh-CN" w:bidi="ar-SA"/>
              </w:rPr>
            </w:pPr>
            <w:r>
              <w:rPr>
                <w:rFonts w:hint="eastAsia" w:ascii="仿宋" w:hAnsi="仿宋" w:eastAsia="仿宋" w:cs="仿宋"/>
                <w:b/>
                <w:color w:val="auto"/>
                <w:sz w:val="21"/>
                <w:szCs w:val="21"/>
                <w:highlight w:val="none"/>
              </w:rPr>
              <w:t>除以上证件外，需提供车辆设备用于本项目的书面承诺书（格式详见商务技术标表式附件：</w:t>
            </w:r>
            <w:r>
              <w:rPr>
                <w:rFonts w:hint="eastAsia" w:ascii="仿宋" w:hAnsi="仿宋" w:eastAsia="仿宋" w:cs="仿宋"/>
                <w:b/>
                <w:color w:val="auto"/>
                <w:sz w:val="21"/>
                <w:szCs w:val="21"/>
                <w:highlight w:val="none"/>
                <w:lang w:val="en-US" w:eastAsia="zh-CN"/>
              </w:rPr>
              <w:t>九、</w:t>
            </w:r>
            <w:r>
              <w:rPr>
                <w:rFonts w:hint="eastAsia" w:ascii="仿宋" w:hAnsi="仿宋" w:eastAsia="仿宋" w:cs="仿宋"/>
                <w:b/>
                <w:color w:val="auto"/>
                <w:sz w:val="21"/>
                <w:szCs w:val="21"/>
                <w:highlight w:val="none"/>
              </w:rPr>
              <w:t>承诺书）</w:t>
            </w:r>
            <w:r>
              <w:rPr>
                <w:rFonts w:hint="eastAsia" w:ascii="仿宋" w:hAnsi="仿宋" w:eastAsia="仿宋" w:cs="仿宋"/>
                <w:b/>
                <w:color w:val="auto"/>
                <w:sz w:val="21"/>
                <w:szCs w:val="21"/>
                <w:highlight w:val="none"/>
                <w:lang w:val="en-US" w:eastAsia="zh-CN"/>
              </w:rPr>
              <w:t>并</w:t>
            </w:r>
            <w:r>
              <w:rPr>
                <w:rFonts w:hint="eastAsia" w:ascii="仿宋" w:hAnsi="仿宋" w:eastAsia="仿宋" w:cs="仿宋"/>
                <w:b/>
                <w:color w:val="auto"/>
                <w:sz w:val="21"/>
                <w:szCs w:val="21"/>
                <w:highlight w:val="none"/>
              </w:rPr>
              <w:t>加盖投标供应商公章。</w:t>
            </w:r>
          </w:p>
        </w:tc>
        <w:tc>
          <w:tcPr>
            <w:tcW w:w="427" w:type="pct"/>
            <w:tcBorders>
              <w:bottom w:val="single" w:color="auto" w:sz="4" w:space="0"/>
            </w:tcBorders>
            <w:shd w:val="clear" w:color="auto" w:fill="FFFFFF"/>
            <w:noWrap w:val="0"/>
            <w:vAlign w:val="center"/>
          </w:tcPr>
          <w:p w14:paraId="78C671B3">
            <w:pPr>
              <w:pStyle w:val="61"/>
              <w:keepNext w:val="0"/>
              <w:keepLines w:val="0"/>
              <w:pageBreakBefore w:val="0"/>
              <w:kinsoku/>
              <w:wordWrap/>
              <w:topLinePunct w:val="0"/>
              <w:bidi w:val="0"/>
              <w:spacing w:after="0" w:line="240" w:lineRule="auto"/>
              <w:ind w:left="0" w:leftChars="0"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p w14:paraId="6340EACD">
            <w:pPr>
              <w:pStyle w:val="61"/>
              <w:keepNext w:val="0"/>
              <w:keepLines w:val="0"/>
              <w:pageBreakBefore w:val="0"/>
              <w:kinsoku/>
              <w:wordWrap/>
              <w:topLinePunct w:val="0"/>
              <w:bidi w:val="0"/>
              <w:spacing w:after="0" w:line="240" w:lineRule="auto"/>
              <w:ind w:firstLine="420"/>
              <w:rPr>
                <w:rFonts w:hint="eastAsia" w:ascii="仿宋" w:hAnsi="仿宋" w:eastAsia="仿宋" w:cs="仿宋"/>
                <w:color w:val="auto"/>
                <w:sz w:val="21"/>
                <w:szCs w:val="21"/>
                <w:highlight w:val="none"/>
                <w:lang w:val="en-US" w:eastAsia="zh-CN"/>
              </w:rPr>
            </w:pPr>
          </w:p>
          <w:p w14:paraId="4DC4DF10">
            <w:pPr>
              <w:pStyle w:val="61"/>
              <w:keepNext w:val="0"/>
              <w:keepLines w:val="0"/>
              <w:pageBreakBefore w:val="0"/>
              <w:kinsoku/>
              <w:wordWrap/>
              <w:topLinePunct w:val="0"/>
              <w:bidi w:val="0"/>
              <w:spacing w:after="0" w:line="240" w:lineRule="auto"/>
              <w:ind w:left="420" w:leftChars="200" w:firstLine="420" w:firstLineChars="200"/>
              <w:rPr>
                <w:rFonts w:hint="eastAsia" w:ascii="仿宋" w:hAnsi="仿宋" w:eastAsia="仿宋" w:cs="仿宋"/>
                <w:color w:val="auto"/>
                <w:kern w:val="2"/>
                <w:sz w:val="21"/>
                <w:szCs w:val="21"/>
                <w:highlight w:val="none"/>
                <w:lang w:val="en-US" w:eastAsia="zh-CN" w:bidi="ar-SA"/>
              </w:rPr>
            </w:pPr>
          </w:p>
        </w:tc>
      </w:tr>
      <w:tr w14:paraId="69A83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88" w:type="pct"/>
            <w:shd w:val="clear" w:color="auto" w:fill="auto"/>
            <w:noWrap w:val="0"/>
            <w:vAlign w:val="center"/>
          </w:tcPr>
          <w:p w14:paraId="60C09F40">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 xml:space="preserve">5 </w:t>
            </w:r>
          </w:p>
        </w:tc>
        <w:tc>
          <w:tcPr>
            <w:tcW w:w="510" w:type="pct"/>
            <w:shd w:val="clear" w:color="auto" w:fill="auto"/>
            <w:noWrap w:val="0"/>
            <w:vAlign w:val="center"/>
          </w:tcPr>
          <w:p w14:paraId="4F27AC2C">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 w:val="21"/>
                <w:szCs w:val="21"/>
                <w:highlight w:val="none"/>
              </w:rPr>
              <w:t>组织管理方案</w:t>
            </w:r>
          </w:p>
        </w:tc>
        <w:tc>
          <w:tcPr>
            <w:tcW w:w="3673" w:type="pct"/>
            <w:tcBorders>
              <w:bottom w:val="single" w:color="auto" w:sz="4" w:space="0"/>
            </w:tcBorders>
            <w:shd w:val="clear" w:color="auto" w:fill="FFFFFF"/>
            <w:noWrap w:val="0"/>
            <w:vAlign w:val="center"/>
          </w:tcPr>
          <w:p w14:paraId="5C8BCB93">
            <w:pPr>
              <w:keepNext w:val="0"/>
              <w:keepLines w:val="0"/>
              <w:pageBreakBefore w:val="0"/>
              <w:kinsoku/>
              <w:wordWrap/>
              <w:topLinePunct w:val="0"/>
              <w:bidi w:val="0"/>
              <w:spacing w:line="24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1、项目管理制度（</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分）</w:t>
            </w:r>
          </w:p>
          <w:p w14:paraId="23F1ACA1">
            <w:pPr>
              <w:keepNext w:val="0"/>
              <w:keepLines w:val="0"/>
              <w:pageBreakBefore w:val="0"/>
              <w:kinsoku/>
              <w:wordWrap/>
              <w:topLinePunct w:val="0"/>
              <w:bidi w:val="0"/>
              <w:spacing w:line="24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对拟投入团队的员工管理制度、员工稳定制度、平稳过渡制度</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内部监督机制</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环卫作业人员的培训计划、录用与考核及淘汰机制等方面完善的、科学合理，具有可操作性的得</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分，欠完善、欠科学合理、可操作性一般的得</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分，不完善、不科学不合理、可操作性差的得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分，不提供不得分。</w:t>
            </w:r>
          </w:p>
          <w:p w14:paraId="35913CBD">
            <w:pPr>
              <w:keepNext w:val="0"/>
              <w:keepLines w:val="0"/>
              <w:pageBreakBefore w:val="0"/>
              <w:kinsoku/>
              <w:wordWrap/>
              <w:topLinePunct w:val="0"/>
              <w:bidi w:val="0"/>
              <w:spacing w:line="24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设备等管理制度（</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分）</w:t>
            </w:r>
          </w:p>
          <w:p w14:paraId="50358E01">
            <w:pPr>
              <w:keepNext w:val="0"/>
              <w:keepLines w:val="0"/>
              <w:pageBreakBefore w:val="0"/>
              <w:kinsoku/>
              <w:wordWrap/>
              <w:topLinePunct w:val="0"/>
              <w:bidi w:val="0"/>
              <w:spacing w:line="240" w:lineRule="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 w:val="21"/>
                <w:szCs w:val="21"/>
                <w:highlight w:val="none"/>
              </w:rPr>
              <w:t>对拟投入本项目的道路环卫机械化作业管理制度科学合理，具有可操作性的得</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分，欠完善、欠科学合理、可操作性一般的得</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分，不完善、不科学不合理、可操作性差的得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分，不提供不得分。</w:t>
            </w:r>
          </w:p>
        </w:tc>
        <w:tc>
          <w:tcPr>
            <w:tcW w:w="427" w:type="pct"/>
            <w:tcBorders>
              <w:bottom w:val="single" w:color="auto" w:sz="4" w:space="0"/>
            </w:tcBorders>
            <w:shd w:val="clear" w:color="auto" w:fill="FFFFFF"/>
            <w:noWrap w:val="0"/>
            <w:vAlign w:val="center"/>
          </w:tcPr>
          <w:p w14:paraId="1EDC2665">
            <w:pPr>
              <w:keepNext w:val="0"/>
              <w:keepLines w:val="0"/>
              <w:pageBreakBefore w:val="0"/>
              <w:widowControl/>
              <w:kinsoku/>
              <w:wordWrap/>
              <w:topLinePunct w:val="0"/>
              <w:bidi w:val="0"/>
              <w:spacing w:line="240" w:lineRule="auto"/>
              <w:jc w:val="center"/>
              <w:rPr>
                <w:rFonts w:hint="default"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10</w:t>
            </w:r>
          </w:p>
        </w:tc>
      </w:tr>
      <w:tr w14:paraId="0E436E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88" w:type="pct"/>
            <w:shd w:val="clear" w:color="auto" w:fill="auto"/>
            <w:noWrap w:val="0"/>
            <w:vAlign w:val="center"/>
          </w:tcPr>
          <w:p w14:paraId="4D9F9195">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6</w:t>
            </w:r>
          </w:p>
        </w:tc>
        <w:tc>
          <w:tcPr>
            <w:tcW w:w="510" w:type="pct"/>
            <w:shd w:val="clear" w:color="auto" w:fill="auto"/>
            <w:noWrap w:val="0"/>
            <w:vAlign w:val="center"/>
          </w:tcPr>
          <w:p w14:paraId="58944E34">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 w:val="21"/>
                <w:szCs w:val="21"/>
                <w:highlight w:val="none"/>
              </w:rPr>
              <w:t>运营管理方案</w:t>
            </w:r>
          </w:p>
        </w:tc>
        <w:tc>
          <w:tcPr>
            <w:tcW w:w="3673" w:type="pct"/>
            <w:tcBorders>
              <w:bottom w:val="single" w:color="auto" w:sz="4" w:space="0"/>
            </w:tcBorders>
            <w:shd w:val="clear" w:color="auto" w:fill="FFFFFF"/>
            <w:noWrap w:val="0"/>
            <w:vAlign w:val="center"/>
          </w:tcPr>
          <w:p w14:paraId="5B65044D">
            <w:pPr>
              <w:keepNext w:val="0"/>
              <w:keepLines w:val="0"/>
              <w:pageBreakBefore w:val="0"/>
              <w:kinsoku/>
              <w:wordWrap/>
              <w:topLinePunct w:val="0"/>
              <w:bidi w:val="0"/>
              <w:spacing w:line="240" w:lineRule="auto"/>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1、环卫机械化作业管理方案（</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分）</w:t>
            </w:r>
          </w:p>
          <w:p w14:paraId="35D25FBF">
            <w:pPr>
              <w:keepNext w:val="0"/>
              <w:keepLines w:val="0"/>
              <w:pageBreakBefore w:val="0"/>
              <w:kinsoku/>
              <w:wordWrap/>
              <w:topLinePunct w:val="0"/>
              <w:bidi w:val="0"/>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根据本招标项目实际情况制定方案，方案内容中至少包含机械化设备配备清单、机械化设备作业方案：机械化清扫、洒水、（深度）清洗、机械化车辆排班、设备保养等内容。方案完善的、科学合理，具有可操作性的得</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分，欠完善、欠科学合理、可操作性一般的得</w:t>
            </w:r>
            <w:r>
              <w:rPr>
                <w:rFonts w:hint="eastAsia" w:ascii="仿宋" w:hAnsi="仿宋" w:eastAsia="仿宋" w:cs="仿宋"/>
                <w:color w:val="auto"/>
                <w:kern w:val="0"/>
                <w:sz w:val="21"/>
                <w:szCs w:val="21"/>
                <w:highlight w:val="none"/>
                <w:lang w:val="en-US" w:eastAsia="zh-CN"/>
              </w:rPr>
              <w:t>3</w:t>
            </w:r>
            <w:r>
              <w:rPr>
                <w:rFonts w:hint="eastAsia" w:ascii="仿宋" w:hAnsi="仿宋" w:eastAsia="仿宋" w:cs="仿宋"/>
                <w:color w:val="auto"/>
                <w:kern w:val="0"/>
                <w:sz w:val="21"/>
                <w:szCs w:val="21"/>
                <w:highlight w:val="none"/>
              </w:rPr>
              <w:t>分，不完善、不科学不合理、可操作性差的得</w:t>
            </w: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rPr>
              <w:t>分，不提供不得分。</w:t>
            </w:r>
          </w:p>
          <w:p w14:paraId="4DE12366">
            <w:pPr>
              <w:keepNext w:val="0"/>
              <w:keepLines w:val="0"/>
              <w:pageBreakBefore w:val="0"/>
              <w:kinsoku/>
              <w:wordWrap/>
              <w:topLinePunct w:val="0"/>
              <w:bidi w:val="0"/>
              <w:spacing w:line="240" w:lineRule="auto"/>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2、道路人工保洁管理方案（</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 xml:space="preserve">分）            </w:t>
            </w:r>
          </w:p>
          <w:p w14:paraId="52A12E8E">
            <w:pPr>
              <w:keepNext w:val="0"/>
              <w:keepLines w:val="0"/>
              <w:pageBreakBefore w:val="0"/>
              <w:kinsoku/>
              <w:wordWrap/>
              <w:topLinePunct w:val="0"/>
              <w:bidi w:val="0"/>
              <w:spacing w:line="240" w:lineRule="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根据本招标项目实际情况制定方案，方案内容中至少包含项目组成员清单、人工作业方案：道路清扫、人行道冲洗（清洗）、快速保洁、立面保洁、花台石凳保洁、绿化带保洁、果壳箱、垃圾桶清洗、人员配备排班表等内容。方案完善的、科学合理，具有可操作性的得</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分，欠完善、欠科学合理、可操作性一般的得</w:t>
            </w:r>
            <w:r>
              <w:rPr>
                <w:rFonts w:hint="eastAsia" w:ascii="仿宋" w:hAnsi="仿宋" w:eastAsia="仿宋" w:cs="仿宋"/>
                <w:color w:val="auto"/>
                <w:kern w:val="0"/>
                <w:sz w:val="21"/>
                <w:szCs w:val="21"/>
                <w:highlight w:val="none"/>
                <w:lang w:val="en-US" w:eastAsia="zh-CN"/>
              </w:rPr>
              <w:t>3</w:t>
            </w:r>
            <w:r>
              <w:rPr>
                <w:rFonts w:hint="eastAsia" w:ascii="仿宋" w:hAnsi="仿宋" w:eastAsia="仿宋" w:cs="仿宋"/>
                <w:color w:val="auto"/>
                <w:kern w:val="0"/>
                <w:sz w:val="21"/>
                <w:szCs w:val="21"/>
                <w:highlight w:val="none"/>
              </w:rPr>
              <w:t>分，不完善、不科学不合理、可操作性差的得</w:t>
            </w: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rPr>
              <w:t>分，不提供不得分。</w:t>
            </w:r>
          </w:p>
          <w:p w14:paraId="2636EA5A">
            <w:pPr>
              <w:keepNext w:val="0"/>
              <w:keepLines w:val="0"/>
              <w:pageBreakBefore w:val="0"/>
              <w:kinsoku/>
              <w:wordWrap/>
              <w:topLinePunct w:val="0"/>
              <w:bidi w:val="0"/>
              <w:spacing w:line="240" w:lineRule="auto"/>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3、垃圾分类收集（含小区、店面、单位等）、运输管理方案（</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分）</w:t>
            </w:r>
          </w:p>
          <w:p w14:paraId="3653438D">
            <w:pPr>
              <w:keepNext w:val="0"/>
              <w:keepLines w:val="0"/>
              <w:pageBreakBefore w:val="0"/>
              <w:kinsoku/>
              <w:wordWrap/>
              <w:topLinePunct w:val="0"/>
              <w:bidi w:val="0"/>
              <w:spacing w:line="240" w:lineRule="auto"/>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根据本招标项目实际情况制定方案，方案内容中至少包含</w:t>
            </w:r>
            <w:r>
              <w:rPr>
                <w:rFonts w:hint="eastAsia" w:ascii="仿宋" w:hAnsi="仿宋" w:eastAsia="仿宋" w:cs="仿宋"/>
                <w:color w:val="auto"/>
                <w:kern w:val="0"/>
                <w:sz w:val="21"/>
                <w:szCs w:val="21"/>
                <w:highlight w:val="none"/>
                <w:lang w:eastAsia="zh-CN"/>
              </w:rPr>
              <w:t>保洁中各类</w:t>
            </w:r>
            <w:r>
              <w:rPr>
                <w:rFonts w:hint="eastAsia" w:ascii="仿宋" w:hAnsi="仿宋" w:eastAsia="仿宋" w:cs="仿宋"/>
                <w:color w:val="auto"/>
                <w:kern w:val="0"/>
                <w:sz w:val="21"/>
                <w:szCs w:val="21"/>
                <w:highlight w:val="none"/>
              </w:rPr>
              <w:t>垃圾分类收集、清运、</w:t>
            </w:r>
            <w:r>
              <w:rPr>
                <w:rFonts w:hint="eastAsia" w:ascii="仿宋" w:hAnsi="仿宋" w:eastAsia="仿宋" w:cs="仿宋"/>
                <w:color w:val="auto"/>
                <w:kern w:val="0"/>
                <w:sz w:val="21"/>
                <w:szCs w:val="21"/>
                <w:highlight w:val="none"/>
                <w:lang w:eastAsia="zh-CN"/>
              </w:rPr>
              <w:t>倾倒场地、</w:t>
            </w:r>
            <w:r>
              <w:rPr>
                <w:rFonts w:hint="eastAsia" w:ascii="仿宋" w:hAnsi="仿宋" w:eastAsia="仿宋" w:cs="仿宋"/>
                <w:color w:val="auto"/>
                <w:kern w:val="0"/>
                <w:sz w:val="21"/>
                <w:szCs w:val="21"/>
                <w:highlight w:val="none"/>
              </w:rPr>
              <w:t>处置的方案。方案完善的、科学合理，具有可操作性的得</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分，欠完善、欠科学合理、可操作性一般的得</w:t>
            </w:r>
            <w:r>
              <w:rPr>
                <w:rFonts w:hint="eastAsia" w:ascii="仿宋" w:hAnsi="仿宋" w:eastAsia="仿宋" w:cs="仿宋"/>
                <w:color w:val="auto"/>
                <w:kern w:val="0"/>
                <w:sz w:val="21"/>
                <w:szCs w:val="21"/>
                <w:highlight w:val="none"/>
                <w:lang w:val="en-US" w:eastAsia="zh-CN"/>
              </w:rPr>
              <w:t>3</w:t>
            </w:r>
            <w:r>
              <w:rPr>
                <w:rFonts w:hint="eastAsia" w:ascii="仿宋" w:hAnsi="仿宋" w:eastAsia="仿宋" w:cs="仿宋"/>
                <w:color w:val="auto"/>
                <w:kern w:val="0"/>
                <w:sz w:val="21"/>
                <w:szCs w:val="21"/>
                <w:highlight w:val="none"/>
              </w:rPr>
              <w:t>分，不完善、不科学不合理、可操作性差的得</w:t>
            </w: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rPr>
              <w:t>分，不提供不得分。</w:t>
            </w:r>
          </w:p>
          <w:p w14:paraId="7DB3A1D4">
            <w:pPr>
              <w:keepNext w:val="0"/>
              <w:keepLines w:val="0"/>
              <w:pageBreakBefore w:val="0"/>
              <w:kinsoku/>
              <w:wordWrap/>
              <w:topLinePunct w:val="0"/>
              <w:bidi w:val="0"/>
              <w:spacing w:line="240" w:lineRule="auto"/>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4</w:t>
            </w:r>
            <w:r>
              <w:rPr>
                <w:rFonts w:hint="eastAsia" w:ascii="仿宋" w:hAnsi="仿宋" w:eastAsia="仿宋" w:cs="仿宋"/>
                <w:color w:val="auto"/>
                <w:kern w:val="0"/>
                <w:sz w:val="21"/>
                <w:szCs w:val="21"/>
                <w:highlight w:val="none"/>
              </w:rPr>
              <w:t>、保洁创新方案（</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分）</w:t>
            </w:r>
          </w:p>
          <w:p w14:paraId="1970D8F7">
            <w:pPr>
              <w:keepNext w:val="0"/>
              <w:keepLines w:val="0"/>
              <w:pageBreakBefore w:val="0"/>
              <w:kinsoku/>
              <w:wordWrap/>
              <w:topLinePunct w:val="0"/>
              <w:bidi w:val="0"/>
              <w:spacing w:line="240" w:lineRule="auto"/>
              <w:jc w:val="left"/>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rPr>
              <w:t>根据本招标项目实际情况制定方案，提供适合本项目实际情况的新型设备、创新型作业方法、或高于本项目基本要求配置机械等内容。方案完善的、科学合理，具有可操作性的得</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分，欠完善、欠科学合理、可操作性一般的得</w:t>
            </w:r>
            <w:r>
              <w:rPr>
                <w:rFonts w:hint="eastAsia" w:ascii="仿宋" w:hAnsi="仿宋" w:eastAsia="仿宋" w:cs="仿宋"/>
                <w:color w:val="auto"/>
                <w:kern w:val="0"/>
                <w:sz w:val="21"/>
                <w:szCs w:val="21"/>
                <w:highlight w:val="none"/>
                <w:lang w:val="en-US" w:eastAsia="zh-CN"/>
              </w:rPr>
              <w:t>3</w:t>
            </w:r>
            <w:r>
              <w:rPr>
                <w:rFonts w:hint="eastAsia" w:ascii="仿宋" w:hAnsi="仿宋" w:eastAsia="仿宋" w:cs="仿宋"/>
                <w:color w:val="auto"/>
                <w:kern w:val="0"/>
                <w:sz w:val="21"/>
                <w:szCs w:val="21"/>
                <w:highlight w:val="none"/>
              </w:rPr>
              <w:t>分，不完善、不科学不合理、可操作性差的得</w:t>
            </w: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rPr>
              <w:t>分，不提供不得分。</w:t>
            </w:r>
          </w:p>
        </w:tc>
        <w:tc>
          <w:tcPr>
            <w:tcW w:w="427" w:type="pct"/>
            <w:tcBorders>
              <w:bottom w:val="single" w:color="auto" w:sz="4" w:space="0"/>
            </w:tcBorders>
            <w:shd w:val="clear" w:color="auto" w:fill="FFFFFF"/>
            <w:noWrap w:val="0"/>
            <w:vAlign w:val="center"/>
          </w:tcPr>
          <w:p w14:paraId="27B36B05">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20</w:t>
            </w:r>
          </w:p>
        </w:tc>
      </w:tr>
      <w:tr w14:paraId="7293FF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88" w:type="pct"/>
            <w:shd w:val="clear" w:color="auto" w:fill="auto"/>
            <w:noWrap w:val="0"/>
            <w:vAlign w:val="center"/>
          </w:tcPr>
          <w:p w14:paraId="1A015F18">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7</w:t>
            </w:r>
          </w:p>
        </w:tc>
        <w:tc>
          <w:tcPr>
            <w:tcW w:w="510" w:type="pct"/>
            <w:shd w:val="clear" w:color="auto" w:fill="auto"/>
            <w:noWrap w:val="0"/>
            <w:vAlign w:val="center"/>
          </w:tcPr>
          <w:p w14:paraId="23302CFA">
            <w:pPr>
              <w:keepNext w:val="0"/>
              <w:keepLines w:val="0"/>
              <w:pageBreakBefore w:val="0"/>
              <w:widowControl/>
              <w:kinsoku/>
              <w:wordWrap/>
              <w:topLinePunct w:val="0"/>
              <w:bidi w:val="0"/>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eastAsia="zh-CN"/>
              </w:rPr>
              <w:t>重点道路（区域）扬尘精准精细综合防治方案</w:t>
            </w:r>
          </w:p>
        </w:tc>
        <w:tc>
          <w:tcPr>
            <w:tcW w:w="3673" w:type="pct"/>
            <w:shd w:val="clear" w:color="auto" w:fill="FFFFFF"/>
            <w:noWrap w:val="0"/>
            <w:vAlign w:val="center"/>
          </w:tcPr>
          <w:p w14:paraId="16481007">
            <w:pPr>
              <w:keepNext w:val="0"/>
              <w:keepLines w:val="0"/>
              <w:pageBreakBefore w:val="0"/>
              <w:kinsoku/>
              <w:wordWrap/>
              <w:topLinePunct w:val="0"/>
              <w:bidi w:val="0"/>
              <w:spacing w:line="240" w:lineRule="auto"/>
              <w:jc w:val="left"/>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rPr>
              <w:t>根据本招标项目实际情况制定</w:t>
            </w:r>
            <w:r>
              <w:rPr>
                <w:rFonts w:hint="eastAsia" w:ascii="仿宋" w:hAnsi="仿宋" w:eastAsia="仿宋" w:cs="仿宋"/>
                <w:color w:val="auto"/>
                <w:kern w:val="0"/>
                <w:sz w:val="21"/>
                <w:szCs w:val="21"/>
                <w:highlight w:val="none"/>
                <w:lang w:eastAsia="zh-CN"/>
              </w:rPr>
              <w:t>重点道路（区域）扬尘精准精细综合防治方案，重点道路（区域）为妇保大气监测国控站点近距离道路</w:t>
            </w:r>
            <w:r>
              <w:rPr>
                <w:rFonts w:hint="eastAsia" w:ascii="仿宋" w:hAnsi="仿宋" w:eastAsia="仿宋" w:cs="仿宋"/>
                <w:color w:val="auto"/>
                <w:kern w:val="0"/>
                <w:sz w:val="21"/>
                <w:szCs w:val="21"/>
                <w:highlight w:val="none"/>
                <w:lang w:val="en-US" w:eastAsia="zh-CN"/>
              </w:rPr>
              <w:t>湖山南路（檀院西面段）和货车可通行道路涉及的南复线（苏台高架桥下-财经旅游学校大门段）及香林大道（南复线-鉴湖中学大门段）等2条一级重点道路，</w:t>
            </w:r>
            <w:r>
              <w:rPr>
                <w:rFonts w:hint="eastAsia" w:ascii="仿宋" w:hAnsi="仿宋" w:eastAsia="仿宋" w:cs="仿宋"/>
                <w:color w:val="auto"/>
                <w:kern w:val="0"/>
                <w:sz w:val="21"/>
                <w:szCs w:val="21"/>
                <w:highlight w:val="none"/>
                <w:lang w:eastAsia="zh-CN"/>
              </w:rPr>
              <w:t>根据地面扬尘对监测数据影响较大的现实状况，</w:t>
            </w:r>
            <w:r>
              <w:rPr>
                <w:rFonts w:hint="eastAsia" w:ascii="仿宋" w:hAnsi="仿宋" w:eastAsia="仿宋" w:cs="仿宋"/>
                <w:color w:val="auto"/>
                <w:kern w:val="0"/>
                <w:sz w:val="21"/>
                <w:szCs w:val="21"/>
                <w:highlight w:val="none"/>
                <w:lang w:val="en-US" w:eastAsia="zh-CN"/>
              </w:rPr>
              <w:t>结合</w:t>
            </w:r>
            <w:r>
              <w:rPr>
                <w:rFonts w:hint="eastAsia" w:ascii="仿宋" w:hAnsi="仿宋" w:eastAsia="仿宋" w:cs="仿宋"/>
                <w:color w:val="auto"/>
                <w:kern w:val="0"/>
                <w:sz w:val="21"/>
                <w:szCs w:val="21"/>
                <w:highlight w:val="none"/>
                <w:lang w:eastAsia="zh-CN"/>
              </w:rPr>
              <w:t>妇保国控站点位置、地形等实际因素，科学分析、制定扬尘精准精细综合防治方案，</w:t>
            </w:r>
            <w:r>
              <w:rPr>
                <w:rFonts w:hint="eastAsia" w:ascii="仿宋" w:hAnsi="仿宋" w:eastAsia="仿宋" w:cs="仿宋"/>
                <w:color w:val="auto"/>
                <w:kern w:val="0"/>
                <w:sz w:val="21"/>
                <w:szCs w:val="21"/>
                <w:highlight w:val="none"/>
              </w:rPr>
              <w:t>方案完善的、科学合理</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具有可操作性</w:t>
            </w:r>
            <w:r>
              <w:rPr>
                <w:rFonts w:hint="eastAsia" w:ascii="仿宋" w:hAnsi="仿宋" w:eastAsia="仿宋" w:cs="仿宋"/>
                <w:color w:val="auto"/>
                <w:kern w:val="0"/>
                <w:sz w:val="21"/>
                <w:szCs w:val="21"/>
                <w:highlight w:val="none"/>
                <w:lang w:eastAsia="zh-CN"/>
              </w:rPr>
              <w:t>且治理贡献效果明显</w:t>
            </w:r>
            <w:r>
              <w:rPr>
                <w:rFonts w:hint="eastAsia" w:ascii="仿宋" w:hAnsi="仿宋" w:eastAsia="仿宋" w:cs="仿宋"/>
                <w:color w:val="auto"/>
                <w:kern w:val="0"/>
                <w:sz w:val="21"/>
                <w:szCs w:val="21"/>
                <w:highlight w:val="none"/>
              </w:rPr>
              <w:t>的得</w:t>
            </w:r>
            <w:r>
              <w:rPr>
                <w:rFonts w:hint="eastAsia" w:ascii="仿宋" w:hAnsi="仿宋" w:eastAsia="仿宋" w:cs="仿宋"/>
                <w:color w:val="auto"/>
                <w:kern w:val="0"/>
                <w:sz w:val="21"/>
                <w:szCs w:val="21"/>
                <w:highlight w:val="none"/>
                <w:lang w:val="en-US" w:eastAsia="zh-CN"/>
              </w:rPr>
              <w:t>10</w:t>
            </w:r>
            <w:r>
              <w:rPr>
                <w:rFonts w:hint="eastAsia" w:ascii="仿宋" w:hAnsi="仿宋" w:eastAsia="仿宋" w:cs="仿宋"/>
                <w:color w:val="auto"/>
                <w:kern w:val="0"/>
                <w:sz w:val="21"/>
                <w:szCs w:val="21"/>
                <w:highlight w:val="none"/>
              </w:rPr>
              <w:t>分，欠完善、欠科学合理、可操作性</w:t>
            </w:r>
            <w:r>
              <w:rPr>
                <w:rFonts w:hint="eastAsia" w:ascii="仿宋" w:hAnsi="仿宋" w:eastAsia="仿宋" w:cs="仿宋"/>
                <w:color w:val="auto"/>
                <w:kern w:val="0"/>
                <w:sz w:val="21"/>
                <w:szCs w:val="21"/>
                <w:highlight w:val="none"/>
                <w:lang w:eastAsia="zh-CN"/>
              </w:rPr>
              <w:t>、治理贡献效果</w:t>
            </w:r>
            <w:r>
              <w:rPr>
                <w:rFonts w:hint="eastAsia" w:ascii="仿宋" w:hAnsi="仿宋" w:eastAsia="仿宋" w:cs="仿宋"/>
                <w:color w:val="auto"/>
                <w:kern w:val="0"/>
                <w:sz w:val="21"/>
                <w:szCs w:val="21"/>
                <w:highlight w:val="none"/>
              </w:rPr>
              <w:t>一般的得</w:t>
            </w:r>
            <w:r>
              <w:rPr>
                <w:rFonts w:hint="eastAsia" w:ascii="仿宋" w:hAnsi="仿宋" w:eastAsia="仿宋" w:cs="仿宋"/>
                <w:color w:val="auto"/>
                <w:kern w:val="0"/>
                <w:sz w:val="21"/>
                <w:szCs w:val="21"/>
                <w:highlight w:val="none"/>
                <w:lang w:val="en-US" w:eastAsia="zh-CN"/>
              </w:rPr>
              <w:t>7</w:t>
            </w:r>
            <w:r>
              <w:rPr>
                <w:rFonts w:hint="eastAsia" w:ascii="仿宋" w:hAnsi="仿宋" w:eastAsia="仿宋" w:cs="仿宋"/>
                <w:color w:val="auto"/>
                <w:kern w:val="0"/>
                <w:sz w:val="21"/>
                <w:szCs w:val="21"/>
                <w:highlight w:val="none"/>
              </w:rPr>
              <w:t>分，不完善、不科学不合理、可操作性</w:t>
            </w:r>
            <w:r>
              <w:rPr>
                <w:rFonts w:hint="eastAsia" w:ascii="仿宋" w:hAnsi="仿宋" w:eastAsia="仿宋" w:cs="仿宋"/>
                <w:color w:val="auto"/>
                <w:kern w:val="0"/>
                <w:sz w:val="21"/>
                <w:szCs w:val="21"/>
                <w:highlight w:val="none"/>
                <w:lang w:eastAsia="zh-CN"/>
              </w:rPr>
              <w:t>、治理贡献效差</w:t>
            </w:r>
            <w:r>
              <w:rPr>
                <w:rFonts w:hint="eastAsia" w:ascii="仿宋" w:hAnsi="仿宋" w:eastAsia="仿宋" w:cs="仿宋"/>
                <w:color w:val="auto"/>
                <w:kern w:val="0"/>
                <w:sz w:val="21"/>
                <w:szCs w:val="21"/>
                <w:highlight w:val="none"/>
              </w:rPr>
              <w:t>的得</w:t>
            </w:r>
            <w:r>
              <w:rPr>
                <w:rFonts w:hint="eastAsia" w:ascii="仿宋" w:hAnsi="仿宋" w:eastAsia="仿宋" w:cs="仿宋"/>
                <w:color w:val="auto"/>
                <w:kern w:val="0"/>
                <w:sz w:val="21"/>
                <w:szCs w:val="21"/>
                <w:highlight w:val="none"/>
                <w:lang w:val="en-US" w:eastAsia="zh-CN"/>
              </w:rPr>
              <w:t>4</w:t>
            </w:r>
            <w:r>
              <w:rPr>
                <w:rFonts w:hint="eastAsia" w:ascii="仿宋" w:hAnsi="仿宋" w:eastAsia="仿宋" w:cs="仿宋"/>
                <w:color w:val="auto"/>
                <w:kern w:val="0"/>
                <w:sz w:val="21"/>
                <w:szCs w:val="21"/>
                <w:highlight w:val="none"/>
              </w:rPr>
              <w:t>分，不提供不得分。</w:t>
            </w:r>
          </w:p>
        </w:tc>
        <w:tc>
          <w:tcPr>
            <w:tcW w:w="427" w:type="pct"/>
            <w:shd w:val="clear" w:color="auto" w:fill="FFFFFF"/>
            <w:noWrap w:val="0"/>
            <w:vAlign w:val="center"/>
          </w:tcPr>
          <w:p w14:paraId="58D02F71">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10</w:t>
            </w:r>
          </w:p>
        </w:tc>
      </w:tr>
      <w:tr w14:paraId="5FC67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88" w:type="pct"/>
            <w:shd w:val="clear" w:color="auto" w:fill="auto"/>
            <w:noWrap w:val="0"/>
            <w:vAlign w:val="center"/>
          </w:tcPr>
          <w:p w14:paraId="718FEC68">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8</w:t>
            </w:r>
          </w:p>
        </w:tc>
        <w:tc>
          <w:tcPr>
            <w:tcW w:w="510" w:type="pct"/>
            <w:shd w:val="clear" w:color="auto" w:fill="auto"/>
            <w:noWrap w:val="0"/>
            <w:vAlign w:val="center"/>
          </w:tcPr>
          <w:p w14:paraId="609AF8A4">
            <w:pPr>
              <w:keepNext w:val="0"/>
              <w:keepLines w:val="0"/>
              <w:pageBreakBefore w:val="0"/>
              <w:widowControl/>
              <w:kinsoku/>
              <w:wordWrap/>
              <w:topLinePunct w:val="0"/>
              <w:bidi w:val="0"/>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服务保障方案</w:t>
            </w:r>
          </w:p>
        </w:tc>
        <w:tc>
          <w:tcPr>
            <w:tcW w:w="3673" w:type="pct"/>
            <w:shd w:val="clear" w:color="auto" w:fill="FFFFFF"/>
            <w:noWrap w:val="0"/>
            <w:vAlign w:val="center"/>
          </w:tcPr>
          <w:p w14:paraId="4E073710">
            <w:pPr>
              <w:keepNext w:val="0"/>
              <w:keepLines w:val="0"/>
              <w:pageBreakBefore w:val="0"/>
              <w:kinsoku/>
              <w:wordWrap/>
              <w:topLinePunct w:val="0"/>
              <w:bidi w:val="0"/>
              <w:spacing w:line="240" w:lineRule="auto"/>
              <w:jc w:val="left"/>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rPr>
              <w:t>根据本招标项目实际情况制定</w:t>
            </w:r>
            <w:r>
              <w:rPr>
                <w:rFonts w:hint="eastAsia" w:ascii="仿宋" w:hAnsi="仿宋" w:eastAsia="仿宋" w:cs="仿宋"/>
                <w:color w:val="auto"/>
                <w:sz w:val="21"/>
                <w:szCs w:val="21"/>
                <w:highlight w:val="none"/>
              </w:rPr>
              <w:t>服务保障方案（</w:t>
            </w:r>
            <w:r>
              <w:rPr>
                <w:rFonts w:hint="eastAsia" w:ascii="仿宋" w:hAnsi="仿宋" w:eastAsia="仿宋" w:cs="仿宋"/>
                <w:color w:val="auto"/>
                <w:kern w:val="0"/>
                <w:sz w:val="21"/>
                <w:szCs w:val="21"/>
                <w:highlight w:val="none"/>
              </w:rPr>
              <w:t>包含不限于设备设施维护维修管理方案、人员、车辆管理方案）等内容。方案完善的、科学合理，具有可操作性的得</w:t>
            </w:r>
            <w:r>
              <w:rPr>
                <w:rFonts w:hint="eastAsia" w:ascii="仿宋" w:hAnsi="仿宋" w:eastAsia="仿宋" w:cs="仿宋"/>
                <w:color w:val="auto"/>
                <w:kern w:val="0"/>
                <w:sz w:val="21"/>
                <w:szCs w:val="21"/>
                <w:highlight w:val="none"/>
                <w:lang w:val="en-US" w:eastAsia="zh-CN"/>
              </w:rPr>
              <w:t>6</w:t>
            </w:r>
            <w:r>
              <w:rPr>
                <w:rFonts w:hint="eastAsia" w:ascii="仿宋" w:hAnsi="仿宋" w:eastAsia="仿宋" w:cs="仿宋"/>
                <w:color w:val="auto"/>
                <w:kern w:val="0"/>
                <w:sz w:val="21"/>
                <w:szCs w:val="21"/>
                <w:highlight w:val="none"/>
              </w:rPr>
              <w:t>分，欠完善、欠科学合理、可操作性一般的得</w:t>
            </w:r>
            <w:r>
              <w:rPr>
                <w:rFonts w:hint="eastAsia" w:ascii="仿宋" w:hAnsi="仿宋" w:eastAsia="仿宋" w:cs="仿宋"/>
                <w:color w:val="auto"/>
                <w:kern w:val="0"/>
                <w:sz w:val="21"/>
                <w:szCs w:val="21"/>
                <w:highlight w:val="none"/>
                <w:lang w:val="en-US" w:eastAsia="zh-CN"/>
              </w:rPr>
              <w:t>4</w:t>
            </w:r>
            <w:r>
              <w:rPr>
                <w:rFonts w:hint="eastAsia" w:ascii="仿宋" w:hAnsi="仿宋" w:eastAsia="仿宋" w:cs="仿宋"/>
                <w:color w:val="auto"/>
                <w:kern w:val="0"/>
                <w:sz w:val="21"/>
                <w:szCs w:val="21"/>
                <w:highlight w:val="none"/>
              </w:rPr>
              <w:t>分，不完善、不科学不合理、可操作性差的得</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rPr>
              <w:t>分，不提供不得分。</w:t>
            </w:r>
          </w:p>
        </w:tc>
        <w:tc>
          <w:tcPr>
            <w:tcW w:w="427" w:type="pct"/>
            <w:shd w:val="clear" w:color="auto" w:fill="FFFFFF"/>
            <w:noWrap w:val="0"/>
            <w:vAlign w:val="center"/>
          </w:tcPr>
          <w:p w14:paraId="7073EA97">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6</w:t>
            </w:r>
          </w:p>
        </w:tc>
      </w:tr>
      <w:tr w14:paraId="6B0ADF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88" w:type="pct"/>
            <w:shd w:val="clear" w:color="auto" w:fill="auto"/>
            <w:noWrap w:val="0"/>
            <w:vAlign w:val="center"/>
          </w:tcPr>
          <w:p w14:paraId="7AB80B03">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9</w:t>
            </w:r>
          </w:p>
        </w:tc>
        <w:tc>
          <w:tcPr>
            <w:tcW w:w="510" w:type="pct"/>
            <w:shd w:val="clear" w:color="auto" w:fill="auto"/>
            <w:noWrap w:val="0"/>
            <w:vAlign w:val="center"/>
          </w:tcPr>
          <w:p w14:paraId="286F312A">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 w:val="21"/>
                <w:szCs w:val="21"/>
                <w:highlight w:val="none"/>
              </w:rPr>
              <w:t>应急处置方案</w:t>
            </w:r>
          </w:p>
        </w:tc>
        <w:tc>
          <w:tcPr>
            <w:tcW w:w="3673" w:type="pct"/>
            <w:shd w:val="clear" w:color="auto" w:fill="FFFFFF"/>
            <w:noWrap w:val="0"/>
            <w:vAlign w:val="center"/>
          </w:tcPr>
          <w:p w14:paraId="4232F512">
            <w:pPr>
              <w:keepNext w:val="0"/>
              <w:keepLines w:val="0"/>
              <w:pageBreakBefore w:val="0"/>
              <w:kinsoku/>
              <w:wordWrap/>
              <w:topLinePunct w:val="0"/>
              <w:bidi w:val="0"/>
              <w:spacing w:line="240" w:lineRule="auto"/>
              <w:jc w:val="left"/>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rPr>
              <w:t>根据本招标项目实际情况制定</w:t>
            </w:r>
            <w:r>
              <w:rPr>
                <w:rFonts w:hint="eastAsia" w:ascii="仿宋" w:hAnsi="仿宋" w:eastAsia="仿宋" w:cs="仿宋"/>
                <w:color w:val="auto"/>
                <w:sz w:val="21"/>
                <w:szCs w:val="21"/>
                <w:highlight w:val="none"/>
              </w:rPr>
              <w:t>应急处置方案（</w:t>
            </w:r>
            <w:r>
              <w:rPr>
                <w:rFonts w:hint="eastAsia" w:ascii="仿宋" w:hAnsi="仿宋" w:eastAsia="仿宋" w:cs="仿宋"/>
                <w:color w:val="auto"/>
                <w:kern w:val="0"/>
                <w:sz w:val="21"/>
                <w:szCs w:val="21"/>
                <w:highlight w:val="none"/>
              </w:rPr>
              <w:t>包含不限于极端天气（防汛抗台、防雪抗冻）应急保障方案、重大疫情期间执行方案、发生恶性事故应急方案、重大活动及节日应急方案等内容。方案完善的、科学合理，具有可操作性的得</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分，欠完善、欠科学合理、可操作性一般的得</w:t>
            </w:r>
            <w:r>
              <w:rPr>
                <w:rFonts w:hint="eastAsia" w:ascii="仿宋" w:hAnsi="仿宋" w:eastAsia="仿宋" w:cs="仿宋"/>
                <w:color w:val="auto"/>
                <w:kern w:val="0"/>
                <w:sz w:val="21"/>
                <w:szCs w:val="21"/>
                <w:highlight w:val="none"/>
                <w:lang w:val="en-US" w:eastAsia="zh-CN"/>
              </w:rPr>
              <w:t>3</w:t>
            </w:r>
            <w:r>
              <w:rPr>
                <w:rFonts w:hint="eastAsia" w:ascii="仿宋" w:hAnsi="仿宋" w:eastAsia="仿宋" w:cs="仿宋"/>
                <w:color w:val="auto"/>
                <w:kern w:val="0"/>
                <w:sz w:val="21"/>
                <w:szCs w:val="21"/>
                <w:highlight w:val="none"/>
              </w:rPr>
              <w:t>分，不完善、不科学不合理、可操作性差的得</w:t>
            </w: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rPr>
              <w:t>分，不提供不得分。</w:t>
            </w:r>
          </w:p>
        </w:tc>
        <w:tc>
          <w:tcPr>
            <w:tcW w:w="427" w:type="pct"/>
            <w:shd w:val="clear" w:color="auto" w:fill="FFFFFF"/>
            <w:noWrap w:val="0"/>
            <w:vAlign w:val="center"/>
          </w:tcPr>
          <w:p w14:paraId="115832B7">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5</w:t>
            </w:r>
          </w:p>
        </w:tc>
      </w:tr>
      <w:tr w14:paraId="2A6B0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88" w:type="pct"/>
            <w:shd w:val="clear" w:color="auto" w:fill="auto"/>
            <w:noWrap w:val="0"/>
            <w:vAlign w:val="center"/>
          </w:tcPr>
          <w:p w14:paraId="59C14901">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10</w:t>
            </w:r>
          </w:p>
        </w:tc>
        <w:tc>
          <w:tcPr>
            <w:tcW w:w="510" w:type="pct"/>
            <w:shd w:val="clear" w:color="auto" w:fill="auto"/>
            <w:noWrap w:val="0"/>
            <w:vAlign w:val="center"/>
          </w:tcPr>
          <w:p w14:paraId="6543678A">
            <w:pPr>
              <w:keepNext w:val="0"/>
              <w:keepLines w:val="0"/>
              <w:pageBreakBefore w:val="0"/>
              <w:widowControl/>
              <w:kinsoku/>
              <w:wordWrap/>
              <w:topLinePunct w:val="0"/>
              <w:bidi w:val="0"/>
              <w:spacing w:line="24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智慧化管理方案</w:t>
            </w:r>
          </w:p>
        </w:tc>
        <w:tc>
          <w:tcPr>
            <w:tcW w:w="3673" w:type="pct"/>
            <w:shd w:val="clear" w:color="auto" w:fill="FFFFFF"/>
            <w:noWrap w:val="0"/>
            <w:vAlign w:val="center"/>
          </w:tcPr>
          <w:p w14:paraId="579DB8E6">
            <w:pPr>
              <w:keepNext w:val="0"/>
              <w:keepLines w:val="0"/>
              <w:pageBreakBefore w:val="0"/>
              <w:kinsoku/>
              <w:wordWrap/>
              <w:topLinePunct w:val="0"/>
              <w:bidi w:val="0"/>
              <w:spacing w:line="240" w:lineRule="auto"/>
              <w:jc w:val="left"/>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rPr>
              <w:t>根据本招标项目实际情况制定</w:t>
            </w:r>
            <w:r>
              <w:rPr>
                <w:rFonts w:hint="eastAsia" w:ascii="仿宋" w:hAnsi="仿宋" w:eastAsia="仿宋" w:cs="仿宋"/>
                <w:color w:val="auto"/>
                <w:sz w:val="21"/>
                <w:szCs w:val="21"/>
                <w:highlight w:val="none"/>
              </w:rPr>
              <w:t>智慧化管理方案（</w:t>
            </w:r>
            <w:r>
              <w:rPr>
                <w:rFonts w:hint="eastAsia" w:ascii="仿宋" w:hAnsi="仿宋" w:eastAsia="仿宋" w:cs="仿宋"/>
                <w:color w:val="auto"/>
                <w:kern w:val="0"/>
                <w:sz w:val="21"/>
                <w:szCs w:val="21"/>
                <w:highlight w:val="none"/>
              </w:rPr>
              <w:t>包含不限于人员管理、车辆管理、设施管理、环卫事件管理）等内容。方案完善的、科学合理，具有可操作性的得</w:t>
            </w:r>
            <w:r>
              <w:rPr>
                <w:rFonts w:hint="eastAsia" w:ascii="仿宋" w:hAnsi="仿宋" w:eastAsia="仿宋" w:cs="仿宋"/>
                <w:color w:val="auto"/>
                <w:kern w:val="0"/>
                <w:sz w:val="21"/>
                <w:szCs w:val="21"/>
                <w:highlight w:val="none"/>
                <w:lang w:val="en-US" w:eastAsia="zh-CN"/>
              </w:rPr>
              <w:t>3</w:t>
            </w:r>
            <w:r>
              <w:rPr>
                <w:rFonts w:hint="eastAsia" w:ascii="仿宋" w:hAnsi="仿宋" w:eastAsia="仿宋" w:cs="仿宋"/>
                <w:color w:val="auto"/>
                <w:kern w:val="0"/>
                <w:sz w:val="21"/>
                <w:szCs w:val="21"/>
                <w:highlight w:val="none"/>
              </w:rPr>
              <w:t>分，欠完善、欠科学合理、可操作性一般的得</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rPr>
              <w:t>分，不完善、不科学不合理、可操作性差的得</w:t>
            </w: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rPr>
              <w:t>分，不提供不得分。</w:t>
            </w:r>
          </w:p>
        </w:tc>
        <w:tc>
          <w:tcPr>
            <w:tcW w:w="427" w:type="pct"/>
            <w:shd w:val="clear" w:color="auto" w:fill="FFFFFF"/>
            <w:noWrap w:val="0"/>
            <w:vAlign w:val="center"/>
          </w:tcPr>
          <w:p w14:paraId="494DE55D">
            <w:pPr>
              <w:keepNext w:val="0"/>
              <w:keepLines w:val="0"/>
              <w:pageBreakBefore w:val="0"/>
              <w:widowControl/>
              <w:kinsoku/>
              <w:wordWrap/>
              <w:topLinePunct w:val="0"/>
              <w:bidi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3</w:t>
            </w:r>
          </w:p>
        </w:tc>
      </w:tr>
    </w:tbl>
    <w:p w14:paraId="01174B9C">
      <w:pPr>
        <w:pStyle w:val="130"/>
        <w:keepNext w:val="0"/>
        <w:keepLines w:val="0"/>
        <w:pageBreakBefore w:val="0"/>
        <w:widowControl w:val="0"/>
        <w:kinsoku/>
        <w:wordWrap/>
        <w:overflowPunct/>
        <w:topLinePunct w:val="0"/>
        <w:autoSpaceDE/>
        <w:autoSpaceDN/>
        <w:bidi w:val="0"/>
        <w:adjustRightInd w:val="0"/>
        <w:snapToGrid w:val="0"/>
        <w:spacing w:before="0" w:line="360" w:lineRule="auto"/>
        <w:ind w:firstLine="480"/>
        <w:textAlignment w:val="auto"/>
        <w:rPr>
          <w:rFonts w:hint="eastAsia" w:ascii="仿宋" w:hAnsi="仿宋" w:eastAsia="仿宋"/>
          <w:b/>
          <w:bCs/>
          <w:color w:val="000000"/>
          <w:sz w:val="24"/>
          <w:highlight w:val="none"/>
          <w:lang w:eastAsia="zh-CN"/>
        </w:rPr>
      </w:pPr>
      <w:r>
        <w:rPr>
          <w:rFonts w:hint="eastAsia" w:ascii="仿宋" w:hAnsi="仿宋" w:eastAsia="仿宋" w:cs="仿宋"/>
          <w:sz w:val="20"/>
          <w:szCs w:val="20"/>
          <w:highlight w:val="none"/>
          <w:shd w:val="clear" w:color="auto" w:fill="FFFFFF"/>
        </w:rPr>
        <w:t> </w:t>
      </w:r>
      <w:r>
        <w:rPr>
          <w:rFonts w:hint="eastAsia" w:ascii="仿宋" w:hAnsi="仿宋" w:eastAsia="仿宋" w:cs="仿宋_GB2312"/>
          <w:color w:val="000000"/>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highlight w:val="none"/>
          <w:lang w:eastAsia="zh-CN"/>
        </w:rPr>
        <w:t>商务技术分低于</w:t>
      </w:r>
      <w:r>
        <w:rPr>
          <w:rFonts w:hint="eastAsia" w:ascii="仿宋" w:hAnsi="仿宋" w:eastAsia="仿宋" w:cs="仿宋_GB2312"/>
          <w:b/>
          <w:bCs/>
          <w:color w:val="000000"/>
          <w:highlight w:val="none"/>
          <w:lang w:val="en-US" w:eastAsia="zh-CN"/>
        </w:rPr>
        <w:t>42分的，</w:t>
      </w:r>
      <w:r>
        <w:rPr>
          <w:rFonts w:hint="eastAsia" w:ascii="仿宋" w:hAnsi="仿宋" w:eastAsia="仿宋"/>
          <w:b/>
          <w:bCs/>
          <w:color w:val="000000"/>
          <w:sz w:val="24"/>
          <w:highlight w:val="none"/>
        </w:rPr>
        <w:t>视为采购人不能接受的附加条件</w:t>
      </w:r>
      <w:r>
        <w:rPr>
          <w:rFonts w:hint="eastAsia" w:ascii="仿宋" w:hAnsi="仿宋" w:eastAsia="仿宋"/>
          <w:b/>
          <w:bCs/>
          <w:color w:val="000000"/>
          <w:sz w:val="24"/>
          <w:highlight w:val="none"/>
          <w:lang w:eastAsia="zh-CN"/>
        </w:rPr>
        <w:t>。</w:t>
      </w:r>
    </w:p>
    <w:p w14:paraId="7E4D202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仿宋"/>
          <w:b/>
          <w:bCs/>
          <w:iCs/>
          <w:sz w:val="24"/>
          <w:highlight w:val="none"/>
        </w:rPr>
      </w:pP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14:paraId="6A77F7D3">
      <w:pPr>
        <w:keepNext w:val="0"/>
        <w:keepLines w:val="0"/>
        <w:pageBreakBefore w:val="0"/>
        <w:widowControl w:val="0"/>
        <w:kinsoku/>
        <w:wordWrap/>
        <w:overflowPunct/>
        <w:topLinePunct w:val="0"/>
        <w:autoSpaceDE/>
        <w:autoSpaceDN/>
        <w:bidi w:val="0"/>
        <w:adjustRightInd w:val="0"/>
        <w:spacing w:line="360" w:lineRule="auto"/>
        <w:ind w:firstLine="482" w:firstLineChars="200"/>
        <w:textAlignment w:val="auto"/>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lang w:val="en-US" w:eastAsia="zh-CN"/>
        </w:rPr>
        <w:t xml:space="preserve"> 30 </w:t>
      </w:r>
      <w:r>
        <w:rPr>
          <w:rFonts w:hint="eastAsia" w:ascii="仿宋" w:hAnsi="仿宋" w:eastAsia="仿宋" w:cs="仿宋"/>
          <w:b/>
          <w:bCs/>
          <w:iCs/>
          <w:sz w:val="24"/>
          <w:highlight w:val="none"/>
        </w:rPr>
        <w:t>分）</w:t>
      </w:r>
    </w:p>
    <w:p w14:paraId="1DA32A6F">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14:paraId="3E905149">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14:paraId="71D88689">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360" w:lineRule="auto"/>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14:paraId="53E48504">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360" w:lineRule="auto"/>
        <w:ind w:firstLine="480" w:firstLineChars="200"/>
        <w:textAlignment w:val="auto"/>
        <w:rPr>
          <w:rFonts w:hint="eastAsia" w:ascii="仿宋" w:hAnsi="仿宋" w:eastAsia="仿宋" w:cs="仿宋"/>
          <w:highlight w:val="none"/>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u w:val="single"/>
          <w:lang w:val="en-US" w:eastAsia="zh-CN"/>
        </w:rPr>
        <w:t>30</w:t>
      </w:r>
    </w:p>
    <w:p w14:paraId="7E2FAEEB">
      <w:pPr>
        <w:rPr>
          <w:rFonts w:hint="eastAsia" w:ascii="仿宋" w:hAnsi="仿宋" w:eastAsia="仿宋" w:cs="仿宋"/>
          <w:highlight w:val="none"/>
        </w:rPr>
      </w:pPr>
    </w:p>
    <w:p w14:paraId="3C8631CD">
      <w:pPr>
        <w:rPr>
          <w:rFonts w:hint="eastAsia" w:ascii="仿宋" w:hAnsi="仿宋" w:eastAsia="仿宋" w:cs="仿宋"/>
          <w:b/>
          <w:sz w:val="36"/>
          <w:szCs w:val="20"/>
          <w:highlight w:val="none"/>
        </w:rPr>
      </w:pPr>
      <w:r>
        <w:rPr>
          <w:rFonts w:hint="eastAsia" w:ascii="仿宋" w:hAnsi="仿宋" w:eastAsia="仿宋" w:cs="仿宋"/>
          <w:b/>
          <w:sz w:val="36"/>
          <w:szCs w:val="20"/>
          <w:highlight w:val="none"/>
        </w:rPr>
        <w:br w:type="page"/>
      </w:r>
    </w:p>
    <w:p w14:paraId="000156DF">
      <w:pPr>
        <w:widowControl/>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w:t>
      </w:r>
      <w:bookmarkEnd w:id="36"/>
      <w:r>
        <w:rPr>
          <w:rFonts w:hint="eastAsia" w:ascii="仿宋" w:hAnsi="仿宋" w:eastAsia="仿宋" w:cs="仿宋"/>
          <w:b/>
          <w:sz w:val="36"/>
          <w:szCs w:val="20"/>
          <w:highlight w:val="none"/>
        </w:rPr>
        <w:t xml:space="preserve"> </w:t>
      </w:r>
      <w:bookmarkEnd w:id="37"/>
      <w:r>
        <w:rPr>
          <w:rFonts w:hint="eastAsia" w:ascii="仿宋" w:hAnsi="仿宋" w:eastAsia="仿宋" w:cs="仿宋"/>
          <w:b/>
          <w:sz w:val="36"/>
          <w:szCs w:val="20"/>
          <w:highlight w:val="none"/>
        </w:rPr>
        <w:t>投标文件及其附件格式</w:t>
      </w:r>
    </w:p>
    <w:p w14:paraId="00613322">
      <w:pPr>
        <w:spacing w:line="360" w:lineRule="auto"/>
        <w:jc w:val="center"/>
        <w:outlineLvl w:val="0"/>
        <w:rPr>
          <w:rFonts w:hint="eastAsia" w:ascii="仿宋" w:hAnsi="仿宋" w:eastAsia="仿宋" w:cs="仿宋"/>
          <w:b/>
          <w:kern w:val="0"/>
          <w:sz w:val="36"/>
          <w:szCs w:val="36"/>
          <w:highlight w:val="none"/>
        </w:rPr>
      </w:pPr>
    </w:p>
    <w:p w14:paraId="1B0F4E96">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14:paraId="7472A265">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36C52CD7">
      <w:pPr>
        <w:spacing w:line="360" w:lineRule="auto"/>
        <w:jc w:val="center"/>
        <w:outlineLvl w:val="0"/>
        <w:rPr>
          <w:rFonts w:hint="eastAsia" w:ascii="仿宋" w:hAnsi="仿宋" w:eastAsia="仿宋" w:cs="仿宋"/>
          <w:b/>
          <w:kern w:val="0"/>
          <w:sz w:val="36"/>
          <w:szCs w:val="36"/>
          <w:highlight w:val="none"/>
        </w:rPr>
      </w:pPr>
    </w:p>
    <w:p w14:paraId="38735D06">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14:paraId="5C6EBAA1">
      <w:pPr>
        <w:snapToGrid w:val="0"/>
        <w:spacing w:line="360" w:lineRule="auto"/>
        <w:rPr>
          <w:rFonts w:hint="eastAsia"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14:paraId="3DE29853">
      <w:pPr>
        <w:pStyle w:val="23"/>
        <w:rPr>
          <w:rFonts w:hint="eastAsia" w:ascii="仿宋" w:hAnsi="仿宋" w:eastAsia="仿宋" w:cs="仿宋"/>
          <w:highlight w:val="none"/>
          <w:lang w:eastAsia="zh-CN"/>
        </w:rPr>
      </w:pPr>
      <w:r>
        <w:rPr>
          <w:rFonts w:hint="eastAsia" w:ascii="仿宋" w:hAnsi="仿宋" w:eastAsia="仿宋" w:cs="仿宋"/>
          <w:sz w:val="24"/>
          <w:highlight w:val="none"/>
        </w:rPr>
        <w:t>（3）</w:t>
      </w:r>
      <w:r>
        <w:rPr>
          <w:rFonts w:hint="eastAsia" w:ascii="仿宋" w:hAnsi="仿宋" w:eastAsia="仿宋" w:cs="仿宋"/>
          <w:sz w:val="24"/>
          <w:highlight w:val="none"/>
          <w:lang w:eastAsia="zh-CN"/>
        </w:rPr>
        <w:t>分包协议</w:t>
      </w:r>
      <w:r>
        <w:rPr>
          <w:rFonts w:hint="eastAsia" w:ascii="仿宋" w:hAnsi="仿宋" w:eastAsia="仿宋" w:cs="仿宋"/>
          <w:sz w:val="24"/>
          <w:highlight w:val="none"/>
        </w:rPr>
        <w:t>………………………………………………………………（页码）</w:t>
      </w:r>
    </w:p>
    <w:p w14:paraId="67594133">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）落实政府采购政策需满足的资格要求………………………………（页码）</w:t>
      </w:r>
    </w:p>
    <w:p w14:paraId="6A937060">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）本项目的特定资格要求………………………………………………（页码）</w:t>
      </w:r>
    </w:p>
    <w:p w14:paraId="7CD9FDFF">
      <w:pPr>
        <w:snapToGrid w:val="0"/>
        <w:spacing w:line="360" w:lineRule="auto"/>
        <w:ind w:firstLine="480" w:firstLineChars="200"/>
        <w:rPr>
          <w:rFonts w:hint="eastAsia" w:ascii="仿宋" w:hAnsi="仿宋" w:eastAsia="仿宋" w:cs="仿宋"/>
          <w:sz w:val="24"/>
          <w:highlight w:val="none"/>
        </w:rPr>
      </w:pPr>
    </w:p>
    <w:p w14:paraId="0F8EF53A">
      <w:pPr>
        <w:spacing w:line="360" w:lineRule="auto"/>
        <w:ind w:firstLine="480" w:firstLineChars="200"/>
        <w:rPr>
          <w:rFonts w:hint="eastAsia" w:ascii="仿宋" w:hAnsi="仿宋" w:eastAsia="仿宋" w:cs="仿宋"/>
          <w:sz w:val="24"/>
          <w:highlight w:val="none"/>
        </w:rPr>
      </w:pPr>
    </w:p>
    <w:p w14:paraId="5CF85608">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14:paraId="634F070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、（采购代理机构）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p>
    <w:p w14:paraId="00426A5B">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【招标编号：（采购编号）</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】政府采购活动</w:t>
      </w:r>
      <w:r>
        <w:rPr>
          <w:rFonts w:hint="eastAsia" w:ascii="仿宋" w:hAnsi="仿宋" w:eastAsia="仿宋" w:cs="仿宋"/>
          <w:sz w:val="24"/>
          <w:highlight w:val="none"/>
        </w:rPr>
        <w:t>，郑重承诺：</w:t>
      </w:r>
    </w:p>
    <w:p w14:paraId="4D9FC85E">
      <w:pPr>
        <w:snapToGrid w:val="0"/>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14:paraId="0A4EF360">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43AA296">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14:paraId="5B5A186F">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14:paraId="79597BD2">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14:paraId="0D8E0750">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14:paraId="1DD5589C">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14:paraId="1E07D835">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w:t>
      </w:r>
      <w:r>
        <w:rPr>
          <w:rFonts w:hint="eastAsia" w:ascii="仿宋" w:hAnsi="仿宋" w:eastAsia="仿宋" w:cs="仿宋"/>
          <w:sz w:val="24"/>
          <w:highlight w:val="none"/>
          <w:lang w:eastAsia="zh-CN"/>
        </w:rPr>
        <w:t>重大税收违法失信主体</w:t>
      </w:r>
      <w:r>
        <w:rPr>
          <w:rFonts w:hint="eastAsia" w:ascii="仿宋" w:hAnsi="仿宋" w:eastAsia="仿宋" w:cs="仿宋"/>
          <w:sz w:val="24"/>
          <w:highlight w:val="none"/>
        </w:rPr>
        <w:t>、政府采购严重违法失信行为记录名单。</w:t>
      </w:r>
    </w:p>
    <w:p w14:paraId="4B2CE6E5">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14:paraId="619D6F87">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14:paraId="45DD635E">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14:paraId="0687B13C">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5C99E03F">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005B3B56">
      <w:pPr>
        <w:snapToGrid w:val="0"/>
        <w:spacing w:line="360" w:lineRule="auto"/>
        <w:ind w:right="480"/>
        <w:jc w:val="center"/>
        <w:rPr>
          <w:rFonts w:hint="eastAsia" w:ascii="仿宋" w:hAnsi="仿宋" w:eastAsia="仿宋" w:cs="仿宋"/>
          <w:b/>
          <w:kern w:val="0"/>
          <w:sz w:val="32"/>
          <w:szCs w:val="32"/>
          <w:highlight w:val="none"/>
        </w:rPr>
      </w:pPr>
    </w:p>
    <w:p w14:paraId="43201EC6">
      <w:pPr>
        <w:snapToGrid w:val="0"/>
        <w:spacing w:line="360" w:lineRule="auto"/>
        <w:ind w:right="480"/>
        <w:jc w:val="center"/>
        <w:rPr>
          <w:rFonts w:hint="eastAsia" w:ascii="仿宋" w:hAnsi="仿宋" w:eastAsia="仿宋" w:cs="仿宋"/>
          <w:b/>
          <w:kern w:val="0"/>
          <w:sz w:val="32"/>
          <w:szCs w:val="32"/>
          <w:highlight w:val="none"/>
        </w:rPr>
      </w:pPr>
    </w:p>
    <w:p w14:paraId="25D1803C">
      <w:pPr>
        <w:widowControl/>
        <w:adjustRightInd/>
        <w:jc w:val="left"/>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74C6E825">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107B838D">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9080436">
      <w:pPr>
        <w:snapToGrid w:val="0"/>
        <w:spacing w:line="360" w:lineRule="auto"/>
        <w:ind w:right="480"/>
        <w:jc w:val="center"/>
        <w:rPr>
          <w:rFonts w:hint="eastAsia" w:ascii="仿宋" w:hAnsi="仿宋" w:eastAsia="仿宋" w:cs="仿宋"/>
          <w:b/>
          <w:color w:val="auto"/>
          <w:kern w:val="0"/>
          <w:sz w:val="32"/>
          <w:szCs w:val="32"/>
          <w:highlight w:val="none"/>
        </w:rPr>
      </w:pPr>
    </w:p>
    <w:p w14:paraId="36A91446">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7A56942E">
      <w:pPr>
        <w:widowControl/>
        <w:spacing w:line="360" w:lineRule="auto"/>
        <w:ind w:firstLine="361" w:firstLineChars="15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14:paraId="6AAC120E">
      <w:pPr>
        <w:snapToGrid w:val="0"/>
        <w:spacing w:line="360" w:lineRule="auto"/>
        <w:ind w:right="480"/>
        <w:jc w:val="center"/>
        <w:rPr>
          <w:rFonts w:hint="eastAsia" w:ascii="仿宋" w:hAnsi="仿宋" w:eastAsia="仿宋" w:cs="仿宋"/>
          <w:b/>
          <w:kern w:val="0"/>
          <w:sz w:val="32"/>
          <w:szCs w:val="32"/>
          <w:highlight w:val="none"/>
        </w:rPr>
      </w:pPr>
    </w:p>
    <w:p w14:paraId="7FF755AC">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四</w:t>
      </w:r>
      <w:r>
        <w:rPr>
          <w:rFonts w:hint="eastAsia" w:ascii="仿宋" w:hAnsi="仿宋" w:eastAsia="仿宋" w:cs="仿宋"/>
          <w:b/>
          <w:kern w:val="0"/>
          <w:sz w:val="32"/>
          <w:szCs w:val="32"/>
          <w:highlight w:val="none"/>
        </w:rPr>
        <w:t>、落实政府采购政策需满足的资格要求</w:t>
      </w:r>
    </w:p>
    <w:p w14:paraId="69634F2F">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14:paraId="7D4DDD80">
      <w:pPr>
        <w:snapToGrid w:val="0"/>
        <w:spacing w:before="50" w:after="50" w:line="360" w:lineRule="auto"/>
        <w:ind w:firstLine="472" w:firstLineChars="196"/>
        <w:jc w:val="left"/>
        <w:rPr>
          <w:rFonts w:hint="eastAsia" w:ascii="仿宋" w:hAnsi="仿宋" w:eastAsia="仿宋" w:cs="仿宋"/>
          <w:strike w:val="0"/>
          <w:dstrike w:val="0"/>
          <w:sz w:val="24"/>
          <w:highlight w:val="none"/>
        </w:rPr>
      </w:pPr>
      <w:r>
        <w:rPr>
          <w:rFonts w:hint="eastAsia" w:ascii="仿宋" w:hAnsi="仿宋" w:eastAsia="仿宋" w:cs="仿宋"/>
          <w:b/>
          <w:strike w:val="0"/>
          <w:dstrike w:val="0"/>
          <w:sz w:val="24"/>
          <w:highlight w:val="none"/>
        </w:rPr>
        <w:t>A</w:t>
      </w:r>
      <w:r>
        <w:rPr>
          <w:rFonts w:hint="eastAsia" w:ascii="仿宋" w:hAnsi="仿宋" w:eastAsia="仿宋" w:cs="仿宋"/>
          <w:strike w:val="0"/>
          <w:dstrike w:val="0"/>
          <w:sz w:val="24"/>
          <w:highlight w:val="none"/>
        </w:rPr>
        <w:t xml:space="preserve">.专门面向中小企业，服务全部由符合政策要求的中小企业（或小微企业）承接的，提供相应的中小企业声明函（附件7）。 </w:t>
      </w:r>
    </w:p>
    <w:p w14:paraId="0F240B90">
      <w:pPr>
        <w:widowControl/>
        <w:spacing w:line="360" w:lineRule="auto"/>
        <w:ind w:firstLine="472" w:firstLineChars="196"/>
        <w:jc w:val="left"/>
        <w:rPr>
          <w:rFonts w:hint="eastAsia" w:ascii="仿宋" w:hAnsi="仿宋" w:eastAsia="仿宋" w:cs="仿宋"/>
          <w:strike w:val="0"/>
          <w:dstrike w:val="0"/>
          <w:color w:val="auto"/>
          <w:sz w:val="24"/>
          <w:highlight w:val="none"/>
        </w:rPr>
      </w:pPr>
      <w:r>
        <w:rPr>
          <w:rFonts w:hint="eastAsia" w:ascii="仿宋" w:hAnsi="仿宋" w:eastAsia="仿宋" w:cs="仿宋"/>
          <w:b/>
          <w:strike w:val="0"/>
          <w:dstrike w:val="0"/>
          <w:color w:val="auto"/>
          <w:sz w:val="24"/>
          <w:highlight w:val="none"/>
        </w:rPr>
        <w:t>B.</w:t>
      </w:r>
      <w:r>
        <w:rPr>
          <w:rFonts w:hint="eastAsia" w:ascii="仿宋" w:hAnsi="仿宋" w:eastAsia="仿宋" w:cs="仿宋"/>
          <w:strike w:val="0"/>
          <w:dstrike w:val="0"/>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trike w:val="0"/>
          <w:dstrike w:val="0"/>
          <w:color w:val="auto"/>
          <w:spacing w:val="8"/>
          <w:kern w:val="0"/>
          <w:sz w:val="24"/>
          <w:highlight w:val="none"/>
        </w:rPr>
        <w:t>并相应达到了前述比例要求，</w:t>
      </w:r>
      <w:r>
        <w:rPr>
          <w:rFonts w:hint="eastAsia" w:ascii="仿宋" w:hAnsi="仿宋" w:eastAsia="仿宋" w:cs="仿宋"/>
          <w:strike w:val="0"/>
          <w:dstrike w:val="0"/>
          <w:color w:val="auto"/>
          <w:sz w:val="24"/>
          <w:highlight w:val="none"/>
        </w:rPr>
        <w:t>视同符合了资格条件，无需再与其他中小企业组成联合体参加政府采购活动，无需提供联合协议。</w:t>
      </w:r>
      <w:r>
        <w:rPr>
          <w:rFonts w:hint="eastAsia" w:ascii="仿宋" w:hAnsi="仿宋" w:eastAsia="仿宋" w:cs="仿宋"/>
          <w:b/>
          <w:strike w:val="0"/>
          <w:dstrike w:val="0"/>
          <w:color w:val="auto"/>
          <w:sz w:val="24"/>
          <w:highlight w:val="none"/>
        </w:rPr>
        <w:t xml:space="preserve"> </w:t>
      </w:r>
    </w:p>
    <w:p w14:paraId="7AD24E75">
      <w:pPr>
        <w:spacing w:line="360" w:lineRule="auto"/>
        <w:ind w:firstLine="482" w:firstLineChars="200"/>
        <w:rPr>
          <w:rFonts w:hint="eastAsia" w:ascii="仿宋" w:hAnsi="仿宋" w:eastAsia="仿宋" w:cs="仿宋"/>
          <w:strike w:val="0"/>
          <w:color w:val="auto"/>
          <w:sz w:val="24"/>
          <w:highlight w:val="none"/>
        </w:rPr>
      </w:pPr>
      <w:r>
        <w:rPr>
          <w:rFonts w:hint="eastAsia" w:ascii="仿宋" w:hAnsi="仿宋" w:eastAsia="仿宋" w:cs="仿宋"/>
          <w:b/>
          <w:strike w:val="0"/>
          <w:dstrike w:val="0"/>
          <w:color w:val="auto"/>
          <w:sz w:val="24"/>
          <w:highlight w:val="none"/>
        </w:rPr>
        <w:t>C、</w:t>
      </w:r>
      <w:r>
        <w:rPr>
          <w:rFonts w:hint="eastAsia" w:ascii="仿宋" w:hAnsi="仿宋" w:eastAsia="仿宋" w:cs="仿宋"/>
          <w:strike w:val="0"/>
          <w:dstrike w:val="0"/>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trike w:val="0"/>
          <w:dstrike w:val="0"/>
          <w:color w:val="auto"/>
          <w:spacing w:val="8"/>
          <w:kern w:val="0"/>
          <w:sz w:val="24"/>
          <w:highlight w:val="none"/>
        </w:rPr>
        <w:t>并相应达到了前述比例要求，</w:t>
      </w:r>
      <w:r>
        <w:rPr>
          <w:rFonts w:hint="eastAsia" w:ascii="仿宋" w:hAnsi="仿宋" w:eastAsia="仿宋" w:cs="仿宋"/>
          <w:strike w:val="0"/>
          <w:dstrike w:val="0"/>
          <w:color w:val="auto"/>
          <w:sz w:val="24"/>
          <w:highlight w:val="none"/>
        </w:rPr>
        <w:t>视同符合了资格条件，无需再向中小企业分包，无需提供分包意向协议。</w:t>
      </w:r>
    </w:p>
    <w:p w14:paraId="37475B64">
      <w:pPr>
        <w:widowControl/>
        <w:spacing w:line="360" w:lineRule="auto"/>
        <w:ind w:left="150"/>
        <w:jc w:val="center"/>
        <w:rPr>
          <w:rFonts w:hint="eastAsia" w:ascii="仿宋" w:hAnsi="仿宋" w:eastAsia="仿宋" w:cs="仿宋"/>
          <w:b/>
          <w:kern w:val="0"/>
          <w:sz w:val="32"/>
          <w:szCs w:val="32"/>
          <w:highlight w:val="none"/>
        </w:rPr>
      </w:pPr>
    </w:p>
    <w:p w14:paraId="5DE040CC">
      <w:pPr>
        <w:widowControl/>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、本项目的特定资格要求</w:t>
      </w:r>
    </w:p>
    <w:p w14:paraId="44A09D7B">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14:paraId="4F08DE01">
      <w:pPr>
        <w:spacing w:line="360" w:lineRule="auto"/>
        <w:jc w:val="center"/>
        <w:outlineLvl w:val="0"/>
        <w:rPr>
          <w:rFonts w:hint="eastAsia" w:ascii="仿宋" w:hAnsi="仿宋" w:eastAsia="仿宋" w:cs="仿宋"/>
          <w:b/>
          <w:kern w:val="0"/>
          <w:sz w:val="24"/>
          <w:highlight w:val="none"/>
        </w:rPr>
      </w:pPr>
    </w:p>
    <w:p w14:paraId="1458FC3E">
      <w:pPr>
        <w:spacing w:line="360" w:lineRule="auto"/>
        <w:jc w:val="center"/>
        <w:outlineLvl w:val="0"/>
        <w:rPr>
          <w:rFonts w:hint="eastAsia" w:ascii="仿宋" w:hAnsi="仿宋" w:eastAsia="仿宋" w:cs="仿宋"/>
          <w:b/>
          <w:kern w:val="0"/>
          <w:sz w:val="24"/>
          <w:highlight w:val="none"/>
        </w:rPr>
      </w:pPr>
    </w:p>
    <w:p w14:paraId="4F1B90B3">
      <w:pPr>
        <w:spacing w:line="360" w:lineRule="auto"/>
        <w:jc w:val="center"/>
        <w:outlineLvl w:val="0"/>
        <w:rPr>
          <w:rFonts w:hint="eastAsia" w:ascii="仿宋" w:hAnsi="仿宋" w:eastAsia="仿宋" w:cs="仿宋"/>
          <w:b/>
          <w:kern w:val="0"/>
          <w:sz w:val="24"/>
          <w:highlight w:val="none"/>
        </w:rPr>
      </w:pPr>
    </w:p>
    <w:p w14:paraId="4133B76A">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14:paraId="637B2450">
      <w:pPr>
        <w:spacing w:line="336" w:lineRule="auto"/>
        <w:jc w:val="center"/>
        <w:outlineLvl w:val="0"/>
        <w:rPr>
          <w:rFonts w:ascii="仿宋" w:hAnsi="仿宋" w:eastAsia="仿宋" w:cs="仿宋"/>
          <w:b/>
          <w:kern w:val="0"/>
          <w:sz w:val="24"/>
          <w:highlight w:val="none"/>
        </w:rPr>
      </w:pPr>
    </w:p>
    <w:p w14:paraId="13CF66F6">
      <w:pPr>
        <w:spacing w:line="336" w:lineRule="auto"/>
        <w:jc w:val="center"/>
        <w:outlineLvl w:val="0"/>
        <w:rPr>
          <w:rFonts w:ascii="仿宋" w:hAnsi="仿宋" w:eastAsia="仿宋" w:cs="仿宋"/>
          <w:b/>
          <w:color w:val="000000" w:themeColor="text1"/>
          <w:kern w:val="0"/>
          <w:sz w:val="28"/>
          <w:szCs w:val="28"/>
          <w:highlight w:val="none"/>
          <w14:textFill>
            <w14:solidFill>
              <w14:schemeClr w14:val="tx1"/>
            </w14:solidFill>
          </w14:textFill>
        </w:rPr>
      </w:pPr>
      <w:r>
        <w:rPr>
          <w:rFonts w:hint="eastAsia" w:ascii="仿宋" w:hAnsi="仿宋" w:eastAsia="仿宋" w:cs="仿宋"/>
          <w:b/>
          <w:color w:val="000000" w:themeColor="text1"/>
          <w:kern w:val="0"/>
          <w:sz w:val="28"/>
          <w:szCs w:val="28"/>
          <w:highlight w:val="none"/>
          <w14:textFill>
            <w14:solidFill>
              <w14:schemeClr w14:val="tx1"/>
            </w14:solidFill>
          </w14:textFill>
        </w:rPr>
        <w:t>目录</w:t>
      </w:r>
    </w:p>
    <w:p w14:paraId="207D339E">
      <w:pPr>
        <w:pStyle w:val="904"/>
        <w:numPr>
          <w:ilvl w:val="0"/>
          <w:numId w:val="2"/>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投标函</w:t>
      </w:r>
      <w:r>
        <w:rPr>
          <w:rFonts w:hint="eastAsia" w:ascii="仿宋" w:hAnsi="仿宋" w:eastAsia="仿宋" w:cs="仿宋"/>
          <w:color w:val="000000" w:themeColor="text1"/>
          <w:highlight w:val="none"/>
          <w14:textFill>
            <w14:solidFill>
              <w14:schemeClr w14:val="tx1"/>
            </w14:solidFill>
          </w14:textFill>
        </w:rPr>
        <w:t>…………………………………………………………………………（页码）</w:t>
      </w:r>
    </w:p>
    <w:p w14:paraId="5C454961">
      <w:pPr>
        <w:pStyle w:val="904"/>
        <w:numPr>
          <w:ilvl w:val="0"/>
          <w:numId w:val="2"/>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14:textFill>
            <w14:solidFill>
              <w14:schemeClr w14:val="tx1"/>
            </w14:solidFill>
          </w14:textFill>
        </w:rPr>
        <w:t>法定代表人授权委托书</w:t>
      </w:r>
      <w:r>
        <w:rPr>
          <w:rFonts w:hint="eastAsia" w:ascii="仿宋" w:hAnsi="仿宋" w:eastAsia="仿宋" w:cs="仿宋"/>
          <w:color w:val="000000" w:themeColor="text1"/>
          <w:highlight w:val="none"/>
          <w14:textFill>
            <w14:solidFill>
              <w14:schemeClr w14:val="tx1"/>
            </w14:solidFill>
          </w14:textFill>
        </w:rPr>
        <w:t xml:space="preserve"> …………………………………………………… （页码）</w:t>
      </w:r>
    </w:p>
    <w:p w14:paraId="16726BC5">
      <w:pPr>
        <w:pStyle w:val="904"/>
        <w:numPr>
          <w:ilvl w:val="0"/>
          <w:numId w:val="2"/>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法定代表人及其授权代表身份证复印件……………………………………（页码）</w:t>
      </w:r>
    </w:p>
    <w:p w14:paraId="34C94A7A">
      <w:pPr>
        <w:pStyle w:val="904"/>
        <w:numPr>
          <w:ilvl w:val="0"/>
          <w:numId w:val="2"/>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授权代表社保证明</w:t>
      </w:r>
      <w:r>
        <w:rPr>
          <w:rFonts w:hint="eastAsia" w:ascii="仿宋" w:hAnsi="仿宋" w:eastAsia="仿宋" w:cs="仿宋"/>
          <w:color w:val="000000" w:themeColor="text1"/>
          <w:highlight w:val="none"/>
          <w14:textFill>
            <w14:solidFill>
              <w14:schemeClr w14:val="tx1"/>
            </w14:solidFill>
          </w14:textFill>
        </w:rPr>
        <w:t>……………………………………………………………（页码）</w:t>
      </w:r>
    </w:p>
    <w:p w14:paraId="5A847DF3">
      <w:pPr>
        <w:pStyle w:val="904"/>
        <w:numPr>
          <w:ilvl w:val="0"/>
          <w:numId w:val="2"/>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法定代表人身份证明书………………………………………………………（页码）</w:t>
      </w:r>
    </w:p>
    <w:p w14:paraId="26365F35">
      <w:pPr>
        <w:pStyle w:val="904"/>
        <w:numPr>
          <w:ilvl w:val="0"/>
          <w:numId w:val="2"/>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商务技术</w:t>
      </w:r>
      <w:r>
        <w:rPr>
          <w:rFonts w:hint="eastAsia" w:ascii="仿宋" w:hAnsi="仿宋" w:eastAsia="仿宋" w:cs="仿宋"/>
          <w:color w:val="000000" w:themeColor="text1"/>
          <w:highlight w:val="none"/>
          <w:lang w:eastAsia="zh-CN"/>
          <w14:textFill>
            <w14:solidFill>
              <w14:schemeClr w14:val="tx1"/>
            </w14:solidFill>
          </w14:textFill>
        </w:rPr>
        <w:t>偏离表</w:t>
      </w:r>
      <w:r>
        <w:rPr>
          <w:rFonts w:hint="eastAsia" w:ascii="仿宋" w:hAnsi="仿宋" w:eastAsia="仿宋" w:cs="仿宋"/>
          <w:color w:val="000000" w:themeColor="text1"/>
          <w:highlight w:val="none"/>
          <w14:textFill>
            <w14:solidFill>
              <w14:schemeClr w14:val="tx1"/>
            </w14:solidFill>
          </w14:textFill>
        </w:rPr>
        <w:t>………………………………………………………………（页码）</w:t>
      </w:r>
    </w:p>
    <w:p w14:paraId="19515065">
      <w:pPr>
        <w:pStyle w:val="904"/>
        <w:numPr>
          <w:ilvl w:val="0"/>
          <w:numId w:val="2"/>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zh-CN"/>
          <w14:textFill>
            <w14:solidFill>
              <w14:schemeClr w14:val="tx1"/>
            </w14:solidFill>
          </w14:textFill>
        </w:rPr>
        <w:t>政府采购供应商廉洁自律承诺书</w:t>
      </w:r>
      <w:r>
        <w:rPr>
          <w:rFonts w:hint="eastAsia" w:ascii="仿宋" w:hAnsi="仿宋" w:eastAsia="仿宋" w:cs="仿宋"/>
          <w:color w:val="000000" w:themeColor="text1"/>
          <w:highlight w:val="none"/>
          <w14:textFill>
            <w14:solidFill>
              <w14:schemeClr w14:val="tx1"/>
            </w14:solidFill>
          </w14:textFill>
        </w:rPr>
        <w:t>……………………………………………（页码）</w:t>
      </w:r>
    </w:p>
    <w:p w14:paraId="454AD665">
      <w:pPr>
        <w:adjustRightInd w:val="0"/>
        <w:spacing w:line="360" w:lineRule="auto"/>
        <w:ind w:right="-510" w:rightChars="-243"/>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主要业绩证明…………………………………………………</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（页码）</w:t>
      </w:r>
    </w:p>
    <w:p w14:paraId="5F10C94B">
      <w:pPr>
        <w:spacing w:line="360" w:lineRule="auto"/>
        <w:ind w:right="-510" w:rightChars="-243"/>
        <w:jc w:val="both"/>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9</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承诺书</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179C0868">
      <w:pPr>
        <w:spacing w:line="360" w:lineRule="auto"/>
        <w:ind w:right="-510" w:rightChars="-243"/>
        <w:jc w:val="both"/>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10</w:t>
      </w:r>
      <w:r>
        <w:rPr>
          <w:rFonts w:hint="eastAsia" w:ascii="仿宋" w:hAnsi="仿宋" w:eastAsia="仿宋" w:cs="仿宋"/>
          <w:color w:val="000000" w:themeColor="text1"/>
          <w:kern w:val="0"/>
          <w:sz w:val="24"/>
          <w:highlight w:val="none"/>
          <w14:textFill>
            <w14:solidFill>
              <w14:schemeClr w14:val="tx1"/>
            </w14:solidFill>
          </w14:textFill>
        </w:rPr>
        <w:t>）技术解决方案…………………………………………………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76BFD01A">
      <w:pPr>
        <w:spacing w:line="360" w:lineRule="auto"/>
        <w:ind w:right="-510" w:rightChars="-243"/>
        <w:jc w:val="both"/>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11）</w:t>
      </w:r>
      <w:r>
        <w:rPr>
          <w:rFonts w:hint="eastAsia" w:ascii="仿宋" w:hAnsi="仿宋" w:eastAsia="仿宋" w:cs="仿宋"/>
          <w:color w:val="000000" w:themeColor="text1"/>
          <w:kern w:val="0"/>
          <w:sz w:val="24"/>
          <w:highlight w:val="none"/>
          <w14:textFill>
            <w14:solidFill>
              <w14:schemeClr w14:val="tx1"/>
            </w14:solidFill>
          </w14:textFill>
        </w:rPr>
        <w:t>组织实施方案……………………………………………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default" w:ascii="仿宋" w:hAnsi="仿宋" w:eastAsia="仿宋" w:cs="仿宋"/>
          <w:color w:val="000000" w:themeColor="text1"/>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3CB45B42">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12</w:t>
      </w:r>
      <w:r>
        <w:rPr>
          <w:rFonts w:hint="eastAsia" w:ascii="仿宋" w:hAnsi="仿宋" w:eastAsia="仿宋" w:cs="仿宋"/>
          <w:color w:val="000000" w:themeColor="text1"/>
          <w:kern w:val="0"/>
          <w:sz w:val="24"/>
          <w:highlight w:val="none"/>
          <w14:textFill>
            <w14:solidFill>
              <w14:schemeClr w14:val="tx1"/>
            </w14:solidFill>
          </w14:textFill>
        </w:rPr>
        <w:t>）售后服务方案……………………………………………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default" w:ascii="仿宋" w:hAnsi="仿宋" w:eastAsia="仿宋" w:cs="仿宋"/>
          <w:color w:val="000000" w:themeColor="text1"/>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158CCB28">
      <w:pPr>
        <w:spacing w:line="360" w:lineRule="auto"/>
        <w:ind w:right="-510" w:rightChars="-243"/>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13</w:t>
      </w:r>
      <w:r>
        <w:rPr>
          <w:rFonts w:hint="eastAsia" w:ascii="仿宋" w:hAnsi="仿宋" w:eastAsia="仿宋" w:cs="仿宋"/>
          <w:color w:val="000000" w:themeColor="text1"/>
          <w:sz w:val="24"/>
          <w:highlight w:val="none"/>
          <w:lang w:val="en-US"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供应商售后服务证明材料……………………………………………………（页码）</w:t>
      </w:r>
    </w:p>
    <w:p w14:paraId="55A3DBD2">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14</w:t>
      </w:r>
      <w:r>
        <w:rPr>
          <w:rFonts w:hint="eastAsia" w:ascii="仿宋" w:hAnsi="仿宋" w:eastAsia="仿宋" w:cs="仿宋"/>
          <w:color w:val="000000" w:themeColor="text1"/>
          <w:kern w:val="0"/>
          <w:sz w:val="24"/>
          <w:highlight w:val="none"/>
          <w14:textFill>
            <w14:solidFill>
              <w14:schemeClr w14:val="tx1"/>
            </w14:solidFill>
          </w14:textFill>
        </w:rPr>
        <w:t>）项目小组人员名单………………………………………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3E1BBE39">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15</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优惠条件及特殊承诺……………………………………</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75CFB162">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16</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备品备件及供选择的配套零部件清单………………………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582DF2A0">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17</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培训计划………………………………………………………</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399AF6B6">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18</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验收方案…………………………………………………………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4442E2E2">
      <w:pPr>
        <w:spacing w:line="360" w:lineRule="auto"/>
        <w:ind w:right="-368" w:rightChars="-175"/>
        <w:jc w:val="both"/>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19</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认为需要的其他商务技术文件或说明…………</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78C7C534">
      <w:pPr>
        <w:snapToGrid w:val="0"/>
        <w:spacing w:line="360" w:lineRule="auto"/>
        <w:jc w:val="center"/>
        <w:rPr>
          <w:rFonts w:hint="eastAsia" w:ascii="仿宋" w:hAnsi="仿宋" w:eastAsia="仿宋" w:cs="仿宋"/>
          <w:b/>
          <w:kern w:val="0"/>
          <w:sz w:val="32"/>
          <w:szCs w:val="32"/>
          <w:highlight w:val="none"/>
          <w:lang w:val="zh-CN"/>
        </w:rPr>
      </w:pPr>
    </w:p>
    <w:p w14:paraId="598A7903">
      <w:pPr>
        <w:snapToGrid w:val="0"/>
        <w:spacing w:line="360" w:lineRule="auto"/>
        <w:jc w:val="center"/>
        <w:rPr>
          <w:rFonts w:hint="eastAsia" w:ascii="仿宋" w:hAnsi="仿宋" w:eastAsia="仿宋" w:cs="仿宋"/>
          <w:b/>
          <w:kern w:val="0"/>
          <w:sz w:val="32"/>
          <w:szCs w:val="32"/>
          <w:highlight w:val="none"/>
          <w:lang w:val="zh-CN"/>
        </w:rPr>
      </w:pPr>
    </w:p>
    <w:p w14:paraId="3E943FFD">
      <w:pPr>
        <w:snapToGrid w:val="0"/>
        <w:spacing w:line="360" w:lineRule="auto"/>
        <w:jc w:val="center"/>
        <w:rPr>
          <w:rFonts w:hint="eastAsia" w:ascii="仿宋" w:hAnsi="仿宋" w:eastAsia="仿宋" w:cs="仿宋"/>
          <w:b/>
          <w:kern w:val="0"/>
          <w:sz w:val="32"/>
          <w:szCs w:val="32"/>
          <w:highlight w:val="none"/>
          <w:lang w:val="zh-CN"/>
        </w:rPr>
      </w:pPr>
    </w:p>
    <w:p w14:paraId="706BD845">
      <w:pPr>
        <w:snapToGrid w:val="0"/>
        <w:spacing w:line="360" w:lineRule="auto"/>
        <w:jc w:val="both"/>
        <w:rPr>
          <w:rFonts w:hint="eastAsia" w:ascii="仿宋" w:hAnsi="仿宋" w:eastAsia="仿宋" w:cs="仿宋"/>
          <w:b/>
          <w:kern w:val="0"/>
          <w:sz w:val="32"/>
          <w:szCs w:val="32"/>
          <w:highlight w:val="none"/>
          <w:lang w:val="zh-CN"/>
        </w:rPr>
      </w:pPr>
    </w:p>
    <w:p w14:paraId="56798672">
      <w:pPr>
        <w:widowControl/>
        <w:adjustRightInd/>
        <w:jc w:val="left"/>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467B30B2">
      <w:pPr>
        <w:snapToGrid w:val="0"/>
        <w:spacing w:line="360" w:lineRule="auto"/>
        <w:jc w:val="center"/>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14:paraId="0CA54D5D">
      <w:pPr>
        <w:pStyle w:val="395"/>
        <w:keepNext w:val="0"/>
        <w:keepLines w:val="0"/>
        <w:pageBreakBefore w:val="0"/>
        <w:kinsoku/>
        <w:wordWrap/>
        <w:overflowPunct/>
        <w:topLinePunct w:val="0"/>
        <w:autoSpaceDE/>
        <w:autoSpaceDN/>
        <w:bidi w:val="0"/>
        <w:spacing w:after="0" w:line="288" w:lineRule="auto"/>
        <w:ind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致：</w:t>
      </w:r>
      <w:r>
        <w:rPr>
          <w:rFonts w:hint="eastAsia" w:ascii="仿宋" w:hAnsi="仿宋" w:eastAsia="仿宋" w:cs="仿宋"/>
          <w:sz w:val="24"/>
          <w:szCs w:val="24"/>
          <w:highlight w:val="none"/>
          <w:u w:val="single"/>
          <w:lang w:val="en-US" w:eastAsia="zh-CN"/>
        </w:rPr>
        <w:t xml:space="preserve">              </w:t>
      </w:r>
    </w:p>
    <w:p w14:paraId="5BDE7160">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根据贵方招标文件（</w:t>
      </w:r>
      <w:r>
        <w:rPr>
          <w:rFonts w:hint="eastAsia" w:ascii="仿宋" w:hAnsi="仿宋" w:eastAsia="仿宋" w:cs="仿宋"/>
          <w:b/>
          <w:sz w:val="24"/>
          <w:szCs w:val="24"/>
          <w:highlight w:val="none"/>
          <w:u w:val="single"/>
        </w:rPr>
        <w:t>填写招标编号：</w:t>
      </w:r>
      <w:r>
        <w:rPr>
          <w:rFonts w:hint="eastAsia" w:ascii="仿宋" w:hAnsi="仿宋" w:eastAsia="仿宋" w:cs="仿宋"/>
          <w:sz w:val="24"/>
          <w:szCs w:val="24"/>
          <w:highlight w:val="none"/>
        </w:rPr>
        <w:t>）的要求，正式授权</w:t>
      </w:r>
      <w:r>
        <w:rPr>
          <w:rFonts w:hint="eastAsia" w:ascii="仿宋" w:hAnsi="仿宋" w:eastAsia="仿宋" w:cs="仿宋"/>
          <w:b/>
          <w:sz w:val="24"/>
          <w:szCs w:val="24"/>
          <w:highlight w:val="none"/>
          <w:u w:val="single"/>
        </w:rPr>
        <w:t>（全权代表姓名    、单位    、职务   ）</w:t>
      </w:r>
      <w:r>
        <w:rPr>
          <w:rFonts w:hint="eastAsia" w:ascii="仿宋" w:hAnsi="仿宋" w:eastAsia="仿宋" w:cs="仿宋"/>
          <w:sz w:val="24"/>
          <w:szCs w:val="24"/>
          <w:highlight w:val="none"/>
        </w:rPr>
        <w:t>代表投标人</w:t>
      </w:r>
      <w:r>
        <w:rPr>
          <w:rFonts w:hint="eastAsia" w:ascii="仿宋" w:hAnsi="仿宋" w:eastAsia="仿宋" w:cs="仿宋"/>
          <w:sz w:val="24"/>
          <w:szCs w:val="24"/>
          <w:highlight w:val="none"/>
          <w:u w:val="single"/>
        </w:rPr>
        <w:t>（</w:t>
      </w:r>
      <w:r>
        <w:rPr>
          <w:rFonts w:hint="eastAsia" w:ascii="仿宋" w:hAnsi="仿宋" w:eastAsia="仿宋" w:cs="仿宋"/>
          <w:b/>
          <w:sz w:val="24"/>
          <w:szCs w:val="24"/>
          <w:highlight w:val="none"/>
          <w:u w:val="single"/>
        </w:rPr>
        <w:t xml:space="preserve">填写单位    、地址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提交投标文件。</w:t>
      </w:r>
    </w:p>
    <w:p w14:paraId="7DF0F5D9">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我方已完全明白招标文件的所有条款要求，兹声明同意如下：</w:t>
      </w:r>
    </w:p>
    <w:p w14:paraId="28137F18">
      <w:pPr>
        <w:pStyle w:val="13"/>
        <w:keepNext w:val="0"/>
        <w:keepLines w:val="0"/>
        <w:pageBreakBefore w:val="0"/>
        <w:tabs>
          <w:tab w:val="clear" w:pos="1697"/>
        </w:tabs>
        <w:kinsoku/>
        <w:wordWrap/>
        <w:overflowPunct/>
        <w:topLinePunct w:val="0"/>
        <w:autoSpaceDE/>
        <w:autoSpaceDN/>
        <w:bidi w:val="0"/>
        <w:spacing w:after="0" w:line="288"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1.我方同意在投标人</w:t>
      </w:r>
      <w:r>
        <w:rPr>
          <w:rFonts w:hint="eastAsia" w:ascii="仿宋" w:hAnsi="仿宋" w:eastAsia="仿宋" w:cs="仿宋"/>
          <w:kern w:val="44"/>
          <w:sz w:val="24"/>
          <w:szCs w:val="24"/>
          <w:highlight w:val="none"/>
        </w:rPr>
        <w:t>须知</w:t>
      </w:r>
      <w:r>
        <w:rPr>
          <w:rFonts w:hint="eastAsia" w:ascii="仿宋" w:hAnsi="仿宋" w:eastAsia="仿宋" w:cs="仿宋"/>
          <w:sz w:val="24"/>
          <w:szCs w:val="24"/>
          <w:highlight w:val="none"/>
        </w:rPr>
        <w:t>规定的开标日期起遵守本投标文件中的承诺且在投标有效期满之前均具有约束力。</w:t>
      </w:r>
    </w:p>
    <w:p w14:paraId="00D6A99B">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2.我方承诺已经具备《中华人民共和国政府采购法》中规定的参加政府采购活动的供应商应当具备的条件。</w:t>
      </w:r>
    </w:p>
    <w:p w14:paraId="6F49457C">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提供可能另外要求的与投标有关的任何数据或资料。</w:t>
      </w:r>
    </w:p>
    <w:p w14:paraId="1F1B3C0B">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4.我方理解贵方将不受你们所收到的最低报价的约束。</w:t>
      </w:r>
    </w:p>
    <w:p w14:paraId="1AA39B85">
      <w:pPr>
        <w:pStyle w:val="13"/>
        <w:keepNext w:val="0"/>
        <w:keepLines w:val="0"/>
        <w:pageBreakBefore w:val="0"/>
        <w:tabs>
          <w:tab w:val="clear" w:pos="1697"/>
        </w:tabs>
        <w:kinsoku/>
        <w:wordWrap/>
        <w:overflowPunct/>
        <w:topLinePunct w:val="0"/>
        <w:autoSpaceDE/>
        <w:autoSpaceDN/>
        <w:bidi w:val="0"/>
        <w:spacing w:after="0" w:line="288"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5.本投标自开标之日（投标截止之日）起90天内有效。</w:t>
      </w:r>
    </w:p>
    <w:p w14:paraId="165823D2">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4894509">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a)提供虚假材料谋取中标、成交的；</w:t>
      </w:r>
    </w:p>
    <w:p w14:paraId="5771B7F7">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b)采取不正当手段诋毁、排挤其他供应商的；</w:t>
      </w:r>
    </w:p>
    <w:p w14:paraId="39DC40DE">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c)与采购人、其它供应商或者采购代理机构恶意串通的；</w:t>
      </w:r>
    </w:p>
    <w:p w14:paraId="52ABBEB4">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d)向采购人、采购代理机构行贿或者提供其他不正当利益的；</w:t>
      </w:r>
    </w:p>
    <w:p w14:paraId="19837C49">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e)在招标采购过程中与采购人进行协商谈判的；</w:t>
      </w:r>
    </w:p>
    <w:p w14:paraId="09DA3167">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f)拒绝有关部门监督检查或提供虚假情况的。</w:t>
      </w:r>
    </w:p>
    <w:p w14:paraId="505A1315">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供应商有前款第a)至e)项情形之一的，中标、成交无效。</w:t>
      </w:r>
    </w:p>
    <w:p w14:paraId="4D2B33B5">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地址：　　　　　　　　　　　　　　　邮政编码：</w:t>
      </w:r>
    </w:p>
    <w:p w14:paraId="584E4123">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电话：                              传真：</w:t>
      </w:r>
    </w:p>
    <w:p w14:paraId="01E4F798">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开户银行：                          帐号：</w:t>
      </w:r>
    </w:p>
    <w:p w14:paraId="7433AEEF">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法定代表人或其授权代表(签字或盖章)：</w:t>
      </w:r>
    </w:p>
    <w:p w14:paraId="4F0F30AD">
      <w:pPr>
        <w:keepNext w:val="0"/>
        <w:keepLines w:val="0"/>
        <w:pageBreakBefore w:val="0"/>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sz w:val="24"/>
          <w:szCs w:val="24"/>
          <w:highlight w:val="none"/>
        </w:rPr>
      </w:pPr>
    </w:p>
    <w:p w14:paraId="1CC9121B">
      <w:pPr>
        <w:keepNext w:val="0"/>
        <w:keepLines w:val="0"/>
        <w:pageBreakBefore w:val="0"/>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b/>
          <w:kern w:val="0"/>
          <w:sz w:val="32"/>
          <w:szCs w:val="32"/>
          <w:highlight w:val="none"/>
        </w:rPr>
      </w:pPr>
      <w:r>
        <w:rPr>
          <w:rFonts w:hint="eastAsia" w:ascii="仿宋" w:hAnsi="仿宋" w:eastAsia="仿宋" w:cs="仿宋"/>
          <w:sz w:val="24"/>
          <w:szCs w:val="24"/>
          <w:highlight w:val="none"/>
        </w:rPr>
        <w:t xml:space="preserve">投标人(电子签章)：　　　　　　　　　日期：  </w:t>
      </w:r>
    </w:p>
    <w:p w14:paraId="2DF22995">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二</w:t>
      </w: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（适用于非联合体投标）</w:t>
      </w:r>
    </w:p>
    <w:p w14:paraId="7468C6E0">
      <w:pPr>
        <w:jc w:val="center"/>
        <w:rPr>
          <w:rFonts w:hint="eastAsia" w:ascii="仿宋" w:hAnsi="仿宋" w:eastAsia="仿宋" w:cs="仿宋"/>
          <w:b/>
          <w:sz w:val="24"/>
          <w:highlight w:val="none"/>
        </w:rPr>
      </w:pPr>
    </w:p>
    <w:p w14:paraId="48D0880F">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57AE7B8B">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59D13E39">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1DDFF982">
      <w:pPr>
        <w:snapToGrid w:val="0"/>
        <w:spacing w:line="600" w:lineRule="exact"/>
        <w:jc w:val="left"/>
        <w:rPr>
          <w:rFonts w:hint="eastAsia" w:ascii="仿宋" w:hAnsi="仿宋" w:eastAsia="仿宋" w:cs="仿宋"/>
          <w:sz w:val="24"/>
          <w:highlight w:val="none"/>
        </w:rPr>
      </w:pPr>
    </w:p>
    <w:p w14:paraId="2E38A861">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683DC8D1">
      <w:pPr>
        <w:spacing w:line="360" w:lineRule="exact"/>
        <w:rPr>
          <w:rFonts w:hint="eastAsia" w:ascii="仿宋" w:hAnsi="仿宋" w:eastAsia="仿宋" w:cs="仿宋"/>
          <w:sz w:val="24"/>
          <w:highlight w:val="none"/>
        </w:rPr>
      </w:pPr>
    </w:p>
    <w:p w14:paraId="3D21C498">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1186A5A9">
      <w:pPr>
        <w:spacing w:line="360" w:lineRule="exact"/>
        <w:rPr>
          <w:rFonts w:hint="eastAsia" w:ascii="仿宋" w:hAnsi="仿宋" w:eastAsia="仿宋" w:cs="仿宋"/>
          <w:sz w:val="24"/>
          <w:highlight w:val="none"/>
        </w:rPr>
      </w:pPr>
    </w:p>
    <w:p w14:paraId="7DC96363">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26A0B8F1">
      <w:pPr>
        <w:spacing w:line="360" w:lineRule="exact"/>
        <w:rPr>
          <w:rFonts w:hint="eastAsia" w:ascii="仿宋" w:hAnsi="仿宋" w:eastAsia="仿宋" w:cs="仿宋"/>
          <w:sz w:val="24"/>
          <w:highlight w:val="none"/>
        </w:rPr>
      </w:pPr>
    </w:p>
    <w:p w14:paraId="649116D2">
      <w:pPr>
        <w:spacing w:line="360" w:lineRule="exact"/>
        <w:rPr>
          <w:rFonts w:hint="eastAsia" w:ascii="仿宋" w:hAnsi="仿宋" w:eastAsia="仿宋" w:cs="仿宋"/>
          <w:sz w:val="24"/>
          <w:highlight w:val="none"/>
        </w:rPr>
      </w:pPr>
    </w:p>
    <w:p w14:paraId="55E35C49">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投标人（电子签章）：</w:t>
      </w:r>
    </w:p>
    <w:p w14:paraId="7B0CC441">
      <w:pPr>
        <w:spacing w:line="360" w:lineRule="exact"/>
        <w:rPr>
          <w:rFonts w:hint="eastAsia" w:ascii="仿宋" w:hAnsi="仿宋" w:eastAsia="仿宋" w:cs="仿宋"/>
          <w:sz w:val="24"/>
          <w:highlight w:val="none"/>
        </w:rPr>
      </w:pPr>
    </w:p>
    <w:p w14:paraId="3F40B00B">
      <w:pPr>
        <w:spacing w:line="360" w:lineRule="exact"/>
        <w:rPr>
          <w:rFonts w:hint="eastAsia" w:ascii="仿宋" w:hAnsi="仿宋" w:eastAsia="仿宋" w:cs="仿宋"/>
          <w:sz w:val="24"/>
          <w:highlight w:val="none"/>
        </w:rPr>
      </w:pPr>
    </w:p>
    <w:p w14:paraId="7E876563">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法定代表人（签字或盖章）：</w:t>
      </w:r>
    </w:p>
    <w:p w14:paraId="3CC6C39D">
      <w:pPr>
        <w:spacing w:line="360" w:lineRule="exact"/>
        <w:rPr>
          <w:rFonts w:hint="eastAsia" w:ascii="仿宋" w:hAnsi="仿宋" w:eastAsia="仿宋" w:cs="仿宋"/>
          <w:sz w:val="24"/>
          <w:highlight w:val="none"/>
        </w:rPr>
      </w:pPr>
    </w:p>
    <w:p w14:paraId="6CE79F86">
      <w:pPr>
        <w:spacing w:line="360" w:lineRule="exact"/>
        <w:rPr>
          <w:rFonts w:hint="eastAsia" w:ascii="仿宋" w:hAnsi="仿宋" w:eastAsia="仿宋" w:cs="仿宋"/>
          <w:sz w:val="24"/>
          <w:highlight w:val="none"/>
        </w:rPr>
      </w:pPr>
    </w:p>
    <w:p w14:paraId="5C6F859E">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14:paraId="7264786D">
      <w:pPr>
        <w:ind w:firstLine="4920" w:firstLineChars="2050"/>
        <w:jc w:val="left"/>
        <w:rPr>
          <w:rFonts w:hint="eastAsia" w:ascii="仿宋" w:hAnsi="仿宋" w:eastAsia="仿宋" w:cs="仿宋"/>
          <w:sz w:val="24"/>
          <w:highlight w:val="none"/>
        </w:rPr>
      </w:pPr>
    </w:p>
    <w:p w14:paraId="0E870C17">
      <w:pPr>
        <w:spacing w:line="800" w:lineRule="exact"/>
        <w:rPr>
          <w:rFonts w:hint="eastAsia" w:ascii="仿宋" w:hAnsi="仿宋" w:eastAsia="仿宋" w:cs="仿宋"/>
          <w:b/>
          <w:sz w:val="24"/>
          <w:highlight w:val="none"/>
        </w:rPr>
      </w:pPr>
    </w:p>
    <w:p w14:paraId="7BAAADD7">
      <w:pPr>
        <w:spacing w:line="800" w:lineRule="exact"/>
        <w:rPr>
          <w:rFonts w:hint="eastAsia" w:ascii="仿宋" w:hAnsi="仿宋" w:eastAsia="仿宋" w:cs="仿宋"/>
          <w:b/>
          <w:sz w:val="24"/>
          <w:highlight w:val="none"/>
        </w:rPr>
      </w:pPr>
    </w:p>
    <w:p w14:paraId="10442CE8">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14:paraId="6AA33885">
      <w:pPr>
        <w:jc w:val="center"/>
        <w:rPr>
          <w:rFonts w:hint="eastAsia" w:ascii="仿宋" w:hAnsi="仿宋" w:eastAsia="仿宋" w:cs="仿宋"/>
          <w:b/>
          <w:sz w:val="24"/>
          <w:highlight w:val="none"/>
        </w:rPr>
      </w:pPr>
    </w:p>
    <w:p w14:paraId="193C973D">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14:paraId="74702A35">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35603267">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3D933EE9">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55B1180B">
      <w:pPr>
        <w:snapToGrid w:val="0"/>
        <w:spacing w:line="600" w:lineRule="exact"/>
        <w:jc w:val="left"/>
        <w:rPr>
          <w:rFonts w:hint="eastAsia" w:ascii="仿宋" w:hAnsi="仿宋" w:eastAsia="仿宋" w:cs="仿宋"/>
          <w:sz w:val="24"/>
          <w:highlight w:val="none"/>
        </w:rPr>
      </w:pPr>
    </w:p>
    <w:p w14:paraId="7180F1F9">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63CAA2A0">
      <w:pPr>
        <w:spacing w:line="360" w:lineRule="exact"/>
        <w:rPr>
          <w:rFonts w:hint="eastAsia" w:ascii="仿宋" w:hAnsi="仿宋" w:eastAsia="仿宋" w:cs="仿宋"/>
          <w:sz w:val="24"/>
          <w:highlight w:val="none"/>
        </w:rPr>
      </w:pPr>
    </w:p>
    <w:p w14:paraId="5DD56788">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376BA629">
      <w:pPr>
        <w:spacing w:line="360" w:lineRule="exact"/>
        <w:rPr>
          <w:rFonts w:hint="eastAsia" w:ascii="仿宋" w:hAnsi="仿宋" w:eastAsia="仿宋" w:cs="仿宋"/>
          <w:sz w:val="24"/>
          <w:highlight w:val="none"/>
        </w:rPr>
      </w:pPr>
    </w:p>
    <w:p w14:paraId="33DEE118">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19F64EB0">
      <w:pPr>
        <w:spacing w:line="360" w:lineRule="exact"/>
        <w:rPr>
          <w:rFonts w:hint="eastAsia" w:ascii="仿宋" w:hAnsi="仿宋" w:eastAsia="仿宋" w:cs="仿宋"/>
          <w:sz w:val="24"/>
          <w:highlight w:val="none"/>
        </w:rPr>
      </w:pPr>
    </w:p>
    <w:p w14:paraId="1939E23B">
      <w:pPr>
        <w:spacing w:line="360" w:lineRule="exact"/>
        <w:rPr>
          <w:rFonts w:hint="eastAsia" w:ascii="仿宋" w:hAnsi="仿宋" w:eastAsia="仿宋" w:cs="仿宋"/>
          <w:sz w:val="24"/>
          <w:highlight w:val="none"/>
        </w:rPr>
      </w:pPr>
    </w:p>
    <w:p w14:paraId="59B05FC6">
      <w:pPr>
        <w:jc w:val="center"/>
        <w:rPr>
          <w:rFonts w:hint="eastAsia" w:ascii="仿宋" w:hAnsi="仿宋" w:eastAsia="仿宋" w:cs="仿宋"/>
          <w:b/>
          <w:kern w:val="0"/>
          <w:sz w:val="32"/>
          <w:szCs w:val="32"/>
          <w:highlight w:val="none"/>
        </w:rPr>
      </w:pPr>
    </w:p>
    <w:p w14:paraId="4A57B270">
      <w:pPr>
        <w:rPr>
          <w:rFonts w:hint="eastAsia" w:ascii="仿宋" w:hAnsi="仿宋" w:eastAsia="仿宋" w:cs="仿宋"/>
          <w:highlight w:val="none"/>
        </w:rPr>
      </w:pPr>
    </w:p>
    <w:p w14:paraId="62B91391">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6EEB7805">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38D46690">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14:paraId="591C01B2">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393CC113">
      <w:pPr>
        <w:autoSpaceDE w:val="0"/>
        <w:autoSpaceDN w:val="0"/>
        <w:spacing w:line="360" w:lineRule="auto"/>
        <w:jc w:val="center"/>
        <w:rPr>
          <w:rFonts w:hint="eastAsia" w:ascii="仿宋" w:hAnsi="仿宋" w:eastAsia="仿宋" w:cs="仿宋"/>
          <w:b/>
          <w:kern w:val="0"/>
          <w:sz w:val="32"/>
          <w:szCs w:val="32"/>
          <w:highlight w:val="none"/>
          <w:lang w:val="zh-CN"/>
        </w:rPr>
      </w:pPr>
    </w:p>
    <w:p w14:paraId="72D527C2">
      <w:pPr>
        <w:autoSpaceDE w:val="0"/>
        <w:autoSpaceDN w:val="0"/>
        <w:spacing w:line="360" w:lineRule="auto"/>
        <w:jc w:val="center"/>
        <w:rPr>
          <w:rFonts w:hint="eastAsia" w:ascii="仿宋" w:hAnsi="仿宋" w:eastAsia="仿宋" w:cs="仿宋"/>
          <w:b/>
          <w:kern w:val="0"/>
          <w:sz w:val="32"/>
          <w:szCs w:val="32"/>
          <w:highlight w:val="none"/>
          <w:lang w:val="zh-CN"/>
        </w:rPr>
      </w:pPr>
    </w:p>
    <w:p w14:paraId="7EE0B326">
      <w:pPr>
        <w:autoSpaceDE w:val="0"/>
        <w:autoSpaceDN w:val="0"/>
        <w:spacing w:line="360" w:lineRule="auto"/>
        <w:jc w:val="center"/>
        <w:rPr>
          <w:rFonts w:hint="eastAsia" w:ascii="仿宋" w:hAnsi="仿宋" w:eastAsia="仿宋" w:cs="仿宋"/>
          <w:b/>
          <w:kern w:val="0"/>
          <w:sz w:val="32"/>
          <w:szCs w:val="32"/>
          <w:highlight w:val="none"/>
          <w:lang w:val="zh-CN"/>
        </w:rPr>
      </w:pPr>
    </w:p>
    <w:p w14:paraId="0707E91E">
      <w:pPr>
        <w:pageBreakBefore/>
        <w:spacing w:line="800" w:lineRule="exact"/>
        <w:jc w:val="center"/>
        <w:rPr>
          <w:rFonts w:ascii="仿宋_GB2312" w:hAnsi="宋体" w:eastAsia="仿宋_GB2312"/>
          <w:b/>
          <w:color w:val="000000" w:themeColor="text1"/>
          <w:sz w:val="30"/>
          <w:szCs w:val="30"/>
          <w:highlight w:val="none"/>
          <w14:textFill>
            <w14:solidFill>
              <w14:schemeClr w14:val="tx1"/>
            </w14:solidFill>
          </w14:textFill>
        </w:rPr>
      </w:pPr>
      <w:r>
        <w:rPr>
          <w:rFonts w:hint="eastAsia" w:ascii="仿宋_GB2312" w:hAnsi="宋体" w:eastAsia="仿宋_GB2312"/>
          <w:b/>
          <w:color w:val="000000" w:themeColor="text1"/>
          <w:sz w:val="30"/>
          <w:szCs w:val="30"/>
          <w:highlight w:val="none"/>
          <w14:textFill>
            <w14:solidFill>
              <w14:schemeClr w14:val="tx1"/>
            </w14:solidFill>
          </w14:textFill>
        </w:rPr>
        <w:t>三、授权代表社保证明（复印件）</w:t>
      </w:r>
    </w:p>
    <w:p w14:paraId="30568C96">
      <w:pPr>
        <w:spacing w:line="800" w:lineRule="exact"/>
        <w:ind w:firstLine="480" w:firstLineChars="200"/>
        <w:rPr>
          <w:rFonts w:ascii="仿宋_GB2312" w:hAnsi="宋体" w:eastAsia="仿宋_GB2312"/>
          <w:color w:val="000000" w:themeColor="text1"/>
          <w:sz w:val="24"/>
          <w:highlight w:val="none"/>
          <w:u w:val="wave"/>
          <w14:textFill>
            <w14:solidFill>
              <w14:schemeClr w14:val="tx1"/>
            </w14:solidFill>
          </w14:textFill>
        </w:rPr>
      </w:pPr>
      <w:r>
        <w:rPr>
          <w:rFonts w:hint="eastAsia" w:ascii="仿宋_GB2312" w:hAnsi="宋体" w:eastAsia="仿宋_GB2312"/>
          <w:color w:val="000000" w:themeColor="text1"/>
          <w:sz w:val="24"/>
          <w:highlight w:val="none"/>
          <w:u w:val="wave"/>
          <w14:textFill>
            <w14:solidFill>
              <w14:schemeClr w14:val="tx1"/>
            </w14:solidFill>
          </w14:textFill>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69764DD">
      <w:pPr>
        <w:spacing w:line="800" w:lineRule="exact"/>
        <w:rPr>
          <w:rFonts w:hint="eastAsia" w:ascii="仿宋" w:hAnsi="仿宋" w:eastAsia="仿宋" w:cs="仿宋"/>
          <w:b/>
          <w:sz w:val="24"/>
          <w:highlight w:val="none"/>
        </w:rPr>
      </w:pPr>
    </w:p>
    <w:p w14:paraId="20C8A24D">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val="en-US" w:eastAsia="zh-CN"/>
        </w:rPr>
        <w:t>四</w:t>
      </w:r>
      <w:r>
        <w:rPr>
          <w:rFonts w:hint="eastAsia" w:ascii="仿宋" w:hAnsi="仿宋" w:eastAsia="仿宋" w:cs="仿宋"/>
          <w:b/>
          <w:sz w:val="30"/>
          <w:szCs w:val="30"/>
          <w:highlight w:val="none"/>
        </w:rPr>
        <w:t>、法定代表人及其授权代表身份证复印件（正反面）</w:t>
      </w:r>
    </w:p>
    <w:p w14:paraId="6C800322">
      <w:pPr>
        <w:spacing w:line="800" w:lineRule="exact"/>
        <w:rPr>
          <w:rFonts w:hint="eastAsia" w:ascii="仿宋" w:hAnsi="仿宋" w:eastAsia="仿宋" w:cs="仿宋"/>
          <w:b/>
          <w:sz w:val="24"/>
          <w:highlight w:val="none"/>
        </w:rPr>
      </w:pPr>
    </w:p>
    <w:p w14:paraId="242914A0">
      <w:pPr>
        <w:spacing w:line="800" w:lineRule="exact"/>
        <w:rPr>
          <w:rFonts w:hint="eastAsia" w:ascii="仿宋" w:hAnsi="仿宋" w:eastAsia="仿宋" w:cs="仿宋"/>
          <w:b/>
          <w:sz w:val="24"/>
          <w:highlight w:val="none"/>
        </w:rPr>
      </w:pPr>
    </w:p>
    <w:p w14:paraId="31CEE550">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val="en-US" w:eastAsia="zh-CN"/>
        </w:rPr>
        <w:t>五</w:t>
      </w:r>
      <w:r>
        <w:rPr>
          <w:rFonts w:hint="eastAsia" w:ascii="仿宋" w:hAnsi="仿宋" w:eastAsia="仿宋" w:cs="仿宋"/>
          <w:b/>
          <w:sz w:val="30"/>
          <w:szCs w:val="30"/>
          <w:highlight w:val="none"/>
        </w:rPr>
        <w:t>、法定代表人身份证明书(格式)</w:t>
      </w:r>
    </w:p>
    <w:p w14:paraId="372F7B7B">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14:paraId="36C42DBA">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14:paraId="0C56BA75">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14:paraId="5536AC37">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14:paraId="07ADE32A">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14:paraId="5723A161">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14:paraId="23305624">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特此证明。</w:t>
      </w:r>
    </w:p>
    <w:p w14:paraId="33E87CB9">
      <w:pPr>
        <w:spacing w:line="440" w:lineRule="exact"/>
        <w:rPr>
          <w:rFonts w:hint="eastAsia" w:ascii="仿宋" w:hAnsi="仿宋" w:eastAsia="仿宋" w:cs="仿宋"/>
          <w:sz w:val="24"/>
          <w:highlight w:val="none"/>
        </w:rPr>
      </w:pPr>
    </w:p>
    <w:p w14:paraId="3FB075D3">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w:t>
      </w:r>
      <w:r>
        <w:rPr>
          <w:rFonts w:hint="eastAsia" w:ascii="仿宋" w:hAnsi="仿宋" w:eastAsia="仿宋" w:cs="仿宋"/>
          <w:sz w:val="24"/>
          <w:highlight w:val="none"/>
          <w:lang w:eastAsia="zh-CN"/>
        </w:rPr>
        <w:t>名称</w:t>
      </w:r>
      <w:r>
        <w:rPr>
          <w:rFonts w:hint="eastAsia" w:ascii="仿宋" w:hAnsi="仿宋" w:eastAsia="仿宋" w:cs="仿宋"/>
          <w:sz w:val="24"/>
          <w:highlight w:val="none"/>
        </w:rPr>
        <w:t>：                             （电子签章）</w:t>
      </w:r>
    </w:p>
    <w:p w14:paraId="1AD925DE">
      <w:pPr>
        <w:spacing w:line="440" w:lineRule="exact"/>
        <w:ind w:right="480"/>
        <w:rPr>
          <w:rFonts w:hint="eastAsia" w:ascii="仿宋" w:hAnsi="仿宋" w:eastAsia="仿宋" w:cs="仿宋"/>
          <w:sz w:val="24"/>
          <w:highlight w:val="none"/>
        </w:rPr>
      </w:pPr>
    </w:p>
    <w:p w14:paraId="1E9E8E47">
      <w:pPr>
        <w:spacing w:line="440" w:lineRule="exact"/>
        <w:ind w:right="720"/>
        <w:jc w:val="right"/>
        <w:rPr>
          <w:rFonts w:hint="eastAsia" w:ascii="仿宋" w:hAnsi="仿宋" w:eastAsia="仿宋" w:cs="仿宋"/>
          <w:sz w:val="24"/>
          <w:highlight w:val="none"/>
        </w:rPr>
      </w:pPr>
      <w:r>
        <w:rPr>
          <w:rFonts w:hint="eastAsia" w:ascii="仿宋" w:hAnsi="仿宋" w:eastAsia="仿宋" w:cs="仿宋"/>
          <w:sz w:val="24"/>
          <w:highlight w:val="none"/>
        </w:rPr>
        <w:t>年   月   日</w:t>
      </w:r>
    </w:p>
    <w:p w14:paraId="31002665">
      <w:pPr>
        <w:jc w:val="center"/>
        <w:rPr>
          <w:rFonts w:hint="eastAsia" w:ascii="仿宋" w:hAnsi="仿宋" w:eastAsia="仿宋" w:cs="仿宋"/>
          <w:b/>
          <w:kern w:val="0"/>
          <w:sz w:val="32"/>
          <w:szCs w:val="32"/>
          <w:highlight w:val="none"/>
        </w:rPr>
      </w:pPr>
    </w:p>
    <w:p w14:paraId="52332EED">
      <w:pPr>
        <w:jc w:val="center"/>
        <w:rPr>
          <w:rFonts w:hint="eastAsia" w:ascii="仿宋" w:hAnsi="仿宋" w:eastAsia="仿宋" w:cs="仿宋"/>
          <w:b/>
          <w:kern w:val="0"/>
          <w:sz w:val="32"/>
          <w:szCs w:val="32"/>
          <w:highlight w:val="none"/>
        </w:rPr>
      </w:pPr>
    </w:p>
    <w:p w14:paraId="7A4722EA">
      <w:pPr>
        <w:jc w:val="both"/>
        <w:rPr>
          <w:rFonts w:hint="eastAsia" w:ascii="仿宋" w:hAnsi="仿宋" w:eastAsia="仿宋" w:cs="仿宋"/>
          <w:b/>
          <w:kern w:val="0"/>
          <w:sz w:val="32"/>
          <w:szCs w:val="32"/>
          <w:highlight w:val="none"/>
        </w:rPr>
      </w:pPr>
    </w:p>
    <w:p w14:paraId="28859E73">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val="en-US" w:eastAsia="zh-CN"/>
        </w:rPr>
        <w:t>六</w:t>
      </w:r>
      <w:r>
        <w:rPr>
          <w:rFonts w:hint="eastAsia" w:ascii="仿宋" w:hAnsi="仿宋" w:eastAsia="仿宋" w:cs="仿宋"/>
          <w:b/>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1676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C61C662">
            <w:pP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14:paraId="1199336D">
            <w:pPr>
              <w:jc w:val="center"/>
              <w:rPr>
                <w:rFonts w:hint="eastAsia"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14:paraId="0ABF5B24">
            <w:pPr>
              <w:jc w:val="center"/>
              <w:rPr>
                <w:rFonts w:hint="eastAsia"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14:paraId="0AB875CA">
            <w:pP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14:paraId="2E458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B38ED47">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14:paraId="473E25B7">
            <w:pPr>
              <w:jc w:val="center"/>
              <w:rPr>
                <w:rFonts w:hint="eastAsia" w:ascii="仿宋" w:hAnsi="仿宋" w:eastAsia="仿宋" w:cs="仿宋"/>
                <w:b/>
                <w:kern w:val="0"/>
                <w:sz w:val="32"/>
                <w:szCs w:val="32"/>
                <w:highlight w:val="none"/>
              </w:rPr>
            </w:pPr>
          </w:p>
        </w:tc>
        <w:tc>
          <w:tcPr>
            <w:tcW w:w="3546" w:type="dxa"/>
          </w:tcPr>
          <w:p w14:paraId="642701E5">
            <w:pPr>
              <w:jc w:val="center"/>
              <w:rPr>
                <w:rFonts w:hint="eastAsia" w:ascii="仿宋" w:hAnsi="仿宋" w:eastAsia="仿宋" w:cs="仿宋"/>
                <w:b/>
                <w:kern w:val="0"/>
                <w:sz w:val="32"/>
                <w:szCs w:val="32"/>
                <w:highlight w:val="none"/>
              </w:rPr>
            </w:pPr>
          </w:p>
        </w:tc>
        <w:tc>
          <w:tcPr>
            <w:tcW w:w="1276" w:type="dxa"/>
          </w:tcPr>
          <w:p w14:paraId="0AC6437D">
            <w:pPr>
              <w:jc w:val="center"/>
              <w:rPr>
                <w:rFonts w:hint="eastAsia" w:ascii="仿宋" w:hAnsi="仿宋" w:eastAsia="仿宋" w:cs="仿宋"/>
                <w:b/>
                <w:kern w:val="0"/>
                <w:sz w:val="32"/>
                <w:szCs w:val="32"/>
                <w:highlight w:val="none"/>
              </w:rPr>
            </w:pPr>
          </w:p>
        </w:tc>
      </w:tr>
      <w:tr w14:paraId="2F142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18EE636">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14:paraId="555922B5">
            <w:pPr>
              <w:jc w:val="center"/>
              <w:rPr>
                <w:rFonts w:hint="eastAsia" w:ascii="仿宋" w:hAnsi="仿宋" w:eastAsia="仿宋" w:cs="仿宋"/>
                <w:b/>
                <w:kern w:val="0"/>
                <w:sz w:val="32"/>
                <w:szCs w:val="32"/>
                <w:highlight w:val="none"/>
              </w:rPr>
            </w:pPr>
          </w:p>
        </w:tc>
        <w:tc>
          <w:tcPr>
            <w:tcW w:w="3546" w:type="dxa"/>
          </w:tcPr>
          <w:p w14:paraId="2FB224C2">
            <w:pPr>
              <w:jc w:val="center"/>
              <w:rPr>
                <w:rFonts w:hint="eastAsia" w:ascii="仿宋" w:hAnsi="仿宋" w:eastAsia="仿宋" w:cs="仿宋"/>
                <w:b/>
                <w:kern w:val="0"/>
                <w:sz w:val="32"/>
                <w:szCs w:val="32"/>
                <w:highlight w:val="none"/>
              </w:rPr>
            </w:pPr>
          </w:p>
        </w:tc>
        <w:tc>
          <w:tcPr>
            <w:tcW w:w="1276" w:type="dxa"/>
          </w:tcPr>
          <w:p w14:paraId="690264C6">
            <w:pPr>
              <w:jc w:val="center"/>
              <w:rPr>
                <w:rFonts w:hint="eastAsia" w:ascii="仿宋" w:hAnsi="仿宋" w:eastAsia="仿宋" w:cs="仿宋"/>
                <w:b/>
                <w:kern w:val="0"/>
                <w:sz w:val="32"/>
                <w:szCs w:val="32"/>
                <w:highlight w:val="none"/>
              </w:rPr>
            </w:pPr>
          </w:p>
        </w:tc>
      </w:tr>
      <w:tr w14:paraId="16A1E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C8B1F3C">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14:paraId="0AAD68F8">
            <w:pPr>
              <w:jc w:val="center"/>
              <w:rPr>
                <w:rFonts w:hint="eastAsia" w:ascii="仿宋" w:hAnsi="仿宋" w:eastAsia="仿宋" w:cs="仿宋"/>
                <w:b/>
                <w:kern w:val="0"/>
                <w:sz w:val="32"/>
                <w:szCs w:val="32"/>
                <w:highlight w:val="none"/>
              </w:rPr>
            </w:pPr>
          </w:p>
        </w:tc>
        <w:tc>
          <w:tcPr>
            <w:tcW w:w="3546" w:type="dxa"/>
          </w:tcPr>
          <w:p w14:paraId="231DE359">
            <w:pPr>
              <w:jc w:val="center"/>
              <w:rPr>
                <w:rFonts w:hint="eastAsia" w:ascii="仿宋" w:hAnsi="仿宋" w:eastAsia="仿宋" w:cs="仿宋"/>
                <w:b/>
                <w:kern w:val="0"/>
                <w:sz w:val="32"/>
                <w:szCs w:val="32"/>
                <w:highlight w:val="none"/>
              </w:rPr>
            </w:pPr>
          </w:p>
        </w:tc>
        <w:tc>
          <w:tcPr>
            <w:tcW w:w="1276" w:type="dxa"/>
          </w:tcPr>
          <w:p w14:paraId="0C28720C">
            <w:pPr>
              <w:jc w:val="center"/>
              <w:rPr>
                <w:rFonts w:hint="eastAsia" w:ascii="仿宋" w:hAnsi="仿宋" w:eastAsia="仿宋" w:cs="仿宋"/>
                <w:b/>
                <w:kern w:val="0"/>
                <w:sz w:val="32"/>
                <w:szCs w:val="32"/>
                <w:highlight w:val="none"/>
              </w:rPr>
            </w:pPr>
          </w:p>
        </w:tc>
      </w:tr>
    </w:tbl>
    <w:p w14:paraId="67193596">
      <w:pPr>
        <w:jc w:val="left"/>
        <w:rPr>
          <w:rFonts w:hint="eastAsia"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14:paraId="133CB65A">
      <w:pPr>
        <w:jc w:val="center"/>
        <w:rPr>
          <w:rFonts w:hint="eastAsia" w:ascii="仿宋" w:hAnsi="仿宋" w:eastAsia="仿宋" w:cs="仿宋"/>
          <w:b/>
          <w:kern w:val="0"/>
          <w:sz w:val="32"/>
          <w:szCs w:val="32"/>
          <w:highlight w:val="none"/>
        </w:rPr>
      </w:pPr>
    </w:p>
    <w:p w14:paraId="09EB334A">
      <w:pPr>
        <w:spacing w:line="360" w:lineRule="auto"/>
        <w:ind w:right="420"/>
        <w:rPr>
          <w:rFonts w:hint="eastAsia" w:ascii="仿宋" w:hAnsi="仿宋" w:eastAsia="仿宋" w:cs="仿宋"/>
          <w:b/>
          <w:bCs/>
          <w:sz w:val="32"/>
          <w:szCs w:val="32"/>
          <w:highlight w:val="none"/>
        </w:rPr>
      </w:pPr>
      <w:r>
        <w:rPr>
          <w:rFonts w:hint="eastAsia" w:ascii="仿宋" w:hAnsi="仿宋" w:eastAsia="仿宋" w:cs="仿宋"/>
          <w:sz w:val="24"/>
          <w:highlight w:val="none"/>
        </w:rPr>
        <w:t>注：按本格式和要求提供。</w:t>
      </w:r>
    </w:p>
    <w:p w14:paraId="4084E3E0">
      <w:pPr>
        <w:widowControl/>
        <w:adjustRightInd/>
        <w:jc w:val="left"/>
        <w:rPr>
          <w:rFonts w:hint="eastAsia" w:ascii="仿宋" w:hAnsi="仿宋" w:eastAsia="仿宋" w:cs="仿宋"/>
          <w:b/>
          <w:bCs/>
          <w:sz w:val="32"/>
          <w:szCs w:val="32"/>
          <w:highlight w:val="none"/>
          <w:lang w:eastAsia="zh-CN"/>
        </w:rPr>
      </w:pPr>
    </w:p>
    <w:p w14:paraId="09EA1D13">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lang w:val="en-US" w:eastAsia="zh-CN"/>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14:paraId="1CCBFFBB">
      <w:pPr>
        <w:snapToGrid w:val="0"/>
        <w:spacing w:line="360" w:lineRule="auto"/>
        <w:rPr>
          <w:rFonts w:hint="eastAsia" w:ascii="仿宋" w:hAnsi="仿宋" w:eastAsia="仿宋" w:cs="仿宋"/>
          <w:color w:val="auto"/>
          <w:sz w:val="24"/>
          <w:highlight w:val="none"/>
        </w:rPr>
      </w:pPr>
    </w:p>
    <w:p w14:paraId="6FE9780F">
      <w:pPr>
        <w:snapToGrid w:val="0"/>
        <w:spacing w:line="360" w:lineRule="auto"/>
        <w:rPr>
          <w:rFonts w:hint="eastAsia" w:ascii="仿宋" w:hAnsi="仿宋" w:eastAsia="仿宋" w:cs="仿宋"/>
          <w:kern w:val="0"/>
          <w:sz w:val="24"/>
          <w:highlight w:val="none"/>
        </w:rPr>
      </w:pPr>
      <w:r>
        <w:rPr>
          <w:rFonts w:hint="eastAsia" w:ascii="仿宋" w:hAnsi="仿宋" w:eastAsia="仿宋" w:cs="仿宋"/>
          <w:color w:val="auto"/>
          <w:sz w:val="24"/>
          <w:highlight w:val="none"/>
        </w:rPr>
        <w:t>（采购人）、（采购代</w:t>
      </w:r>
      <w:r>
        <w:rPr>
          <w:rFonts w:hint="eastAsia" w:ascii="仿宋" w:hAnsi="仿宋" w:eastAsia="仿宋" w:cs="仿宋"/>
          <w:sz w:val="24"/>
          <w:highlight w:val="none"/>
        </w:rPr>
        <w:t>理机构）</w:t>
      </w:r>
      <w:r>
        <w:rPr>
          <w:rFonts w:hint="eastAsia" w:ascii="仿宋" w:hAnsi="仿宋" w:eastAsia="仿宋" w:cs="仿宋"/>
          <w:kern w:val="0"/>
          <w:sz w:val="24"/>
          <w:highlight w:val="none"/>
          <w:lang w:val="zh-CN"/>
        </w:rPr>
        <w:t>：</w:t>
      </w:r>
    </w:p>
    <w:p w14:paraId="1E946620">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14:paraId="3B084D3F">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7524CA33">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640DC1F3">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577AA04A">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42E9614F">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14:paraId="7DBB40E5">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14:paraId="7A252317">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14:paraId="638FA69C">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14:paraId="58693858">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14:paraId="33046434">
      <w:pPr>
        <w:autoSpaceDE w:val="0"/>
        <w:autoSpaceDN w:val="0"/>
        <w:spacing w:line="360" w:lineRule="auto"/>
        <w:ind w:left="2"/>
        <w:jc w:val="left"/>
        <w:rPr>
          <w:rFonts w:hint="eastAsia" w:ascii="仿宋" w:hAnsi="仿宋" w:eastAsia="仿宋" w:cs="仿宋"/>
          <w:kern w:val="0"/>
          <w:sz w:val="24"/>
          <w:highlight w:val="none"/>
          <w:lang w:val="zh-CN"/>
        </w:rPr>
      </w:pPr>
    </w:p>
    <w:p w14:paraId="5C349D61">
      <w:pPr>
        <w:autoSpaceDE w:val="0"/>
        <w:autoSpaceDN w:val="0"/>
        <w:spacing w:line="360" w:lineRule="auto"/>
        <w:ind w:left="2"/>
        <w:jc w:val="left"/>
        <w:rPr>
          <w:rFonts w:hint="eastAsia" w:ascii="仿宋" w:hAnsi="仿宋" w:eastAsia="仿宋" w:cs="仿宋"/>
          <w:kern w:val="0"/>
          <w:sz w:val="24"/>
          <w:highlight w:val="none"/>
          <w:lang w:val="zh-CN"/>
        </w:rPr>
      </w:pPr>
    </w:p>
    <w:p w14:paraId="546E93E1">
      <w:pPr>
        <w:autoSpaceDE w:val="0"/>
        <w:autoSpaceDN w:val="0"/>
        <w:spacing w:line="360" w:lineRule="auto"/>
        <w:ind w:left="2"/>
        <w:jc w:val="left"/>
        <w:rPr>
          <w:rFonts w:hint="eastAsia" w:ascii="仿宋" w:hAnsi="仿宋" w:eastAsia="仿宋" w:cs="仿宋"/>
          <w:kern w:val="0"/>
          <w:sz w:val="24"/>
          <w:highlight w:val="none"/>
          <w:lang w:val="zh-CN"/>
        </w:rPr>
      </w:pPr>
    </w:p>
    <w:p w14:paraId="10A5E7DD">
      <w:pPr>
        <w:autoSpaceDE w:val="0"/>
        <w:autoSpaceDN w:val="0"/>
        <w:spacing w:line="360" w:lineRule="auto"/>
        <w:ind w:left="2" w:leftChars="1" w:right="1120" w:firstLine="4560" w:firstLineChars="1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14:paraId="10B5BC1C">
      <w:pPr>
        <w:spacing w:line="360" w:lineRule="auto"/>
        <w:ind w:left="4620" w:leftChars="2200"/>
        <w:rPr>
          <w:rFonts w:hint="eastAsia"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14:paraId="025183FC">
      <w:pPr>
        <w:spacing w:line="360" w:lineRule="auto"/>
        <w:jc w:val="center"/>
        <w:rPr>
          <w:rFonts w:hint="eastAsia" w:ascii="仿宋" w:hAnsi="仿宋" w:eastAsia="仿宋" w:cs="仿宋"/>
          <w:b/>
          <w:bCs/>
          <w:sz w:val="24"/>
          <w:highlight w:val="none"/>
        </w:rPr>
      </w:pPr>
    </w:p>
    <w:p w14:paraId="00496BA6">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31D5458A">
      <w:pPr>
        <w:spacing w:line="360" w:lineRule="auto"/>
        <w:jc w:val="center"/>
        <w:rPr>
          <w:rFonts w:hint="eastAsia" w:ascii="仿宋" w:hAnsi="仿宋" w:eastAsia="仿宋" w:cs="仿宋"/>
          <w:b/>
          <w:bCs/>
          <w:sz w:val="24"/>
          <w:highlight w:val="none"/>
        </w:rPr>
      </w:pPr>
    </w:p>
    <w:p w14:paraId="6AE43A16">
      <w:pPr>
        <w:pStyle w:val="79"/>
        <w:jc w:val="center"/>
        <w:rPr>
          <w:rFonts w:hint="eastAsia" w:ascii="仿宋" w:hAnsi="仿宋" w:eastAsia="仿宋" w:cs="仿宋"/>
          <w:b/>
          <w:bCs/>
          <w:sz w:val="24"/>
          <w:highlight w:val="none"/>
        </w:rPr>
      </w:pPr>
    </w:p>
    <w:p w14:paraId="6E6C6550">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lang w:val="en-US" w:eastAsia="zh-CN"/>
        </w:rPr>
        <w:t>八</w:t>
      </w:r>
      <w:r>
        <w:rPr>
          <w:rFonts w:hint="eastAsia" w:ascii="仿宋_GB2312" w:hAnsi="仿宋_GB2312" w:eastAsia="仿宋_GB2312" w:cs="仿宋_GB2312"/>
          <w:b/>
          <w:sz w:val="32"/>
          <w:szCs w:val="32"/>
          <w:highlight w:val="none"/>
        </w:rPr>
        <w:t>、</w:t>
      </w:r>
      <w:r>
        <w:rPr>
          <w:rFonts w:hint="eastAsia" w:ascii="仿宋_GB2312" w:hAnsi="仿宋_GB2312" w:eastAsia="仿宋_GB2312" w:cs="仿宋_GB2312"/>
          <w:b/>
          <w:kern w:val="0"/>
          <w:sz w:val="32"/>
          <w:szCs w:val="32"/>
          <w:highlight w:val="none"/>
          <w:lang w:val="zh-CN"/>
        </w:rPr>
        <w:t>主要业绩证明</w:t>
      </w:r>
    </w:p>
    <w:p w14:paraId="2676270E">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5C705B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DA54E9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913531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14:paraId="537A5B8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6B4356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CDBA0B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14:paraId="332AD07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14:paraId="519130B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A602AE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1E4915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A37EB5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14:paraId="4CD8C08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6DFFB51">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CBF40A4">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8EC4457">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1D24453">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FE5F009">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0E672C8">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A85E9BB">
            <w:pPr>
              <w:autoSpaceDE w:val="0"/>
              <w:autoSpaceDN w:val="0"/>
              <w:spacing w:line="360" w:lineRule="auto"/>
              <w:rPr>
                <w:rFonts w:ascii="仿宋_GB2312" w:hAnsi="仿宋_GB2312" w:eastAsia="仿宋_GB2312" w:cs="仿宋_GB2312"/>
                <w:sz w:val="24"/>
                <w:highlight w:val="none"/>
              </w:rPr>
            </w:pPr>
          </w:p>
        </w:tc>
      </w:tr>
      <w:tr w14:paraId="74468F7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B259EBD">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C7466B7">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CDD6EDC">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AE3E9B3">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68AEA22">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C709F4E">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FC7C124">
            <w:pPr>
              <w:autoSpaceDE w:val="0"/>
              <w:autoSpaceDN w:val="0"/>
              <w:spacing w:line="360" w:lineRule="auto"/>
              <w:rPr>
                <w:rFonts w:ascii="仿宋_GB2312" w:hAnsi="仿宋_GB2312" w:eastAsia="仿宋_GB2312" w:cs="仿宋_GB2312"/>
                <w:sz w:val="24"/>
                <w:highlight w:val="none"/>
              </w:rPr>
            </w:pPr>
          </w:p>
        </w:tc>
      </w:tr>
      <w:tr w14:paraId="1B957DC8">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B721C0D">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0182137">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36FBC90">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50F305A">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A82780E">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8649B3F">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912AEED">
            <w:pPr>
              <w:autoSpaceDE w:val="0"/>
              <w:autoSpaceDN w:val="0"/>
              <w:spacing w:line="360" w:lineRule="auto"/>
              <w:rPr>
                <w:rFonts w:ascii="仿宋_GB2312" w:hAnsi="仿宋_GB2312" w:eastAsia="仿宋_GB2312" w:cs="仿宋_GB2312"/>
                <w:sz w:val="24"/>
                <w:highlight w:val="none"/>
              </w:rPr>
            </w:pPr>
          </w:p>
        </w:tc>
      </w:tr>
    </w:tbl>
    <w:p w14:paraId="00305F3F">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注：供应商可按上述的格式自行编制，须随表提交相应的合同复印件</w:t>
      </w:r>
      <w:r>
        <w:rPr>
          <w:rFonts w:hint="eastAsia" w:ascii="仿宋_GB2312" w:hAnsi="仿宋_GB2312" w:eastAsia="仿宋_GB2312" w:cs="仿宋_GB2312"/>
          <w:b/>
          <w:sz w:val="24"/>
          <w:highlight w:val="none"/>
        </w:rPr>
        <w:t>和用户单位验收证明</w:t>
      </w:r>
      <w:r>
        <w:rPr>
          <w:rFonts w:hint="eastAsia" w:ascii="仿宋_GB2312" w:hAnsi="仿宋_GB2312" w:eastAsia="仿宋_GB2312" w:cs="仿宋_GB2312"/>
          <w:b/>
          <w:sz w:val="24"/>
          <w:highlight w:val="none"/>
          <w:lang w:eastAsia="zh-CN"/>
        </w:rPr>
        <w:t>（</w:t>
      </w:r>
      <w:r>
        <w:rPr>
          <w:rFonts w:hint="eastAsia" w:ascii="仿宋_GB2312" w:hAnsi="仿宋_GB2312" w:eastAsia="仿宋_GB2312" w:cs="仿宋_GB2312"/>
          <w:b/>
          <w:sz w:val="24"/>
          <w:highlight w:val="none"/>
          <w:lang w:val="en-US" w:eastAsia="zh-CN"/>
        </w:rPr>
        <w:t>如有</w:t>
      </w:r>
      <w:r>
        <w:rPr>
          <w:rFonts w:hint="eastAsia" w:ascii="仿宋_GB2312" w:hAnsi="仿宋_GB2312" w:eastAsia="仿宋_GB2312" w:cs="仿宋_GB2312"/>
          <w:b/>
          <w:sz w:val="24"/>
          <w:highlight w:val="none"/>
          <w:lang w:eastAsia="zh-CN"/>
        </w:rPr>
        <w:t>）</w:t>
      </w:r>
      <w:r>
        <w:rPr>
          <w:rFonts w:hint="eastAsia" w:ascii="仿宋_GB2312" w:hAnsi="仿宋_GB2312" w:eastAsia="仿宋_GB2312" w:cs="仿宋_GB2312"/>
          <w:b/>
          <w:color w:val="000000" w:themeColor="text1"/>
          <w:sz w:val="24"/>
          <w:highlight w:val="none"/>
          <w14:textFill>
            <w14:solidFill>
              <w14:schemeClr w14:val="tx1"/>
            </w14:solidFill>
          </w14:textFill>
        </w:rPr>
        <w:t>并注明页码。</w:t>
      </w:r>
    </w:p>
    <w:p w14:paraId="40284D5A">
      <w:pPr>
        <w:autoSpaceDE w:val="0"/>
        <w:autoSpaceDN w:val="0"/>
        <w:spacing w:line="360" w:lineRule="auto"/>
        <w:rPr>
          <w:rFonts w:ascii="仿宋_GB2312" w:hAnsi="仿宋_GB2312" w:eastAsia="仿宋_GB2312" w:cs="仿宋_GB2312"/>
          <w:b/>
          <w:sz w:val="24"/>
          <w:highlight w:val="none"/>
        </w:rPr>
      </w:pPr>
    </w:p>
    <w:p w14:paraId="20890478">
      <w:pPr>
        <w:autoSpaceDE w:val="0"/>
        <w:autoSpaceDN w:val="0"/>
        <w:spacing w:line="360" w:lineRule="auto"/>
        <w:rPr>
          <w:rFonts w:ascii="仿宋_GB2312" w:hAnsi="仿宋_GB2312" w:eastAsia="仿宋_GB2312" w:cs="仿宋_GB2312"/>
          <w:sz w:val="24"/>
          <w:highlight w:val="none"/>
        </w:rPr>
      </w:pPr>
    </w:p>
    <w:p w14:paraId="35201DC4">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0FD8F178">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590416F1">
      <w:pPr>
        <w:pStyle w:val="647"/>
        <w:ind w:firstLine="0"/>
        <w:jc w:val="both"/>
        <w:rPr>
          <w:rFonts w:hAnsi="仿宋_GB2312" w:cs="仿宋_GB2312"/>
          <w:highlight w:val="none"/>
        </w:rPr>
      </w:pPr>
    </w:p>
    <w:p w14:paraId="67988D46">
      <w:pPr>
        <w:pageBreakBefore/>
        <w:spacing w:line="360" w:lineRule="auto"/>
        <w:jc w:val="center"/>
        <w:rPr>
          <w:rFonts w:hint="eastAsia" w:ascii="仿宋_GB2312" w:hAnsi="仿宋_GB2312" w:eastAsia="仿宋_GB2312" w:cs="仿宋_GB2312"/>
          <w:b/>
          <w:bCs/>
          <w:sz w:val="32"/>
          <w:szCs w:val="32"/>
          <w:highlight w:val="none"/>
          <w:lang w:val="en-US" w:eastAsia="zh-CN"/>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56F7D947">
      <w:pPr>
        <w:pStyle w:val="691"/>
        <w:keepNext w:val="0"/>
        <w:pageBreakBefore w:val="0"/>
        <w:tabs>
          <w:tab w:val="clear" w:pos="720"/>
        </w:tabs>
        <w:snapToGrid w:val="0"/>
        <w:spacing w:before="240"/>
        <w:outlineLvl w:val="9"/>
        <w:rPr>
          <w:rFonts w:ascii="仿宋" w:hAnsi="仿宋" w:eastAsia="仿宋" w:cs="仿宋_GB2312"/>
          <w:kern w:val="2"/>
          <w:sz w:val="32"/>
          <w:szCs w:val="32"/>
          <w:highlight w:val="none"/>
        </w:rPr>
      </w:pPr>
      <w:r>
        <w:rPr>
          <w:rFonts w:hint="eastAsia" w:ascii="仿宋" w:hAnsi="仿宋" w:eastAsia="仿宋" w:cs="仿宋_GB2312"/>
          <w:kern w:val="2"/>
          <w:sz w:val="32"/>
          <w:szCs w:val="32"/>
          <w:highlight w:val="none"/>
          <w:lang w:val="en-US" w:eastAsia="zh-CN"/>
        </w:rPr>
        <w:t>九、</w:t>
      </w:r>
      <w:r>
        <w:rPr>
          <w:rFonts w:hint="eastAsia" w:ascii="仿宋" w:hAnsi="仿宋" w:eastAsia="仿宋" w:cs="仿宋_GB2312"/>
          <w:kern w:val="2"/>
          <w:sz w:val="32"/>
          <w:szCs w:val="32"/>
          <w:highlight w:val="none"/>
        </w:rPr>
        <w:t>承诺书</w:t>
      </w:r>
    </w:p>
    <w:p w14:paraId="0B1FC988">
      <w:pPr>
        <w:spacing w:line="360" w:lineRule="auto"/>
        <w:ind w:firstLine="360" w:firstLineChars="150"/>
        <w:jc w:val="left"/>
        <w:rPr>
          <w:rFonts w:ascii="仿宋" w:hAnsi="仿宋" w:eastAsia="仿宋"/>
          <w:color w:val="000000"/>
          <w:sz w:val="24"/>
          <w:highlight w:val="none"/>
        </w:rPr>
      </w:pPr>
      <w:r>
        <w:rPr>
          <w:rFonts w:hint="eastAsia" w:ascii="仿宋" w:hAnsi="仿宋" w:eastAsia="仿宋"/>
          <w:color w:val="000000"/>
          <w:sz w:val="24"/>
          <w:highlight w:val="none"/>
        </w:rPr>
        <w:t>本公司郑重声明，为切实保障项目履约质量，保证项目实施进度，本公司已于项目开标截止时间前配备以下设备，拟用于</w:t>
      </w:r>
      <w:r>
        <w:rPr>
          <w:rFonts w:hint="eastAsia" w:ascii="仿宋" w:hAnsi="仿宋" w:eastAsia="仿宋"/>
          <w:color w:val="000000"/>
          <w:sz w:val="24"/>
          <w:highlight w:val="none"/>
          <w:u w:val="single"/>
        </w:rPr>
        <w:t>（单位名称）</w:t>
      </w:r>
      <w:r>
        <w:rPr>
          <w:rFonts w:hint="eastAsia" w:ascii="仿宋" w:hAnsi="仿宋" w:eastAsia="仿宋"/>
          <w:color w:val="000000"/>
          <w:sz w:val="24"/>
          <w:highlight w:val="none"/>
        </w:rPr>
        <w:t xml:space="preserve"> 的 </w:t>
      </w:r>
      <w:r>
        <w:rPr>
          <w:rFonts w:hint="eastAsia" w:ascii="仿宋" w:hAnsi="仿宋" w:eastAsia="仿宋"/>
          <w:color w:val="000000"/>
          <w:sz w:val="24"/>
          <w:highlight w:val="none"/>
          <w:u w:val="single"/>
        </w:rPr>
        <w:t>（项目名称）</w:t>
      </w:r>
      <w:r>
        <w:rPr>
          <w:rFonts w:hint="eastAsia" w:ascii="仿宋" w:hAnsi="仿宋" w:eastAsia="仿宋"/>
          <w:color w:val="000000"/>
          <w:sz w:val="24"/>
          <w:highlight w:val="none"/>
        </w:rPr>
        <w:t>，中标后无故不予更换，并愿意接受社会各方监督。若本公司中标后未按承诺及招标文件规定提供以下设备用于该项目或设备无法到位，愿意取消本项目中标资格或解除合同，承担招标人损失并依法接受处理。具体设备清单如下：</w:t>
      </w:r>
    </w:p>
    <w:p w14:paraId="0854A7FA">
      <w:pPr>
        <w:spacing w:line="360" w:lineRule="auto"/>
        <w:ind w:firstLine="360" w:firstLineChars="150"/>
        <w:jc w:val="left"/>
        <w:rPr>
          <w:rFonts w:ascii="仿宋" w:hAnsi="仿宋" w:eastAsia="仿宋"/>
          <w:color w:val="000000"/>
          <w:sz w:val="24"/>
          <w:highlight w:val="none"/>
        </w:rPr>
      </w:pPr>
    </w:p>
    <w:tbl>
      <w:tblPr>
        <w:tblStyle w:val="62"/>
        <w:tblW w:w="7829" w:type="dxa"/>
        <w:jc w:val="center"/>
        <w:tblLayout w:type="fixed"/>
        <w:tblCellMar>
          <w:top w:w="0" w:type="dxa"/>
          <w:left w:w="108" w:type="dxa"/>
          <w:bottom w:w="0" w:type="dxa"/>
          <w:right w:w="108" w:type="dxa"/>
        </w:tblCellMar>
      </w:tblPr>
      <w:tblGrid>
        <w:gridCol w:w="883"/>
        <w:gridCol w:w="1967"/>
        <w:gridCol w:w="1719"/>
        <w:gridCol w:w="1417"/>
        <w:gridCol w:w="1843"/>
      </w:tblGrid>
      <w:tr w14:paraId="209CF269">
        <w:tblPrEx>
          <w:tblCellMar>
            <w:top w:w="0" w:type="dxa"/>
            <w:left w:w="108" w:type="dxa"/>
            <w:bottom w:w="0" w:type="dxa"/>
            <w:right w:w="108" w:type="dxa"/>
          </w:tblCellMar>
        </w:tblPrEx>
        <w:trPr>
          <w:trHeight w:val="270" w:hRule="atLeast"/>
          <w:jc w:val="center"/>
        </w:trPr>
        <w:tc>
          <w:tcPr>
            <w:tcW w:w="883" w:type="dxa"/>
            <w:vMerge w:val="restart"/>
            <w:tcBorders>
              <w:top w:val="single" w:color="auto" w:sz="4" w:space="0"/>
              <w:left w:val="single" w:color="auto" w:sz="4" w:space="0"/>
              <w:bottom w:val="single" w:color="auto" w:sz="4" w:space="0"/>
              <w:right w:val="single" w:color="auto" w:sz="4" w:space="0"/>
            </w:tcBorders>
            <w:vAlign w:val="center"/>
          </w:tcPr>
          <w:p w14:paraId="6DA30E4B">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序号</w:t>
            </w:r>
          </w:p>
        </w:tc>
        <w:tc>
          <w:tcPr>
            <w:tcW w:w="1967" w:type="dxa"/>
            <w:vMerge w:val="restart"/>
            <w:tcBorders>
              <w:top w:val="single" w:color="auto" w:sz="4" w:space="0"/>
              <w:left w:val="single" w:color="auto" w:sz="4" w:space="0"/>
              <w:bottom w:val="single" w:color="auto" w:sz="4" w:space="0"/>
              <w:right w:val="single" w:color="auto" w:sz="4" w:space="0"/>
            </w:tcBorders>
            <w:vAlign w:val="center"/>
          </w:tcPr>
          <w:p w14:paraId="5A3EE61B">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设备名称</w:t>
            </w:r>
          </w:p>
        </w:tc>
        <w:tc>
          <w:tcPr>
            <w:tcW w:w="1719" w:type="dxa"/>
            <w:vMerge w:val="restart"/>
            <w:tcBorders>
              <w:top w:val="single" w:color="auto" w:sz="4" w:space="0"/>
              <w:left w:val="single" w:color="auto" w:sz="4" w:space="0"/>
              <w:bottom w:val="single" w:color="auto" w:sz="4" w:space="0"/>
              <w:right w:val="single" w:color="auto" w:sz="4" w:space="0"/>
            </w:tcBorders>
            <w:vAlign w:val="center"/>
          </w:tcPr>
          <w:p w14:paraId="5433466D">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规格型号</w:t>
            </w:r>
          </w:p>
        </w:tc>
        <w:tc>
          <w:tcPr>
            <w:tcW w:w="1417" w:type="dxa"/>
            <w:vMerge w:val="restart"/>
            <w:tcBorders>
              <w:top w:val="single" w:color="auto" w:sz="4" w:space="0"/>
              <w:left w:val="single" w:color="auto" w:sz="4" w:space="0"/>
              <w:bottom w:val="single" w:color="auto" w:sz="4" w:space="0"/>
              <w:right w:val="single" w:color="auto" w:sz="4" w:space="0"/>
            </w:tcBorders>
            <w:vAlign w:val="center"/>
          </w:tcPr>
          <w:p w14:paraId="2F2ABE08">
            <w:pPr>
              <w:widowControl/>
              <w:jc w:val="center"/>
              <w:rPr>
                <w:rFonts w:ascii="仿宋" w:hAnsi="仿宋" w:eastAsia="仿宋" w:cs="宋体"/>
                <w:b/>
                <w:i/>
                <w:kern w:val="0"/>
                <w:sz w:val="24"/>
                <w:highlight w:val="none"/>
              </w:rPr>
            </w:pPr>
            <w:r>
              <w:rPr>
                <w:rFonts w:hint="eastAsia" w:ascii="仿宋" w:hAnsi="仿宋" w:eastAsia="仿宋" w:cs="宋体"/>
                <w:kern w:val="0"/>
                <w:sz w:val="24"/>
                <w:highlight w:val="none"/>
              </w:rPr>
              <w:t>车牌号</w:t>
            </w:r>
          </w:p>
        </w:tc>
        <w:tc>
          <w:tcPr>
            <w:tcW w:w="1843" w:type="dxa"/>
            <w:tcBorders>
              <w:top w:val="single" w:color="auto" w:sz="4" w:space="0"/>
              <w:left w:val="single" w:color="auto" w:sz="4" w:space="0"/>
              <w:right w:val="single" w:color="auto" w:sz="4" w:space="0"/>
            </w:tcBorders>
          </w:tcPr>
          <w:p w14:paraId="56ECFA60">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备注</w:t>
            </w:r>
          </w:p>
        </w:tc>
      </w:tr>
      <w:tr w14:paraId="0B6B9A9F">
        <w:tblPrEx>
          <w:tblCellMar>
            <w:top w:w="0" w:type="dxa"/>
            <w:left w:w="108" w:type="dxa"/>
            <w:bottom w:w="0" w:type="dxa"/>
            <w:right w:w="108" w:type="dxa"/>
          </w:tblCellMar>
        </w:tblPrEx>
        <w:trPr>
          <w:trHeight w:val="189" w:hRule="atLeast"/>
          <w:jc w:val="center"/>
        </w:trPr>
        <w:tc>
          <w:tcPr>
            <w:tcW w:w="883" w:type="dxa"/>
            <w:vMerge w:val="continue"/>
            <w:tcBorders>
              <w:top w:val="single" w:color="auto" w:sz="4" w:space="0"/>
              <w:left w:val="single" w:color="auto" w:sz="4" w:space="0"/>
              <w:bottom w:val="single" w:color="auto" w:sz="4" w:space="0"/>
              <w:right w:val="single" w:color="auto" w:sz="4" w:space="0"/>
            </w:tcBorders>
            <w:vAlign w:val="center"/>
          </w:tcPr>
          <w:p w14:paraId="7DA6A9EF">
            <w:pPr>
              <w:widowControl/>
              <w:jc w:val="left"/>
              <w:rPr>
                <w:rFonts w:ascii="仿宋" w:hAnsi="仿宋" w:eastAsia="仿宋" w:cs="宋体"/>
                <w:kern w:val="0"/>
                <w:sz w:val="24"/>
                <w:highlight w:val="none"/>
              </w:rPr>
            </w:pPr>
          </w:p>
        </w:tc>
        <w:tc>
          <w:tcPr>
            <w:tcW w:w="1967" w:type="dxa"/>
            <w:vMerge w:val="continue"/>
            <w:tcBorders>
              <w:top w:val="single" w:color="auto" w:sz="4" w:space="0"/>
              <w:left w:val="single" w:color="auto" w:sz="4" w:space="0"/>
              <w:bottom w:val="single" w:color="auto" w:sz="4" w:space="0"/>
              <w:right w:val="single" w:color="auto" w:sz="4" w:space="0"/>
            </w:tcBorders>
            <w:vAlign w:val="center"/>
          </w:tcPr>
          <w:p w14:paraId="7C691B56">
            <w:pPr>
              <w:widowControl/>
              <w:jc w:val="left"/>
              <w:rPr>
                <w:rFonts w:ascii="仿宋" w:hAnsi="仿宋" w:eastAsia="仿宋" w:cs="宋体"/>
                <w:kern w:val="0"/>
                <w:sz w:val="24"/>
                <w:highlight w:val="none"/>
              </w:rPr>
            </w:pPr>
          </w:p>
        </w:tc>
        <w:tc>
          <w:tcPr>
            <w:tcW w:w="1719" w:type="dxa"/>
            <w:vMerge w:val="continue"/>
            <w:tcBorders>
              <w:top w:val="single" w:color="auto" w:sz="4" w:space="0"/>
              <w:left w:val="single" w:color="auto" w:sz="4" w:space="0"/>
              <w:bottom w:val="single" w:color="auto" w:sz="4" w:space="0"/>
              <w:right w:val="single" w:color="auto" w:sz="4" w:space="0"/>
            </w:tcBorders>
            <w:vAlign w:val="center"/>
          </w:tcPr>
          <w:p w14:paraId="31D595C4">
            <w:pPr>
              <w:widowControl/>
              <w:jc w:val="left"/>
              <w:rPr>
                <w:rFonts w:ascii="仿宋" w:hAnsi="仿宋" w:eastAsia="仿宋" w:cs="宋体"/>
                <w:kern w:val="0"/>
                <w:sz w:val="24"/>
                <w:highlight w:val="none"/>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14:paraId="6BD2AB87">
            <w:pPr>
              <w:widowControl/>
              <w:jc w:val="left"/>
              <w:rPr>
                <w:rFonts w:ascii="仿宋" w:hAnsi="仿宋" w:eastAsia="仿宋" w:cs="宋体"/>
                <w:kern w:val="0"/>
                <w:sz w:val="24"/>
                <w:highlight w:val="none"/>
              </w:rPr>
            </w:pPr>
          </w:p>
        </w:tc>
        <w:tc>
          <w:tcPr>
            <w:tcW w:w="1843" w:type="dxa"/>
            <w:tcBorders>
              <w:top w:val="nil"/>
              <w:left w:val="nil"/>
              <w:bottom w:val="single" w:color="auto" w:sz="4" w:space="0"/>
              <w:right w:val="single" w:color="auto" w:sz="4" w:space="0"/>
            </w:tcBorders>
          </w:tcPr>
          <w:p w14:paraId="31155CAF">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（自购或租赁）</w:t>
            </w:r>
          </w:p>
        </w:tc>
      </w:tr>
      <w:tr w14:paraId="43450C32">
        <w:tblPrEx>
          <w:tblCellMar>
            <w:top w:w="0" w:type="dxa"/>
            <w:left w:w="108" w:type="dxa"/>
            <w:bottom w:w="0" w:type="dxa"/>
            <w:right w:w="108" w:type="dxa"/>
          </w:tblCellMar>
        </w:tblPrEx>
        <w:trPr>
          <w:trHeight w:val="270" w:hRule="atLeast"/>
          <w:jc w:val="center"/>
        </w:trPr>
        <w:tc>
          <w:tcPr>
            <w:tcW w:w="883" w:type="dxa"/>
            <w:tcBorders>
              <w:top w:val="nil"/>
              <w:left w:val="single" w:color="auto" w:sz="4" w:space="0"/>
              <w:bottom w:val="single" w:color="auto" w:sz="4" w:space="0"/>
              <w:right w:val="single" w:color="auto" w:sz="4" w:space="0"/>
            </w:tcBorders>
            <w:vAlign w:val="center"/>
          </w:tcPr>
          <w:p w14:paraId="39B2C355">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1</w:t>
            </w:r>
          </w:p>
        </w:tc>
        <w:tc>
          <w:tcPr>
            <w:tcW w:w="1967" w:type="dxa"/>
            <w:tcBorders>
              <w:top w:val="nil"/>
              <w:left w:val="nil"/>
              <w:bottom w:val="single" w:color="auto" w:sz="4" w:space="0"/>
              <w:right w:val="single" w:color="auto" w:sz="4" w:space="0"/>
            </w:tcBorders>
            <w:vAlign w:val="center"/>
          </w:tcPr>
          <w:p w14:paraId="217924DC">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719" w:type="dxa"/>
            <w:tcBorders>
              <w:top w:val="nil"/>
              <w:left w:val="nil"/>
              <w:bottom w:val="single" w:color="auto" w:sz="4" w:space="0"/>
              <w:right w:val="single" w:color="auto" w:sz="4" w:space="0"/>
            </w:tcBorders>
            <w:vAlign w:val="center"/>
          </w:tcPr>
          <w:p w14:paraId="3A716884">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417" w:type="dxa"/>
            <w:tcBorders>
              <w:top w:val="nil"/>
              <w:left w:val="nil"/>
              <w:bottom w:val="single" w:color="auto" w:sz="4" w:space="0"/>
              <w:right w:val="single" w:color="auto" w:sz="4" w:space="0"/>
            </w:tcBorders>
            <w:vAlign w:val="center"/>
          </w:tcPr>
          <w:p w14:paraId="4E92BD3C">
            <w:pPr>
              <w:widowControl/>
              <w:jc w:val="left"/>
              <w:rPr>
                <w:rFonts w:ascii="仿宋" w:hAnsi="仿宋" w:eastAsia="仿宋" w:cs="宋体"/>
                <w:kern w:val="0"/>
                <w:sz w:val="24"/>
                <w:highlight w:val="none"/>
              </w:rPr>
            </w:pPr>
          </w:p>
        </w:tc>
        <w:tc>
          <w:tcPr>
            <w:tcW w:w="1843" w:type="dxa"/>
            <w:tcBorders>
              <w:top w:val="nil"/>
              <w:left w:val="nil"/>
              <w:bottom w:val="single" w:color="auto" w:sz="4" w:space="0"/>
              <w:right w:val="single" w:color="auto" w:sz="4" w:space="0"/>
            </w:tcBorders>
          </w:tcPr>
          <w:p w14:paraId="7D21CA11">
            <w:pPr>
              <w:widowControl/>
              <w:jc w:val="left"/>
              <w:rPr>
                <w:rFonts w:ascii="仿宋" w:hAnsi="仿宋" w:eastAsia="仿宋" w:cs="宋体"/>
                <w:kern w:val="0"/>
                <w:sz w:val="24"/>
                <w:highlight w:val="none"/>
              </w:rPr>
            </w:pPr>
          </w:p>
        </w:tc>
      </w:tr>
      <w:tr w14:paraId="794A5BEF">
        <w:tblPrEx>
          <w:tblCellMar>
            <w:top w:w="0" w:type="dxa"/>
            <w:left w:w="108" w:type="dxa"/>
            <w:bottom w:w="0" w:type="dxa"/>
            <w:right w:w="108" w:type="dxa"/>
          </w:tblCellMar>
        </w:tblPrEx>
        <w:trPr>
          <w:trHeight w:val="270" w:hRule="atLeast"/>
          <w:jc w:val="center"/>
        </w:trPr>
        <w:tc>
          <w:tcPr>
            <w:tcW w:w="883" w:type="dxa"/>
            <w:tcBorders>
              <w:top w:val="nil"/>
              <w:left w:val="single" w:color="auto" w:sz="4" w:space="0"/>
              <w:bottom w:val="single" w:color="auto" w:sz="4" w:space="0"/>
              <w:right w:val="single" w:color="auto" w:sz="4" w:space="0"/>
            </w:tcBorders>
            <w:vAlign w:val="center"/>
          </w:tcPr>
          <w:p w14:paraId="531F245B">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2</w:t>
            </w:r>
          </w:p>
        </w:tc>
        <w:tc>
          <w:tcPr>
            <w:tcW w:w="1967" w:type="dxa"/>
            <w:tcBorders>
              <w:top w:val="nil"/>
              <w:left w:val="nil"/>
              <w:bottom w:val="single" w:color="auto" w:sz="4" w:space="0"/>
              <w:right w:val="single" w:color="auto" w:sz="4" w:space="0"/>
            </w:tcBorders>
            <w:vAlign w:val="center"/>
          </w:tcPr>
          <w:p w14:paraId="4D4B8005">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719" w:type="dxa"/>
            <w:tcBorders>
              <w:top w:val="nil"/>
              <w:left w:val="nil"/>
              <w:bottom w:val="single" w:color="auto" w:sz="4" w:space="0"/>
              <w:right w:val="single" w:color="auto" w:sz="4" w:space="0"/>
            </w:tcBorders>
            <w:vAlign w:val="center"/>
          </w:tcPr>
          <w:p w14:paraId="78BEE1A1">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417" w:type="dxa"/>
            <w:tcBorders>
              <w:top w:val="nil"/>
              <w:left w:val="nil"/>
              <w:bottom w:val="single" w:color="auto" w:sz="4" w:space="0"/>
              <w:right w:val="single" w:color="auto" w:sz="4" w:space="0"/>
            </w:tcBorders>
            <w:vAlign w:val="center"/>
          </w:tcPr>
          <w:p w14:paraId="602F192C">
            <w:pPr>
              <w:widowControl/>
              <w:jc w:val="left"/>
              <w:rPr>
                <w:rFonts w:ascii="仿宋" w:hAnsi="仿宋" w:eastAsia="仿宋" w:cs="宋体"/>
                <w:kern w:val="0"/>
                <w:sz w:val="24"/>
                <w:highlight w:val="none"/>
              </w:rPr>
            </w:pPr>
          </w:p>
        </w:tc>
        <w:tc>
          <w:tcPr>
            <w:tcW w:w="1843" w:type="dxa"/>
            <w:tcBorders>
              <w:top w:val="nil"/>
              <w:left w:val="nil"/>
              <w:bottom w:val="single" w:color="auto" w:sz="4" w:space="0"/>
              <w:right w:val="single" w:color="auto" w:sz="4" w:space="0"/>
            </w:tcBorders>
          </w:tcPr>
          <w:p w14:paraId="18073FD9">
            <w:pPr>
              <w:widowControl/>
              <w:jc w:val="left"/>
              <w:rPr>
                <w:rFonts w:ascii="仿宋" w:hAnsi="仿宋" w:eastAsia="仿宋" w:cs="宋体"/>
                <w:kern w:val="0"/>
                <w:sz w:val="24"/>
                <w:highlight w:val="none"/>
              </w:rPr>
            </w:pPr>
          </w:p>
        </w:tc>
      </w:tr>
      <w:tr w14:paraId="07AD2829">
        <w:tblPrEx>
          <w:tblCellMar>
            <w:top w:w="0" w:type="dxa"/>
            <w:left w:w="108" w:type="dxa"/>
            <w:bottom w:w="0" w:type="dxa"/>
            <w:right w:w="108" w:type="dxa"/>
          </w:tblCellMar>
        </w:tblPrEx>
        <w:trPr>
          <w:trHeight w:val="270" w:hRule="atLeast"/>
          <w:jc w:val="center"/>
        </w:trPr>
        <w:tc>
          <w:tcPr>
            <w:tcW w:w="883" w:type="dxa"/>
            <w:tcBorders>
              <w:top w:val="nil"/>
              <w:left w:val="single" w:color="auto" w:sz="4" w:space="0"/>
              <w:bottom w:val="single" w:color="auto" w:sz="4" w:space="0"/>
              <w:right w:val="single" w:color="auto" w:sz="4" w:space="0"/>
            </w:tcBorders>
            <w:vAlign w:val="center"/>
          </w:tcPr>
          <w:p w14:paraId="3A5ED452">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3</w:t>
            </w:r>
          </w:p>
        </w:tc>
        <w:tc>
          <w:tcPr>
            <w:tcW w:w="1967" w:type="dxa"/>
            <w:tcBorders>
              <w:top w:val="nil"/>
              <w:left w:val="nil"/>
              <w:bottom w:val="single" w:color="auto" w:sz="4" w:space="0"/>
              <w:right w:val="single" w:color="auto" w:sz="4" w:space="0"/>
            </w:tcBorders>
            <w:vAlign w:val="center"/>
          </w:tcPr>
          <w:p w14:paraId="1383B190">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719" w:type="dxa"/>
            <w:tcBorders>
              <w:top w:val="nil"/>
              <w:left w:val="nil"/>
              <w:bottom w:val="single" w:color="auto" w:sz="4" w:space="0"/>
              <w:right w:val="single" w:color="auto" w:sz="4" w:space="0"/>
            </w:tcBorders>
            <w:vAlign w:val="center"/>
          </w:tcPr>
          <w:p w14:paraId="7682787A">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417" w:type="dxa"/>
            <w:tcBorders>
              <w:top w:val="nil"/>
              <w:left w:val="nil"/>
              <w:bottom w:val="single" w:color="auto" w:sz="4" w:space="0"/>
              <w:right w:val="single" w:color="auto" w:sz="4" w:space="0"/>
            </w:tcBorders>
            <w:vAlign w:val="center"/>
          </w:tcPr>
          <w:p w14:paraId="485A238F">
            <w:pPr>
              <w:widowControl/>
              <w:jc w:val="left"/>
              <w:rPr>
                <w:rFonts w:ascii="仿宋" w:hAnsi="仿宋" w:eastAsia="仿宋" w:cs="宋体"/>
                <w:kern w:val="0"/>
                <w:sz w:val="24"/>
                <w:highlight w:val="none"/>
              </w:rPr>
            </w:pPr>
          </w:p>
        </w:tc>
        <w:tc>
          <w:tcPr>
            <w:tcW w:w="1843" w:type="dxa"/>
            <w:tcBorders>
              <w:top w:val="nil"/>
              <w:left w:val="nil"/>
              <w:bottom w:val="single" w:color="auto" w:sz="4" w:space="0"/>
              <w:right w:val="single" w:color="auto" w:sz="4" w:space="0"/>
            </w:tcBorders>
          </w:tcPr>
          <w:p w14:paraId="28802B11">
            <w:pPr>
              <w:widowControl/>
              <w:jc w:val="left"/>
              <w:rPr>
                <w:rFonts w:ascii="仿宋" w:hAnsi="仿宋" w:eastAsia="仿宋" w:cs="宋体"/>
                <w:kern w:val="0"/>
                <w:sz w:val="24"/>
                <w:highlight w:val="none"/>
              </w:rPr>
            </w:pPr>
          </w:p>
        </w:tc>
      </w:tr>
      <w:tr w14:paraId="4D24EBA6">
        <w:tblPrEx>
          <w:tblCellMar>
            <w:top w:w="0" w:type="dxa"/>
            <w:left w:w="108" w:type="dxa"/>
            <w:bottom w:w="0" w:type="dxa"/>
            <w:right w:w="108" w:type="dxa"/>
          </w:tblCellMar>
        </w:tblPrEx>
        <w:trPr>
          <w:trHeight w:val="270" w:hRule="atLeast"/>
          <w:jc w:val="center"/>
        </w:trPr>
        <w:tc>
          <w:tcPr>
            <w:tcW w:w="883" w:type="dxa"/>
            <w:tcBorders>
              <w:top w:val="nil"/>
              <w:left w:val="single" w:color="auto" w:sz="4" w:space="0"/>
              <w:bottom w:val="single" w:color="auto" w:sz="4" w:space="0"/>
              <w:right w:val="single" w:color="auto" w:sz="4" w:space="0"/>
            </w:tcBorders>
            <w:vAlign w:val="center"/>
          </w:tcPr>
          <w:p w14:paraId="5D7AC6C6">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4</w:t>
            </w:r>
          </w:p>
        </w:tc>
        <w:tc>
          <w:tcPr>
            <w:tcW w:w="1967" w:type="dxa"/>
            <w:tcBorders>
              <w:top w:val="nil"/>
              <w:left w:val="nil"/>
              <w:bottom w:val="single" w:color="auto" w:sz="4" w:space="0"/>
              <w:right w:val="single" w:color="auto" w:sz="4" w:space="0"/>
            </w:tcBorders>
            <w:vAlign w:val="center"/>
          </w:tcPr>
          <w:p w14:paraId="0E6F28F3">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719" w:type="dxa"/>
            <w:tcBorders>
              <w:top w:val="nil"/>
              <w:left w:val="nil"/>
              <w:bottom w:val="single" w:color="auto" w:sz="4" w:space="0"/>
              <w:right w:val="single" w:color="auto" w:sz="4" w:space="0"/>
            </w:tcBorders>
            <w:vAlign w:val="center"/>
          </w:tcPr>
          <w:p w14:paraId="76A8B50E">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417" w:type="dxa"/>
            <w:tcBorders>
              <w:top w:val="nil"/>
              <w:left w:val="nil"/>
              <w:bottom w:val="single" w:color="auto" w:sz="4" w:space="0"/>
              <w:right w:val="single" w:color="auto" w:sz="4" w:space="0"/>
            </w:tcBorders>
            <w:vAlign w:val="center"/>
          </w:tcPr>
          <w:p w14:paraId="7CA75E79">
            <w:pPr>
              <w:widowControl/>
              <w:jc w:val="left"/>
              <w:rPr>
                <w:rFonts w:ascii="仿宋" w:hAnsi="仿宋" w:eastAsia="仿宋" w:cs="宋体"/>
                <w:kern w:val="0"/>
                <w:sz w:val="24"/>
                <w:highlight w:val="none"/>
              </w:rPr>
            </w:pPr>
          </w:p>
        </w:tc>
        <w:tc>
          <w:tcPr>
            <w:tcW w:w="1843" w:type="dxa"/>
            <w:tcBorders>
              <w:top w:val="nil"/>
              <w:left w:val="nil"/>
              <w:bottom w:val="single" w:color="auto" w:sz="4" w:space="0"/>
              <w:right w:val="single" w:color="auto" w:sz="4" w:space="0"/>
            </w:tcBorders>
          </w:tcPr>
          <w:p w14:paraId="28CE4DFC">
            <w:pPr>
              <w:widowControl/>
              <w:jc w:val="left"/>
              <w:rPr>
                <w:rFonts w:ascii="仿宋" w:hAnsi="仿宋" w:eastAsia="仿宋" w:cs="宋体"/>
                <w:kern w:val="0"/>
                <w:sz w:val="24"/>
                <w:highlight w:val="none"/>
              </w:rPr>
            </w:pPr>
          </w:p>
        </w:tc>
      </w:tr>
      <w:tr w14:paraId="6199916B">
        <w:tblPrEx>
          <w:tblCellMar>
            <w:top w:w="0" w:type="dxa"/>
            <w:left w:w="108" w:type="dxa"/>
            <w:bottom w:w="0" w:type="dxa"/>
            <w:right w:w="108" w:type="dxa"/>
          </w:tblCellMar>
        </w:tblPrEx>
        <w:trPr>
          <w:trHeight w:val="270" w:hRule="atLeast"/>
          <w:jc w:val="center"/>
        </w:trPr>
        <w:tc>
          <w:tcPr>
            <w:tcW w:w="883" w:type="dxa"/>
            <w:tcBorders>
              <w:top w:val="nil"/>
              <w:left w:val="single" w:color="auto" w:sz="4" w:space="0"/>
              <w:bottom w:val="single" w:color="auto" w:sz="4" w:space="0"/>
              <w:right w:val="single" w:color="auto" w:sz="4" w:space="0"/>
            </w:tcBorders>
            <w:vAlign w:val="center"/>
          </w:tcPr>
          <w:p w14:paraId="68601517">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5</w:t>
            </w:r>
          </w:p>
        </w:tc>
        <w:tc>
          <w:tcPr>
            <w:tcW w:w="1967" w:type="dxa"/>
            <w:tcBorders>
              <w:top w:val="nil"/>
              <w:left w:val="nil"/>
              <w:bottom w:val="single" w:color="auto" w:sz="4" w:space="0"/>
              <w:right w:val="single" w:color="auto" w:sz="4" w:space="0"/>
            </w:tcBorders>
            <w:vAlign w:val="center"/>
          </w:tcPr>
          <w:p w14:paraId="069F7D17">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719" w:type="dxa"/>
            <w:tcBorders>
              <w:top w:val="nil"/>
              <w:left w:val="nil"/>
              <w:bottom w:val="single" w:color="auto" w:sz="4" w:space="0"/>
              <w:right w:val="single" w:color="auto" w:sz="4" w:space="0"/>
            </w:tcBorders>
            <w:vAlign w:val="center"/>
          </w:tcPr>
          <w:p w14:paraId="6AC86D01">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417" w:type="dxa"/>
            <w:tcBorders>
              <w:top w:val="nil"/>
              <w:left w:val="nil"/>
              <w:bottom w:val="single" w:color="auto" w:sz="4" w:space="0"/>
              <w:right w:val="single" w:color="auto" w:sz="4" w:space="0"/>
            </w:tcBorders>
            <w:vAlign w:val="center"/>
          </w:tcPr>
          <w:p w14:paraId="56960C78">
            <w:pPr>
              <w:widowControl/>
              <w:jc w:val="left"/>
              <w:rPr>
                <w:rFonts w:ascii="仿宋" w:hAnsi="仿宋" w:eastAsia="仿宋" w:cs="宋体"/>
                <w:kern w:val="0"/>
                <w:sz w:val="24"/>
                <w:highlight w:val="none"/>
              </w:rPr>
            </w:pPr>
          </w:p>
        </w:tc>
        <w:tc>
          <w:tcPr>
            <w:tcW w:w="1843" w:type="dxa"/>
            <w:tcBorders>
              <w:top w:val="nil"/>
              <w:left w:val="nil"/>
              <w:bottom w:val="single" w:color="auto" w:sz="4" w:space="0"/>
              <w:right w:val="single" w:color="auto" w:sz="4" w:space="0"/>
            </w:tcBorders>
          </w:tcPr>
          <w:p w14:paraId="048AC154">
            <w:pPr>
              <w:widowControl/>
              <w:jc w:val="left"/>
              <w:rPr>
                <w:rFonts w:ascii="仿宋" w:hAnsi="仿宋" w:eastAsia="仿宋" w:cs="宋体"/>
                <w:kern w:val="0"/>
                <w:sz w:val="24"/>
                <w:highlight w:val="none"/>
              </w:rPr>
            </w:pPr>
          </w:p>
        </w:tc>
      </w:tr>
      <w:tr w14:paraId="7D3A0514">
        <w:tblPrEx>
          <w:tblCellMar>
            <w:top w:w="0" w:type="dxa"/>
            <w:left w:w="108" w:type="dxa"/>
            <w:bottom w:w="0" w:type="dxa"/>
            <w:right w:w="108" w:type="dxa"/>
          </w:tblCellMar>
        </w:tblPrEx>
        <w:trPr>
          <w:trHeight w:val="270" w:hRule="atLeast"/>
          <w:jc w:val="center"/>
        </w:trPr>
        <w:tc>
          <w:tcPr>
            <w:tcW w:w="883" w:type="dxa"/>
            <w:tcBorders>
              <w:top w:val="nil"/>
              <w:left w:val="single" w:color="auto" w:sz="4" w:space="0"/>
              <w:bottom w:val="single" w:color="auto" w:sz="4" w:space="0"/>
              <w:right w:val="single" w:color="auto" w:sz="4" w:space="0"/>
            </w:tcBorders>
            <w:vAlign w:val="center"/>
          </w:tcPr>
          <w:p w14:paraId="1B6FA009">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6</w:t>
            </w:r>
          </w:p>
        </w:tc>
        <w:tc>
          <w:tcPr>
            <w:tcW w:w="1967" w:type="dxa"/>
            <w:tcBorders>
              <w:top w:val="nil"/>
              <w:left w:val="nil"/>
              <w:bottom w:val="single" w:color="auto" w:sz="4" w:space="0"/>
              <w:right w:val="single" w:color="auto" w:sz="4" w:space="0"/>
            </w:tcBorders>
            <w:vAlign w:val="center"/>
          </w:tcPr>
          <w:p w14:paraId="660871CC">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719" w:type="dxa"/>
            <w:tcBorders>
              <w:top w:val="nil"/>
              <w:left w:val="nil"/>
              <w:bottom w:val="single" w:color="auto" w:sz="4" w:space="0"/>
              <w:right w:val="single" w:color="auto" w:sz="4" w:space="0"/>
            </w:tcBorders>
            <w:vAlign w:val="center"/>
          </w:tcPr>
          <w:p w14:paraId="0E8B100D">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417" w:type="dxa"/>
            <w:tcBorders>
              <w:top w:val="nil"/>
              <w:left w:val="nil"/>
              <w:bottom w:val="single" w:color="auto" w:sz="4" w:space="0"/>
              <w:right w:val="single" w:color="auto" w:sz="4" w:space="0"/>
            </w:tcBorders>
            <w:vAlign w:val="center"/>
          </w:tcPr>
          <w:p w14:paraId="4072282D">
            <w:pPr>
              <w:widowControl/>
              <w:jc w:val="left"/>
              <w:rPr>
                <w:rFonts w:ascii="仿宋" w:hAnsi="仿宋" w:eastAsia="仿宋" w:cs="宋体"/>
                <w:kern w:val="0"/>
                <w:sz w:val="24"/>
                <w:highlight w:val="none"/>
              </w:rPr>
            </w:pPr>
          </w:p>
        </w:tc>
        <w:tc>
          <w:tcPr>
            <w:tcW w:w="1843" w:type="dxa"/>
            <w:tcBorders>
              <w:top w:val="nil"/>
              <w:left w:val="nil"/>
              <w:bottom w:val="single" w:color="auto" w:sz="4" w:space="0"/>
              <w:right w:val="single" w:color="auto" w:sz="4" w:space="0"/>
            </w:tcBorders>
          </w:tcPr>
          <w:p w14:paraId="25A9657F">
            <w:pPr>
              <w:widowControl/>
              <w:jc w:val="left"/>
              <w:rPr>
                <w:rFonts w:ascii="仿宋" w:hAnsi="仿宋" w:eastAsia="仿宋" w:cs="宋体"/>
                <w:kern w:val="0"/>
                <w:sz w:val="24"/>
                <w:highlight w:val="none"/>
              </w:rPr>
            </w:pPr>
          </w:p>
        </w:tc>
      </w:tr>
      <w:tr w14:paraId="7C588D33">
        <w:tblPrEx>
          <w:tblCellMar>
            <w:top w:w="0" w:type="dxa"/>
            <w:left w:w="108" w:type="dxa"/>
            <w:bottom w:w="0" w:type="dxa"/>
            <w:right w:w="108" w:type="dxa"/>
          </w:tblCellMar>
        </w:tblPrEx>
        <w:trPr>
          <w:trHeight w:val="270" w:hRule="atLeast"/>
          <w:jc w:val="center"/>
        </w:trPr>
        <w:tc>
          <w:tcPr>
            <w:tcW w:w="883" w:type="dxa"/>
            <w:tcBorders>
              <w:top w:val="nil"/>
              <w:left w:val="single" w:color="auto" w:sz="4" w:space="0"/>
              <w:bottom w:val="single" w:color="auto" w:sz="4" w:space="0"/>
              <w:right w:val="single" w:color="auto" w:sz="4" w:space="0"/>
            </w:tcBorders>
            <w:vAlign w:val="center"/>
          </w:tcPr>
          <w:p w14:paraId="5CF126C8">
            <w:pPr>
              <w:widowControl/>
              <w:jc w:val="center"/>
              <w:rPr>
                <w:rFonts w:ascii="仿宋" w:hAnsi="仿宋" w:eastAsia="仿宋" w:cs="宋体"/>
                <w:kern w:val="0"/>
                <w:sz w:val="24"/>
                <w:highlight w:val="none"/>
              </w:rPr>
            </w:pPr>
            <w:r>
              <w:rPr>
                <w:rFonts w:hint="eastAsia" w:ascii="仿宋" w:hAnsi="仿宋" w:eastAsia="仿宋" w:cs="宋体"/>
                <w:kern w:val="0"/>
                <w:sz w:val="24"/>
                <w:highlight w:val="none"/>
              </w:rPr>
              <w:t>7</w:t>
            </w:r>
          </w:p>
        </w:tc>
        <w:tc>
          <w:tcPr>
            <w:tcW w:w="1967" w:type="dxa"/>
            <w:tcBorders>
              <w:top w:val="nil"/>
              <w:left w:val="nil"/>
              <w:bottom w:val="single" w:color="auto" w:sz="4" w:space="0"/>
              <w:right w:val="single" w:color="auto" w:sz="4" w:space="0"/>
            </w:tcBorders>
            <w:vAlign w:val="center"/>
          </w:tcPr>
          <w:p w14:paraId="67A26E99">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719" w:type="dxa"/>
            <w:tcBorders>
              <w:top w:val="nil"/>
              <w:left w:val="nil"/>
              <w:bottom w:val="single" w:color="auto" w:sz="4" w:space="0"/>
              <w:right w:val="single" w:color="auto" w:sz="4" w:space="0"/>
            </w:tcBorders>
            <w:vAlign w:val="center"/>
          </w:tcPr>
          <w:p w14:paraId="1B6F6D5C">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417" w:type="dxa"/>
            <w:tcBorders>
              <w:top w:val="nil"/>
              <w:left w:val="nil"/>
              <w:bottom w:val="single" w:color="auto" w:sz="4" w:space="0"/>
              <w:right w:val="single" w:color="auto" w:sz="4" w:space="0"/>
            </w:tcBorders>
            <w:vAlign w:val="center"/>
          </w:tcPr>
          <w:p w14:paraId="4C3344E8">
            <w:pPr>
              <w:widowControl/>
              <w:jc w:val="left"/>
              <w:rPr>
                <w:rFonts w:ascii="仿宋" w:hAnsi="仿宋" w:eastAsia="仿宋" w:cs="宋体"/>
                <w:kern w:val="0"/>
                <w:sz w:val="24"/>
                <w:highlight w:val="none"/>
              </w:rPr>
            </w:pPr>
          </w:p>
        </w:tc>
        <w:tc>
          <w:tcPr>
            <w:tcW w:w="1843" w:type="dxa"/>
            <w:tcBorders>
              <w:top w:val="nil"/>
              <w:left w:val="nil"/>
              <w:bottom w:val="single" w:color="auto" w:sz="4" w:space="0"/>
              <w:right w:val="single" w:color="auto" w:sz="4" w:space="0"/>
            </w:tcBorders>
          </w:tcPr>
          <w:p w14:paraId="46A1C5E3">
            <w:pPr>
              <w:widowControl/>
              <w:jc w:val="left"/>
              <w:rPr>
                <w:rFonts w:ascii="仿宋" w:hAnsi="仿宋" w:eastAsia="仿宋" w:cs="宋体"/>
                <w:kern w:val="0"/>
                <w:sz w:val="24"/>
                <w:highlight w:val="none"/>
              </w:rPr>
            </w:pPr>
          </w:p>
        </w:tc>
      </w:tr>
      <w:tr w14:paraId="11BEA519">
        <w:tblPrEx>
          <w:tblCellMar>
            <w:top w:w="0" w:type="dxa"/>
            <w:left w:w="108" w:type="dxa"/>
            <w:bottom w:w="0" w:type="dxa"/>
            <w:right w:w="108" w:type="dxa"/>
          </w:tblCellMar>
        </w:tblPrEx>
        <w:trPr>
          <w:trHeight w:val="270" w:hRule="atLeast"/>
          <w:jc w:val="center"/>
        </w:trPr>
        <w:tc>
          <w:tcPr>
            <w:tcW w:w="883" w:type="dxa"/>
            <w:tcBorders>
              <w:top w:val="nil"/>
              <w:left w:val="single" w:color="auto" w:sz="4" w:space="0"/>
              <w:bottom w:val="single" w:color="auto" w:sz="4" w:space="0"/>
              <w:right w:val="single" w:color="auto" w:sz="4" w:space="0"/>
            </w:tcBorders>
            <w:vAlign w:val="center"/>
          </w:tcPr>
          <w:p w14:paraId="222ED87D">
            <w:pPr>
              <w:widowControl/>
              <w:jc w:val="center"/>
              <w:rPr>
                <w:rFonts w:ascii="仿宋" w:hAnsi="仿宋" w:eastAsia="仿宋" w:cs="宋体"/>
                <w:kern w:val="0"/>
                <w:sz w:val="24"/>
                <w:highlight w:val="none"/>
              </w:rPr>
            </w:pPr>
            <w:r>
              <w:rPr>
                <w:rFonts w:ascii="仿宋" w:hAnsi="仿宋" w:eastAsia="仿宋" w:cs="宋体"/>
                <w:kern w:val="0"/>
                <w:sz w:val="24"/>
                <w:highlight w:val="none"/>
              </w:rPr>
              <w:t>…</w:t>
            </w:r>
          </w:p>
        </w:tc>
        <w:tc>
          <w:tcPr>
            <w:tcW w:w="1967" w:type="dxa"/>
            <w:tcBorders>
              <w:top w:val="nil"/>
              <w:left w:val="nil"/>
              <w:bottom w:val="single" w:color="auto" w:sz="4" w:space="0"/>
              <w:right w:val="single" w:color="auto" w:sz="4" w:space="0"/>
            </w:tcBorders>
            <w:vAlign w:val="center"/>
          </w:tcPr>
          <w:p w14:paraId="2E114459">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719" w:type="dxa"/>
            <w:tcBorders>
              <w:top w:val="nil"/>
              <w:left w:val="nil"/>
              <w:bottom w:val="single" w:color="auto" w:sz="4" w:space="0"/>
              <w:right w:val="single" w:color="auto" w:sz="4" w:space="0"/>
            </w:tcBorders>
            <w:vAlign w:val="center"/>
          </w:tcPr>
          <w:p w14:paraId="403304A7">
            <w:pPr>
              <w:widowControl/>
              <w:jc w:val="left"/>
              <w:rPr>
                <w:rFonts w:ascii="仿宋" w:hAnsi="仿宋" w:eastAsia="仿宋" w:cs="宋体"/>
                <w:kern w:val="0"/>
                <w:sz w:val="24"/>
                <w:highlight w:val="none"/>
              </w:rPr>
            </w:pPr>
            <w:r>
              <w:rPr>
                <w:rFonts w:hint="eastAsia" w:ascii="仿宋" w:hAnsi="仿宋" w:eastAsia="仿宋" w:cs="宋体"/>
                <w:kern w:val="0"/>
                <w:sz w:val="24"/>
                <w:highlight w:val="none"/>
              </w:rPr>
              <w:t>　</w:t>
            </w:r>
          </w:p>
        </w:tc>
        <w:tc>
          <w:tcPr>
            <w:tcW w:w="1417" w:type="dxa"/>
            <w:tcBorders>
              <w:top w:val="nil"/>
              <w:left w:val="nil"/>
              <w:bottom w:val="single" w:color="auto" w:sz="4" w:space="0"/>
              <w:right w:val="single" w:color="auto" w:sz="4" w:space="0"/>
            </w:tcBorders>
            <w:vAlign w:val="center"/>
          </w:tcPr>
          <w:p w14:paraId="031D8B59">
            <w:pPr>
              <w:widowControl/>
              <w:jc w:val="left"/>
              <w:rPr>
                <w:rFonts w:ascii="仿宋" w:hAnsi="仿宋" w:eastAsia="仿宋" w:cs="宋体"/>
                <w:kern w:val="0"/>
                <w:sz w:val="24"/>
                <w:highlight w:val="none"/>
              </w:rPr>
            </w:pPr>
          </w:p>
        </w:tc>
        <w:tc>
          <w:tcPr>
            <w:tcW w:w="1843" w:type="dxa"/>
            <w:tcBorders>
              <w:top w:val="nil"/>
              <w:left w:val="nil"/>
              <w:bottom w:val="single" w:color="auto" w:sz="4" w:space="0"/>
              <w:right w:val="single" w:color="auto" w:sz="4" w:space="0"/>
            </w:tcBorders>
          </w:tcPr>
          <w:p w14:paraId="46CEEF13">
            <w:pPr>
              <w:widowControl/>
              <w:jc w:val="left"/>
              <w:rPr>
                <w:rFonts w:ascii="仿宋" w:hAnsi="仿宋" w:eastAsia="仿宋" w:cs="宋体"/>
                <w:kern w:val="0"/>
                <w:sz w:val="24"/>
                <w:highlight w:val="none"/>
              </w:rPr>
            </w:pPr>
          </w:p>
        </w:tc>
      </w:tr>
    </w:tbl>
    <w:p w14:paraId="348D5BC3">
      <w:pPr>
        <w:spacing w:line="360" w:lineRule="auto"/>
        <w:ind w:right="420"/>
        <w:rPr>
          <w:rFonts w:ascii="仿宋" w:hAnsi="仿宋" w:eastAsia="仿宋" w:cs="仿宋_GB2312"/>
          <w:b/>
          <w:color w:val="000000"/>
          <w:sz w:val="24"/>
          <w:highlight w:val="none"/>
        </w:rPr>
      </w:pPr>
    </w:p>
    <w:p w14:paraId="25B7531E">
      <w:pPr>
        <w:spacing w:line="360" w:lineRule="auto"/>
        <w:ind w:right="420"/>
        <w:rPr>
          <w:rFonts w:ascii="仿宋" w:hAnsi="仿宋" w:eastAsia="仿宋" w:cs="仿宋_GB2312"/>
          <w:b/>
          <w:color w:val="000000"/>
          <w:sz w:val="24"/>
          <w:highlight w:val="none"/>
        </w:rPr>
      </w:pPr>
    </w:p>
    <w:p w14:paraId="64E8EBE2">
      <w:pPr>
        <w:spacing w:line="360" w:lineRule="auto"/>
        <w:ind w:right="1040"/>
        <w:jc w:val="right"/>
        <w:rPr>
          <w:rFonts w:ascii="仿宋" w:hAnsi="仿宋" w:eastAsia="仿宋"/>
          <w:color w:val="000000"/>
          <w:sz w:val="24"/>
          <w:highlight w:val="none"/>
        </w:rPr>
      </w:pPr>
      <w:r>
        <w:rPr>
          <w:rFonts w:hint="eastAsia" w:ascii="仿宋" w:hAnsi="仿宋" w:eastAsia="仿宋" w:cs="仿宋_GB2312"/>
          <w:color w:val="000000"/>
          <w:sz w:val="24"/>
          <w:highlight w:val="none"/>
        </w:rPr>
        <w:t>投标人</w:t>
      </w:r>
      <w:r>
        <w:rPr>
          <w:rFonts w:hint="eastAsia" w:ascii="仿宋" w:hAnsi="仿宋" w:eastAsia="仿宋"/>
          <w:color w:val="000000"/>
          <w:sz w:val="24"/>
          <w:highlight w:val="none"/>
        </w:rPr>
        <w:t xml:space="preserve">名称（ </w:t>
      </w:r>
      <w:r>
        <w:rPr>
          <w:rFonts w:hint="eastAsia" w:ascii="仿宋" w:hAnsi="仿宋" w:eastAsia="仿宋" w:cs="仿宋_GB2312"/>
          <w:color w:val="000000"/>
          <w:sz w:val="24"/>
          <w:highlight w:val="none"/>
        </w:rPr>
        <w:t>电子签名</w:t>
      </w:r>
      <w:r>
        <w:rPr>
          <w:rFonts w:hint="eastAsia" w:ascii="仿宋" w:hAnsi="仿宋" w:eastAsia="仿宋"/>
          <w:color w:val="000000"/>
          <w:sz w:val="24"/>
          <w:highlight w:val="none"/>
        </w:rPr>
        <w:t>）：</w:t>
      </w:r>
    </w:p>
    <w:p w14:paraId="04B3FD5E">
      <w:pPr>
        <w:spacing w:line="360" w:lineRule="auto"/>
        <w:ind w:right="1120" w:firstLine="5040" w:firstLineChars="2100"/>
        <w:rPr>
          <w:rFonts w:hint="eastAsia" w:ascii="仿宋" w:hAnsi="仿宋" w:eastAsia="仿宋"/>
          <w:color w:val="000000"/>
          <w:sz w:val="24"/>
          <w:highlight w:val="none"/>
        </w:rPr>
      </w:pPr>
      <w:r>
        <w:rPr>
          <w:rFonts w:hint="eastAsia" w:ascii="仿宋" w:hAnsi="仿宋" w:eastAsia="仿宋"/>
          <w:color w:val="000000"/>
          <w:sz w:val="24"/>
          <w:highlight w:val="none"/>
        </w:rPr>
        <w:t>日 期：</w:t>
      </w:r>
    </w:p>
    <w:p w14:paraId="31B724D7">
      <w:pPr>
        <w:bidi w:val="0"/>
        <w:rPr>
          <w:rFonts w:ascii="Times New Roman" w:hAnsi="Times New Roman" w:eastAsia="宋体" w:cs="Times New Roman"/>
          <w:kern w:val="2"/>
          <w:sz w:val="21"/>
          <w:szCs w:val="24"/>
          <w:highlight w:val="none"/>
          <w:lang w:val="en-US" w:eastAsia="zh-CN" w:bidi="ar-SA"/>
        </w:rPr>
      </w:pPr>
    </w:p>
    <w:p w14:paraId="4C8E9C15">
      <w:pPr>
        <w:spacing w:line="360" w:lineRule="auto"/>
        <w:ind w:right="1040"/>
        <w:jc w:val="right"/>
        <w:rPr>
          <w:rFonts w:hint="eastAsia" w:ascii="仿宋" w:hAnsi="仿宋" w:eastAsia="仿宋" w:cs="仿宋_GB2312"/>
          <w:color w:val="000000"/>
          <w:sz w:val="24"/>
          <w:highlight w:val="none"/>
          <w:lang w:val="en-US" w:eastAsia="zh-CN"/>
        </w:rPr>
      </w:pPr>
    </w:p>
    <w:p w14:paraId="6A8C4626">
      <w:pPr>
        <w:spacing w:line="360" w:lineRule="auto"/>
        <w:ind w:right="1040"/>
        <w:jc w:val="right"/>
        <w:rPr>
          <w:rFonts w:hint="eastAsia" w:ascii="仿宋" w:hAnsi="仿宋" w:eastAsia="仿宋" w:cs="仿宋_GB2312"/>
          <w:b/>
          <w:bCs/>
          <w:color w:val="000000"/>
          <w:sz w:val="24"/>
          <w:highlight w:val="none"/>
          <w:lang w:val="en-US" w:eastAsia="zh-CN"/>
        </w:rPr>
      </w:pPr>
      <w:r>
        <w:rPr>
          <w:rFonts w:hint="eastAsia" w:ascii="仿宋" w:hAnsi="仿宋" w:eastAsia="仿宋" w:cs="仿宋_GB2312"/>
          <w:b/>
          <w:bCs/>
          <w:color w:val="000000"/>
          <w:sz w:val="24"/>
          <w:highlight w:val="none"/>
          <w:lang w:val="en-US" w:eastAsia="zh-CN"/>
        </w:rPr>
        <w:t>注：采购代理机构将随中标、成交结果公开中标、成交供应商的承诺书。</w:t>
      </w:r>
    </w:p>
    <w:p w14:paraId="17704646">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kern w:val="0"/>
          <w:sz w:val="32"/>
          <w:szCs w:val="32"/>
          <w:highlight w:val="none"/>
          <w:lang w:val="en-US" w:eastAsia="zh-CN"/>
        </w:rPr>
        <w:t>十</w:t>
      </w:r>
      <w:r>
        <w:rPr>
          <w:rFonts w:hint="eastAsia" w:ascii="仿宋_GB2312" w:hAnsi="仿宋_GB2312" w:eastAsia="仿宋_GB2312" w:cs="仿宋_GB2312"/>
          <w:b/>
          <w:bCs/>
          <w:sz w:val="32"/>
          <w:szCs w:val="32"/>
          <w:highlight w:val="none"/>
        </w:rPr>
        <w:t>、技术解决方案</w:t>
      </w:r>
    </w:p>
    <w:p w14:paraId="41B45FC3">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1CFC4853">
      <w:pPr>
        <w:spacing w:line="360" w:lineRule="auto"/>
        <w:jc w:val="center"/>
        <w:rPr>
          <w:rFonts w:ascii="仿宋_GB2312" w:hAnsi="仿宋_GB2312" w:eastAsia="仿宋_GB2312" w:cs="仿宋_GB2312"/>
          <w:sz w:val="24"/>
          <w:highlight w:val="none"/>
        </w:rPr>
      </w:pPr>
    </w:p>
    <w:p w14:paraId="362A7462">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E131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986EB99">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14:paraId="2A578A3B">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14:paraId="7CB0A257">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14:paraId="1BA8B631">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14:paraId="05FA3C0B">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14:paraId="5377686C">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14:paraId="1ED1E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CC07633">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14:paraId="30AE254C">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182D8AA0">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58C5F3E1">
            <w:pPr>
              <w:spacing w:line="360" w:lineRule="auto"/>
              <w:jc w:val="center"/>
              <w:rPr>
                <w:rFonts w:ascii="仿宋_GB2312" w:hAnsi="仿宋_GB2312" w:eastAsia="仿宋_GB2312" w:cs="仿宋_GB2312"/>
                <w:sz w:val="24"/>
                <w:highlight w:val="none"/>
              </w:rPr>
            </w:pPr>
          </w:p>
        </w:tc>
        <w:tc>
          <w:tcPr>
            <w:tcW w:w="1080" w:type="dxa"/>
            <w:vAlign w:val="center"/>
          </w:tcPr>
          <w:p w14:paraId="3BD230F5">
            <w:pPr>
              <w:spacing w:line="360" w:lineRule="auto"/>
              <w:jc w:val="center"/>
              <w:rPr>
                <w:rFonts w:ascii="仿宋_GB2312" w:hAnsi="仿宋_GB2312" w:eastAsia="仿宋_GB2312" w:cs="仿宋_GB2312"/>
                <w:sz w:val="24"/>
                <w:highlight w:val="none"/>
              </w:rPr>
            </w:pPr>
          </w:p>
        </w:tc>
        <w:tc>
          <w:tcPr>
            <w:tcW w:w="1332" w:type="dxa"/>
            <w:vAlign w:val="center"/>
          </w:tcPr>
          <w:p w14:paraId="3077EB23">
            <w:pPr>
              <w:spacing w:line="360" w:lineRule="auto"/>
              <w:jc w:val="center"/>
              <w:rPr>
                <w:rFonts w:ascii="仿宋_GB2312" w:hAnsi="仿宋_GB2312" w:eastAsia="仿宋_GB2312" w:cs="仿宋_GB2312"/>
                <w:sz w:val="24"/>
                <w:highlight w:val="none"/>
              </w:rPr>
            </w:pPr>
          </w:p>
        </w:tc>
      </w:tr>
      <w:tr w14:paraId="03B4B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07C3028">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14:paraId="7F92EF6D">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22E2193A">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175A5E93">
            <w:pPr>
              <w:spacing w:line="360" w:lineRule="auto"/>
              <w:jc w:val="center"/>
              <w:rPr>
                <w:rFonts w:ascii="仿宋_GB2312" w:hAnsi="仿宋_GB2312" w:eastAsia="仿宋_GB2312" w:cs="仿宋_GB2312"/>
                <w:sz w:val="24"/>
                <w:highlight w:val="none"/>
              </w:rPr>
            </w:pPr>
          </w:p>
        </w:tc>
        <w:tc>
          <w:tcPr>
            <w:tcW w:w="1080" w:type="dxa"/>
            <w:vAlign w:val="center"/>
          </w:tcPr>
          <w:p w14:paraId="22E05C69">
            <w:pPr>
              <w:spacing w:line="360" w:lineRule="auto"/>
              <w:jc w:val="center"/>
              <w:rPr>
                <w:rFonts w:ascii="仿宋_GB2312" w:hAnsi="仿宋_GB2312" w:eastAsia="仿宋_GB2312" w:cs="仿宋_GB2312"/>
                <w:sz w:val="24"/>
                <w:highlight w:val="none"/>
              </w:rPr>
            </w:pPr>
          </w:p>
        </w:tc>
        <w:tc>
          <w:tcPr>
            <w:tcW w:w="1332" w:type="dxa"/>
            <w:vAlign w:val="center"/>
          </w:tcPr>
          <w:p w14:paraId="00E2A761">
            <w:pPr>
              <w:spacing w:line="360" w:lineRule="auto"/>
              <w:jc w:val="center"/>
              <w:rPr>
                <w:rFonts w:ascii="仿宋_GB2312" w:hAnsi="仿宋_GB2312" w:eastAsia="仿宋_GB2312" w:cs="仿宋_GB2312"/>
                <w:sz w:val="24"/>
                <w:highlight w:val="none"/>
              </w:rPr>
            </w:pPr>
          </w:p>
        </w:tc>
      </w:tr>
      <w:tr w14:paraId="2A45D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D1777E1">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14:paraId="75A65AE6">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2DA000D4">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1B967C1A">
            <w:pPr>
              <w:spacing w:line="360" w:lineRule="auto"/>
              <w:jc w:val="center"/>
              <w:rPr>
                <w:rFonts w:ascii="仿宋_GB2312" w:hAnsi="仿宋_GB2312" w:eastAsia="仿宋_GB2312" w:cs="仿宋_GB2312"/>
                <w:sz w:val="24"/>
                <w:highlight w:val="none"/>
              </w:rPr>
            </w:pPr>
          </w:p>
        </w:tc>
        <w:tc>
          <w:tcPr>
            <w:tcW w:w="1080" w:type="dxa"/>
            <w:vAlign w:val="center"/>
          </w:tcPr>
          <w:p w14:paraId="32BFF603">
            <w:pPr>
              <w:spacing w:line="360" w:lineRule="auto"/>
              <w:jc w:val="center"/>
              <w:rPr>
                <w:rFonts w:ascii="仿宋_GB2312" w:hAnsi="仿宋_GB2312" w:eastAsia="仿宋_GB2312" w:cs="仿宋_GB2312"/>
                <w:sz w:val="24"/>
                <w:highlight w:val="none"/>
              </w:rPr>
            </w:pPr>
          </w:p>
        </w:tc>
        <w:tc>
          <w:tcPr>
            <w:tcW w:w="1332" w:type="dxa"/>
            <w:vAlign w:val="center"/>
          </w:tcPr>
          <w:p w14:paraId="382AF019">
            <w:pPr>
              <w:spacing w:line="360" w:lineRule="auto"/>
              <w:jc w:val="center"/>
              <w:rPr>
                <w:rFonts w:ascii="仿宋_GB2312" w:hAnsi="仿宋_GB2312" w:eastAsia="仿宋_GB2312" w:cs="仿宋_GB2312"/>
                <w:sz w:val="24"/>
                <w:highlight w:val="none"/>
              </w:rPr>
            </w:pPr>
          </w:p>
        </w:tc>
      </w:tr>
      <w:tr w14:paraId="6FAD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BAC6529">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14:paraId="3ACE578B">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4B118072">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46F1FE14">
            <w:pPr>
              <w:spacing w:line="360" w:lineRule="auto"/>
              <w:jc w:val="center"/>
              <w:rPr>
                <w:rFonts w:ascii="仿宋_GB2312" w:hAnsi="仿宋_GB2312" w:eastAsia="仿宋_GB2312" w:cs="仿宋_GB2312"/>
                <w:sz w:val="24"/>
                <w:highlight w:val="none"/>
              </w:rPr>
            </w:pPr>
          </w:p>
        </w:tc>
        <w:tc>
          <w:tcPr>
            <w:tcW w:w="1080" w:type="dxa"/>
            <w:vAlign w:val="center"/>
          </w:tcPr>
          <w:p w14:paraId="3658F7D7">
            <w:pPr>
              <w:spacing w:line="360" w:lineRule="auto"/>
              <w:jc w:val="center"/>
              <w:rPr>
                <w:rFonts w:ascii="仿宋_GB2312" w:hAnsi="仿宋_GB2312" w:eastAsia="仿宋_GB2312" w:cs="仿宋_GB2312"/>
                <w:sz w:val="24"/>
                <w:highlight w:val="none"/>
              </w:rPr>
            </w:pPr>
          </w:p>
        </w:tc>
        <w:tc>
          <w:tcPr>
            <w:tcW w:w="1332" w:type="dxa"/>
            <w:vAlign w:val="center"/>
          </w:tcPr>
          <w:p w14:paraId="4EC7BC6E">
            <w:pPr>
              <w:spacing w:line="360" w:lineRule="auto"/>
              <w:jc w:val="center"/>
              <w:rPr>
                <w:rFonts w:ascii="仿宋_GB2312" w:hAnsi="仿宋_GB2312" w:eastAsia="仿宋_GB2312" w:cs="仿宋_GB2312"/>
                <w:sz w:val="24"/>
                <w:highlight w:val="none"/>
              </w:rPr>
            </w:pPr>
          </w:p>
        </w:tc>
      </w:tr>
      <w:tr w14:paraId="2371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9012BCB">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14:paraId="53197A96">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3B12BC18">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0FFE0B1A">
            <w:pPr>
              <w:spacing w:line="360" w:lineRule="auto"/>
              <w:jc w:val="center"/>
              <w:rPr>
                <w:rFonts w:ascii="仿宋_GB2312" w:hAnsi="仿宋_GB2312" w:eastAsia="仿宋_GB2312" w:cs="仿宋_GB2312"/>
                <w:sz w:val="24"/>
                <w:highlight w:val="none"/>
              </w:rPr>
            </w:pPr>
          </w:p>
        </w:tc>
        <w:tc>
          <w:tcPr>
            <w:tcW w:w="1080" w:type="dxa"/>
            <w:vAlign w:val="center"/>
          </w:tcPr>
          <w:p w14:paraId="29880240">
            <w:pPr>
              <w:spacing w:line="360" w:lineRule="auto"/>
              <w:jc w:val="center"/>
              <w:rPr>
                <w:rFonts w:ascii="仿宋_GB2312" w:hAnsi="仿宋_GB2312" w:eastAsia="仿宋_GB2312" w:cs="仿宋_GB2312"/>
                <w:sz w:val="24"/>
                <w:highlight w:val="none"/>
              </w:rPr>
            </w:pPr>
          </w:p>
        </w:tc>
        <w:tc>
          <w:tcPr>
            <w:tcW w:w="1332" w:type="dxa"/>
            <w:vAlign w:val="center"/>
          </w:tcPr>
          <w:p w14:paraId="4DF0F066">
            <w:pPr>
              <w:spacing w:line="360" w:lineRule="auto"/>
              <w:jc w:val="center"/>
              <w:rPr>
                <w:rFonts w:ascii="仿宋_GB2312" w:hAnsi="仿宋_GB2312" w:eastAsia="仿宋_GB2312" w:cs="仿宋_GB2312"/>
                <w:sz w:val="24"/>
                <w:highlight w:val="none"/>
              </w:rPr>
            </w:pPr>
          </w:p>
        </w:tc>
      </w:tr>
    </w:tbl>
    <w:p w14:paraId="250B7D97">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14:paraId="06117D2B">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14:paraId="35FD20A7">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3192C275">
      <w:pPr>
        <w:autoSpaceDE w:val="0"/>
        <w:autoSpaceDN w:val="0"/>
        <w:spacing w:line="360" w:lineRule="auto"/>
        <w:ind w:firstLine="4560" w:firstLineChars="1900"/>
        <w:rPr>
          <w:rFonts w:ascii="仿宋_GB2312" w:hAnsi="仿宋_GB2312" w:eastAsia="仿宋_GB2312" w:cs="仿宋_GB2312"/>
          <w:kern w:val="0"/>
          <w:sz w:val="24"/>
          <w:highlight w:val="none"/>
        </w:rPr>
      </w:pPr>
    </w:p>
    <w:p w14:paraId="1D4161B2">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003A74EE">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FEAC019">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14:paraId="716C817A">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14:paraId="37179BE8">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en-US" w:eastAsia="zh-CN"/>
        </w:rPr>
        <w:t>十</w:t>
      </w:r>
      <w:r>
        <w:rPr>
          <w:rFonts w:hint="eastAsia" w:ascii="仿宋_GB2312" w:hAnsi="仿宋_GB2312" w:eastAsia="仿宋_GB2312" w:cs="仿宋_GB2312"/>
          <w:b/>
          <w:bCs/>
          <w:sz w:val="32"/>
          <w:szCs w:val="32"/>
          <w:highlight w:val="none"/>
          <w:lang w:val="en-US" w:eastAsia="zh-CN"/>
        </w:rPr>
        <w:t>一</w:t>
      </w:r>
      <w:r>
        <w:rPr>
          <w:rFonts w:hint="eastAsia" w:ascii="仿宋_GB2312" w:hAnsi="仿宋_GB2312" w:eastAsia="仿宋_GB2312" w:cs="仿宋_GB2312"/>
          <w:b/>
          <w:bCs/>
          <w:kern w:val="0"/>
          <w:sz w:val="32"/>
          <w:szCs w:val="32"/>
          <w:highlight w:val="none"/>
          <w:lang w:val="zh-CN"/>
        </w:rPr>
        <w:t>、组织实施方案</w:t>
      </w:r>
    </w:p>
    <w:p w14:paraId="5BB62D8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3222EEC3">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6FAA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2178E5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14:paraId="5F735C97">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14:paraId="4C138928">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14:paraId="552D961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14:paraId="588E03D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14:paraId="76F6093F">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14:paraId="75746D6B">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14:paraId="5E299C3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14:paraId="2E4B87A4">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14:paraId="0F0552E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14:paraId="61DD269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14:paraId="5B243C3B">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14:paraId="739414D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14:paraId="1B94387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14:paraId="2E23DA6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14:paraId="483192B7">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14:paraId="2B2C212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14:paraId="1CEE28B4">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14:paraId="6171A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A411A5D">
            <w:pPr>
              <w:spacing w:line="360" w:lineRule="auto"/>
              <w:rPr>
                <w:rFonts w:ascii="仿宋_GB2312" w:hAnsi="仿宋_GB2312" w:eastAsia="仿宋_GB2312" w:cs="仿宋_GB2312"/>
                <w:sz w:val="24"/>
                <w:highlight w:val="none"/>
              </w:rPr>
            </w:pPr>
          </w:p>
        </w:tc>
        <w:tc>
          <w:tcPr>
            <w:tcW w:w="552" w:type="dxa"/>
          </w:tcPr>
          <w:p w14:paraId="0B0BEC5B">
            <w:pPr>
              <w:spacing w:line="360" w:lineRule="auto"/>
              <w:rPr>
                <w:rFonts w:ascii="仿宋_GB2312" w:hAnsi="仿宋_GB2312" w:eastAsia="仿宋_GB2312" w:cs="仿宋_GB2312"/>
                <w:sz w:val="24"/>
                <w:highlight w:val="none"/>
              </w:rPr>
            </w:pPr>
          </w:p>
        </w:tc>
        <w:tc>
          <w:tcPr>
            <w:tcW w:w="552" w:type="dxa"/>
          </w:tcPr>
          <w:p w14:paraId="7930FBCD">
            <w:pPr>
              <w:spacing w:line="360" w:lineRule="auto"/>
              <w:rPr>
                <w:rFonts w:ascii="仿宋_GB2312" w:hAnsi="仿宋_GB2312" w:eastAsia="仿宋_GB2312" w:cs="仿宋_GB2312"/>
                <w:sz w:val="24"/>
                <w:highlight w:val="none"/>
              </w:rPr>
            </w:pPr>
          </w:p>
        </w:tc>
        <w:tc>
          <w:tcPr>
            <w:tcW w:w="552" w:type="dxa"/>
          </w:tcPr>
          <w:p w14:paraId="70848DA0">
            <w:pPr>
              <w:spacing w:line="360" w:lineRule="auto"/>
              <w:rPr>
                <w:rFonts w:ascii="仿宋_GB2312" w:hAnsi="仿宋_GB2312" w:eastAsia="仿宋_GB2312" w:cs="仿宋_GB2312"/>
                <w:sz w:val="24"/>
                <w:highlight w:val="none"/>
              </w:rPr>
            </w:pPr>
          </w:p>
        </w:tc>
        <w:tc>
          <w:tcPr>
            <w:tcW w:w="552" w:type="dxa"/>
          </w:tcPr>
          <w:p w14:paraId="615A6B58">
            <w:pPr>
              <w:spacing w:line="360" w:lineRule="auto"/>
              <w:rPr>
                <w:rFonts w:ascii="仿宋_GB2312" w:hAnsi="仿宋_GB2312" w:eastAsia="仿宋_GB2312" w:cs="仿宋_GB2312"/>
                <w:sz w:val="24"/>
                <w:highlight w:val="none"/>
              </w:rPr>
            </w:pPr>
          </w:p>
        </w:tc>
        <w:tc>
          <w:tcPr>
            <w:tcW w:w="552" w:type="dxa"/>
          </w:tcPr>
          <w:p w14:paraId="28302E65">
            <w:pPr>
              <w:spacing w:line="360" w:lineRule="auto"/>
              <w:rPr>
                <w:rFonts w:ascii="仿宋_GB2312" w:hAnsi="仿宋_GB2312" w:eastAsia="仿宋_GB2312" w:cs="仿宋_GB2312"/>
                <w:sz w:val="24"/>
                <w:highlight w:val="none"/>
              </w:rPr>
            </w:pPr>
          </w:p>
        </w:tc>
        <w:tc>
          <w:tcPr>
            <w:tcW w:w="552" w:type="dxa"/>
          </w:tcPr>
          <w:p w14:paraId="1B52996B">
            <w:pPr>
              <w:spacing w:line="360" w:lineRule="auto"/>
              <w:rPr>
                <w:rFonts w:ascii="仿宋_GB2312" w:hAnsi="仿宋_GB2312" w:eastAsia="仿宋_GB2312" w:cs="仿宋_GB2312"/>
                <w:sz w:val="24"/>
                <w:highlight w:val="none"/>
              </w:rPr>
            </w:pPr>
          </w:p>
        </w:tc>
        <w:tc>
          <w:tcPr>
            <w:tcW w:w="553" w:type="dxa"/>
          </w:tcPr>
          <w:p w14:paraId="1B349E9A">
            <w:pPr>
              <w:spacing w:line="360" w:lineRule="auto"/>
              <w:rPr>
                <w:rFonts w:ascii="仿宋_GB2312" w:hAnsi="仿宋_GB2312" w:eastAsia="仿宋_GB2312" w:cs="仿宋_GB2312"/>
                <w:sz w:val="24"/>
                <w:highlight w:val="none"/>
              </w:rPr>
            </w:pPr>
          </w:p>
        </w:tc>
        <w:tc>
          <w:tcPr>
            <w:tcW w:w="553" w:type="dxa"/>
          </w:tcPr>
          <w:p w14:paraId="66DEBA6D">
            <w:pPr>
              <w:spacing w:line="360" w:lineRule="auto"/>
              <w:rPr>
                <w:rFonts w:ascii="仿宋_GB2312" w:hAnsi="仿宋_GB2312" w:eastAsia="仿宋_GB2312" w:cs="仿宋_GB2312"/>
                <w:sz w:val="24"/>
                <w:highlight w:val="none"/>
              </w:rPr>
            </w:pPr>
          </w:p>
        </w:tc>
        <w:tc>
          <w:tcPr>
            <w:tcW w:w="553" w:type="dxa"/>
          </w:tcPr>
          <w:p w14:paraId="46A7D698">
            <w:pPr>
              <w:spacing w:line="360" w:lineRule="auto"/>
              <w:rPr>
                <w:rFonts w:ascii="仿宋_GB2312" w:hAnsi="仿宋_GB2312" w:eastAsia="仿宋_GB2312" w:cs="仿宋_GB2312"/>
                <w:sz w:val="24"/>
                <w:highlight w:val="none"/>
              </w:rPr>
            </w:pPr>
          </w:p>
        </w:tc>
        <w:tc>
          <w:tcPr>
            <w:tcW w:w="553" w:type="dxa"/>
          </w:tcPr>
          <w:p w14:paraId="24D85DFD">
            <w:pPr>
              <w:spacing w:line="360" w:lineRule="auto"/>
              <w:rPr>
                <w:rFonts w:ascii="仿宋_GB2312" w:hAnsi="仿宋_GB2312" w:eastAsia="仿宋_GB2312" w:cs="仿宋_GB2312"/>
                <w:sz w:val="24"/>
                <w:highlight w:val="none"/>
              </w:rPr>
            </w:pPr>
          </w:p>
        </w:tc>
        <w:tc>
          <w:tcPr>
            <w:tcW w:w="553" w:type="dxa"/>
          </w:tcPr>
          <w:p w14:paraId="7EBAB38D">
            <w:pPr>
              <w:spacing w:line="360" w:lineRule="auto"/>
              <w:rPr>
                <w:rFonts w:ascii="仿宋_GB2312" w:hAnsi="仿宋_GB2312" w:eastAsia="仿宋_GB2312" w:cs="仿宋_GB2312"/>
                <w:sz w:val="24"/>
                <w:highlight w:val="none"/>
              </w:rPr>
            </w:pPr>
          </w:p>
        </w:tc>
        <w:tc>
          <w:tcPr>
            <w:tcW w:w="553" w:type="dxa"/>
          </w:tcPr>
          <w:p w14:paraId="08A6C35A">
            <w:pPr>
              <w:spacing w:line="360" w:lineRule="auto"/>
              <w:rPr>
                <w:rFonts w:ascii="仿宋_GB2312" w:hAnsi="仿宋_GB2312" w:eastAsia="仿宋_GB2312" w:cs="仿宋_GB2312"/>
                <w:sz w:val="24"/>
                <w:highlight w:val="none"/>
              </w:rPr>
            </w:pPr>
          </w:p>
        </w:tc>
        <w:tc>
          <w:tcPr>
            <w:tcW w:w="553" w:type="dxa"/>
          </w:tcPr>
          <w:p w14:paraId="00B2A3EC">
            <w:pPr>
              <w:spacing w:line="360" w:lineRule="auto"/>
              <w:rPr>
                <w:rFonts w:ascii="仿宋_GB2312" w:hAnsi="仿宋_GB2312" w:eastAsia="仿宋_GB2312" w:cs="仿宋_GB2312"/>
                <w:sz w:val="24"/>
                <w:highlight w:val="none"/>
              </w:rPr>
            </w:pPr>
          </w:p>
        </w:tc>
        <w:tc>
          <w:tcPr>
            <w:tcW w:w="553" w:type="dxa"/>
          </w:tcPr>
          <w:p w14:paraId="63D7B3F9">
            <w:pPr>
              <w:spacing w:line="360" w:lineRule="auto"/>
              <w:rPr>
                <w:rFonts w:ascii="仿宋_GB2312" w:hAnsi="仿宋_GB2312" w:eastAsia="仿宋_GB2312" w:cs="仿宋_GB2312"/>
                <w:sz w:val="24"/>
                <w:highlight w:val="none"/>
              </w:rPr>
            </w:pPr>
          </w:p>
        </w:tc>
        <w:tc>
          <w:tcPr>
            <w:tcW w:w="553" w:type="dxa"/>
          </w:tcPr>
          <w:p w14:paraId="1B27655D">
            <w:pPr>
              <w:spacing w:line="360" w:lineRule="auto"/>
              <w:rPr>
                <w:rFonts w:ascii="仿宋_GB2312" w:hAnsi="仿宋_GB2312" w:eastAsia="仿宋_GB2312" w:cs="仿宋_GB2312"/>
                <w:sz w:val="24"/>
                <w:highlight w:val="none"/>
              </w:rPr>
            </w:pPr>
          </w:p>
        </w:tc>
        <w:tc>
          <w:tcPr>
            <w:tcW w:w="553" w:type="dxa"/>
          </w:tcPr>
          <w:p w14:paraId="41152417">
            <w:pPr>
              <w:spacing w:line="360" w:lineRule="auto"/>
              <w:rPr>
                <w:rFonts w:ascii="仿宋_GB2312" w:hAnsi="仿宋_GB2312" w:eastAsia="仿宋_GB2312" w:cs="仿宋_GB2312"/>
                <w:sz w:val="24"/>
                <w:highlight w:val="none"/>
              </w:rPr>
            </w:pPr>
          </w:p>
        </w:tc>
      </w:tr>
      <w:tr w14:paraId="0601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B8D2130">
            <w:pPr>
              <w:spacing w:line="360" w:lineRule="auto"/>
              <w:rPr>
                <w:rFonts w:ascii="仿宋_GB2312" w:hAnsi="仿宋_GB2312" w:eastAsia="仿宋_GB2312" w:cs="仿宋_GB2312"/>
                <w:sz w:val="24"/>
                <w:highlight w:val="none"/>
              </w:rPr>
            </w:pPr>
          </w:p>
        </w:tc>
        <w:tc>
          <w:tcPr>
            <w:tcW w:w="552" w:type="dxa"/>
          </w:tcPr>
          <w:p w14:paraId="73220348">
            <w:pPr>
              <w:spacing w:line="360" w:lineRule="auto"/>
              <w:rPr>
                <w:rFonts w:ascii="仿宋_GB2312" w:hAnsi="仿宋_GB2312" w:eastAsia="仿宋_GB2312" w:cs="仿宋_GB2312"/>
                <w:sz w:val="24"/>
                <w:highlight w:val="none"/>
              </w:rPr>
            </w:pPr>
          </w:p>
        </w:tc>
        <w:tc>
          <w:tcPr>
            <w:tcW w:w="552" w:type="dxa"/>
          </w:tcPr>
          <w:p w14:paraId="3216A304">
            <w:pPr>
              <w:spacing w:line="360" w:lineRule="auto"/>
              <w:rPr>
                <w:rFonts w:ascii="仿宋_GB2312" w:hAnsi="仿宋_GB2312" w:eastAsia="仿宋_GB2312" w:cs="仿宋_GB2312"/>
                <w:sz w:val="24"/>
                <w:highlight w:val="none"/>
              </w:rPr>
            </w:pPr>
          </w:p>
        </w:tc>
        <w:tc>
          <w:tcPr>
            <w:tcW w:w="552" w:type="dxa"/>
          </w:tcPr>
          <w:p w14:paraId="3BA45141">
            <w:pPr>
              <w:spacing w:line="360" w:lineRule="auto"/>
              <w:rPr>
                <w:rFonts w:ascii="仿宋_GB2312" w:hAnsi="仿宋_GB2312" w:eastAsia="仿宋_GB2312" w:cs="仿宋_GB2312"/>
                <w:sz w:val="24"/>
                <w:highlight w:val="none"/>
              </w:rPr>
            </w:pPr>
          </w:p>
        </w:tc>
        <w:tc>
          <w:tcPr>
            <w:tcW w:w="552" w:type="dxa"/>
          </w:tcPr>
          <w:p w14:paraId="699BF0B3">
            <w:pPr>
              <w:spacing w:line="360" w:lineRule="auto"/>
              <w:rPr>
                <w:rFonts w:ascii="仿宋_GB2312" w:hAnsi="仿宋_GB2312" w:eastAsia="仿宋_GB2312" w:cs="仿宋_GB2312"/>
                <w:sz w:val="24"/>
                <w:highlight w:val="none"/>
              </w:rPr>
            </w:pPr>
          </w:p>
        </w:tc>
        <w:tc>
          <w:tcPr>
            <w:tcW w:w="552" w:type="dxa"/>
          </w:tcPr>
          <w:p w14:paraId="7A0AAABF">
            <w:pPr>
              <w:spacing w:line="360" w:lineRule="auto"/>
              <w:rPr>
                <w:rFonts w:ascii="仿宋_GB2312" w:hAnsi="仿宋_GB2312" w:eastAsia="仿宋_GB2312" w:cs="仿宋_GB2312"/>
                <w:sz w:val="24"/>
                <w:highlight w:val="none"/>
              </w:rPr>
            </w:pPr>
          </w:p>
        </w:tc>
        <w:tc>
          <w:tcPr>
            <w:tcW w:w="552" w:type="dxa"/>
          </w:tcPr>
          <w:p w14:paraId="530D5A99">
            <w:pPr>
              <w:spacing w:line="360" w:lineRule="auto"/>
              <w:rPr>
                <w:rFonts w:ascii="仿宋_GB2312" w:hAnsi="仿宋_GB2312" w:eastAsia="仿宋_GB2312" w:cs="仿宋_GB2312"/>
                <w:sz w:val="24"/>
                <w:highlight w:val="none"/>
              </w:rPr>
            </w:pPr>
          </w:p>
        </w:tc>
        <w:tc>
          <w:tcPr>
            <w:tcW w:w="553" w:type="dxa"/>
          </w:tcPr>
          <w:p w14:paraId="0800AB7B">
            <w:pPr>
              <w:spacing w:line="360" w:lineRule="auto"/>
              <w:rPr>
                <w:rFonts w:ascii="仿宋_GB2312" w:hAnsi="仿宋_GB2312" w:eastAsia="仿宋_GB2312" w:cs="仿宋_GB2312"/>
                <w:sz w:val="24"/>
                <w:highlight w:val="none"/>
              </w:rPr>
            </w:pPr>
          </w:p>
        </w:tc>
        <w:tc>
          <w:tcPr>
            <w:tcW w:w="553" w:type="dxa"/>
          </w:tcPr>
          <w:p w14:paraId="425AA3DF">
            <w:pPr>
              <w:spacing w:line="360" w:lineRule="auto"/>
              <w:rPr>
                <w:rFonts w:ascii="仿宋_GB2312" w:hAnsi="仿宋_GB2312" w:eastAsia="仿宋_GB2312" w:cs="仿宋_GB2312"/>
                <w:sz w:val="24"/>
                <w:highlight w:val="none"/>
              </w:rPr>
            </w:pPr>
          </w:p>
        </w:tc>
        <w:tc>
          <w:tcPr>
            <w:tcW w:w="553" w:type="dxa"/>
          </w:tcPr>
          <w:p w14:paraId="03CA37E8">
            <w:pPr>
              <w:spacing w:line="360" w:lineRule="auto"/>
              <w:rPr>
                <w:rFonts w:ascii="仿宋_GB2312" w:hAnsi="仿宋_GB2312" w:eastAsia="仿宋_GB2312" w:cs="仿宋_GB2312"/>
                <w:sz w:val="24"/>
                <w:highlight w:val="none"/>
              </w:rPr>
            </w:pPr>
          </w:p>
        </w:tc>
        <w:tc>
          <w:tcPr>
            <w:tcW w:w="553" w:type="dxa"/>
          </w:tcPr>
          <w:p w14:paraId="25AF2701">
            <w:pPr>
              <w:spacing w:line="360" w:lineRule="auto"/>
              <w:rPr>
                <w:rFonts w:ascii="仿宋_GB2312" w:hAnsi="仿宋_GB2312" w:eastAsia="仿宋_GB2312" w:cs="仿宋_GB2312"/>
                <w:sz w:val="24"/>
                <w:highlight w:val="none"/>
              </w:rPr>
            </w:pPr>
          </w:p>
        </w:tc>
        <w:tc>
          <w:tcPr>
            <w:tcW w:w="553" w:type="dxa"/>
          </w:tcPr>
          <w:p w14:paraId="2F25BB21">
            <w:pPr>
              <w:spacing w:line="360" w:lineRule="auto"/>
              <w:rPr>
                <w:rFonts w:ascii="仿宋_GB2312" w:hAnsi="仿宋_GB2312" w:eastAsia="仿宋_GB2312" w:cs="仿宋_GB2312"/>
                <w:sz w:val="24"/>
                <w:highlight w:val="none"/>
              </w:rPr>
            </w:pPr>
          </w:p>
        </w:tc>
        <w:tc>
          <w:tcPr>
            <w:tcW w:w="553" w:type="dxa"/>
          </w:tcPr>
          <w:p w14:paraId="3F6FE8CA">
            <w:pPr>
              <w:spacing w:line="360" w:lineRule="auto"/>
              <w:rPr>
                <w:rFonts w:ascii="仿宋_GB2312" w:hAnsi="仿宋_GB2312" w:eastAsia="仿宋_GB2312" w:cs="仿宋_GB2312"/>
                <w:sz w:val="24"/>
                <w:highlight w:val="none"/>
              </w:rPr>
            </w:pPr>
          </w:p>
        </w:tc>
        <w:tc>
          <w:tcPr>
            <w:tcW w:w="553" w:type="dxa"/>
          </w:tcPr>
          <w:p w14:paraId="16DBA910">
            <w:pPr>
              <w:spacing w:line="360" w:lineRule="auto"/>
              <w:rPr>
                <w:rFonts w:ascii="仿宋_GB2312" w:hAnsi="仿宋_GB2312" w:eastAsia="仿宋_GB2312" w:cs="仿宋_GB2312"/>
                <w:sz w:val="24"/>
                <w:highlight w:val="none"/>
              </w:rPr>
            </w:pPr>
          </w:p>
        </w:tc>
        <w:tc>
          <w:tcPr>
            <w:tcW w:w="553" w:type="dxa"/>
          </w:tcPr>
          <w:p w14:paraId="49FB6C16">
            <w:pPr>
              <w:spacing w:line="360" w:lineRule="auto"/>
              <w:rPr>
                <w:rFonts w:ascii="仿宋_GB2312" w:hAnsi="仿宋_GB2312" w:eastAsia="仿宋_GB2312" w:cs="仿宋_GB2312"/>
                <w:sz w:val="24"/>
                <w:highlight w:val="none"/>
              </w:rPr>
            </w:pPr>
          </w:p>
        </w:tc>
        <w:tc>
          <w:tcPr>
            <w:tcW w:w="553" w:type="dxa"/>
          </w:tcPr>
          <w:p w14:paraId="086E4D67">
            <w:pPr>
              <w:spacing w:line="360" w:lineRule="auto"/>
              <w:rPr>
                <w:rFonts w:ascii="仿宋_GB2312" w:hAnsi="仿宋_GB2312" w:eastAsia="仿宋_GB2312" w:cs="仿宋_GB2312"/>
                <w:sz w:val="24"/>
                <w:highlight w:val="none"/>
              </w:rPr>
            </w:pPr>
          </w:p>
        </w:tc>
        <w:tc>
          <w:tcPr>
            <w:tcW w:w="553" w:type="dxa"/>
          </w:tcPr>
          <w:p w14:paraId="4D1ECA15">
            <w:pPr>
              <w:spacing w:line="360" w:lineRule="auto"/>
              <w:rPr>
                <w:rFonts w:ascii="仿宋_GB2312" w:hAnsi="仿宋_GB2312" w:eastAsia="仿宋_GB2312" w:cs="仿宋_GB2312"/>
                <w:sz w:val="24"/>
                <w:highlight w:val="none"/>
              </w:rPr>
            </w:pPr>
          </w:p>
        </w:tc>
      </w:tr>
      <w:tr w14:paraId="55E5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AE985F8">
            <w:pPr>
              <w:spacing w:line="360" w:lineRule="auto"/>
              <w:rPr>
                <w:rFonts w:ascii="仿宋_GB2312" w:hAnsi="仿宋_GB2312" w:eastAsia="仿宋_GB2312" w:cs="仿宋_GB2312"/>
                <w:sz w:val="24"/>
                <w:highlight w:val="none"/>
              </w:rPr>
            </w:pPr>
          </w:p>
        </w:tc>
        <w:tc>
          <w:tcPr>
            <w:tcW w:w="552" w:type="dxa"/>
          </w:tcPr>
          <w:p w14:paraId="10886708">
            <w:pPr>
              <w:spacing w:line="360" w:lineRule="auto"/>
              <w:rPr>
                <w:rFonts w:ascii="仿宋_GB2312" w:hAnsi="仿宋_GB2312" w:eastAsia="仿宋_GB2312" w:cs="仿宋_GB2312"/>
                <w:sz w:val="24"/>
                <w:highlight w:val="none"/>
              </w:rPr>
            </w:pPr>
          </w:p>
        </w:tc>
        <w:tc>
          <w:tcPr>
            <w:tcW w:w="552" w:type="dxa"/>
          </w:tcPr>
          <w:p w14:paraId="55583186">
            <w:pPr>
              <w:spacing w:line="360" w:lineRule="auto"/>
              <w:rPr>
                <w:rFonts w:ascii="仿宋_GB2312" w:hAnsi="仿宋_GB2312" w:eastAsia="仿宋_GB2312" w:cs="仿宋_GB2312"/>
                <w:sz w:val="24"/>
                <w:highlight w:val="none"/>
              </w:rPr>
            </w:pPr>
          </w:p>
        </w:tc>
        <w:tc>
          <w:tcPr>
            <w:tcW w:w="552" w:type="dxa"/>
          </w:tcPr>
          <w:p w14:paraId="60538A99">
            <w:pPr>
              <w:spacing w:line="360" w:lineRule="auto"/>
              <w:rPr>
                <w:rFonts w:ascii="仿宋_GB2312" w:hAnsi="仿宋_GB2312" w:eastAsia="仿宋_GB2312" w:cs="仿宋_GB2312"/>
                <w:sz w:val="24"/>
                <w:highlight w:val="none"/>
              </w:rPr>
            </w:pPr>
          </w:p>
        </w:tc>
        <w:tc>
          <w:tcPr>
            <w:tcW w:w="552" w:type="dxa"/>
          </w:tcPr>
          <w:p w14:paraId="22DDD462">
            <w:pPr>
              <w:spacing w:line="360" w:lineRule="auto"/>
              <w:rPr>
                <w:rFonts w:ascii="仿宋_GB2312" w:hAnsi="仿宋_GB2312" w:eastAsia="仿宋_GB2312" w:cs="仿宋_GB2312"/>
                <w:sz w:val="24"/>
                <w:highlight w:val="none"/>
              </w:rPr>
            </w:pPr>
          </w:p>
        </w:tc>
        <w:tc>
          <w:tcPr>
            <w:tcW w:w="552" w:type="dxa"/>
          </w:tcPr>
          <w:p w14:paraId="1F3D0EE0">
            <w:pPr>
              <w:spacing w:line="360" w:lineRule="auto"/>
              <w:rPr>
                <w:rFonts w:ascii="仿宋_GB2312" w:hAnsi="仿宋_GB2312" w:eastAsia="仿宋_GB2312" w:cs="仿宋_GB2312"/>
                <w:sz w:val="24"/>
                <w:highlight w:val="none"/>
              </w:rPr>
            </w:pPr>
          </w:p>
        </w:tc>
        <w:tc>
          <w:tcPr>
            <w:tcW w:w="552" w:type="dxa"/>
          </w:tcPr>
          <w:p w14:paraId="20DE8705">
            <w:pPr>
              <w:spacing w:line="360" w:lineRule="auto"/>
              <w:rPr>
                <w:rFonts w:ascii="仿宋_GB2312" w:hAnsi="仿宋_GB2312" w:eastAsia="仿宋_GB2312" w:cs="仿宋_GB2312"/>
                <w:sz w:val="24"/>
                <w:highlight w:val="none"/>
              </w:rPr>
            </w:pPr>
          </w:p>
        </w:tc>
        <w:tc>
          <w:tcPr>
            <w:tcW w:w="553" w:type="dxa"/>
          </w:tcPr>
          <w:p w14:paraId="5A8E9FE4">
            <w:pPr>
              <w:spacing w:line="360" w:lineRule="auto"/>
              <w:rPr>
                <w:rFonts w:ascii="仿宋_GB2312" w:hAnsi="仿宋_GB2312" w:eastAsia="仿宋_GB2312" w:cs="仿宋_GB2312"/>
                <w:sz w:val="24"/>
                <w:highlight w:val="none"/>
              </w:rPr>
            </w:pPr>
          </w:p>
        </w:tc>
        <w:tc>
          <w:tcPr>
            <w:tcW w:w="553" w:type="dxa"/>
          </w:tcPr>
          <w:p w14:paraId="49B13F20">
            <w:pPr>
              <w:spacing w:line="360" w:lineRule="auto"/>
              <w:rPr>
                <w:rFonts w:ascii="仿宋_GB2312" w:hAnsi="仿宋_GB2312" w:eastAsia="仿宋_GB2312" w:cs="仿宋_GB2312"/>
                <w:sz w:val="24"/>
                <w:highlight w:val="none"/>
              </w:rPr>
            </w:pPr>
          </w:p>
        </w:tc>
        <w:tc>
          <w:tcPr>
            <w:tcW w:w="553" w:type="dxa"/>
          </w:tcPr>
          <w:p w14:paraId="31300151">
            <w:pPr>
              <w:spacing w:line="360" w:lineRule="auto"/>
              <w:rPr>
                <w:rFonts w:ascii="仿宋_GB2312" w:hAnsi="仿宋_GB2312" w:eastAsia="仿宋_GB2312" w:cs="仿宋_GB2312"/>
                <w:sz w:val="24"/>
                <w:highlight w:val="none"/>
              </w:rPr>
            </w:pPr>
          </w:p>
        </w:tc>
        <w:tc>
          <w:tcPr>
            <w:tcW w:w="553" w:type="dxa"/>
          </w:tcPr>
          <w:p w14:paraId="1CD6720A">
            <w:pPr>
              <w:spacing w:line="360" w:lineRule="auto"/>
              <w:rPr>
                <w:rFonts w:ascii="仿宋_GB2312" w:hAnsi="仿宋_GB2312" w:eastAsia="仿宋_GB2312" w:cs="仿宋_GB2312"/>
                <w:sz w:val="24"/>
                <w:highlight w:val="none"/>
              </w:rPr>
            </w:pPr>
          </w:p>
        </w:tc>
        <w:tc>
          <w:tcPr>
            <w:tcW w:w="553" w:type="dxa"/>
          </w:tcPr>
          <w:p w14:paraId="52C2D191">
            <w:pPr>
              <w:spacing w:line="360" w:lineRule="auto"/>
              <w:rPr>
                <w:rFonts w:ascii="仿宋_GB2312" w:hAnsi="仿宋_GB2312" w:eastAsia="仿宋_GB2312" w:cs="仿宋_GB2312"/>
                <w:sz w:val="24"/>
                <w:highlight w:val="none"/>
              </w:rPr>
            </w:pPr>
          </w:p>
        </w:tc>
        <w:tc>
          <w:tcPr>
            <w:tcW w:w="553" w:type="dxa"/>
          </w:tcPr>
          <w:p w14:paraId="5849ABEB">
            <w:pPr>
              <w:spacing w:line="360" w:lineRule="auto"/>
              <w:rPr>
                <w:rFonts w:ascii="仿宋_GB2312" w:hAnsi="仿宋_GB2312" w:eastAsia="仿宋_GB2312" w:cs="仿宋_GB2312"/>
                <w:sz w:val="24"/>
                <w:highlight w:val="none"/>
              </w:rPr>
            </w:pPr>
          </w:p>
        </w:tc>
        <w:tc>
          <w:tcPr>
            <w:tcW w:w="553" w:type="dxa"/>
          </w:tcPr>
          <w:p w14:paraId="7DCAF23B">
            <w:pPr>
              <w:spacing w:line="360" w:lineRule="auto"/>
              <w:rPr>
                <w:rFonts w:ascii="仿宋_GB2312" w:hAnsi="仿宋_GB2312" w:eastAsia="仿宋_GB2312" w:cs="仿宋_GB2312"/>
                <w:sz w:val="24"/>
                <w:highlight w:val="none"/>
              </w:rPr>
            </w:pPr>
          </w:p>
        </w:tc>
        <w:tc>
          <w:tcPr>
            <w:tcW w:w="553" w:type="dxa"/>
          </w:tcPr>
          <w:p w14:paraId="27354B9F">
            <w:pPr>
              <w:spacing w:line="360" w:lineRule="auto"/>
              <w:rPr>
                <w:rFonts w:ascii="仿宋_GB2312" w:hAnsi="仿宋_GB2312" w:eastAsia="仿宋_GB2312" w:cs="仿宋_GB2312"/>
                <w:sz w:val="24"/>
                <w:highlight w:val="none"/>
              </w:rPr>
            </w:pPr>
          </w:p>
        </w:tc>
        <w:tc>
          <w:tcPr>
            <w:tcW w:w="553" w:type="dxa"/>
          </w:tcPr>
          <w:p w14:paraId="7A9CE0F4">
            <w:pPr>
              <w:spacing w:line="360" w:lineRule="auto"/>
              <w:rPr>
                <w:rFonts w:ascii="仿宋_GB2312" w:hAnsi="仿宋_GB2312" w:eastAsia="仿宋_GB2312" w:cs="仿宋_GB2312"/>
                <w:sz w:val="24"/>
                <w:highlight w:val="none"/>
              </w:rPr>
            </w:pPr>
          </w:p>
        </w:tc>
        <w:tc>
          <w:tcPr>
            <w:tcW w:w="553" w:type="dxa"/>
          </w:tcPr>
          <w:p w14:paraId="384B9B8D">
            <w:pPr>
              <w:spacing w:line="360" w:lineRule="auto"/>
              <w:rPr>
                <w:rFonts w:ascii="仿宋_GB2312" w:hAnsi="仿宋_GB2312" w:eastAsia="仿宋_GB2312" w:cs="仿宋_GB2312"/>
                <w:sz w:val="24"/>
                <w:highlight w:val="none"/>
              </w:rPr>
            </w:pPr>
          </w:p>
        </w:tc>
      </w:tr>
    </w:tbl>
    <w:p w14:paraId="12CD4DF7">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14:paraId="31FB9379">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035199EB">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54E6938C">
      <w:pPr>
        <w:spacing w:line="360" w:lineRule="auto"/>
        <w:rPr>
          <w:rFonts w:ascii="仿宋_GB2312" w:hAnsi="仿宋_GB2312" w:eastAsia="仿宋_GB2312" w:cs="仿宋_GB2312"/>
          <w:kern w:val="0"/>
          <w:sz w:val="24"/>
          <w:highlight w:val="none"/>
        </w:rPr>
      </w:pPr>
    </w:p>
    <w:p w14:paraId="58E3D22C">
      <w:pPr>
        <w:spacing w:line="360" w:lineRule="auto"/>
        <w:rPr>
          <w:rFonts w:ascii="仿宋_GB2312" w:hAnsi="仿宋_GB2312" w:eastAsia="仿宋_GB2312" w:cs="仿宋_GB2312"/>
          <w:b/>
          <w:bCs/>
          <w:sz w:val="32"/>
          <w:szCs w:val="32"/>
          <w:highlight w:val="none"/>
        </w:rPr>
      </w:pPr>
    </w:p>
    <w:p w14:paraId="3E4E69FB">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二</w:t>
      </w:r>
      <w:r>
        <w:rPr>
          <w:rFonts w:hint="eastAsia" w:ascii="仿宋_GB2312" w:hAnsi="仿宋_GB2312" w:eastAsia="仿宋_GB2312" w:cs="仿宋_GB2312"/>
          <w:b/>
          <w:bCs/>
          <w:sz w:val="32"/>
          <w:szCs w:val="32"/>
          <w:highlight w:val="none"/>
        </w:rPr>
        <w:t>、售后服务方案</w:t>
      </w:r>
    </w:p>
    <w:p w14:paraId="4842BFB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348097FB">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4A9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6B0D991">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14:paraId="1FA12195">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14:paraId="1F1F9F54">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14:paraId="2EA47CDD">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14:paraId="01EA128B">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14:paraId="645BED66">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14:paraId="3A744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0C6C23A">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43A94AC2">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72762D42">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75C93689">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275E3147">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7F2FFE98">
            <w:pPr>
              <w:autoSpaceDE w:val="0"/>
              <w:autoSpaceDN w:val="0"/>
              <w:spacing w:line="360" w:lineRule="auto"/>
              <w:jc w:val="center"/>
              <w:rPr>
                <w:rFonts w:ascii="仿宋_GB2312" w:hAnsi="仿宋_GB2312" w:eastAsia="仿宋_GB2312" w:cs="仿宋_GB2312"/>
                <w:sz w:val="24"/>
                <w:highlight w:val="none"/>
              </w:rPr>
            </w:pPr>
          </w:p>
        </w:tc>
      </w:tr>
      <w:tr w14:paraId="5DFFD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8C18520">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354F93AF">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77E50C71">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2526085C">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20C8B428">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45607FBA">
            <w:pPr>
              <w:autoSpaceDE w:val="0"/>
              <w:autoSpaceDN w:val="0"/>
              <w:spacing w:line="360" w:lineRule="auto"/>
              <w:jc w:val="center"/>
              <w:rPr>
                <w:rFonts w:ascii="仿宋_GB2312" w:hAnsi="仿宋_GB2312" w:eastAsia="仿宋_GB2312" w:cs="仿宋_GB2312"/>
                <w:sz w:val="24"/>
                <w:highlight w:val="none"/>
              </w:rPr>
            </w:pPr>
          </w:p>
        </w:tc>
      </w:tr>
      <w:tr w14:paraId="2CE0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FF0165B">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0D985642">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7BF2FFEE">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6E17049A">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1A0A1C64">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6B2F1751">
            <w:pPr>
              <w:autoSpaceDE w:val="0"/>
              <w:autoSpaceDN w:val="0"/>
              <w:spacing w:line="360" w:lineRule="auto"/>
              <w:jc w:val="center"/>
              <w:rPr>
                <w:rFonts w:ascii="仿宋_GB2312" w:hAnsi="仿宋_GB2312" w:eastAsia="仿宋_GB2312" w:cs="仿宋_GB2312"/>
                <w:sz w:val="24"/>
                <w:highlight w:val="none"/>
              </w:rPr>
            </w:pPr>
          </w:p>
        </w:tc>
      </w:tr>
    </w:tbl>
    <w:p w14:paraId="15ED09A3">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14:paraId="245E5466">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D0C524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5B682F8">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BEA7331">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887E09E">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D357154">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2202D56">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E32BB3B">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A6A1E7A">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6204F5E">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EDBCA9D">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2193B15">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BEC9044">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14:paraId="4D200DE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9368816">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356F47A">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46631A4">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4BE3F71">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3BD818A">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6BB30F">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3EDEC4">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A3CF0D0">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2C6F282">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54CDD1F">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7AF38DE">
            <w:pPr>
              <w:autoSpaceDE w:val="0"/>
              <w:autoSpaceDN w:val="0"/>
              <w:spacing w:line="240" w:lineRule="exact"/>
              <w:rPr>
                <w:rFonts w:ascii="仿宋_GB2312" w:hAnsi="仿宋_GB2312" w:eastAsia="仿宋_GB2312" w:cs="仿宋_GB2312"/>
                <w:sz w:val="24"/>
                <w:highlight w:val="none"/>
              </w:rPr>
            </w:pPr>
          </w:p>
        </w:tc>
      </w:tr>
      <w:tr w14:paraId="15DF65D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A90F143">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6D5FF11">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659DA6E">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D4D36F8">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1EE75CA">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9E572E">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CEB7F59">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756C59">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EE38E72">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92B38AF">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CBBD2F9">
            <w:pPr>
              <w:autoSpaceDE w:val="0"/>
              <w:autoSpaceDN w:val="0"/>
              <w:spacing w:line="240" w:lineRule="exact"/>
              <w:rPr>
                <w:rFonts w:ascii="仿宋_GB2312" w:hAnsi="仿宋_GB2312" w:eastAsia="仿宋_GB2312" w:cs="仿宋_GB2312"/>
                <w:sz w:val="24"/>
                <w:highlight w:val="none"/>
              </w:rPr>
            </w:pPr>
          </w:p>
        </w:tc>
      </w:tr>
      <w:tr w14:paraId="1A6470C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B5CFCB5">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720D1AF">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7AF41786">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E2C4CF1">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26C05E8">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EA9ED5">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45C0FE">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6C2CE1">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CCD8DD9">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CCDBC5A">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546E927">
            <w:pPr>
              <w:autoSpaceDE w:val="0"/>
              <w:autoSpaceDN w:val="0"/>
              <w:spacing w:line="240" w:lineRule="exact"/>
              <w:rPr>
                <w:rFonts w:ascii="仿宋_GB2312" w:hAnsi="仿宋_GB2312" w:eastAsia="仿宋_GB2312" w:cs="仿宋_GB2312"/>
                <w:sz w:val="24"/>
                <w:highlight w:val="none"/>
              </w:rPr>
            </w:pPr>
          </w:p>
        </w:tc>
      </w:tr>
    </w:tbl>
    <w:p w14:paraId="14E1838A">
      <w:pPr>
        <w:spacing w:line="360" w:lineRule="auto"/>
        <w:ind w:firstLine="480" w:firstLineChars="200"/>
        <w:rPr>
          <w:rFonts w:ascii="仿宋_GB2312" w:hAnsi="仿宋_GB2312" w:eastAsia="仿宋_GB2312" w:cs="仿宋_GB2312"/>
          <w:sz w:val="24"/>
          <w:szCs w:val="20"/>
          <w:highlight w:val="none"/>
        </w:rPr>
      </w:pPr>
    </w:p>
    <w:p w14:paraId="5A0BDA38">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2066C509">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5DF6316">
      <w:pPr>
        <w:spacing w:line="360" w:lineRule="auto"/>
        <w:rPr>
          <w:rFonts w:hint="eastAsia" w:ascii="仿宋_GB2312" w:hAnsi="仿宋_GB2312" w:eastAsia="仿宋_GB2312" w:cs="仿宋_GB2312"/>
          <w:b/>
          <w:sz w:val="30"/>
          <w:szCs w:val="30"/>
          <w:highlight w:val="none"/>
          <w:lang w:eastAsia="zh-CN"/>
        </w:rPr>
      </w:pPr>
    </w:p>
    <w:p w14:paraId="1DC338C2">
      <w:pPr>
        <w:pStyle w:val="79"/>
        <w:rPr>
          <w:rFonts w:hint="eastAsia"/>
          <w:highlight w:val="none"/>
          <w:lang w:eastAsia="zh-CN"/>
        </w:rPr>
      </w:pPr>
    </w:p>
    <w:p w14:paraId="7C8F1F12">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lang w:eastAsia="zh-CN"/>
        </w:rPr>
        <w:t>十</w:t>
      </w:r>
      <w:r>
        <w:rPr>
          <w:rFonts w:hint="eastAsia" w:ascii="仿宋_GB2312" w:hAnsi="仿宋_GB2312" w:eastAsia="仿宋_GB2312" w:cs="仿宋_GB2312"/>
          <w:b/>
          <w:bCs/>
          <w:sz w:val="32"/>
          <w:szCs w:val="32"/>
          <w:highlight w:val="none"/>
          <w:lang w:val="en-US" w:eastAsia="zh-CN"/>
        </w:rPr>
        <w:t>三</w:t>
      </w:r>
      <w:r>
        <w:rPr>
          <w:rFonts w:hint="eastAsia" w:ascii="仿宋_GB2312" w:hAnsi="仿宋_GB2312" w:eastAsia="仿宋_GB2312" w:cs="仿宋_GB2312"/>
          <w:b/>
          <w:sz w:val="30"/>
          <w:szCs w:val="30"/>
          <w:highlight w:val="none"/>
        </w:rPr>
        <w:t>、</w:t>
      </w:r>
      <w:r>
        <w:rPr>
          <w:rFonts w:hint="eastAsia" w:ascii="仿宋_GB2312" w:hAnsi="仿宋_GB2312" w:eastAsia="仿宋_GB2312" w:cs="仿宋_GB2312"/>
          <w:b/>
          <w:sz w:val="30"/>
          <w:szCs w:val="30"/>
          <w:highlight w:val="none"/>
          <w:lang w:eastAsia="zh-CN"/>
        </w:rPr>
        <w:t>投标人</w:t>
      </w:r>
      <w:r>
        <w:rPr>
          <w:rFonts w:hint="eastAsia" w:ascii="仿宋_GB2312" w:hAnsi="仿宋_GB2312" w:eastAsia="仿宋_GB2312" w:cs="仿宋_GB2312"/>
          <w:b/>
          <w:sz w:val="30"/>
          <w:szCs w:val="30"/>
          <w:highlight w:val="none"/>
        </w:rPr>
        <w:t>售后服务能力证明材料</w:t>
      </w:r>
    </w:p>
    <w:p w14:paraId="01BF36F5">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根据采购需求及磋商文件要求编制）</w:t>
      </w:r>
    </w:p>
    <w:p w14:paraId="1CC2408C">
      <w:pPr>
        <w:spacing w:line="336" w:lineRule="auto"/>
        <w:ind w:firstLine="3600" w:firstLineChars="1500"/>
        <w:rPr>
          <w:rFonts w:hint="eastAsia" w:ascii="仿宋" w:hAnsi="仿宋" w:eastAsia="仿宋" w:cs="仿宋"/>
          <w:sz w:val="24"/>
          <w:highlight w:val="none"/>
        </w:rPr>
      </w:pPr>
    </w:p>
    <w:p w14:paraId="23143519">
      <w:pPr>
        <w:pStyle w:val="79"/>
        <w:rPr>
          <w:rFonts w:hint="eastAsia"/>
          <w:highlight w:val="none"/>
        </w:rPr>
      </w:pPr>
    </w:p>
    <w:p w14:paraId="321F2C4A">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6D06BF7D">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BEAAF73">
      <w:pPr>
        <w:pStyle w:val="79"/>
        <w:rPr>
          <w:highlight w:val="none"/>
        </w:rPr>
      </w:pPr>
    </w:p>
    <w:p w14:paraId="7A5D8BFA">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四</w:t>
      </w:r>
      <w:r>
        <w:rPr>
          <w:rFonts w:hint="eastAsia" w:ascii="仿宋_GB2312" w:hAnsi="仿宋_GB2312" w:eastAsia="仿宋_GB2312" w:cs="仿宋_GB2312"/>
          <w:b/>
          <w:bCs/>
          <w:sz w:val="32"/>
          <w:szCs w:val="32"/>
          <w:highlight w:val="none"/>
        </w:rPr>
        <w:t>、项目小组人员名单</w:t>
      </w:r>
    </w:p>
    <w:p w14:paraId="76721E3E">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14:paraId="22CA68D9">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w:t>
      </w:r>
      <w:r>
        <w:rPr>
          <w:rFonts w:hint="eastAsia" w:ascii="仿宋_GB2312" w:hAnsi="仿宋_GB2312" w:eastAsia="仿宋_GB2312" w:cs="仿宋_GB2312"/>
          <w:b/>
          <w:sz w:val="24"/>
          <w:highlight w:val="none"/>
          <w:lang w:val="en-US" w:eastAsia="zh-CN"/>
        </w:rPr>
        <w:t>负责人</w:t>
      </w:r>
      <w:r>
        <w:rPr>
          <w:rFonts w:hint="eastAsia" w:ascii="仿宋_GB2312" w:hAnsi="仿宋_GB2312" w:eastAsia="仿宋_GB2312" w:cs="仿宋_GB2312"/>
          <w:b/>
          <w:sz w:val="24"/>
          <w:highlight w:val="none"/>
        </w:rPr>
        <w:t>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3430BFF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4E8EED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95C03DC">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F27916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1659477">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14:paraId="12F40AE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2833FF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3447150">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0EDD001">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39B74BE">
            <w:pPr>
              <w:autoSpaceDE w:val="0"/>
              <w:autoSpaceDN w:val="0"/>
              <w:spacing w:line="360" w:lineRule="auto"/>
              <w:jc w:val="center"/>
              <w:rPr>
                <w:rFonts w:ascii="仿宋_GB2312" w:hAnsi="仿宋_GB2312" w:eastAsia="仿宋_GB2312" w:cs="仿宋_GB2312"/>
                <w:sz w:val="24"/>
                <w:highlight w:val="none"/>
              </w:rPr>
            </w:pPr>
          </w:p>
        </w:tc>
      </w:tr>
      <w:tr w14:paraId="64094BC1">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932307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221D20B">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9F137A7">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F67E9D">
            <w:pPr>
              <w:autoSpaceDE w:val="0"/>
              <w:autoSpaceDN w:val="0"/>
              <w:spacing w:line="360" w:lineRule="auto"/>
              <w:jc w:val="center"/>
              <w:rPr>
                <w:rFonts w:ascii="仿宋_GB2312" w:hAnsi="仿宋_GB2312" w:eastAsia="仿宋_GB2312" w:cs="仿宋_GB2312"/>
                <w:sz w:val="24"/>
                <w:highlight w:val="none"/>
              </w:rPr>
            </w:pPr>
          </w:p>
        </w:tc>
      </w:tr>
      <w:tr w14:paraId="14861B0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0BECE2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6DF60F2">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B664A5A">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F3C556">
            <w:pPr>
              <w:autoSpaceDE w:val="0"/>
              <w:autoSpaceDN w:val="0"/>
              <w:spacing w:line="360" w:lineRule="auto"/>
              <w:jc w:val="center"/>
              <w:rPr>
                <w:rFonts w:ascii="仿宋_GB2312" w:hAnsi="仿宋_GB2312" w:eastAsia="仿宋_GB2312" w:cs="仿宋_GB2312"/>
                <w:sz w:val="24"/>
                <w:highlight w:val="none"/>
              </w:rPr>
            </w:pPr>
          </w:p>
        </w:tc>
      </w:tr>
      <w:tr w14:paraId="4782A4E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53A263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2CD1C64">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2807C24">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6A69363">
            <w:pPr>
              <w:autoSpaceDE w:val="0"/>
              <w:autoSpaceDN w:val="0"/>
              <w:spacing w:line="360" w:lineRule="auto"/>
              <w:jc w:val="center"/>
              <w:rPr>
                <w:rFonts w:ascii="仿宋_GB2312" w:hAnsi="仿宋_GB2312" w:eastAsia="仿宋_GB2312" w:cs="仿宋_GB2312"/>
                <w:sz w:val="24"/>
                <w:highlight w:val="none"/>
              </w:rPr>
            </w:pPr>
          </w:p>
        </w:tc>
      </w:tr>
      <w:tr w14:paraId="727CCAF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F530B9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9D671F7">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78EC058">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90E0124">
            <w:pPr>
              <w:autoSpaceDE w:val="0"/>
              <w:autoSpaceDN w:val="0"/>
              <w:spacing w:line="360" w:lineRule="auto"/>
              <w:jc w:val="center"/>
              <w:rPr>
                <w:rFonts w:ascii="仿宋_GB2312" w:hAnsi="仿宋_GB2312" w:eastAsia="仿宋_GB2312" w:cs="仿宋_GB2312"/>
                <w:sz w:val="24"/>
                <w:highlight w:val="none"/>
              </w:rPr>
            </w:pPr>
          </w:p>
        </w:tc>
      </w:tr>
      <w:tr w14:paraId="73D35B1E">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AA75F1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07C4204">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776649C">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6CB0AEB">
            <w:pPr>
              <w:autoSpaceDE w:val="0"/>
              <w:autoSpaceDN w:val="0"/>
              <w:spacing w:line="360" w:lineRule="auto"/>
              <w:jc w:val="center"/>
              <w:rPr>
                <w:rFonts w:ascii="仿宋_GB2312" w:hAnsi="仿宋_GB2312" w:eastAsia="仿宋_GB2312" w:cs="仿宋_GB2312"/>
                <w:sz w:val="24"/>
                <w:highlight w:val="none"/>
              </w:rPr>
            </w:pPr>
          </w:p>
        </w:tc>
      </w:tr>
      <w:tr w14:paraId="43D5E79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9DCFD2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2B33516">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613864">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4602AE">
            <w:pPr>
              <w:autoSpaceDE w:val="0"/>
              <w:autoSpaceDN w:val="0"/>
              <w:spacing w:line="360" w:lineRule="auto"/>
              <w:jc w:val="center"/>
              <w:rPr>
                <w:rFonts w:ascii="仿宋_GB2312" w:hAnsi="仿宋_GB2312" w:eastAsia="仿宋_GB2312" w:cs="仿宋_GB2312"/>
                <w:sz w:val="24"/>
                <w:highlight w:val="none"/>
              </w:rPr>
            </w:pPr>
          </w:p>
        </w:tc>
      </w:tr>
      <w:tr w14:paraId="172AAC9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D72C28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358B180">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9DA63B5">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E62A376">
            <w:pPr>
              <w:autoSpaceDE w:val="0"/>
              <w:autoSpaceDN w:val="0"/>
              <w:spacing w:line="360" w:lineRule="auto"/>
              <w:jc w:val="center"/>
              <w:rPr>
                <w:rFonts w:ascii="仿宋_GB2312" w:hAnsi="仿宋_GB2312" w:eastAsia="仿宋_GB2312" w:cs="仿宋_GB2312"/>
                <w:sz w:val="24"/>
                <w:highlight w:val="none"/>
              </w:rPr>
            </w:pPr>
          </w:p>
        </w:tc>
      </w:tr>
      <w:tr w14:paraId="38003FD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0A8F92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9A365F7">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5D11E19">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3CF47CF">
            <w:pPr>
              <w:autoSpaceDE w:val="0"/>
              <w:autoSpaceDN w:val="0"/>
              <w:spacing w:line="360" w:lineRule="auto"/>
              <w:jc w:val="center"/>
              <w:rPr>
                <w:rFonts w:ascii="仿宋_GB2312" w:hAnsi="仿宋_GB2312" w:eastAsia="仿宋_GB2312" w:cs="仿宋_GB2312"/>
                <w:sz w:val="24"/>
                <w:highlight w:val="none"/>
              </w:rPr>
            </w:pPr>
          </w:p>
        </w:tc>
      </w:tr>
    </w:tbl>
    <w:p w14:paraId="51DAC821">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65FA5282">
      <w:pPr>
        <w:autoSpaceDE w:val="0"/>
        <w:autoSpaceDN w:val="0"/>
        <w:spacing w:line="360" w:lineRule="auto"/>
        <w:rPr>
          <w:rFonts w:hint="eastAsia" w:ascii="仿宋_GB2312" w:hAnsi="仿宋_GB2312" w:eastAsia="仿宋_GB2312" w:cs="仿宋_GB2312"/>
          <w:b/>
          <w:sz w:val="24"/>
          <w:highlight w:val="none"/>
        </w:rPr>
      </w:pPr>
    </w:p>
    <w:p w14:paraId="72A3AF84">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2"/>
        <w:tblW w:w="9353" w:type="dxa"/>
        <w:tblInd w:w="-215" w:type="dxa"/>
        <w:tblLayout w:type="fixed"/>
        <w:tblCellMar>
          <w:top w:w="0" w:type="dxa"/>
          <w:left w:w="108" w:type="dxa"/>
          <w:bottom w:w="0" w:type="dxa"/>
          <w:right w:w="108" w:type="dxa"/>
        </w:tblCellMar>
      </w:tblPr>
      <w:tblGrid>
        <w:gridCol w:w="743"/>
        <w:gridCol w:w="787"/>
        <w:gridCol w:w="412"/>
        <w:gridCol w:w="586"/>
        <w:gridCol w:w="1035"/>
        <w:gridCol w:w="1080"/>
        <w:gridCol w:w="1080"/>
        <w:gridCol w:w="1260"/>
        <w:gridCol w:w="900"/>
        <w:gridCol w:w="1470"/>
      </w:tblGrid>
      <w:tr w14:paraId="34723409">
        <w:tblPrEx>
          <w:tblCellMar>
            <w:top w:w="0" w:type="dxa"/>
            <w:left w:w="108" w:type="dxa"/>
            <w:bottom w:w="0" w:type="dxa"/>
            <w:right w:w="108" w:type="dxa"/>
          </w:tblCellMar>
        </w:tblPrEx>
        <w:tc>
          <w:tcPr>
            <w:tcW w:w="743" w:type="dxa"/>
            <w:tcBorders>
              <w:top w:val="single" w:color="auto" w:sz="6" w:space="0"/>
              <w:left w:val="single" w:color="auto" w:sz="6" w:space="0"/>
              <w:bottom w:val="single" w:color="auto" w:sz="6" w:space="0"/>
              <w:right w:val="single" w:color="auto" w:sz="6" w:space="0"/>
            </w:tcBorders>
            <w:vAlign w:val="center"/>
          </w:tcPr>
          <w:p w14:paraId="42B363D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B8CAC2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CC1856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7B2AA9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024AA7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14:paraId="35FE79C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A67DB6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14:paraId="044771E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375CA7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14:paraId="6E26A5C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B87488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1A4C8E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2F4B4C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14:paraId="7E07FB3F">
        <w:tblPrEx>
          <w:tblCellMar>
            <w:top w:w="0" w:type="dxa"/>
            <w:left w:w="108" w:type="dxa"/>
            <w:bottom w:w="0" w:type="dxa"/>
            <w:right w:w="108" w:type="dxa"/>
          </w:tblCellMar>
        </w:tblPrEx>
        <w:trPr>
          <w:trHeight w:val="479" w:hRule="atLeast"/>
        </w:trPr>
        <w:tc>
          <w:tcPr>
            <w:tcW w:w="743" w:type="dxa"/>
            <w:tcBorders>
              <w:top w:val="single" w:color="auto" w:sz="6" w:space="0"/>
              <w:left w:val="single" w:color="auto" w:sz="6" w:space="0"/>
              <w:bottom w:val="single" w:color="auto" w:sz="6" w:space="0"/>
              <w:right w:val="single" w:color="auto" w:sz="6" w:space="0"/>
            </w:tcBorders>
          </w:tcPr>
          <w:p w14:paraId="533B5031">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CAEDBE5">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8BB3355">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796F7F4">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3DC5128">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0283BE">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D7F949">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CD25328">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021B10C">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02274D0">
            <w:pPr>
              <w:autoSpaceDE w:val="0"/>
              <w:autoSpaceDN w:val="0"/>
              <w:spacing w:line="360" w:lineRule="auto"/>
              <w:rPr>
                <w:rFonts w:ascii="仿宋_GB2312" w:hAnsi="仿宋_GB2312" w:eastAsia="仿宋_GB2312" w:cs="仿宋_GB2312"/>
                <w:sz w:val="24"/>
                <w:highlight w:val="none"/>
              </w:rPr>
            </w:pPr>
          </w:p>
        </w:tc>
      </w:tr>
      <w:tr w14:paraId="7C74FE5D">
        <w:tblPrEx>
          <w:tblCellMar>
            <w:top w:w="0" w:type="dxa"/>
            <w:left w:w="108" w:type="dxa"/>
            <w:bottom w:w="0" w:type="dxa"/>
            <w:right w:w="108" w:type="dxa"/>
          </w:tblCellMar>
        </w:tblPrEx>
        <w:trPr>
          <w:trHeight w:val="473" w:hRule="atLeast"/>
        </w:trPr>
        <w:tc>
          <w:tcPr>
            <w:tcW w:w="743" w:type="dxa"/>
            <w:tcBorders>
              <w:top w:val="single" w:color="auto" w:sz="6" w:space="0"/>
              <w:left w:val="single" w:color="auto" w:sz="6" w:space="0"/>
              <w:bottom w:val="single" w:color="auto" w:sz="6" w:space="0"/>
              <w:right w:val="single" w:color="auto" w:sz="6" w:space="0"/>
            </w:tcBorders>
          </w:tcPr>
          <w:p w14:paraId="339A1368">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824CCD1">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E7D0D6C">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08739D3">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0058A97">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D81599">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F85CC24">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86E253C">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D62B7C4">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9CE0D29">
            <w:pPr>
              <w:autoSpaceDE w:val="0"/>
              <w:autoSpaceDN w:val="0"/>
              <w:spacing w:line="360" w:lineRule="auto"/>
              <w:rPr>
                <w:rFonts w:ascii="仿宋_GB2312" w:hAnsi="仿宋_GB2312" w:eastAsia="仿宋_GB2312" w:cs="仿宋_GB2312"/>
                <w:sz w:val="24"/>
                <w:highlight w:val="none"/>
              </w:rPr>
            </w:pPr>
          </w:p>
        </w:tc>
      </w:tr>
    </w:tbl>
    <w:p w14:paraId="6FE61AFC">
      <w:pPr>
        <w:spacing w:line="360" w:lineRule="auto"/>
        <w:rPr>
          <w:rFonts w:hint="eastAsia" w:ascii="仿宋_GB2312" w:hAnsi="仿宋_GB2312" w:eastAsia="仿宋_GB2312" w:cs="仿宋_GB2312"/>
          <w:b/>
          <w:sz w:val="24"/>
          <w:highlight w:val="none"/>
        </w:rPr>
      </w:pPr>
    </w:p>
    <w:p w14:paraId="5FF7CBDD">
      <w:pPr>
        <w:spacing w:line="360" w:lineRule="auto"/>
        <w:rPr>
          <w:rFonts w:hint="eastAsia" w:ascii="仿宋_GB2312" w:hAnsi="仿宋_GB2312" w:eastAsia="仿宋_GB2312" w:cs="仿宋_GB2312"/>
          <w:b/>
          <w:sz w:val="24"/>
          <w:highlight w:val="none"/>
        </w:rPr>
      </w:pPr>
    </w:p>
    <w:p w14:paraId="6C5260BA">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附表C:本项目的项目负责人社会保障资金记录情况表</w:t>
      </w:r>
      <w:r>
        <w:rPr>
          <w:rFonts w:hint="eastAsia" w:ascii="仿宋_GB2312" w:hAnsi="仿宋_GB2312" w:eastAsia="仿宋_GB2312" w:cs="仿宋_GB2312"/>
          <w:sz w:val="24"/>
          <w:highlight w:val="none"/>
        </w:rPr>
        <w:t>（以社保部门出具缴纳凭证作附件）</w:t>
      </w:r>
    </w:p>
    <w:p w14:paraId="11D67B49">
      <w:pPr>
        <w:spacing w:line="360" w:lineRule="auto"/>
        <w:ind w:firstLine="480" w:firstLineChars="200"/>
        <w:rPr>
          <w:rFonts w:ascii="仿宋_GB2312" w:hAnsi="仿宋_GB2312" w:eastAsia="仿宋_GB2312" w:cs="仿宋_GB2312"/>
          <w:sz w:val="24"/>
          <w:szCs w:val="20"/>
          <w:highlight w:val="none"/>
        </w:rPr>
      </w:pPr>
    </w:p>
    <w:p w14:paraId="750B7D13">
      <w:pPr>
        <w:spacing w:line="336" w:lineRule="auto"/>
        <w:jc w:val="center"/>
        <w:rPr>
          <w:rFonts w:ascii="仿宋" w:hAnsi="仿宋" w:eastAsia="仿宋" w:cs="仿宋"/>
          <w:sz w:val="24"/>
          <w:highlight w:val="none"/>
        </w:rPr>
      </w:pP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14:paraId="0C20D201">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6CE5BD9">
      <w:pPr>
        <w:pStyle w:val="25"/>
        <w:rPr>
          <w:rFonts w:hint="eastAsia"/>
          <w:highlight w:val="none"/>
          <w:lang w:val="zh-CN"/>
        </w:rPr>
      </w:pPr>
    </w:p>
    <w:p w14:paraId="3D08F594">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五</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优惠条件及特殊承诺</w:t>
      </w:r>
    </w:p>
    <w:p w14:paraId="48B64B35">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583E8263">
      <w:pPr>
        <w:spacing w:line="360" w:lineRule="auto"/>
        <w:rPr>
          <w:rFonts w:ascii="仿宋_GB2312" w:hAnsi="仿宋_GB2312" w:eastAsia="仿宋_GB2312" w:cs="仿宋_GB2312"/>
          <w:sz w:val="18"/>
          <w:szCs w:val="18"/>
          <w:highlight w:val="none"/>
        </w:rPr>
      </w:pPr>
    </w:p>
    <w:p w14:paraId="66D16291">
      <w:pPr>
        <w:pStyle w:val="79"/>
        <w:rPr>
          <w:highlight w:val="none"/>
        </w:rPr>
      </w:pPr>
    </w:p>
    <w:p w14:paraId="37A52E0F">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0566981F">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2E1AA879">
      <w:pPr>
        <w:spacing w:line="360" w:lineRule="auto"/>
        <w:rPr>
          <w:rFonts w:ascii="仿宋_GB2312" w:hAnsi="仿宋_GB2312" w:eastAsia="仿宋_GB2312" w:cs="仿宋_GB2312"/>
          <w:b/>
          <w:bCs/>
          <w:sz w:val="18"/>
          <w:szCs w:val="18"/>
          <w:highlight w:val="none"/>
        </w:rPr>
      </w:pPr>
    </w:p>
    <w:p w14:paraId="3E2B4529">
      <w:pPr>
        <w:spacing w:line="360" w:lineRule="auto"/>
        <w:rPr>
          <w:rFonts w:ascii="仿宋_GB2312" w:hAnsi="仿宋_GB2312" w:eastAsia="仿宋_GB2312" w:cs="仿宋_GB2312"/>
          <w:b/>
          <w:bCs/>
          <w:sz w:val="32"/>
          <w:szCs w:val="32"/>
          <w:highlight w:val="none"/>
        </w:rPr>
      </w:pPr>
    </w:p>
    <w:p w14:paraId="31385461">
      <w:pPr>
        <w:spacing w:line="360" w:lineRule="auto"/>
        <w:rPr>
          <w:rFonts w:ascii="仿宋_GB2312" w:hAnsi="仿宋_GB2312" w:eastAsia="仿宋_GB2312" w:cs="仿宋_GB2312"/>
          <w:b/>
          <w:bCs/>
          <w:sz w:val="32"/>
          <w:szCs w:val="32"/>
          <w:highlight w:val="none"/>
        </w:rPr>
      </w:pPr>
    </w:p>
    <w:p w14:paraId="2FED5138">
      <w:pPr>
        <w:spacing w:line="360" w:lineRule="auto"/>
        <w:rPr>
          <w:rFonts w:ascii="仿宋_GB2312" w:hAnsi="仿宋_GB2312" w:eastAsia="仿宋_GB2312" w:cs="仿宋_GB2312"/>
          <w:b/>
          <w:bCs/>
          <w:sz w:val="32"/>
          <w:szCs w:val="32"/>
          <w:highlight w:val="none"/>
        </w:rPr>
      </w:pPr>
    </w:p>
    <w:p w14:paraId="3F845628">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六</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备品备件及供选择的配套零部件清单</w:t>
      </w:r>
    </w:p>
    <w:p w14:paraId="70829FCA">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54BDB453">
      <w:pPr>
        <w:snapToGrid w:val="0"/>
        <w:spacing w:line="360" w:lineRule="auto"/>
        <w:ind w:right="960"/>
        <w:jc w:val="right"/>
        <w:rPr>
          <w:rFonts w:ascii="仿宋_GB2312" w:hAnsi="仿宋_GB2312" w:eastAsia="仿宋_GB2312" w:cs="仿宋_GB2312"/>
          <w:kern w:val="0"/>
          <w:sz w:val="24"/>
          <w:highlight w:val="none"/>
          <w:lang w:val="zh-CN"/>
        </w:rPr>
      </w:pPr>
    </w:p>
    <w:p w14:paraId="5099B926">
      <w:pPr>
        <w:snapToGrid w:val="0"/>
        <w:spacing w:line="360" w:lineRule="auto"/>
        <w:ind w:right="960"/>
        <w:jc w:val="right"/>
        <w:rPr>
          <w:rFonts w:ascii="仿宋_GB2312" w:hAnsi="仿宋_GB2312" w:eastAsia="仿宋_GB2312" w:cs="仿宋_GB2312"/>
          <w:kern w:val="0"/>
          <w:sz w:val="24"/>
          <w:highlight w:val="none"/>
          <w:lang w:val="zh-CN"/>
        </w:rPr>
      </w:pPr>
    </w:p>
    <w:p w14:paraId="62666B23">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49D896A9">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F8A8044">
      <w:pPr>
        <w:spacing w:line="360" w:lineRule="auto"/>
        <w:rPr>
          <w:rFonts w:ascii="仿宋_GB2312" w:hAnsi="仿宋_GB2312" w:eastAsia="仿宋_GB2312" w:cs="仿宋_GB2312"/>
          <w:b/>
          <w:bCs/>
          <w:sz w:val="32"/>
          <w:szCs w:val="32"/>
          <w:highlight w:val="none"/>
        </w:rPr>
      </w:pPr>
    </w:p>
    <w:p w14:paraId="71061F65">
      <w:pPr>
        <w:spacing w:line="360" w:lineRule="auto"/>
        <w:rPr>
          <w:rFonts w:ascii="仿宋_GB2312" w:hAnsi="仿宋_GB2312" w:eastAsia="仿宋_GB2312" w:cs="仿宋_GB2312"/>
          <w:b/>
          <w:bCs/>
          <w:sz w:val="32"/>
          <w:szCs w:val="32"/>
          <w:highlight w:val="none"/>
        </w:rPr>
      </w:pPr>
    </w:p>
    <w:p w14:paraId="64A31EB6">
      <w:pPr>
        <w:spacing w:line="360" w:lineRule="auto"/>
        <w:rPr>
          <w:rFonts w:ascii="仿宋_GB2312" w:hAnsi="仿宋_GB2312" w:eastAsia="仿宋_GB2312" w:cs="仿宋_GB2312"/>
          <w:b/>
          <w:bCs/>
          <w:sz w:val="32"/>
          <w:szCs w:val="32"/>
          <w:highlight w:val="none"/>
        </w:rPr>
      </w:pPr>
    </w:p>
    <w:p w14:paraId="17E18868">
      <w:pPr>
        <w:spacing w:line="360" w:lineRule="auto"/>
        <w:rPr>
          <w:rFonts w:ascii="仿宋_GB2312" w:hAnsi="仿宋_GB2312" w:eastAsia="仿宋_GB2312" w:cs="仿宋_GB2312"/>
          <w:b/>
          <w:bCs/>
          <w:sz w:val="32"/>
          <w:szCs w:val="32"/>
          <w:highlight w:val="none"/>
        </w:rPr>
      </w:pPr>
    </w:p>
    <w:p w14:paraId="0FB5D1FA">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七</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培训计划</w:t>
      </w:r>
    </w:p>
    <w:p w14:paraId="5D71E186">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0B1B11B0">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690B75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EACA704">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F5DC80A">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B521614">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8197541">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8EE587D">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14E898CD">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D3F01CB">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14:paraId="146718C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6517D5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14:paraId="170B32C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14:paraId="0556834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14:paraId="0580B05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14:paraId="2A9460D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14:paraId="61B8ABE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14:paraId="2E026370">
            <w:pPr>
              <w:suppressAutoHyphens/>
              <w:autoSpaceDE w:val="0"/>
              <w:autoSpaceDN w:val="0"/>
              <w:spacing w:line="360" w:lineRule="auto"/>
              <w:rPr>
                <w:rFonts w:ascii="仿宋_GB2312" w:hAnsi="仿宋_GB2312" w:eastAsia="仿宋_GB2312" w:cs="仿宋_GB2312"/>
                <w:sz w:val="24"/>
                <w:highlight w:val="none"/>
              </w:rPr>
            </w:pPr>
          </w:p>
        </w:tc>
      </w:tr>
      <w:tr w14:paraId="39B8038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084B5A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C049FB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77C4DA5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70C4C9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3FF580B">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0DFD8CF">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F409D61">
            <w:pPr>
              <w:suppressAutoHyphens/>
              <w:autoSpaceDE w:val="0"/>
              <w:autoSpaceDN w:val="0"/>
              <w:spacing w:line="360" w:lineRule="auto"/>
              <w:rPr>
                <w:rFonts w:ascii="仿宋_GB2312" w:hAnsi="仿宋_GB2312" w:eastAsia="仿宋_GB2312" w:cs="仿宋_GB2312"/>
                <w:sz w:val="24"/>
                <w:highlight w:val="none"/>
              </w:rPr>
            </w:pPr>
          </w:p>
        </w:tc>
      </w:tr>
    </w:tbl>
    <w:p w14:paraId="0D3A57C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14:paraId="29AD7D5E">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14:paraId="54ED418F">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14:paraId="17F1B484">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14:paraId="2E0F2E7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14:paraId="7B2DD077">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14:paraId="65A7FB10">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14:paraId="581DED15">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4A78B380">
      <w:pPr>
        <w:spacing w:line="360" w:lineRule="auto"/>
        <w:ind w:firstLine="480" w:firstLineChars="200"/>
        <w:rPr>
          <w:rFonts w:ascii="仿宋_GB2312" w:hAnsi="仿宋_GB2312" w:eastAsia="仿宋_GB2312" w:cs="仿宋_GB2312"/>
          <w:sz w:val="24"/>
          <w:szCs w:val="20"/>
          <w:highlight w:val="none"/>
        </w:rPr>
      </w:pPr>
    </w:p>
    <w:p w14:paraId="62B69798">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409033AE">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459C7C3F">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八</w:t>
      </w:r>
      <w:r>
        <w:rPr>
          <w:rFonts w:hint="eastAsia" w:ascii="仿宋_GB2312" w:hAnsi="仿宋_GB2312" w:eastAsia="仿宋_GB2312" w:cs="仿宋_GB2312"/>
          <w:b/>
          <w:bCs/>
          <w:sz w:val="32"/>
          <w:szCs w:val="32"/>
          <w:highlight w:val="none"/>
        </w:rPr>
        <w:t>、验收方案</w:t>
      </w:r>
    </w:p>
    <w:p w14:paraId="0452370A">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5ECA977E">
      <w:pPr>
        <w:spacing w:line="360" w:lineRule="auto"/>
        <w:jc w:val="center"/>
        <w:rPr>
          <w:rFonts w:ascii="仿宋_GB2312" w:hAnsi="仿宋_GB2312" w:eastAsia="仿宋_GB2312" w:cs="仿宋_GB2312"/>
          <w:sz w:val="24"/>
          <w:highlight w:val="none"/>
        </w:rPr>
      </w:pPr>
    </w:p>
    <w:p w14:paraId="26F3ABCA">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7C3054DB">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457CF7E9">
      <w:pPr>
        <w:spacing w:line="360" w:lineRule="auto"/>
        <w:jc w:val="center"/>
        <w:rPr>
          <w:rFonts w:ascii="仿宋_GB2312" w:hAnsi="仿宋_GB2312" w:eastAsia="仿宋_GB2312" w:cs="仿宋_GB2312"/>
          <w:b/>
          <w:bCs/>
          <w:sz w:val="30"/>
          <w:szCs w:val="30"/>
          <w:highlight w:val="none"/>
        </w:rPr>
      </w:pPr>
    </w:p>
    <w:p w14:paraId="5F8AC9AC">
      <w:pPr>
        <w:spacing w:line="360" w:lineRule="auto"/>
        <w:jc w:val="center"/>
        <w:rPr>
          <w:rFonts w:ascii="仿宋_GB2312" w:hAnsi="仿宋_GB2312" w:eastAsia="仿宋_GB2312" w:cs="仿宋_GB2312"/>
          <w:b/>
          <w:bCs/>
          <w:sz w:val="30"/>
          <w:szCs w:val="30"/>
          <w:highlight w:val="none"/>
        </w:rPr>
      </w:pPr>
    </w:p>
    <w:p w14:paraId="46B3F2E9">
      <w:pPr>
        <w:spacing w:line="360" w:lineRule="auto"/>
        <w:jc w:val="center"/>
        <w:rPr>
          <w:rFonts w:ascii="仿宋_GB2312" w:hAnsi="仿宋_GB2312" w:eastAsia="仿宋_GB2312" w:cs="仿宋_GB2312"/>
          <w:b/>
          <w:bCs/>
          <w:sz w:val="24"/>
          <w:highlight w:val="none"/>
        </w:rPr>
      </w:pPr>
    </w:p>
    <w:p w14:paraId="5B6768E8">
      <w:pPr>
        <w:spacing w:line="360" w:lineRule="auto"/>
        <w:jc w:val="center"/>
        <w:rPr>
          <w:rFonts w:ascii="仿宋_GB2312" w:hAnsi="仿宋_GB2312" w:eastAsia="仿宋_GB2312" w:cs="仿宋_GB2312"/>
          <w:b/>
          <w:bCs/>
          <w:sz w:val="24"/>
          <w:highlight w:val="none"/>
        </w:rPr>
      </w:pPr>
    </w:p>
    <w:p w14:paraId="239F0971">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九</w:t>
      </w:r>
      <w:r>
        <w:rPr>
          <w:rFonts w:hint="eastAsia" w:ascii="仿宋_GB2312" w:hAnsi="仿宋_GB2312" w:eastAsia="仿宋_GB2312" w:cs="仿宋_GB2312"/>
          <w:b/>
          <w:bCs/>
          <w:sz w:val="32"/>
          <w:szCs w:val="32"/>
          <w:highlight w:val="none"/>
        </w:rPr>
        <w:t>、认为需要的</w:t>
      </w:r>
      <w:r>
        <w:rPr>
          <w:rFonts w:hint="eastAsia" w:ascii="仿宋_GB2312" w:hAnsi="仿宋_GB2312" w:eastAsia="仿宋_GB2312" w:cs="仿宋_GB2312"/>
          <w:b/>
          <w:kern w:val="0"/>
          <w:sz w:val="32"/>
          <w:szCs w:val="32"/>
          <w:highlight w:val="none"/>
          <w:lang w:val="zh-CN"/>
        </w:rPr>
        <w:t>其</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他商务技术文件或</w:t>
      </w:r>
      <w:r>
        <w:rPr>
          <w:rFonts w:hint="eastAsia" w:ascii="仿宋_GB2312" w:hAnsi="仿宋_GB2312" w:eastAsia="仿宋_GB2312" w:cs="仿宋_GB2312"/>
          <w:b/>
          <w:kern w:val="0"/>
          <w:sz w:val="32"/>
          <w:szCs w:val="32"/>
          <w:highlight w:val="none"/>
          <w:lang w:val="zh-CN"/>
        </w:rPr>
        <w:t>说明</w:t>
      </w:r>
    </w:p>
    <w:p w14:paraId="25459722">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4B5AEDEE">
      <w:pPr>
        <w:spacing w:line="360" w:lineRule="auto"/>
        <w:rPr>
          <w:rFonts w:ascii="仿宋_GB2312" w:hAnsi="仿宋_GB2312" w:eastAsia="仿宋_GB2312" w:cs="仿宋_GB2312"/>
          <w:sz w:val="24"/>
          <w:highlight w:val="none"/>
        </w:rPr>
      </w:pPr>
    </w:p>
    <w:p w14:paraId="46165B82">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23D2603A">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3A8E8D5D">
      <w:pPr>
        <w:pStyle w:val="80"/>
        <w:rPr>
          <w:rFonts w:hint="eastAsia"/>
          <w:highlight w:val="none"/>
        </w:rPr>
        <w:sectPr>
          <w:pgSz w:w="11906" w:h="16838"/>
          <w:pgMar w:top="1276" w:right="1418" w:bottom="1247" w:left="1418" w:header="851" w:footer="992" w:gutter="0"/>
          <w:pgNumType w:fmt="decimal"/>
          <w:cols w:space="720" w:num="1"/>
          <w:titlePg/>
          <w:docGrid w:linePitch="312" w:charSpace="0"/>
        </w:sectPr>
      </w:pPr>
    </w:p>
    <w:p w14:paraId="191E645E">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14:paraId="70658CD5">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38D29842">
      <w:pPr>
        <w:spacing w:line="360" w:lineRule="auto"/>
        <w:jc w:val="center"/>
        <w:outlineLvl w:val="0"/>
        <w:rPr>
          <w:rFonts w:hint="eastAsia" w:ascii="仿宋" w:hAnsi="仿宋" w:eastAsia="仿宋" w:cs="仿宋"/>
          <w:b/>
          <w:kern w:val="0"/>
          <w:sz w:val="36"/>
          <w:szCs w:val="36"/>
          <w:highlight w:val="none"/>
        </w:rPr>
      </w:pPr>
    </w:p>
    <w:p w14:paraId="40B479A2">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14:paraId="74B0A74A">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（2）投标报价明细表………………………………………………………………（页码）</w:t>
      </w:r>
    </w:p>
    <w:p w14:paraId="77480054">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）中小企业声明函………………………………………………………………（页码）</w:t>
      </w:r>
    </w:p>
    <w:p w14:paraId="056B7AB4">
      <w:pPr>
        <w:pStyle w:val="23"/>
        <w:numPr>
          <w:ilvl w:val="0"/>
          <w:numId w:val="0"/>
        </w:numPr>
        <w:snapToGrid w:val="0"/>
        <w:spacing w:line="360" w:lineRule="auto"/>
        <w:rPr>
          <w:rFonts w:hint="eastAsia" w:ascii="仿宋" w:hAnsi="仿宋" w:eastAsia="仿宋" w:cs="仿宋"/>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w:t>
      </w:r>
      <w:r>
        <w:rPr>
          <w:rFonts w:hint="eastAsia" w:ascii="仿宋" w:hAnsi="仿宋" w:eastAsia="仿宋" w:cs="仿宋"/>
          <w:b w:val="0"/>
          <w:bCs w:val="0"/>
          <w:i w:val="0"/>
          <w:iCs w:val="0"/>
          <w:color w:val="auto"/>
          <w:kern w:val="2"/>
          <w:sz w:val="24"/>
          <w:szCs w:val="24"/>
          <w:highlight w:val="none"/>
          <w:vertAlign w:val="baseline"/>
          <w:lang w:val="en-US" w:eastAsia="zh-CN" w:bidi="ar-SA"/>
        </w:rPr>
        <w:t>4</w:t>
      </w:r>
      <w:r>
        <w:rPr>
          <w:rFonts w:hint="default" w:ascii="仿宋" w:hAnsi="仿宋" w:eastAsia="仿宋" w:cs="仿宋"/>
          <w:b w:val="0"/>
          <w:bCs w:val="0"/>
          <w:i w:val="0"/>
          <w:iCs w:val="0"/>
          <w:color w:val="auto"/>
          <w:kern w:val="2"/>
          <w:sz w:val="24"/>
          <w:szCs w:val="24"/>
          <w:highlight w:val="none"/>
          <w:vertAlign w:val="baseline"/>
          <w:lang w:val="en-US" w:eastAsia="zh-CN" w:bidi="ar-SA"/>
        </w:rPr>
        <w:t>）残疾人福利性单位声明函……………………………………………………（页码）</w:t>
      </w:r>
    </w:p>
    <w:p w14:paraId="15DEEA47">
      <w:pPr>
        <w:snapToGrid w:val="0"/>
        <w:spacing w:line="360" w:lineRule="auto"/>
        <w:ind w:right="480"/>
        <w:jc w:val="center"/>
        <w:rPr>
          <w:rFonts w:hint="eastAsia" w:ascii="仿宋" w:hAnsi="仿宋" w:eastAsia="仿宋" w:cs="仿宋"/>
          <w:b/>
          <w:kern w:val="0"/>
          <w:sz w:val="32"/>
          <w:szCs w:val="32"/>
          <w:highlight w:val="none"/>
        </w:rPr>
      </w:pPr>
    </w:p>
    <w:p w14:paraId="19A8DC26">
      <w:pPr>
        <w:snapToGrid w:val="0"/>
        <w:spacing w:line="360" w:lineRule="auto"/>
        <w:ind w:right="480"/>
        <w:jc w:val="center"/>
        <w:rPr>
          <w:rFonts w:hint="eastAsia" w:ascii="仿宋" w:hAnsi="仿宋" w:eastAsia="仿宋" w:cs="仿宋"/>
          <w:b/>
          <w:kern w:val="0"/>
          <w:sz w:val="32"/>
          <w:szCs w:val="32"/>
          <w:highlight w:val="none"/>
        </w:rPr>
      </w:pPr>
    </w:p>
    <w:p w14:paraId="7D22AEF8">
      <w:pPr>
        <w:snapToGrid w:val="0"/>
        <w:spacing w:line="360" w:lineRule="auto"/>
        <w:ind w:right="480"/>
        <w:jc w:val="center"/>
        <w:rPr>
          <w:rFonts w:hint="eastAsia" w:ascii="仿宋" w:hAnsi="仿宋" w:eastAsia="仿宋" w:cs="仿宋"/>
          <w:b/>
          <w:kern w:val="0"/>
          <w:sz w:val="32"/>
          <w:szCs w:val="32"/>
          <w:highlight w:val="none"/>
        </w:rPr>
      </w:pPr>
    </w:p>
    <w:p w14:paraId="04E46EAB">
      <w:pPr>
        <w:snapToGrid w:val="0"/>
        <w:spacing w:line="360" w:lineRule="auto"/>
        <w:ind w:right="480"/>
        <w:jc w:val="center"/>
        <w:rPr>
          <w:rFonts w:hint="eastAsia" w:ascii="仿宋" w:hAnsi="仿宋" w:eastAsia="仿宋" w:cs="仿宋"/>
          <w:b/>
          <w:kern w:val="0"/>
          <w:sz w:val="32"/>
          <w:szCs w:val="32"/>
          <w:highlight w:val="none"/>
        </w:rPr>
      </w:pPr>
    </w:p>
    <w:p w14:paraId="04BCDE16">
      <w:pPr>
        <w:snapToGrid w:val="0"/>
        <w:spacing w:line="360" w:lineRule="auto"/>
        <w:ind w:right="480"/>
        <w:jc w:val="center"/>
        <w:rPr>
          <w:rFonts w:hint="eastAsia" w:ascii="仿宋" w:hAnsi="仿宋" w:eastAsia="仿宋" w:cs="仿宋"/>
          <w:b/>
          <w:kern w:val="0"/>
          <w:sz w:val="32"/>
          <w:szCs w:val="32"/>
          <w:highlight w:val="none"/>
        </w:rPr>
      </w:pPr>
    </w:p>
    <w:p w14:paraId="19F9436C">
      <w:pPr>
        <w:snapToGrid w:val="0"/>
        <w:spacing w:line="360" w:lineRule="auto"/>
        <w:ind w:right="480"/>
        <w:jc w:val="center"/>
        <w:rPr>
          <w:rFonts w:hint="eastAsia" w:ascii="仿宋" w:hAnsi="仿宋" w:eastAsia="仿宋" w:cs="仿宋"/>
          <w:b/>
          <w:kern w:val="0"/>
          <w:sz w:val="32"/>
          <w:szCs w:val="32"/>
          <w:highlight w:val="none"/>
        </w:rPr>
      </w:pPr>
    </w:p>
    <w:p w14:paraId="5306F9F8">
      <w:pPr>
        <w:snapToGrid w:val="0"/>
        <w:spacing w:line="360" w:lineRule="auto"/>
        <w:ind w:right="480"/>
        <w:jc w:val="center"/>
        <w:rPr>
          <w:rFonts w:hint="eastAsia" w:ascii="仿宋" w:hAnsi="仿宋" w:eastAsia="仿宋" w:cs="仿宋"/>
          <w:b/>
          <w:kern w:val="0"/>
          <w:sz w:val="32"/>
          <w:szCs w:val="32"/>
          <w:highlight w:val="none"/>
        </w:rPr>
      </w:pPr>
    </w:p>
    <w:p w14:paraId="4798E93C">
      <w:pPr>
        <w:snapToGrid w:val="0"/>
        <w:spacing w:line="360" w:lineRule="auto"/>
        <w:ind w:right="480"/>
        <w:jc w:val="center"/>
        <w:rPr>
          <w:rFonts w:hint="eastAsia" w:ascii="仿宋" w:hAnsi="仿宋" w:eastAsia="仿宋" w:cs="仿宋"/>
          <w:b/>
          <w:kern w:val="0"/>
          <w:sz w:val="32"/>
          <w:szCs w:val="32"/>
          <w:highlight w:val="none"/>
        </w:rPr>
      </w:pPr>
    </w:p>
    <w:p w14:paraId="6FAE3EB5">
      <w:pPr>
        <w:snapToGrid w:val="0"/>
        <w:spacing w:line="360" w:lineRule="auto"/>
        <w:ind w:right="480"/>
        <w:jc w:val="center"/>
        <w:rPr>
          <w:rFonts w:hint="eastAsia" w:ascii="仿宋" w:hAnsi="仿宋" w:eastAsia="仿宋" w:cs="仿宋"/>
          <w:b/>
          <w:kern w:val="0"/>
          <w:sz w:val="32"/>
          <w:szCs w:val="32"/>
          <w:highlight w:val="none"/>
        </w:rPr>
      </w:pPr>
    </w:p>
    <w:p w14:paraId="12EECBA8">
      <w:pPr>
        <w:snapToGrid w:val="0"/>
        <w:spacing w:line="360" w:lineRule="auto"/>
        <w:ind w:right="480"/>
        <w:jc w:val="center"/>
        <w:rPr>
          <w:rFonts w:hint="eastAsia" w:ascii="仿宋" w:hAnsi="仿宋" w:eastAsia="仿宋" w:cs="仿宋"/>
          <w:b/>
          <w:kern w:val="0"/>
          <w:sz w:val="32"/>
          <w:szCs w:val="32"/>
          <w:highlight w:val="none"/>
        </w:rPr>
      </w:pPr>
    </w:p>
    <w:p w14:paraId="54EBC15E">
      <w:pPr>
        <w:snapToGrid w:val="0"/>
        <w:spacing w:line="360" w:lineRule="auto"/>
        <w:ind w:right="480"/>
        <w:jc w:val="center"/>
        <w:rPr>
          <w:rFonts w:hint="eastAsia" w:ascii="仿宋" w:hAnsi="仿宋" w:eastAsia="仿宋" w:cs="仿宋"/>
          <w:b/>
          <w:kern w:val="0"/>
          <w:sz w:val="32"/>
          <w:szCs w:val="32"/>
          <w:highlight w:val="none"/>
        </w:rPr>
      </w:pPr>
    </w:p>
    <w:p w14:paraId="14EEB607">
      <w:pPr>
        <w:snapToGrid w:val="0"/>
        <w:spacing w:line="360" w:lineRule="auto"/>
        <w:ind w:right="480"/>
        <w:jc w:val="center"/>
        <w:rPr>
          <w:rFonts w:hint="eastAsia" w:ascii="仿宋" w:hAnsi="仿宋" w:eastAsia="仿宋" w:cs="仿宋"/>
          <w:b/>
          <w:kern w:val="0"/>
          <w:sz w:val="32"/>
          <w:szCs w:val="32"/>
          <w:highlight w:val="none"/>
        </w:rPr>
      </w:pPr>
    </w:p>
    <w:p w14:paraId="3BD5D5E7">
      <w:pPr>
        <w:snapToGrid w:val="0"/>
        <w:spacing w:line="360" w:lineRule="auto"/>
        <w:ind w:right="480"/>
        <w:jc w:val="center"/>
        <w:rPr>
          <w:rFonts w:hint="eastAsia" w:ascii="仿宋" w:hAnsi="仿宋" w:eastAsia="仿宋" w:cs="仿宋"/>
          <w:b/>
          <w:kern w:val="0"/>
          <w:sz w:val="32"/>
          <w:szCs w:val="32"/>
          <w:highlight w:val="none"/>
        </w:rPr>
      </w:pPr>
    </w:p>
    <w:p w14:paraId="1708D4BB">
      <w:pPr>
        <w:snapToGrid w:val="0"/>
        <w:spacing w:line="360" w:lineRule="auto"/>
        <w:ind w:right="480"/>
        <w:jc w:val="both"/>
        <w:rPr>
          <w:rFonts w:hint="eastAsia" w:ascii="仿宋" w:hAnsi="仿宋" w:eastAsia="仿宋" w:cs="仿宋"/>
          <w:b/>
          <w:kern w:val="0"/>
          <w:sz w:val="32"/>
          <w:szCs w:val="32"/>
          <w:highlight w:val="none"/>
        </w:rPr>
      </w:pPr>
    </w:p>
    <w:p w14:paraId="2BA6A818">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decimal"/>
          <w:cols w:space="720" w:num="1"/>
          <w:titlePg/>
          <w:docGrid w:linePitch="312" w:charSpace="0"/>
        </w:sectPr>
      </w:pPr>
    </w:p>
    <w:p w14:paraId="3A474D2A">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14:paraId="1E949C3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、（采购代理机构）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lang w:val="zh-CN"/>
        </w:rPr>
        <w:t>：</w:t>
      </w:r>
    </w:p>
    <w:p w14:paraId="1ACC894F">
      <w:pPr>
        <w:snapToGrid w:val="0"/>
        <w:spacing w:line="360" w:lineRule="auto"/>
        <w:ind w:firstLine="482"/>
        <w:rPr>
          <w:rFonts w:hint="eastAsia"/>
          <w:color w:val="auto"/>
          <w:highlight w:val="none"/>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tbl>
      <w:tblPr>
        <w:tblStyle w:val="62"/>
        <w:tblW w:w="9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2969"/>
        <w:gridCol w:w="1865"/>
        <w:gridCol w:w="2663"/>
        <w:gridCol w:w="1671"/>
      </w:tblGrid>
      <w:tr w14:paraId="54C48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19" w:type="dxa"/>
            <w:noWrap w:val="0"/>
            <w:vAlign w:val="center"/>
          </w:tcPr>
          <w:p w14:paraId="3090CA98">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序号</w:t>
            </w:r>
          </w:p>
        </w:tc>
        <w:tc>
          <w:tcPr>
            <w:tcW w:w="2969" w:type="dxa"/>
            <w:noWrap w:val="0"/>
            <w:vAlign w:val="center"/>
          </w:tcPr>
          <w:p w14:paraId="751A3BC5">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服务内容</w:t>
            </w:r>
          </w:p>
        </w:tc>
        <w:tc>
          <w:tcPr>
            <w:tcW w:w="1865" w:type="dxa"/>
            <w:noWrap w:val="0"/>
            <w:vAlign w:val="center"/>
          </w:tcPr>
          <w:p w14:paraId="7938BA1A">
            <w:pPr>
              <w:spacing w:line="360" w:lineRule="auto"/>
              <w:jc w:val="center"/>
              <w:rPr>
                <w:rFonts w:hint="default"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服务时间</w:t>
            </w:r>
          </w:p>
        </w:tc>
        <w:tc>
          <w:tcPr>
            <w:tcW w:w="2663" w:type="dxa"/>
            <w:noWrap w:val="0"/>
            <w:vAlign w:val="center"/>
          </w:tcPr>
          <w:p w14:paraId="1F24BEF0">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月单价（元）</w:t>
            </w:r>
          </w:p>
        </w:tc>
        <w:tc>
          <w:tcPr>
            <w:tcW w:w="1671" w:type="dxa"/>
            <w:noWrap w:val="0"/>
            <w:vAlign w:val="center"/>
          </w:tcPr>
          <w:p w14:paraId="6F1FC241">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lang w:val="en-US" w:eastAsia="zh-CN"/>
              </w:rPr>
              <w:t>备注</w:t>
            </w:r>
            <w:r>
              <w:rPr>
                <w:rFonts w:hint="eastAsia" w:ascii="仿宋" w:hAnsi="仿宋" w:eastAsia="仿宋" w:cs="仿宋"/>
                <w:b/>
                <w:color w:val="auto"/>
                <w:sz w:val="24"/>
                <w:highlight w:val="none"/>
              </w:rPr>
              <w:t>（如有）</w:t>
            </w:r>
          </w:p>
        </w:tc>
      </w:tr>
      <w:tr w14:paraId="6935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9" w:type="dxa"/>
            <w:noWrap w:val="0"/>
            <w:vAlign w:val="center"/>
          </w:tcPr>
          <w:p w14:paraId="10C58279">
            <w:pPr>
              <w:spacing w:line="360" w:lineRule="auto"/>
              <w:jc w:val="center"/>
              <w:rPr>
                <w:rFonts w:hint="eastAsia" w:ascii="仿宋" w:hAnsi="仿宋" w:eastAsia="仿宋" w:cs="仿宋_GB2312"/>
                <w:color w:val="auto"/>
                <w:sz w:val="24"/>
                <w:highlight w:val="none"/>
              </w:rPr>
            </w:pPr>
            <w:r>
              <w:rPr>
                <w:rFonts w:hint="eastAsia" w:ascii="仿宋" w:hAnsi="仿宋" w:eastAsia="仿宋"/>
                <w:b w:val="0"/>
                <w:bCs/>
                <w:color w:val="auto"/>
                <w:sz w:val="24"/>
                <w:highlight w:val="none"/>
              </w:rPr>
              <w:t>1</w:t>
            </w:r>
          </w:p>
        </w:tc>
        <w:tc>
          <w:tcPr>
            <w:tcW w:w="2969" w:type="dxa"/>
            <w:noWrap w:val="0"/>
            <w:vAlign w:val="center"/>
          </w:tcPr>
          <w:p w14:paraId="3D1B7EDF">
            <w:pPr>
              <w:snapToGrid w:val="0"/>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2025年度南复线等主要道路及零星道路保洁服务采购项目</w:t>
            </w:r>
          </w:p>
        </w:tc>
        <w:tc>
          <w:tcPr>
            <w:tcW w:w="1865" w:type="dxa"/>
            <w:noWrap w:val="0"/>
            <w:vAlign w:val="center"/>
          </w:tcPr>
          <w:p w14:paraId="20911F98">
            <w:pPr>
              <w:snapToGrid w:val="0"/>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12</w:t>
            </w:r>
            <w:r>
              <w:rPr>
                <w:rFonts w:hint="eastAsia" w:ascii="仿宋" w:hAnsi="仿宋" w:eastAsia="仿宋" w:cs="仿宋_GB2312"/>
                <w:color w:val="auto"/>
                <w:sz w:val="24"/>
                <w:highlight w:val="none"/>
              </w:rPr>
              <w:t>个月</w:t>
            </w:r>
          </w:p>
        </w:tc>
        <w:tc>
          <w:tcPr>
            <w:tcW w:w="2663" w:type="dxa"/>
            <w:noWrap w:val="0"/>
            <w:vAlign w:val="center"/>
          </w:tcPr>
          <w:p w14:paraId="29B7F56E">
            <w:pPr>
              <w:spacing w:line="360" w:lineRule="auto"/>
              <w:jc w:val="center"/>
              <w:rPr>
                <w:rFonts w:hint="eastAsia" w:ascii="仿宋" w:hAnsi="仿宋" w:eastAsia="仿宋" w:cs="仿宋_GB2312"/>
                <w:color w:val="auto"/>
                <w:sz w:val="24"/>
                <w:highlight w:val="none"/>
              </w:rPr>
            </w:pPr>
          </w:p>
        </w:tc>
        <w:tc>
          <w:tcPr>
            <w:tcW w:w="1671" w:type="dxa"/>
            <w:noWrap w:val="0"/>
            <w:vAlign w:val="center"/>
          </w:tcPr>
          <w:p w14:paraId="75529BE9">
            <w:pPr>
              <w:spacing w:line="360" w:lineRule="auto"/>
              <w:jc w:val="center"/>
              <w:rPr>
                <w:rFonts w:hint="eastAsia" w:ascii="仿宋" w:hAnsi="仿宋" w:eastAsia="仿宋" w:cs="仿宋_GB2312"/>
                <w:color w:val="auto"/>
                <w:sz w:val="24"/>
                <w:highlight w:val="none"/>
              </w:rPr>
            </w:pPr>
          </w:p>
        </w:tc>
      </w:tr>
      <w:tr w14:paraId="369DE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3688" w:type="dxa"/>
            <w:gridSpan w:val="2"/>
            <w:noWrap w:val="0"/>
            <w:vAlign w:val="center"/>
          </w:tcPr>
          <w:p w14:paraId="2682C239">
            <w:pPr>
              <w:widowControl/>
              <w:jc w:val="center"/>
              <w:rPr>
                <w:rFonts w:hint="eastAsia" w:ascii="仿宋" w:hAnsi="仿宋" w:eastAsia="仿宋" w:cs="仿宋_GB2312"/>
                <w:color w:val="auto"/>
                <w:sz w:val="24"/>
                <w:highlight w:val="none"/>
              </w:rPr>
            </w:pP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lang w:val="en-US" w:eastAsia="zh-CN"/>
              </w:rPr>
              <w:t>一年</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rPr>
              <w:t>投标报价（小写）</w:t>
            </w:r>
          </w:p>
        </w:tc>
        <w:tc>
          <w:tcPr>
            <w:tcW w:w="6199" w:type="dxa"/>
            <w:gridSpan w:val="3"/>
            <w:noWrap w:val="0"/>
            <w:vAlign w:val="center"/>
          </w:tcPr>
          <w:p w14:paraId="1826CDED">
            <w:pPr>
              <w:spacing w:line="360" w:lineRule="auto"/>
              <w:jc w:val="left"/>
              <w:rPr>
                <w:rFonts w:hint="eastAsia" w:ascii="仿宋" w:hAnsi="仿宋" w:eastAsia="仿宋"/>
                <w:b/>
                <w:color w:val="auto"/>
                <w:sz w:val="24"/>
                <w:highlight w:val="none"/>
              </w:rPr>
            </w:pPr>
          </w:p>
        </w:tc>
      </w:tr>
      <w:tr w14:paraId="13B60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3688" w:type="dxa"/>
            <w:gridSpan w:val="2"/>
            <w:noWrap w:val="0"/>
            <w:vAlign w:val="center"/>
          </w:tcPr>
          <w:p w14:paraId="480C9E56">
            <w:pPr>
              <w:widowControl/>
              <w:jc w:val="center"/>
              <w:rPr>
                <w:rFonts w:hint="eastAsia" w:ascii="仿宋" w:hAnsi="仿宋" w:eastAsia="仿宋"/>
                <w:b/>
                <w:color w:val="auto"/>
                <w:sz w:val="24"/>
                <w:highlight w:val="none"/>
              </w:rPr>
            </w:pP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lang w:val="en-US" w:eastAsia="zh-CN"/>
              </w:rPr>
              <w:t>一年</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rPr>
              <w:t>投标报价（大写）</w:t>
            </w:r>
          </w:p>
        </w:tc>
        <w:tc>
          <w:tcPr>
            <w:tcW w:w="6199" w:type="dxa"/>
            <w:gridSpan w:val="3"/>
            <w:noWrap w:val="0"/>
            <w:vAlign w:val="center"/>
          </w:tcPr>
          <w:p w14:paraId="0A2FCB4A">
            <w:pPr>
              <w:spacing w:line="360" w:lineRule="auto"/>
              <w:jc w:val="left"/>
              <w:rPr>
                <w:rFonts w:hint="eastAsia" w:ascii="仿宋" w:hAnsi="仿宋" w:eastAsia="仿宋"/>
                <w:b/>
                <w:color w:val="auto"/>
                <w:sz w:val="24"/>
                <w:highlight w:val="none"/>
              </w:rPr>
            </w:pPr>
          </w:p>
        </w:tc>
      </w:tr>
    </w:tbl>
    <w:p w14:paraId="5C4D7676">
      <w:pPr>
        <w:keepNext w:val="0"/>
        <w:keepLines w:val="0"/>
        <w:pageBreakBefore w:val="0"/>
        <w:widowControl w:val="0"/>
        <w:kinsoku/>
        <w:wordWrap/>
        <w:overflowPunct/>
        <w:topLinePunct w:val="0"/>
        <w:autoSpaceDE/>
        <w:autoSpaceDN/>
        <w:bidi w:val="0"/>
        <w:adjustRightInd w:val="0"/>
        <w:snapToGrid w:val="0"/>
        <w:spacing w:line="312" w:lineRule="auto"/>
        <w:ind w:left="480"/>
        <w:textAlignment w:val="auto"/>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14:paraId="2EAA2396">
      <w:pPr>
        <w:keepNext w:val="0"/>
        <w:keepLines w:val="0"/>
        <w:pageBreakBefore w:val="0"/>
        <w:widowControl w:val="0"/>
        <w:kinsoku/>
        <w:wordWrap/>
        <w:overflowPunct/>
        <w:topLinePunct w:val="0"/>
        <w:autoSpaceDE/>
        <w:autoSpaceDN/>
        <w:bidi w:val="0"/>
        <w:adjustRightInd w:val="0"/>
        <w:spacing w:line="312" w:lineRule="auto"/>
        <w:ind w:left="-2" w:leftChars="-1" w:firstLine="480" w:firstLineChars="20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w:t>
      </w:r>
    </w:p>
    <w:p w14:paraId="5D8B02F7">
      <w:pPr>
        <w:keepNext w:val="0"/>
        <w:keepLines w:val="0"/>
        <w:pageBreakBefore w:val="0"/>
        <w:widowControl w:val="0"/>
        <w:kinsoku/>
        <w:wordWrap/>
        <w:overflowPunct/>
        <w:topLinePunct w:val="0"/>
        <w:autoSpaceDE/>
        <w:autoSpaceDN/>
        <w:bidi w:val="0"/>
        <w:adjustRightInd w:val="0"/>
        <w:spacing w:line="312"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14:paraId="6C64BC3D">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jc w:val="left"/>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14F1DCCB">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jc w:val="lef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76EB67C">
      <w:pPr>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一年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投标报价</w:t>
      </w:r>
      <w:r>
        <w:rPr>
          <w:rFonts w:hint="eastAsia" w:ascii="仿宋" w:hAnsi="仿宋" w:eastAsia="仿宋" w:cs="仿宋"/>
          <w:color w:val="auto"/>
          <w:sz w:val="24"/>
          <w:szCs w:val="24"/>
          <w:highlight w:val="none"/>
          <w:lang w:val="en-US" w:eastAsia="zh-CN"/>
        </w:rPr>
        <w:t>=12个月×月单价。</w:t>
      </w:r>
    </w:p>
    <w:p w14:paraId="7AB4013C">
      <w:pPr>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一年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投标报价四舍五入到元，否则作无效标处理。</w:t>
      </w:r>
    </w:p>
    <w:p w14:paraId="31AB98F4">
      <w:pPr>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7、开标一览表（报价表）的投标报价须与“二、投标报价明细表”中投标报价一致，</w:t>
      </w:r>
      <w:r>
        <w:rPr>
          <w:rFonts w:hint="eastAsia" w:ascii="仿宋" w:hAnsi="仿宋" w:eastAsia="仿宋" w:cs="仿宋"/>
          <w:color w:val="auto"/>
          <w:sz w:val="24"/>
          <w:szCs w:val="24"/>
          <w:highlight w:val="none"/>
        </w:rPr>
        <w:t>否则作无效标处理。</w:t>
      </w:r>
    </w:p>
    <w:p w14:paraId="3D656CD7">
      <w:pPr>
        <w:keepNext w:val="0"/>
        <w:keepLines w:val="0"/>
        <w:pageBreakBefore w:val="0"/>
        <w:widowControl w:val="0"/>
        <w:kinsoku/>
        <w:wordWrap/>
        <w:overflowPunct/>
        <w:topLinePunct w:val="0"/>
        <w:autoSpaceDE/>
        <w:autoSpaceDN/>
        <w:bidi w:val="0"/>
        <w:adjustRightInd w:val="0"/>
        <w:snapToGrid w:val="0"/>
        <w:spacing w:line="312" w:lineRule="auto"/>
        <w:ind w:firstLine="5520" w:firstLineChars="2300"/>
        <w:textAlignment w:val="auto"/>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6194015C">
      <w:pPr>
        <w:keepNext w:val="0"/>
        <w:keepLines w:val="0"/>
        <w:pageBreakBefore w:val="0"/>
        <w:widowControl w:val="0"/>
        <w:kinsoku/>
        <w:wordWrap/>
        <w:overflowPunct/>
        <w:topLinePunct w:val="0"/>
        <w:autoSpaceDE/>
        <w:autoSpaceDN/>
        <w:bidi w:val="0"/>
        <w:adjustRightInd w:val="0"/>
        <w:snapToGrid w:val="0"/>
        <w:spacing w:line="312" w:lineRule="auto"/>
        <w:ind w:firstLine="6000" w:firstLineChars="2500"/>
        <w:textAlignment w:val="auto"/>
        <w:rPr>
          <w:rFonts w:hint="eastAsia" w:ascii="仿宋" w:hAnsi="仿宋" w:eastAsia="仿宋" w:cs="仿宋"/>
          <w:b/>
          <w:kern w:val="0"/>
          <w:sz w:val="24"/>
          <w:highlight w:val="none"/>
        </w:rPr>
      </w:pPr>
      <w:r>
        <w:rPr>
          <w:rFonts w:hint="eastAsia" w:ascii="仿宋" w:hAnsi="仿宋" w:eastAsia="仿宋" w:cs="仿宋"/>
          <w:color w:val="auto"/>
          <w:sz w:val="24"/>
          <w:highlight w:val="none"/>
        </w:rPr>
        <w:t>日期：  年   月   日</w:t>
      </w:r>
    </w:p>
    <w:p w14:paraId="45D050CD">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pgSz w:w="11906" w:h="16838"/>
          <w:pgMar w:top="1247" w:right="1418" w:bottom="1276" w:left="1418" w:header="851" w:footer="992" w:gutter="0"/>
          <w:pgNumType w:fmt="decimal"/>
          <w:cols w:space="720" w:num="1"/>
          <w:titlePg/>
          <w:docGrid w:linePitch="312" w:charSpace="0"/>
        </w:sectPr>
      </w:pPr>
    </w:p>
    <w:p w14:paraId="2E22E245">
      <w:pPr>
        <w:numPr>
          <w:ilvl w:val="0"/>
          <w:numId w:val="4"/>
        </w:numPr>
        <w:spacing w:line="360" w:lineRule="auto"/>
        <w:jc w:val="center"/>
        <w:outlineLvl w:val="0"/>
        <w:rPr>
          <w:rFonts w:hint="eastAsia" w:ascii="仿宋" w:hAnsi="仿宋" w:eastAsia="仿宋" w:cs="仿宋"/>
          <w:b/>
          <w:color w:val="auto"/>
          <w:kern w:val="2"/>
          <w:sz w:val="32"/>
          <w:szCs w:val="32"/>
          <w:highlight w:val="none"/>
          <w:lang w:val="en-US" w:eastAsia="zh-CN" w:bidi="ar-SA"/>
        </w:rPr>
      </w:pPr>
      <w:r>
        <w:rPr>
          <w:rFonts w:hint="eastAsia" w:ascii="仿宋" w:hAnsi="仿宋" w:eastAsia="仿宋" w:cs="仿宋"/>
          <w:b/>
          <w:color w:val="auto"/>
          <w:kern w:val="2"/>
          <w:sz w:val="32"/>
          <w:szCs w:val="32"/>
          <w:highlight w:val="none"/>
          <w:lang w:val="en-US" w:eastAsia="zh-CN" w:bidi="ar-SA"/>
        </w:rPr>
        <w:t>投标报价明细表</w:t>
      </w:r>
    </w:p>
    <w:tbl>
      <w:tblPr>
        <w:tblStyle w:val="62"/>
        <w:tblW w:w="5608" w:type="pct"/>
        <w:tblInd w:w="-461" w:type="dxa"/>
        <w:tblLayout w:type="fixed"/>
        <w:tblCellMar>
          <w:top w:w="0" w:type="dxa"/>
          <w:left w:w="108" w:type="dxa"/>
          <w:bottom w:w="0" w:type="dxa"/>
          <w:right w:w="108" w:type="dxa"/>
        </w:tblCellMar>
      </w:tblPr>
      <w:tblGrid>
        <w:gridCol w:w="669"/>
        <w:gridCol w:w="672"/>
        <w:gridCol w:w="1299"/>
        <w:gridCol w:w="2048"/>
        <w:gridCol w:w="1528"/>
        <w:gridCol w:w="824"/>
        <w:gridCol w:w="612"/>
        <w:gridCol w:w="2764"/>
      </w:tblGrid>
      <w:tr w14:paraId="593C126B">
        <w:tblPrEx>
          <w:tblCellMar>
            <w:top w:w="0" w:type="dxa"/>
            <w:left w:w="108" w:type="dxa"/>
            <w:bottom w:w="0" w:type="dxa"/>
            <w:right w:w="108" w:type="dxa"/>
          </w:tblCellMar>
        </w:tblPrEx>
        <w:trPr>
          <w:trHeight w:val="23" w:hRule="atLeast"/>
        </w:trPr>
        <w:tc>
          <w:tcPr>
            <w:tcW w:w="5000" w:type="pct"/>
            <w:gridSpan w:val="8"/>
            <w:tcBorders>
              <w:top w:val="nil"/>
              <w:left w:val="nil"/>
              <w:bottom w:val="nil"/>
              <w:right w:val="nil"/>
            </w:tcBorders>
            <w:noWrap/>
            <w:vAlign w:val="center"/>
          </w:tcPr>
          <w:p w14:paraId="713BF52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仿宋" w:hAnsi="仿宋" w:eastAsia="仿宋" w:cs="仿宋"/>
                <w:color w:val="auto"/>
                <w:kern w:val="0"/>
                <w:sz w:val="20"/>
                <w:szCs w:val="20"/>
                <w:highlight w:val="none"/>
                <w:u w:val="single"/>
                <w:lang w:val="en-US" w:eastAsia="zh-CN"/>
              </w:rPr>
            </w:pPr>
            <w:r>
              <w:rPr>
                <w:rFonts w:hint="eastAsia" w:ascii="仿宋" w:hAnsi="仿宋" w:eastAsia="仿宋" w:cs="仿宋"/>
                <w:color w:val="auto"/>
                <w:sz w:val="20"/>
                <w:szCs w:val="20"/>
                <w:highlight w:val="none"/>
              </w:rPr>
              <w:t>项目名称</w:t>
            </w:r>
            <w:r>
              <w:rPr>
                <w:rFonts w:hint="eastAsia" w:ascii="仿宋" w:hAnsi="仿宋" w:eastAsia="仿宋" w:cs="仿宋"/>
                <w:color w:val="auto"/>
                <w:kern w:val="0"/>
                <w:sz w:val="20"/>
                <w:szCs w:val="20"/>
                <w:highlight w:val="none"/>
                <w:lang w:val="zh-CN"/>
              </w:rPr>
              <w:t>：</w:t>
            </w:r>
            <w:r>
              <w:rPr>
                <w:rFonts w:hint="eastAsia" w:ascii="仿宋" w:hAnsi="仿宋" w:eastAsia="仿宋" w:cs="仿宋"/>
                <w:color w:val="auto"/>
                <w:kern w:val="0"/>
                <w:sz w:val="20"/>
                <w:szCs w:val="20"/>
                <w:highlight w:val="none"/>
                <w:u w:val="single"/>
                <w:lang w:val="en-US" w:eastAsia="zh-CN"/>
              </w:rPr>
              <w:t xml:space="preserve">      </w:t>
            </w:r>
          </w:p>
          <w:p w14:paraId="5903986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color w:val="auto"/>
                <w:kern w:val="0"/>
                <w:sz w:val="20"/>
                <w:szCs w:val="20"/>
                <w:highlight w:val="none"/>
                <w:lang w:val="zh-CN"/>
              </w:rPr>
            </w:pPr>
            <w:r>
              <w:rPr>
                <w:rFonts w:hint="eastAsia" w:ascii="仿宋" w:hAnsi="仿宋" w:eastAsia="仿宋" w:cs="仿宋"/>
                <w:color w:val="auto"/>
                <w:kern w:val="0"/>
                <w:sz w:val="20"/>
                <w:szCs w:val="20"/>
                <w:highlight w:val="none"/>
                <w:lang w:val="zh-CN"/>
              </w:rPr>
              <w:t>项目编号：</w:t>
            </w:r>
            <w:r>
              <w:rPr>
                <w:rFonts w:hint="eastAsia" w:ascii="仿宋" w:hAnsi="仿宋" w:eastAsia="仿宋" w:cs="仿宋"/>
                <w:color w:val="auto"/>
                <w:kern w:val="0"/>
                <w:sz w:val="20"/>
                <w:szCs w:val="20"/>
                <w:highlight w:val="none"/>
                <w:u w:val="single"/>
                <w:lang w:val="en-US" w:eastAsia="zh-CN"/>
              </w:rPr>
              <w:t xml:space="preserve">      </w:t>
            </w:r>
            <w:r>
              <w:rPr>
                <w:rFonts w:hint="eastAsia" w:ascii="仿宋" w:hAnsi="仿宋" w:eastAsia="仿宋" w:cs="仿宋"/>
                <w:color w:val="auto"/>
                <w:kern w:val="0"/>
                <w:sz w:val="20"/>
                <w:szCs w:val="20"/>
                <w:highlight w:val="none"/>
                <w:lang w:val="zh-CN"/>
              </w:rPr>
              <w:t xml:space="preserve">                 </w:t>
            </w:r>
            <w:r>
              <w:rPr>
                <w:rFonts w:hint="eastAsia" w:ascii="仿宋" w:hAnsi="仿宋" w:eastAsia="仿宋" w:cs="仿宋"/>
                <w:color w:val="auto"/>
                <w:kern w:val="0"/>
                <w:sz w:val="20"/>
                <w:szCs w:val="20"/>
                <w:highlight w:val="none"/>
                <w:lang w:val="en-US" w:eastAsia="zh-CN"/>
              </w:rPr>
              <w:t xml:space="preserve">            </w:t>
            </w:r>
            <w:r>
              <w:rPr>
                <w:rFonts w:hint="eastAsia" w:ascii="仿宋" w:hAnsi="仿宋" w:eastAsia="仿宋" w:cs="仿宋"/>
                <w:color w:val="auto"/>
                <w:kern w:val="0"/>
                <w:sz w:val="20"/>
                <w:szCs w:val="20"/>
                <w:highlight w:val="none"/>
                <w:lang w:val="zh-CN"/>
              </w:rPr>
              <w:t xml:space="preserve"> 标项：</w:t>
            </w:r>
            <w:r>
              <w:rPr>
                <w:rFonts w:hint="eastAsia" w:ascii="仿宋" w:hAnsi="仿宋" w:eastAsia="仿宋" w:cs="仿宋"/>
                <w:color w:val="auto"/>
                <w:kern w:val="0"/>
                <w:sz w:val="20"/>
                <w:szCs w:val="20"/>
                <w:highlight w:val="none"/>
                <w:u w:val="single"/>
                <w:lang w:val="en-US" w:eastAsia="zh-CN"/>
              </w:rPr>
              <w:t xml:space="preserve">      </w:t>
            </w:r>
          </w:p>
        </w:tc>
      </w:tr>
      <w:tr w14:paraId="2AFAF088">
        <w:tblPrEx>
          <w:tblCellMar>
            <w:top w:w="0" w:type="dxa"/>
            <w:left w:w="108" w:type="dxa"/>
            <w:bottom w:w="0" w:type="dxa"/>
            <w:right w:w="108" w:type="dxa"/>
          </w:tblCellMar>
        </w:tblPrEx>
        <w:trPr>
          <w:trHeight w:val="399" w:hRule="atLeast"/>
        </w:trPr>
        <w:tc>
          <w:tcPr>
            <w:tcW w:w="321" w:type="pct"/>
            <w:tcBorders>
              <w:top w:val="single" w:color="auto" w:sz="4" w:space="0"/>
              <w:left w:val="single" w:color="auto" w:sz="4" w:space="0"/>
              <w:bottom w:val="single" w:color="auto" w:sz="4" w:space="0"/>
              <w:right w:val="single" w:color="auto" w:sz="4" w:space="0"/>
            </w:tcBorders>
            <w:noWrap w:val="0"/>
            <w:vAlign w:val="center"/>
          </w:tcPr>
          <w:p w14:paraId="270F6EE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序号</w:t>
            </w:r>
          </w:p>
        </w:tc>
        <w:tc>
          <w:tcPr>
            <w:tcW w:w="946" w:type="pct"/>
            <w:gridSpan w:val="2"/>
            <w:tcBorders>
              <w:top w:val="single" w:color="auto" w:sz="4" w:space="0"/>
              <w:left w:val="nil"/>
              <w:bottom w:val="single" w:color="auto" w:sz="4" w:space="0"/>
              <w:right w:val="single" w:color="000000" w:sz="4" w:space="0"/>
            </w:tcBorders>
            <w:noWrap w:val="0"/>
            <w:vAlign w:val="center"/>
          </w:tcPr>
          <w:p w14:paraId="24EB54E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类别</w:t>
            </w:r>
          </w:p>
        </w:tc>
        <w:tc>
          <w:tcPr>
            <w:tcW w:w="983" w:type="pct"/>
            <w:tcBorders>
              <w:top w:val="single" w:color="auto" w:sz="4" w:space="0"/>
              <w:left w:val="nil"/>
              <w:bottom w:val="single" w:color="auto" w:sz="4" w:space="0"/>
              <w:right w:val="single" w:color="auto" w:sz="4" w:space="0"/>
            </w:tcBorders>
            <w:noWrap w:val="0"/>
            <w:vAlign w:val="center"/>
          </w:tcPr>
          <w:p w14:paraId="4A466DC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eastAsia="zh-CN"/>
              </w:rPr>
            </w:pPr>
            <w:r>
              <w:rPr>
                <w:rFonts w:hint="eastAsia" w:ascii="仿宋" w:hAnsi="仿宋" w:eastAsia="仿宋" w:cs="仿宋"/>
                <w:color w:val="auto"/>
                <w:kern w:val="0"/>
                <w:sz w:val="20"/>
                <w:szCs w:val="20"/>
                <w:highlight w:val="none"/>
                <w:lang w:val="en-US" w:eastAsia="zh-CN"/>
              </w:rPr>
              <w:t>投标单价</w:t>
            </w:r>
          </w:p>
        </w:tc>
        <w:tc>
          <w:tcPr>
            <w:tcW w:w="733" w:type="pct"/>
            <w:tcBorders>
              <w:top w:val="single" w:color="auto" w:sz="4" w:space="0"/>
              <w:left w:val="nil"/>
              <w:bottom w:val="single" w:color="auto" w:sz="4" w:space="0"/>
              <w:right w:val="single" w:color="auto" w:sz="4" w:space="0"/>
            </w:tcBorders>
            <w:noWrap w:val="0"/>
            <w:vAlign w:val="center"/>
          </w:tcPr>
          <w:p w14:paraId="275ECF7C">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eastAsia="zh-CN"/>
              </w:rPr>
            </w:pPr>
            <w:r>
              <w:rPr>
                <w:rFonts w:hint="eastAsia" w:ascii="仿宋" w:hAnsi="仿宋" w:eastAsia="仿宋" w:cs="仿宋"/>
                <w:color w:val="auto"/>
                <w:kern w:val="0"/>
                <w:sz w:val="20"/>
                <w:szCs w:val="20"/>
                <w:highlight w:val="none"/>
                <w:lang w:val="en-US" w:eastAsia="zh-CN"/>
              </w:rPr>
              <w:t>数量</w:t>
            </w:r>
          </w:p>
        </w:tc>
        <w:tc>
          <w:tcPr>
            <w:tcW w:w="689" w:type="pct"/>
            <w:gridSpan w:val="2"/>
            <w:tcBorders>
              <w:top w:val="single" w:color="auto" w:sz="4" w:space="0"/>
              <w:left w:val="nil"/>
              <w:bottom w:val="single" w:color="auto" w:sz="4" w:space="0"/>
              <w:right w:val="single" w:color="auto" w:sz="4" w:space="0"/>
            </w:tcBorders>
            <w:noWrap w:val="0"/>
            <w:vAlign w:val="center"/>
          </w:tcPr>
          <w:p w14:paraId="46404D7E">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合计（元/年）</w:t>
            </w:r>
          </w:p>
        </w:tc>
        <w:tc>
          <w:tcPr>
            <w:tcW w:w="1326" w:type="pct"/>
            <w:tcBorders>
              <w:top w:val="single" w:color="auto" w:sz="4" w:space="0"/>
              <w:left w:val="nil"/>
              <w:bottom w:val="single" w:color="auto" w:sz="4" w:space="0"/>
              <w:right w:val="single" w:color="auto" w:sz="4" w:space="0"/>
            </w:tcBorders>
            <w:noWrap w:val="0"/>
            <w:vAlign w:val="center"/>
          </w:tcPr>
          <w:p w14:paraId="29F4D2BA">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备注</w:t>
            </w:r>
          </w:p>
        </w:tc>
      </w:tr>
      <w:tr w14:paraId="4D848FBE">
        <w:tblPrEx>
          <w:tblCellMar>
            <w:top w:w="0" w:type="dxa"/>
            <w:left w:w="108" w:type="dxa"/>
            <w:bottom w:w="0" w:type="dxa"/>
            <w:right w:w="108" w:type="dxa"/>
          </w:tblCellMar>
        </w:tblPrEx>
        <w:trPr>
          <w:trHeight w:val="23" w:hRule="atLeast"/>
        </w:trPr>
        <w:tc>
          <w:tcPr>
            <w:tcW w:w="321" w:type="pct"/>
            <w:vMerge w:val="restart"/>
            <w:tcBorders>
              <w:top w:val="nil"/>
              <w:left w:val="single" w:color="auto" w:sz="4" w:space="0"/>
              <w:bottom w:val="single" w:color="auto" w:sz="4" w:space="0"/>
              <w:right w:val="single" w:color="auto" w:sz="4" w:space="0"/>
            </w:tcBorders>
            <w:noWrap w:val="0"/>
            <w:vAlign w:val="center"/>
          </w:tcPr>
          <w:p w14:paraId="301F12FA">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c>
          <w:tcPr>
            <w:tcW w:w="322" w:type="pct"/>
            <w:vMerge w:val="restart"/>
            <w:tcBorders>
              <w:top w:val="nil"/>
              <w:left w:val="single" w:color="auto" w:sz="4" w:space="0"/>
              <w:bottom w:val="single" w:color="auto" w:sz="4" w:space="0"/>
              <w:right w:val="single" w:color="auto" w:sz="4" w:space="0"/>
            </w:tcBorders>
            <w:noWrap w:val="0"/>
            <w:vAlign w:val="center"/>
          </w:tcPr>
          <w:p w14:paraId="25BD1E7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人工费用</w:t>
            </w:r>
          </w:p>
        </w:tc>
        <w:tc>
          <w:tcPr>
            <w:tcW w:w="623" w:type="pct"/>
            <w:tcBorders>
              <w:top w:val="nil"/>
              <w:left w:val="nil"/>
              <w:bottom w:val="single" w:color="auto" w:sz="4" w:space="0"/>
              <w:right w:val="single" w:color="auto" w:sz="4" w:space="0"/>
            </w:tcBorders>
            <w:noWrap w:val="0"/>
            <w:vAlign w:val="center"/>
          </w:tcPr>
          <w:p w14:paraId="3E3153AB">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人员基本工资</w:t>
            </w:r>
          </w:p>
        </w:tc>
        <w:tc>
          <w:tcPr>
            <w:tcW w:w="983" w:type="pct"/>
            <w:tcBorders>
              <w:top w:val="nil"/>
              <w:left w:val="nil"/>
              <w:bottom w:val="single" w:color="auto" w:sz="4" w:space="0"/>
              <w:right w:val="single" w:color="auto" w:sz="4" w:space="0"/>
            </w:tcBorders>
            <w:noWrap w:val="0"/>
            <w:vAlign w:val="center"/>
          </w:tcPr>
          <w:p w14:paraId="605238CA">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u w:val="single"/>
                <w:lang w:val="en-US" w:eastAsia="zh-CN"/>
              </w:rPr>
              <w:t xml:space="preserve">      </w:t>
            </w:r>
            <w:r>
              <w:rPr>
                <w:rFonts w:hint="eastAsia" w:ascii="仿宋" w:hAnsi="仿宋" w:eastAsia="仿宋" w:cs="仿宋"/>
                <w:color w:val="auto"/>
                <w:kern w:val="0"/>
                <w:sz w:val="20"/>
                <w:szCs w:val="20"/>
                <w:highlight w:val="none"/>
              </w:rPr>
              <w:t>元/</w:t>
            </w:r>
            <w:r>
              <w:rPr>
                <w:rFonts w:hint="eastAsia" w:ascii="仿宋" w:hAnsi="仿宋" w:eastAsia="仿宋" w:cs="仿宋"/>
                <w:color w:val="auto"/>
                <w:kern w:val="0"/>
                <w:sz w:val="20"/>
                <w:szCs w:val="20"/>
                <w:highlight w:val="none"/>
                <w:lang w:val="en-US" w:eastAsia="zh-CN"/>
              </w:rPr>
              <w:t>月</w:t>
            </w:r>
            <w:r>
              <w:rPr>
                <w:rFonts w:hint="eastAsia" w:ascii="仿宋" w:hAnsi="仿宋" w:eastAsia="仿宋" w:cs="仿宋"/>
                <w:color w:val="auto"/>
                <w:kern w:val="0"/>
                <w:sz w:val="20"/>
                <w:szCs w:val="20"/>
                <w:highlight w:val="none"/>
              </w:rPr>
              <w:t>/人</w:t>
            </w:r>
          </w:p>
        </w:tc>
        <w:tc>
          <w:tcPr>
            <w:tcW w:w="733" w:type="pct"/>
            <w:vMerge w:val="restart"/>
            <w:tcBorders>
              <w:top w:val="nil"/>
              <w:left w:val="single" w:color="auto" w:sz="4" w:space="0"/>
              <w:bottom w:val="single" w:color="auto" w:sz="4" w:space="0"/>
              <w:right w:val="single" w:color="auto" w:sz="4" w:space="0"/>
            </w:tcBorders>
            <w:noWrap w:val="0"/>
            <w:vAlign w:val="center"/>
          </w:tcPr>
          <w:p w14:paraId="15E8638F">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55人</w:t>
            </w:r>
          </w:p>
        </w:tc>
        <w:tc>
          <w:tcPr>
            <w:tcW w:w="689" w:type="pct"/>
            <w:gridSpan w:val="2"/>
            <w:tcBorders>
              <w:top w:val="nil"/>
              <w:left w:val="nil"/>
              <w:bottom w:val="single" w:color="auto" w:sz="4" w:space="0"/>
              <w:right w:val="single" w:color="auto" w:sz="4" w:space="0"/>
            </w:tcBorders>
            <w:noWrap w:val="0"/>
            <w:vAlign w:val="center"/>
          </w:tcPr>
          <w:p w14:paraId="4F5E0949">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1326" w:type="pct"/>
            <w:tcBorders>
              <w:top w:val="nil"/>
              <w:left w:val="nil"/>
              <w:bottom w:val="single" w:color="auto" w:sz="4" w:space="0"/>
              <w:right w:val="single" w:color="auto" w:sz="4" w:space="0"/>
            </w:tcBorders>
            <w:noWrap w:val="0"/>
            <w:vAlign w:val="center"/>
          </w:tcPr>
          <w:p w14:paraId="38E2760D">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0"/>
                <w:szCs w:val="20"/>
                <w:highlight w:val="none"/>
                <w:lang w:val="en-US" w:eastAsia="zh-CN"/>
              </w:rPr>
            </w:pPr>
          </w:p>
        </w:tc>
      </w:tr>
      <w:tr w14:paraId="7A257DD4">
        <w:tblPrEx>
          <w:tblCellMar>
            <w:top w:w="0" w:type="dxa"/>
            <w:left w:w="108" w:type="dxa"/>
            <w:bottom w:w="0" w:type="dxa"/>
            <w:right w:w="108" w:type="dxa"/>
          </w:tblCellMar>
        </w:tblPrEx>
        <w:trPr>
          <w:trHeight w:val="376" w:hRule="atLeast"/>
        </w:trPr>
        <w:tc>
          <w:tcPr>
            <w:tcW w:w="321" w:type="pct"/>
            <w:vMerge w:val="continue"/>
            <w:tcBorders>
              <w:top w:val="nil"/>
              <w:left w:val="single" w:color="auto" w:sz="4" w:space="0"/>
              <w:bottom w:val="single" w:color="auto" w:sz="4" w:space="0"/>
              <w:right w:val="single" w:color="auto" w:sz="4" w:space="0"/>
            </w:tcBorders>
            <w:noWrap w:val="0"/>
            <w:vAlign w:val="center"/>
          </w:tcPr>
          <w:p w14:paraId="5B3AF6C1">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322" w:type="pct"/>
            <w:vMerge w:val="continue"/>
            <w:tcBorders>
              <w:top w:val="nil"/>
              <w:left w:val="single" w:color="auto" w:sz="4" w:space="0"/>
              <w:bottom w:val="single" w:color="auto" w:sz="4" w:space="0"/>
              <w:right w:val="single" w:color="auto" w:sz="4" w:space="0"/>
            </w:tcBorders>
            <w:noWrap w:val="0"/>
            <w:vAlign w:val="center"/>
          </w:tcPr>
          <w:p w14:paraId="146A494A">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623" w:type="pct"/>
            <w:tcBorders>
              <w:top w:val="nil"/>
              <w:left w:val="nil"/>
              <w:bottom w:val="single" w:color="auto" w:sz="4" w:space="0"/>
              <w:right w:val="single" w:color="auto" w:sz="4" w:space="0"/>
            </w:tcBorders>
            <w:noWrap w:val="0"/>
            <w:vAlign w:val="center"/>
          </w:tcPr>
          <w:p w14:paraId="0581057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五险</w:t>
            </w:r>
          </w:p>
        </w:tc>
        <w:tc>
          <w:tcPr>
            <w:tcW w:w="983" w:type="pct"/>
            <w:tcBorders>
              <w:top w:val="nil"/>
              <w:left w:val="nil"/>
              <w:bottom w:val="single" w:color="auto" w:sz="4" w:space="0"/>
              <w:right w:val="single" w:color="auto" w:sz="4" w:space="0"/>
            </w:tcBorders>
            <w:noWrap w:val="0"/>
            <w:vAlign w:val="center"/>
          </w:tcPr>
          <w:p w14:paraId="709158AC">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u w:val="single"/>
                <w:lang w:val="en-US" w:eastAsia="zh-CN"/>
              </w:rPr>
              <w:t xml:space="preserve">      </w:t>
            </w:r>
            <w:r>
              <w:rPr>
                <w:rFonts w:hint="eastAsia" w:ascii="仿宋" w:hAnsi="仿宋" w:eastAsia="仿宋" w:cs="仿宋"/>
                <w:color w:val="auto"/>
                <w:kern w:val="0"/>
                <w:sz w:val="20"/>
                <w:szCs w:val="20"/>
                <w:highlight w:val="none"/>
              </w:rPr>
              <w:t>元/</w:t>
            </w:r>
            <w:r>
              <w:rPr>
                <w:rFonts w:hint="eastAsia" w:ascii="仿宋" w:hAnsi="仿宋" w:eastAsia="仿宋" w:cs="仿宋"/>
                <w:color w:val="auto"/>
                <w:kern w:val="0"/>
                <w:sz w:val="20"/>
                <w:szCs w:val="20"/>
                <w:highlight w:val="none"/>
                <w:lang w:val="en-US" w:eastAsia="zh-CN"/>
              </w:rPr>
              <w:t>月</w:t>
            </w:r>
            <w:r>
              <w:rPr>
                <w:rFonts w:hint="eastAsia" w:ascii="仿宋" w:hAnsi="仿宋" w:eastAsia="仿宋" w:cs="仿宋"/>
                <w:color w:val="auto"/>
                <w:kern w:val="0"/>
                <w:sz w:val="20"/>
                <w:szCs w:val="20"/>
                <w:highlight w:val="none"/>
              </w:rPr>
              <w:t>/人</w:t>
            </w:r>
          </w:p>
        </w:tc>
        <w:tc>
          <w:tcPr>
            <w:tcW w:w="733" w:type="pct"/>
            <w:vMerge w:val="continue"/>
            <w:tcBorders>
              <w:top w:val="nil"/>
              <w:left w:val="single" w:color="auto" w:sz="4" w:space="0"/>
              <w:bottom w:val="single" w:color="auto" w:sz="4" w:space="0"/>
              <w:right w:val="single" w:color="auto" w:sz="4" w:space="0"/>
            </w:tcBorders>
            <w:noWrap w:val="0"/>
            <w:vAlign w:val="center"/>
          </w:tcPr>
          <w:p w14:paraId="2FB40EA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689" w:type="pct"/>
            <w:gridSpan w:val="2"/>
            <w:tcBorders>
              <w:top w:val="nil"/>
              <w:left w:val="nil"/>
              <w:bottom w:val="single" w:color="auto" w:sz="4" w:space="0"/>
              <w:right w:val="single" w:color="auto" w:sz="4" w:space="0"/>
            </w:tcBorders>
            <w:noWrap w:val="0"/>
            <w:vAlign w:val="center"/>
          </w:tcPr>
          <w:p w14:paraId="488DF1B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1326" w:type="pct"/>
            <w:tcBorders>
              <w:top w:val="nil"/>
              <w:left w:val="nil"/>
              <w:bottom w:val="single" w:color="auto" w:sz="4" w:space="0"/>
              <w:right w:val="single" w:color="auto" w:sz="4" w:space="0"/>
            </w:tcBorders>
            <w:noWrap w:val="0"/>
            <w:vAlign w:val="center"/>
          </w:tcPr>
          <w:p w14:paraId="19AF628B">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r>
      <w:tr w14:paraId="36375AB6">
        <w:tblPrEx>
          <w:tblCellMar>
            <w:top w:w="0" w:type="dxa"/>
            <w:left w:w="108" w:type="dxa"/>
            <w:bottom w:w="0" w:type="dxa"/>
            <w:right w:w="108" w:type="dxa"/>
          </w:tblCellMar>
        </w:tblPrEx>
        <w:trPr>
          <w:trHeight w:val="428" w:hRule="atLeast"/>
        </w:trPr>
        <w:tc>
          <w:tcPr>
            <w:tcW w:w="321" w:type="pct"/>
            <w:vMerge w:val="continue"/>
            <w:tcBorders>
              <w:top w:val="nil"/>
              <w:left w:val="single" w:color="auto" w:sz="4" w:space="0"/>
              <w:bottom w:val="single" w:color="auto" w:sz="4" w:space="0"/>
              <w:right w:val="single" w:color="auto" w:sz="4" w:space="0"/>
            </w:tcBorders>
            <w:noWrap w:val="0"/>
            <w:vAlign w:val="center"/>
          </w:tcPr>
          <w:p w14:paraId="0D8AFC6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322" w:type="pct"/>
            <w:vMerge w:val="continue"/>
            <w:tcBorders>
              <w:top w:val="nil"/>
              <w:left w:val="single" w:color="auto" w:sz="4" w:space="0"/>
              <w:bottom w:val="single" w:color="auto" w:sz="4" w:space="0"/>
              <w:right w:val="single" w:color="auto" w:sz="4" w:space="0"/>
            </w:tcBorders>
            <w:noWrap w:val="0"/>
            <w:vAlign w:val="center"/>
          </w:tcPr>
          <w:p w14:paraId="66EB74BF">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623" w:type="pct"/>
            <w:tcBorders>
              <w:top w:val="nil"/>
              <w:left w:val="nil"/>
              <w:bottom w:val="single" w:color="auto" w:sz="4" w:space="0"/>
              <w:right w:val="single" w:color="auto" w:sz="4" w:space="0"/>
            </w:tcBorders>
            <w:noWrap w:val="0"/>
            <w:vAlign w:val="center"/>
          </w:tcPr>
          <w:p w14:paraId="258FEC56">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意外险</w:t>
            </w:r>
          </w:p>
        </w:tc>
        <w:tc>
          <w:tcPr>
            <w:tcW w:w="983" w:type="pct"/>
            <w:tcBorders>
              <w:top w:val="nil"/>
              <w:left w:val="nil"/>
              <w:bottom w:val="single" w:color="auto" w:sz="4" w:space="0"/>
              <w:right w:val="single" w:color="auto" w:sz="4" w:space="0"/>
            </w:tcBorders>
            <w:noWrap w:val="0"/>
            <w:vAlign w:val="center"/>
          </w:tcPr>
          <w:p w14:paraId="2E8C6F71">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u w:val="single"/>
                <w:lang w:val="en-US" w:eastAsia="zh-CN"/>
              </w:rPr>
              <w:t xml:space="preserve">      </w:t>
            </w:r>
            <w:r>
              <w:rPr>
                <w:rFonts w:hint="eastAsia" w:ascii="仿宋" w:hAnsi="仿宋" w:eastAsia="仿宋" w:cs="仿宋"/>
                <w:color w:val="auto"/>
                <w:kern w:val="0"/>
                <w:sz w:val="20"/>
                <w:szCs w:val="20"/>
                <w:highlight w:val="none"/>
              </w:rPr>
              <w:t>元/</w:t>
            </w:r>
            <w:r>
              <w:rPr>
                <w:rFonts w:hint="eastAsia" w:ascii="仿宋" w:hAnsi="仿宋" w:eastAsia="仿宋" w:cs="仿宋"/>
                <w:color w:val="auto"/>
                <w:kern w:val="0"/>
                <w:sz w:val="20"/>
                <w:szCs w:val="20"/>
                <w:highlight w:val="none"/>
                <w:lang w:val="en-US" w:eastAsia="zh-CN"/>
              </w:rPr>
              <w:t>月</w:t>
            </w:r>
            <w:r>
              <w:rPr>
                <w:rFonts w:hint="eastAsia" w:ascii="仿宋" w:hAnsi="仿宋" w:eastAsia="仿宋" w:cs="仿宋"/>
                <w:color w:val="auto"/>
                <w:kern w:val="0"/>
                <w:sz w:val="20"/>
                <w:szCs w:val="20"/>
                <w:highlight w:val="none"/>
              </w:rPr>
              <w:t>/人</w:t>
            </w:r>
          </w:p>
        </w:tc>
        <w:tc>
          <w:tcPr>
            <w:tcW w:w="733" w:type="pct"/>
            <w:vMerge w:val="continue"/>
            <w:tcBorders>
              <w:top w:val="nil"/>
              <w:left w:val="single" w:color="auto" w:sz="4" w:space="0"/>
              <w:bottom w:val="single" w:color="auto" w:sz="4" w:space="0"/>
              <w:right w:val="single" w:color="auto" w:sz="4" w:space="0"/>
            </w:tcBorders>
            <w:noWrap w:val="0"/>
            <w:vAlign w:val="center"/>
          </w:tcPr>
          <w:p w14:paraId="464DF640">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689" w:type="pct"/>
            <w:gridSpan w:val="2"/>
            <w:tcBorders>
              <w:top w:val="nil"/>
              <w:left w:val="nil"/>
              <w:bottom w:val="single" w:color="auto" w:sz="4" w:space="0"/>
              <w:right w:val="single" w:color="auto" w:sz="4" w:space="0"/>
            </w:tcBorders>
            <w:noWrap w:val="0"/>
            <w:vAlign w:val="center"/>
          </w:tcPr>
          <w:p w14:paraId="653A31CE">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1326" w:type="pct"/>
            <w:tcBorders>
              <w:top w:val="nil"/>
              <w:left w:val="nil"/>
              <w:bottom w:val="single" w:color="auto" w:sz="4" w:space="0"/>
              <w:right w:val="single" w:color="auto" w:sz="4" w:space="0"/>
            </w:tcBorders>
            <w:noWrap w:val="0"/>
            <w:vAlign w:val="center"/>
          </w:tcPr>
          <w:p w14:paraId="1DB18C86">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r>
      <w:tr w14:paraId="6AFD17A2">
        <w:tblPrEx>
          <w:tblCellMar>
            <w:top w:w="0" w:type="dxa"/>
            <w:left w:w="108" w:type="dxa"/>
            <w:bottom w:w="0" w:type="dxa"/>
            <w:right w:w="108" w:type="dxa"/>
          </w:tblCellMar>
        </w:tblPrEx>
        <w:trPr>
          <w:trHeight w:val="409" w:hRule="atLeast"/>
        </w:trPr>
        <w:tc>
          <w:tcPr>
            <w:tcW w:w="321" w:type="pct"/>
            <w:vMerge w:val="continue"/>
            <w:tcBorders>
              <w:top w:val="nil"/>
              <w:left w:val="single" w:color="auto" w:sz="4" w:space="0"/>
              <w:bottom w:val="single" w:color="auto" w:sz="4" w:space="0"/>
              <w:right w:val="single" w:color="auto" w:sz="4" w:space="0"/>
            </w:tcBorders>
            <w:noWrap w:val="0"/>
            <w:vAlign w:val="center"/>
          </w:tcPr>
          <w:p w14:paraId="082A92A2">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322" w:type="pct"/>
            <w:vMerge w:val="continue"/>
            <w:tcBorders>
              <w:top w:val="nil"/>
              <w:left w:val="single" w:color="auto" w:sz="4" w:space="0"/>
              <w:bottom w:val="single" w:color="auto" w:sz="4" w:space="0"/>
              <w:right w:val="single" w:color="auto" w:sz="4" w:space="0"/>
            </w:tcBorders>
            <w:noWrap w:val="0"/>
            <w:vAlign w:val="center"/>
          </w:tcPr>
          <w:p w14:paraId="26E8F1FB">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623" w:type="pct"/>
            <w:tcBorders>
              <w:top w:val="nil"/>
              <w:left w:val="nil"/>
              <w:bottom w:val="single" w:color="auto" w:sz="4" w:space="0"/>
              <w:right w:val="single" w:color="auto" w:sz="4" w:space="0"/>
            </w:tcBorders>
            <w:noWrap w:val="0"/>
            <w:vAlign w:val="center"/>
          </w:tcPr>
          <w:p w14:paraId="19AD0A1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高温费</w:t>
            </w:r>
          </w:p>
        </w:tc>
        <w:tc>
          <w:tcPr>
            <w:tcW w:w="983" w:type="pct"/>
            <w:tcBorders>
              <w:top w:val="nil"/>
              <w:left w:val="nil"/>
              <w:bottom w:val="single" w:color="auto" w:sz="4" w:space="0"/>
              <w:right w:val="single" w:color="auto" w:sz="4" w:space="0"/>
            </w:tcBorders>
            <w:noWrap w:val="0"/>
            <w:vAlign w:val="center"/>
          </w:tcPr>
          <w:p w14:paraId="7497E602">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u w:val="single"/>
                <w:lang w:val="en-US" w:eastAsia="zh-CN"/>
              </w:rPr>
              <w:t xml:space="preserve">      </w:t>
            </w:r>
            <w:r>
              <w:rPr>
                <w:rFonts w:hint="eastAsia" w:ascii="仿宋" w:hAnsi="仿宋" w:eastAsia="仿宋" w:cs="仿宋"/>
                <w:color w:val="auto"/>
                <w:kern w:val="0"/>
                <w:sz w:val="20"/>
                <w:szCs w:val="20"/>
                <w:highlight w:val="none"/>
              </w:rPr>
              <w:t>元/</w:t>
            </w:r>
            <w:r>
              <w:rPr>
                <w:rFonts w:hint="eastAsia" w:ascii="仿宋" w:hAnsi="仿宋" w:eastAsia="仿宋" w:cs="仿宋"/>
                <w:color w:val="auto"/>
                <w:kern w:val="0"/>
                <w:sz w:val="20"/>
                <w:szCs w:val="20"/>
                <w:highlight w:val="none"/>
                <w:lang w:val="en-US" w:eastAsia="zh-CN"/>
              </w:rPr>
              <w:t>月</w:t>
            </w:r>
            <w:r>
              <w:rPr>
                <w:rFonts w:hint="eastAsia" w:ascii="仿宋" w:hAnsi="仿宋" w:eastAsia="仿宋" w:cs="仿宋"/>
                <w:color w:val="auto"/>
                <w:kern w:val="0"/>
                <w:sz w:val="20"/>
                <w:szCs w:val="20"/>
                <w:highlight w:val="none"/>
              </w:rPr>
              <w:t>/人</w:t>
            </w:r>
          </w:p>
        </w:tc>
        <w:tc>
          <w:tcPr>
            <w:tcW w:w="733" w:type="pct"/>
            <w:vMerge w:val="continue"/>
            <w:tcBorders>
              <w:top w:val="nil"/>
              <w:left w:val="single" w:color="auto" w:sz="4" w:space="0"/>
              <w:bottom w:val="single" w:color="auto" w:sz="4" w:space="0"/>
              <w:right w:val="single" w:color="auto" w:sz="4" w:space="0"/>
            </w:tcBorders>
            <w:noWrap w:val="0"/>
            <w:vAlign w:val="center"/>
          </w:tcPr>
          <w:p w14:paraId="216C29E0">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689" w:type="pct"/>
            <w:gridSpan w:val="2"/>
            <w:tcBorders>
              <w:top w:val="nil"/>
              <w:left w:val="nil"/>
              <w:bottom w:val="single" w:color="auto" w:sz="4" w:space="0"/>
              <w:right w:val="single" w:color="auto" w:sz="4" w:space="0"/>
            </w:tcBorders>
            <w:noWrap w:val="0"/>
            <w:vAlign w:val="center"/>
          </w:tcPr>
          <w:p w14:paraId="3BFD68B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1326" w:type="pct"/>
            <w:tcBorders>
              <w:top w:val="nil"/>
              <w:left w:val="nil"/>
              <w:bottom w:val="single" w:color="auto" w:sz="4" w:space="0"/>
              <w:right w:val="single" w:color="auto" w:sz="4" w:space="0"/>
            </w:tcBorders>
            <w:noWrap w:val="0"/>
            <w:vAlign w:val="center"/>
          </w:tcPr>
          <w:p w14:paraId="557D052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r>
      <w:tr w14:paraId="4EB3470C">
        <w:tblPrEx>
          <w:tblCellMar>
            <w:top w:w="0" w:type="dxa"/>
            <w:left w:w="108" w:type="dxa"/>
            <w:bottom w:w="0" w:type="dxa"/>
            <w:right w:w="108" w:type="dxa"/>
          </w:tblCellMar>
        </w:tblPrEx>
        <w:trPr>
          <w:trHeight w:val="338" w:hRule="atLeast"/>
        </w:trPr>
        <w:tc>
          <w:tcPr>
            <w:tcW w:w="321" w:type="pct"/>
            <w:vMerge w:val="continue"/>
            <w:tcBorders>
              <w:top w:val="nil"/>
              <w:left w:val="single" w:color="auto" w:sz="4" w:space="0"/>
              <w:bottom w:val="single" w:color="auto" w:sz="4" w:space="0"/>
              <w:right w:val="single" w:color="auto" w:sz="4" w:space="0"/>
            </w:tcBorders>
            <w:noWrap w:val="0"/>
            <w:vAlign w:val="center"/>
          </w:tcPr>
          <w:p w14:paraId="36109A2E">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322" w:type="pct"/>
            <w:vMerge w:val="continue"/>
            <w:tcBorders>
              <w:top w:val="nil"/>
              <w:left w:val="single" w:color="auto" w:sz="4" w:space="0"/>
              <w:bottom w:val="single" w:color="auto" w:sz="4" w:space="0"/>
              <w:right w:val="single" w:color="auto" w:sz="4" w:space="0"/>
            </w:tcBorders>
            <w:noWrap w:val="0"/>
            <w:vAlign w:val="center"/>
          </w:tcPr>
          <w:p w14:paraId="45852DF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623" w:type="pct"/>
            <w:tcBorders>
              <w:top w:val="nil"/>
              <w:left w:val="nil"/>
              <w:bottom w:val="single" w:color="auto" w:sz="4" w:space="0"/>
              <w:right w:val="single" w:color="auto" w:sz="4" w:space="0"/>
            </w:tcBorders>
            <w:noWrap w:val="0"/>
            <w:vAlign w:val="center"/>
          </w:tcPr>
          <w:p w14:paraId="09BC6598">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过节费</w:t>
            </w:r>
          </w:p>
        </w:tc>
        <w:tc>
          <w:tcPr>
            <w:tcW w:w="983" w:type="pct"/>
            <w:tcBorders>
              <w:top w:val="nil"/>
              <w:left w:val="nil"/>
              <w:bottom w:val="single" w:color="auto" w:sz="4" w:space="0"/>
              <w:right w:val="single" w:color="auto" w:sz="4" w:space="0"/>
            </w:tcBorders>
            <w:noWrap w:val="0"/>
            <w:vAlign w:val="center"/>
          </w:tcPr>
          <w:p w14:paraId="341282E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u w:val="single"/>
                <w:lang w:val="en-US" w:eastAsia="zh-CN"/>
              </w:rPr>
              <w:t xml:space="preserve">      </w:t>
            </w:r>
            <w:r>
              <w:rPr>
                <w:rFonts w:hint="eastAsia" w:ascii="仿宋" w:hAnsi="仿宋" w:eastAsia="仿宋" w:cs="仿宋"/>
                <w:color w:val="auto"/>
                <w:kern w:val="0"/>
                <w:sz w:val="20"/>
                <w:szCs w:val="20"/>
                <w:highlight w:val="none"/>
              </w:rPr>
              <w:t>元/</w:t>
            </w:r>
            <w:r>
              <w:rPr>
                <w:rFonts w:hint="eastAsia" w:ascii="仿宋" w:hAnsi="仿宋" w:eastAsia="仿宋" w:cs="仿宋"/>
                <w:color w:val="auto"/>
                <w:kern w:val="0"/>
                <w:sz w:val="20"/>
                <w:szCs w:val="20"/>
                <w:highlight w:val="none"/>
                <w:lang w:val="en-US" w:eastAsia="zh-CN"/>
              </w:rPr>
              <w:t>月</w:t>
            </w:r>
            <w:r>
              <w:rPr>
                <w:rFonts w:hint="eastAsia" w:ascii="仿宋" w:hAnsi="仿宋" w:eastAsia="仿宋" w:cs="仿宋"/>
                <w:color w:val="auto"/>
                <w:kern w:val="0"/>
                <w:sz w:val="20"/>
                <w:szCs w:val="20"/>
                <w:highlight w:val="none"/>
              </w:rPr>
              <w:t>/人</w:t>
            </w:r>
          </w:p>
        </w:tc>
        <w:tc>
          <w:tcPr>
            <w:tcW w:w="733" w:type="pct"/>
            <w:vMerge w:val="continue"/>
            <w:tcBorders>
              <w:top w:val="nil"/>
              <w:left w:val="single" w:color="auto" w:sz="4" w:space="0"/>
              <w:bottom w:val="single" w:color="auto" w:sz="4" w:space="0"/>
              <w:right w:val="single" w:color="auto" w:sz="4" w:space="0"/>
            </w:tcBorders>
            <w:noWrap w:val="0"/>
            <w:vAlign w:val="center"/>
          </w:tcPr>
          <w:p w14:paraId="59C2F04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689" w:type="pct"/>
            <w:gridSpan w:val="2"/>
            <w:tcBorders>
              <w:top w:val="nil"/>
              <w:left w:val="nil"/>
              <w:bottom w:val="single" w:color="auto" w:sz="4" w:space="0"/>
              <w:right w:val="single" w:color="auto" w:sz="4" w:space="0"/>
            </w:tcBorders>
            <w:noWrap w:val="0"/>
            <w:vAlign w:val="center"/>
          </w:tcPr>
          <w:p w14:paraId="5C9A682F">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1326" w:type="pct"/>
            <w:tcBorders>
              <w:top w:val="nil"/>
              <w:left w:val="nil"/>
              <w:bottom w:val="single" w:color="auto" w:sz="4" w:space="0"/>
              <w:right w:val="single" w:color="auto" w:sz="4" w:space="0"/>
            </w:tcBorders>
            <w:noWrap w:val="0"/>
            <w:vAlign w:val="center"/>
          </w:tcPr>
          <w:p w14:paraId="6129D089">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r>
      <w:tr w14:paraId="6AF777B2">
        <w:tblPrEx>
          <w:tblCellMar>
            <w:top w:w="0" w:type="dxa"/>
            <w:left w:w="108" w:type="dxa"/>
            <w:bottom w:w="0" w:type="dxa"/>
            <w:right w:w="108" w:type="dxa"/>
          </w:tblCellMar>
        </w:tblPrEx>
        <w:trPr>
          <w:trHeight w:val="468" w:hRule="atLeast"/>
        </w:trPr>
        <w:tc>
          <w:tcPr>
            <w:tcW w:w="321" w:type="pct"/>
            <w:vMerge w:val="continue"/>
            <w:tcBorders>
              <w:top w:val="nil"/>
              <w:left w:val="single" w:color="auto" w:sz="4" w:space="0"/>
              <w:bottom w:val="single" w:color="auto" w:sz="4" w:space="0"/>
              <w:right w:val="single" w:color="auto" w:sz="4" w:space="0"/>
            </w:tcBorders>
            <w:noWrap w:val="0"/>
            <w:vAlign w:val="center"/>
          </w:tcPr>
          <w:p w14:paraId="42E5B3C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322" w:type="pct"/>
            <w:vMerge w:val="continue"/>
            <w:tcBorders>
              <w:top w:val="nil"/>
              <w:left w:val="single" w:color="auto" w:sz="4" w:space="0"/>
              <w:bottom w:val="single" w:color="auto" w:sz="4" w:space="0"/>
              <w:right w:val="single" w:color="auto" w:sz="4" w:space="0"/>
            </w:tcBorders>
            <w:noWrap w:val="0"/>
            <w:vAlign w:val="center"/>
          </w:tcPr>
          <w:p w14:paraId="2E27587A">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623" w:type="pct"/>
            <w:tcBorders>
              <w:top w:val="nil"/>
              <w:left w:val="nil"/>
              <w:bottom w:val="single" w:color="auto" w:sz="4" w:space="0"/>
              <w:right w:val="single" w:color="auto" w:sz="4" w:space="0"/>
            </w:tcBorders>
            <w:noWrap w:val="0"/>
            <w:vAlign w:val="center"/>
          </w:tcPr>
          <w:p w14:paraId="15CAD94F">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加班费</w:t>
            </w:r>
          </w:p>
        </w:tc>
        <w:tc>
          <w:tcPr>
            <w:tcW w:w="983" w:type="pct"/>
            <w:tcBorders>
              <w:top w:val="nil"/>
              <w:left w:val="nil"/>
              <w:bottom w:val="single" w:color="auto" w:sz="4" w:space="0"/>
              <w:right w:val="single" w:color="auto" w:sz="4" w:space="0"/>
            </w:tcBorders>
            <w:noWrap w:val="0"/>
            <w:vAlign w:val="center"/>
          </w:tcPr>
          <w:p w14:paraId="199B84F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u w:val="single"/>
                <w:lang w:val="en-US" w:eastAsia="zh-CN"/>
              </w:rPr>
              <w:t xml:space="preserve">      </w:t>
            </w:r>
            <w:r>
              <w:rPr>
                <w:rFonts w:hint="eastAsia" w:ascii="仿宋" w:hAnsi="仿宋" w:eastAsia="仿宋" w:cs="仿宋"/>
                <w:color w:val="auto"/>
                <w:kern w:val="0"/>
                <w:sz w:val="20"/>
                <w:szCs w:val="20"/>
                <w:highlight w:val="none"/>
              </w:rPr>
              <w:t>元/</w:t>
            </w:r>
            <w:r>
              <w:rPr>
                <w:rFonts w:hint="eastAsia" w:ascii="仿宋" w:hAnsi="仿宋" w:eastAsia="仿宋" w:cs="仿宋"/>
                <w:color w:val="auto"/>
                <w:kern w:val="0"/>
                <w:sz w:val="20"/>
                <w:szCs w:val="20"/>
                <w:highlight w:val="none"/>
                <w:lang w:val="en-US" w:eastAsia="zh-CN"/>
              </w:rPr>
              <w:t>月</w:t>
            </w:r>
            <w:r>
              <w:rPr>
                <w:rFonts w:hint="eastAsia" w:ascii="仿宋" w:hAnsi="仿宋" w:eastAsia="仿宋" w:cs="仿宋"/>
                <w:color w:val="auto"/>
                <w:kern w:val="0"/>
                <w:sz w:val="20"/>
                <w:szCs w:val="20"/>
                <w:highlight w:val="none"/>
              </w:rPr>
              <w:t>/人</w:t>
            </w:r>
          </w:p>
        </w:tc>
        <w:tc>
          <w:tcPr>
            <w:tcW w:w="733" w:type="pct"/>
            <w:vMerge w:val="continue"/>
            <w:tcBorders>
              <w:top w:val="nil"/>
              <w:left w:val="single" w:color="auto" w:sz="4" w:space="0"/>
              <w:bottom w:val="single" w:color="auto" w:sz="4" w:space="0"/>
              <w:right w:val="single" w:color="auto" w:sz="4" w:space="0"/>
            </w:tcBorders>
            <w:noWrap w:val="0"/>
            <w:vAlign w:val="center"/>
          </w:tcPr>
          <w:p w14:paraId="4F760B9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689" w:type="pct"/>
            <w:gridSpan w:val="2"/>
            <w:tcBorders>
              <w:top w:val="nil"/>
              <w:left w:val="nil"/>
              <w:bottom w:val="single" w:color="auto" w:sz="4" w:space="0"/>
              <w:right w:val="single" w:color="auto" w:sz="4" w:space="0"/>
            </w:tcBorders>
            <w:noWrap w:val="0"/>
            <w:vAlign w:val="center"/>
          </w:tcPr>
          <w:p w14:paraId="25E67250">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1326" w:type="pct"/>
            <w:tcBorders>
              <w:top w:val="nil"/>
              <w:left w:val="nil"/>
              <w:bottom w:val="single" w:color="auto" w:sz="4" w:space="0"/>
              <w:right w:val="single" w:color="auto" w:sz="4" w:space="0"/>
            </w:tcBorders>
            <w:noWrap w:val="0"/>
            <w:vAlign w:val="center"/>
          </w:tcPr>
          <w:p w14:paraId="2AF078E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r>
      <w:tr w14:paraId="684403BE">
        <w:tblPrEx>
          <w:tblCellMar>
            <w:top w:w="0" w:type="dxa"/>
            <w:left w:w="108" w:type="dxa"/>
            <w:bottom w:w="0" w:type="dxa"/>
            <w:right w:w="108" w:type="dxa"/>
          </w:tblCellMar>
        </w:tblPrEx>
        <w:trPr>
          <w:trHeight w:val="538" w:hRule="atLeast"/>
        </w:trPr>
        <w:tc>
          <w:tcPr>
            <w:tcW w:w="321" w:type="pct"/>
            <w:tcBorders>
              <w:top w:val="nil"/>
              <w:left w:val="single" w:color="auto" w:sz="4" w:space="0"/>
              <w:bottom w:val="single" w:color="auto" w:sz="4" w:space="0"/>
              <w:right w:val="single" w:color="auto" w:sz="4" w:space="0"/>
            </w:tcBorders>
            <w:noWrap w:val="0"/>
            <w:vAlign w:val="center"/>
          </w:tcPr>
          <w:p w14:paraId="50D2E9DE">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w:t>
            </w:r>
          </w:p>
        </w:tc>
        <w:tc>
          <w:tcPr>
            <w:tcW w:w="946" w:type="pct"/>
            <w:gridSpan w:val="2"/>
            <w:tcBorders>
              <w:top w:val="single" w:color="auto" w:sz="4" w:space="0"/>
              <w:left w:val="nil"/>
              <w:bottom w:val="single" w:color="auto" w:sz="4" w:space="0"/>
              <w:right w:val="single" w:color="auto" w:sz="4" w:space="0"/>
            </w:tcBorders>
            <w:noWrap w:val="0"/>
            <w:vAlign w:val="center"/>
          </w:tcPr>
          <w:p w14:paraId="56FC20C9">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eastAsia="zh-CN"/>
              </w:rPr>
            </w:pPr>
            <w:r>
              <w:rPr>
                <w:rFonts w:hint="eastAsia" w:ascii="仿宋" w:hAnsi="仿宋" w:eastAsia="仿宋" w:cs="仿宋"/>
                <w:color w:val="auto"/>
                <w:kern w:val="0"/>
                <w:sz w:val="20"/>
                <w:szCs w:val="20"/>
                <w:highlight w:val="none"/>
              </w:rPr>
              <w:t>机具费用</w:t>
            </w:r>
          </w:p>
        </w:tc>
        <w:tc>
          <w:tcPr>
            <w:tcW w:w="983" w:type="pct"/>
            <w:tcBorders>
              <w:top w:val="nil"/>
              <w:left w:val="nil"/>
              <w:bottom w:val="single" w:color="auto" w:sz="4" w:space="0"/>
              <w:right w:val="single" w:color="auto" w:sz="4" w:space="0"/>
            </w:tcBorders>
            <w:noWrap w:val="0"/>
            <w:vAlign w:val="center"/>
          </w:tcPr>
          <w:p w14:paraId="55036C0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u w:val="single"/>
                <w:lang w:val="en-US" w:eastAsia="zh-CN"/>
              </w:rPr>
              <w:t xml:space="preserve">      </w:t>
            </w:r>
            <w:r>
              <w:rPr>
                <w:rFonts w:hint="eastAsia" w:ascii="仿宋" w:hAnsi="仿宋" w:eastAsia="仿宋" w:cs="仿宋"/>
                <w:color w:val="auto"/>
                <w:kern w:val="0"/>
                <w:sz w:val="20"/>
                <w:szCs w:val="20"/>
                <w:highlight w:val="none"/>
              </w:rPr>
              <w:t>元/</w:t>
            </w:r>
            <w:r>
              <w:rPr>
                <w:rFonts w:hint="eastAsia" w:ascii="仿宋" w:hAnsi="仿宋" w:eastAsia="仿宋" w:cs="仿宋"/>
                <w:color w:val="auto"/>
                <w:kern w:val="0"/>
                <w:sz w:val="20"/>
                <w:szCs w:val="20"/>
                <w:highlight w:val="none"/>
                <w:lang w:val="en-US" w:eastAsia="zh-CN"/>
              </w:rPr>
              <w:t>月</w:t>
            </w:r>
          </w:p>
        </w:tc>
        <w:tc>
          <w:tcPr>
            <w:tcW w:w="733" w:type="pct"/>
            <w:tcBorders>
              <w:top w:val="nil"/>
              <w:left w:val="nil"/>
              <w:bottom w:val="single" w:color="auto" w:sz="4" w:space="0"/>
              <w:right w:val="single" w:color="auto" w:sz="4" w:space="0"/>
            </w:tcBorders>
            <w:noWrap w:val="0"/>
            <w:vAlign w:val="center"/>
          </w:tcPr>
          <w:p w14:paraId="3C078B84">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12月</w:t>
            </w:r>
          </w:p>
        </w:tc>
        <w:tc>
          <w:tcPr>
            <w:tcW w:w="689" w:type="pct"/>
            <w:gridSpan w:val="2"/>
            <w:tcBorders>
              <w:top w:val="nil"/>
              <w:left w:val="nil"/>
              <w:bottom w:val="single" w:color="auto" w:sz="4" w:space="0"/>
              <w:right w:val="single" w:color="auto" w:sz="4" w:space="0"/>
            </w:tcBorders>
            <w:noWrap w:val="0"/>
            <w:vAlign w:val="center"/>
          </w:tcPr>
          <w:p w14:paraId="0E517F6E">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1326" w:type="pct"/>
            <w:tcBorders>
              <w:top w:val="nil"/>
              <w:left w:val="nil"/>
              <w:bottom w:val="single" w:color="auto" w:sz="4" w:space="0"/>
              <w:right w:val="single" w:color="auto" w:sz="4" w:space="0"/>
            </w:tcBorders>
            <w:noWrap w:val="0"/>
            <w:vAlign w:val="center"/>
          </w:tcPr>
          <w:p w14:paraId="59B15084">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r>
      <w:tr w14:paraId="64BAE1A6">
        <w:tblPrEx>
          <w:tblCellMar>
            <w:top w:w="0" w:type="dxa"/>
            <w:left w:w="108" w:type="dxa"/>
            <w:bottom w:w="0" w:type="dxa"/>
            <w:right w:w="108" w:type="dxa"/>
          </w:tblCellMar>
        </w:tblPrEx>
        <w:trPr>
          <w:trHeight w:val="23" w:hRule="atLeast"/>
        </w:trPr>
        <w:tc>
          <w:tcPr>
            <w:tcW w:w="321" w:type="pct"/>
            <w:tcBorders>
              <w:top w:val="nil"/>
              <w:left w:val="single" w:color="auto" w:sz="4" w:space="0"/>
              <w:bottom w:val="single" w:color="auto" w:sz="4" w:space="0"/>
              <w:right w:val="single" w:color="auto" w:sz="4" w:space="0"/>
            </w:tcBorders>
            <w:noWrap w:val="0"/>
            <w:vAlign w:val="center"/>
          </w:tcPr>
          <w:p w14:paraId="055E3624">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w:t>
            </w:r>
          </w:p>
        </w:tc>
        <w:tc>
          <w:tcPr>
            <w:tcW w:w="946" w:type="pct"/>
            <w:gridSpan w:val="2"/>
            <w:tcBorders>
              <w:top w:val="single" w:color="auto" w:sz="4" w:space="0"/>
              <w:left w:val="nil"/>
              <w:bottom w:val="single" w:color="auto" w:sz="4" w:space="0"/>
              <w:right w:val="single" w:color="auto" w:sz="4" w:space="0"/>
            </w:tcBorders>
            <w:noWrap w:val="0"/>
            <w:vAlign w:val="center"/>
          </w:tcPr>
          <w:p w14:paraId="07E63E9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工具耗材费（包括但不限于服装、工具、耗材等）</w:t>
            </w:r>
          </w:p>
        </w:tc>
        <w:tc>
          <w:tcPr>
            <w:tcW w:w="983" w:type="pct"/>
            <w:tcBorders>
              <w:top w:val="nil"/>
              <w:left w:val="nil"/>
              <w:bottom w:val="single" w:color="auto" w:sz="4" w:space="0"/>
              <w:right w:val="single" w:color="auto" w:sz="4" w:space="0"/>
            </w:tcBorders>
            <w:noWrap w:val="0"/>
            <w:vAlign w:val="center"/>
          </w:tcPr>
          <w:p w14:paraId="24008F92">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u w:val="single"/>
                <w:lang w:val="en-US" w:eastAsia="zh-CN"/>
              </w:rPr>
              <w:t xml:space="preserve">      </w:t>
            </w:r>
            <w:r>
              <w:rPr>
                <w:rFonts w:hint="eastAsia" w:ascii="仿宋" w:hAnsi="仿宋" w:eastAsia="仿宋" w:cs="仿宋"/>
                <w:color w:val="auto"/>
                <w:kern w:val="0"/>
                <w:sz w:val="20"/>
                <w:szCs w:val="20"/>
                <w:highlight w:val="none"/>
              </w:rPr>
              <w:t>元/</w:t>
            </w:r>
            <w:r>
              <w:rPr>
                <w:rFonts w:hint="eastAsia" w:ascii="仿宋" w:hAnsi="仿宋" w:eastAsia="仿宋" w:cs="仿宋"/>
                <w:color w:val="auto"/>
                <w:kern w:val="0"/>
                <w:sz w:val="20"/>
                <w:szCs w:val="20"/>
                <w:highlight w:val="none"/>
                <w:lang w:val="en-US" w:eastAsia="zh-CN"/>
              </w:rPr>
              <w:t>月</w:t>
            </w:r>
          </w:p>
        </w:tc>
        <w:tc>
          <w:tcPr>
            <w:tcW w:w="733" w:type="pct"/>
            <w:tcBorders>
              <w:top w:val="nil"/>
              <w:left w:val="nil"/>
              <w:bottom w:val="single" w:color="auto" w:sz="4" w:space="0"/>
              <w:right w:val="single" w:color="auto" w:sz="4" w:space="0"/>
            </w:tcBorders>
            <w:noWrap w:val="0"/>
            <w:vAlign w:val="center"/>
          </w:tcPr>
          <w:p w14:paraId="529F1E27">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12月</w:t>
            </w:r>
          </w:p>
        </w:tc>
        <w:tc>
          <w:tcPr>
            <w:tcW w:w="689" w:type="pct"/>
            <w:gridSpan w:val="2"/>
            <w:tcBorders>
              <w:top w:val="nil"/>
              <w:left w:val="nil"/>
              <w:bottom w:val="single" w:color="auto" w:sz="4" w:space="0"/>
              <w:right w:val="single" w:color="auto" w:sz="4" w:space="0"/>
            </w:tcBorders>
            <w:noWrap w:val="0"/>
            <w:vAlign w:val="center"/>
          </w:tcPr>
          <w:p w14:paraId="7E25B0F1">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1326" w:type="pct"/>
            <w:tcBorders>
              <w:top w:val="nil"/>
              <w:left w:val="nil"/>
              <w:bottom w:val="single" w:color="auto" w:sz="4" w:space="0"/>
              <w:right w:val="single" w:color="auto" w:sz="4" w:space="0"/>
            </w:tcBorders>
            <w:noWrap w:val="0"/>
            <w:vAlign w:val="center"/>
          </w:tcPr>
          <w:p w14:paraId="04F93FE4">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r>
      <w:tr w14:paraId="1A08FBB2">
        <w:tblPrEx>
          <w:tblCellMar>
            <w:top w:w="0" w:type="dxa"/>
            <w:left w:w="108" w:type="dxa"/>
            <w:bottom w:w="0" w:type="dxa"/>
            <w:right w:w="108" w:type="dxa"/>
          </w:tblCellMar>
        </w:tblPrEx>
        <w:trPr>
          <w:trHeight w:val="1259" w:hRule="atLeast"/>
        </w:trPr>
        <w:tc>
          <w:tcPr>
            <w:tcW w:w="321" w:type="pct"/>
            <w:tcBorders>
              <w:top w:val="nil"/>
              <w:left w:val="single" w:color="auto" w:sz="4" w:space="0"/>
              <w:bottom w:val="single" w:color="auto" w:sz="4" w:space="0"/>
              <w:right w:val="single" w:color="auto" w:sz="4" w:space="0"/>
            </w:tcBorders>
            <w:noWrap w:val="0"/>
            <w:vAlign w:val="center"/>
          </w:tcPr>
          <w:p w14:paraId="48068D0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4</w:t>
            </w:r>
          </w:p>
        </w:tc>
        <w:tc>
          <w:tcPr>
            <w:tcW w:w="946" w:type="pct"/>
            <w:gridSpan w:val="2"/>
            <w:tcBorders>
              <w:top w:val="single" w:color="auto" w:sz="4" w:space="0"/>
              <w:left w:val="nil"/>
              <w:bottom w:val="single" w:color="auto" w:sz="4" w:space="0"/>
              <w:right w:val="single" w:color="auto" w:sz="4" w:space="0"/>
            </w:tcBorders>
            <w:noWrap w:val="0"/>
            <w:vAlign w:val="center"/>
          </w:tcPr>
          <w:p w14:paraId="075365B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eastAsia="zh-CN"/>
              </w:rPr>
              <w:t>临时调派</w:t>
            </w:r>
            <w:r>
              <w:rPr>
                <w:rFonts w:hint="eastAsia" w:ascii="仿宋" w:hAnsi="仿宋" w:eastAsia="仿宋" w:cs="仿宋"/>
                <w:color w:val="auto"/>
                <w:kern w:val="0"/>
                <w:sz w:val="20"/>
                <w:szCs w:val="20"/>
                <w:highlight w:val="none"/>
                <w:lang w:val="en-US" w:eastAsia="zh-CN"/>
              </w:rPr>
              <w:t>保湿洒水作业费用</w:t>
            </w:r>
          </w:p>
        </w:tc>
        <w:tc>
          <w:tcPr>
            <w:tcW w:w="983" w:type="pct"/>
            <w:tcBorders>
              <w:top w:val="nil"/>
              <w:left w:val="nil"/>
              <w:bottom w:val="single" w:color="auto" w:sz="4" w:space="0"/>
              <w:right w:val="single" w:color="auto" w:sz="4" w:space="0"/>
            </w:tcBorders>
            <w:noWrap w:val="0"/>
            <w:vAlign w:val="center"/>
          </w:tcPr>
          <w:p w14:paraId="148CA02E">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0"/>
                <w:szCs w:val="20"/>
                <w:highlight w:val="none"/>
                <w:lang w:val="en-US"/>
              </w:rPr>
            </w:pPr>
            <w:r>
              <w:rPr>
                <w:rFonts w:hint="eastAsia" w:ascii="仿宋" w:hAnsi="仿宋" w:eastAsia="仿宋" w:cs="仿宋"/>
                <w:color w:val="auto"/>
                <w:kern w:val="0"/>
                <w:sz w:val="20"/>
                <w:szCs w:val="20"/>
                <w:highlight w:val="none"/>
                <w:u w:val="single"/>
                <w:lang w:val="en-US" w:eastAsia="zh-CN"/>
              </w:rPr>
              <w:t xml:space="preserve">      </w:t>
            </w:r>
            <w:r>
              <w:rPr>
                <w:rFonts w:hint="eastAsia" w:ascii="仿宋" w:hAnsi="仿宋" w:eastAsia="仿宋" w:cs="仿宋"/>
                <w:color w:val="auto"/>
                <w:kern w:val="0"/>
                <w:sz w:val="20"/>
                <w:szCs w:val="20"/>
                <w:highlight w:val="none"/>
                <w:lang w:val="en-US" w:eastAsia="zh-CN"/>
              </w:rPr>
              <w:t>元/公里</w:t>
            </w:r>
          </w:p>
        </w:tc>
        <w:tc>
          <w:tcPr>
            <w:tcW w:w="733" w:type="pct"/>
            <w:tcBorders>
              <w:top w:val="nil"/>
              <w:left w:val="nil"/>
              <w:bottom w:val="single" w:color="auto" w:sz="4" w:space="0"/>
              <w:right w:val="single" w:color="auto" w:sz="4" w:space="0"/>
            </w:tcBorders>
            <w:noWrap w:val="0"/>
            <w:vAlign w:val="center"/>
          </w:tcPr>
          <w:p w14:paraId="66F2DC44">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10000公里/年</w:t>
            </w:r>
          </w:p>
        </w:tc>
        <w:tc>
          <w:tcPr>
            <w:tcW w:w="689" w:type="pct"/>
            <w:gridSpan w:val="2"/>
            <w:tcBorders>
              <w:top w:val="nil"/>
              <w:left w:val="nil"/>
              <w:bottom w:val="single" w:color="auto" w:sz="4" w:space="0"/>
              <w:right w:val="single" w:color="auto" w:sz="4" w:space="0"/>
            </w:tcBorders>
            <w:noWrap w:val="0"/>
            <w:vAlign w:val="center"/>
          </w:tcPr>
          <w:p w14:paraId="4A9968C9">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p>
        </w:tc>
        <w:tc>
          <w:tcPr>
            <w:tcW w:w="1326" w:type="pct"/>
            <w:tcBorders>
              <w:top w:val="nil"/>
              <w:left w:val="nil"/>
              <w:bottom w:val="single" w:color="auto" w:sz="4" w:space="0"/>
              <w:right w:val="single" w:color="auto" w:sz="4" w:space="0"/>
            </w:tcBorders>
            <w:noWrap w:val="0"/>
            <w:vAlign w:val="center"/>
          </w:tcPr>
          <w:p w14:paraId="3A10E334">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rPr>
              <w:t>暂按</w:t>
            </w:r>
            <w:r>
              <w:rPr>
                <w:rFonts w:hint="eastAsia" w:ascii="仿宋" w:hAnsi="仿宋" w:eastAsia="仿宋" w:cs="仿宋"/>
                <w:color w:val="auto"/>
                <w:kern w:val="0"/>
                <w:sz w:val="20"/>
                <w:szCs w:val="20"/>
                <w:highlight w:val="none"/>
                <w:lang w:val="en-US" w:eastAsia="zh-CN"/>
              </w:rPr>
              <w:t>1</w:t>
            </w:r>
            <w:r>
              <w:rPr>
                <w:rFonts w:hint="eastAsia" w:ascii="仿宋" w:hAnsi="仿宋" w:eastAsia="仿宋" w:cs="仿宋"/>
                <w:color w:val="auto"/>
                <w:kern w:val="0"/>
                <w:sz w:val="20"/>
                <w:szCs w:val="20"/>
                <w:highlight w:val="none"/>
              </w:rPr>
              <w:t>万公里</w:t>
            </w:r>
            <w:r>
              <w:rPr>
                <w:rFonts w:hint="eastAsia" w:ascii="仿宋" w:hAnsi="仿宋" w:eastAsia="仿宋" w:cs="仿宋"/>
                <w:color w:val="auto"/>
                <w:kern w:val="0"/>
                <w:sz w:val="20"/>
                <w:szCs w:val="20"/>
                <w:highlight w:val="none"/>
                <w:lang w:val="en-US" w:eastAsia="zh-CN"/>
              </w:rPr>
              <w:t>/年</w:t>
            </w:r>
            <w:r>
              <w:rPr>
                <w:rFonts w:hint="eastAsia" w:ascii="仿宋" w:hAnsi="仿宋" w:eastAsia="仿宋" w:cs="仿宋"/>
                <w:color w:val="auto"/>
                <w:kern w:val="0"/>
                <w:sz w:val="20"/>
                <w:szCs w:val="20"/>
                <w:highlight w:val="none"/>
              </w:rPr>
              <w:t>计</w:t>
            </w:r>
            <w:r>
              <w:rPr>
                <w:rFonts w:hint="eastAsia" w:ascii="仿宋" w:hAnsi="仿宋" w:eastAsia="仿宋" w:cs="仿宋"/>
                <w:color w:val="auto"/>
                <w:kern w:val="0"/>
                <w:sz w:val="20"/>
                <w:szCs w:val="20"/>
                <w:highlight w:val="none"/>
                <w:lang w:val="en-US" w:eastAsia="zh-CN"/>
              </w:rPr>
              <w:t>,按实发生结算支付</w:t>
            </w:r>
          </w:p>
          <w:p w14:paraId="4D3963FA">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（本作业车辆及人员原则上需中标单位另行安排）</w:t>
            </w:r>
          </w:p>
        </w:tc>
      </w:tr>
      <w:tr w14:paraId="20E8B815">
        <w:tblPrEx>
          <w:tblCellMar>
            <w:top w:w="0" w:type="dxa"/>
            <w:left w:w="108" w:type="dxa"/>
            <w:bottom w:w="0" w:type="dxa"/>
            <w:right w:w="108" w:type="dxa"/>
          </w:tblCellMar>
        </w:tblPrEx>
        <w:trPr>
          <w:trHeight w:val="714" w:hRule="atLeast"/>
        </w:trPr>
        <w:tc>
          <w:tcPr>
            <w:tcW w:w="321" w:type="pct"/>
            <w:tcBorders>
              <w:top w:val="nil"/>
              <w:left w:val="single" w:color="auto" w:sz="4" w:space="0"/>
              <w:bottom w:val="single" w:color="auto" w:sz="4" w:space="0"/>
              <w:right w:val="single" w:color="auto" w:sz="4" w:space="0"/>
            </w:tcBorders>
            <w:noWrap w:val="0"/>
            <w:vAlign w:val="center"/>
          </w:tcPr>
          <w:p w14:paraId="27F016A8">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5</w:t>
            </w:r>
          </w:p>
        </w:tc>
        <w:tc>
          <w:tcPr>
            <w:tcW w:w="946" w:type="pct"/>
            <w:gridSpan w:val="2"/>
            <w:tcBorders>
              <w:top w:val="single" w:color="auto" w:sz="4" w:space="0"/>
              <w:left w:val="nil"/>
              <w:bottom w:val="single" w:color="auto" w:sz="4" w:space="0"/>
              <w:right w:val="single" w:color="auto" w:sz="4" w:space="0"/>
            </w:tcBorders>
            <w:noWrap w:val="0"/>
            <w:vAlign w:val="center"/>
          </w:tcPr>
          <w:p w14:paraId="071328A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eastAsia="zh-CN"/>
              </w:rPr>
            </w:pPr>
            <w:r>
              <w:rPr>
                <w:rFonts w:hint="eastAsia" w:ascii="仿宋" w:hAnsi="仿宋" w:eastAsia="仿宋" w:cs="仿宋"/>
                <w:color w:val="auto"/>
                <w:kern w:val="0"/>
                <w:sz w:val="20"/>
                <w:szCs w:val="20"/>
                <w:highlight w:val="none"/>
                <w:lang w:eastAsia="zh-CN"/>
              </w:rPr>
              <w:t>临时雾炮降尘作业费用</w:t>
            </w:r>
          </w:p>
        </w:tc>
        <w:tc>
          <w:tcPr>
            <w:tcW w:w="983" w:type="pct"/>
            <w:tcBorders>
              <w:top w:val="nil"/>
              <w:left w:val="nil"/>
              <w:bottom w:val="single" w:color="auto" w:sz="4" w:space="0"/>
              <w:right w:val="single" w:color="auto" w:sz="4" w:space="0"/>
            </w:tcBorders>
            <w:noWrap w:val="0"/>
            <w:vAlign w:val="center"/>
          </w:tcPr>
          <w:p w14:paraId="2BC2A64A">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u w:val="single"/>
                <w:lang w:val="en-US" w:eastAsia="zh-CN"/>
              </w:rPr>
              <w:t xml:space="preserve">      </w:t>
            </w:r>
            <w:r>
              <w:rPr>
                <w:rFonts w:hint="eastAsia" w:ascii="仿宋" w:hAnsi="仿宋" w:eastAsia="仿宋" w:cs="仿宋"/>
                <w:color w:val="auto"/>
                <w:kern w:val="0"/>
                <w:sz w:val="20"/>
                <w:szCs w:val="20"/>
                <w:highlight w:val="none"/>
                <w:lang w:val="en-US" w:eastAsia="zh-CN"/>
              </w:rPr>
              <w:t>元/公里</w:t>
            </w:r>
          </w:p>
        </w:tc>
        <w:tc>
          <w:tcPr>
            <w:tcW w:w="733" w:type="pct"/>
            <w:tcBorders>
              <w:top w:val="nil"/>
              <w:left w:val="nil"/>
              <w:bottom w:val="single" w:color="auto" w:sz="4" w:space="0"/>
              <w:right w:val="single" w:color="auto" w:sz="4" w:space="0"/>
            </w:tcBorders>
            <w:noWrap w:val="0"/>
            <w:vAlign w:val="center"/>
          </w:tcPr>
          <w:p w14:paraId="65957966">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10000公里/年</w:t>
            </w:r>
          </w:p>
        </w:tc>
        <w:tc>
          <w:tcPr>
            <w:tcW w:w="689" w:type="pct"/>
            <w:gridSpan w:val="2"/>
            <w:tcBorders>
              <w:top w:val="nil"/>
              <w:left w:val="nil"/>
              <w:bottom w:val="single" w:color="auto" w:sz="4" w:space="0"/>
              <w:right w:val="single" w:color="auto" w:sz="4" w:space="0"/>
            </w:tcBorders>
            <w:noWrap w:val="0"/>
            <w:vAlign w:val="center"/>
          </w:tcPr>
          <w:p w14:paraId="5660975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1326" w:type="pct"/>
            <w:tcBorders>
              <w:top w:val="nil"/>
              <w:left w:val="nil"/>
              <w:bottom w:val="single" w:color="auto" w:sz="4" w:space="0"/>
              <w:right w:val="single" w:color="auto" w:sz="4" w:space="0"/>
            </w:tcBorders>
            <w:noWrap w:val="0"/>
            <w:vAlign w:val="center"/>
          </w:tcPr>
          <w:p w14:paraId="3C6F6333">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暂按</w:t>
            </w:r>
            <w:r>
              <w:rPr>
                <w:rFonts w:hint="eastAsia" w:ascii="仿宋" w:hAnsi="仿宋" w:eastAsia="仿宋" w:cs="仿宋"/>
                <w:color w:val="auto"/>
                <w:kern w:val="0"/>
                <w:sz w:val="20"/>
                <w:szCs w:val="20"/>
                <w:highlight w:val="none"/>
                <w:lang w:val="en-US" w:eastAsia="zh-CN"/>
              </w:rPr>
              <w:t>1</w:t>
            </w:r>
            <w:r>
              <w:rPr>
                <w:rFonts w:hint="eastAsia" w:ascii="仿宋" w:hAnsi="仿宋" w:eastAsia="仿宋" w:cs="仿宋"/>
                <w:color w:val="auto"/>
                <w:kern w:val="0"/>
                <w:sz w:val="20"/>
                <w:szCs w:val="20"/>
                <w:highlight w:val="none"/>
              </w:rPr>
              <w:t>万公里</w:t>
            </w:r>
            <w:r>
              <w:rPr>
                <w:rFonts w:hint="eastAsia" w:ascii="仿宋" w:hAnsi="仿宋" w:eastAsia="仿宋" w:cs="仿宋"/>
                <w:color w:val="auto"/>
                <w:kern w:val="0"/>
                <w:sz w:val="20"/>
                <w:szCs w:val="20"/>
                <w:highlight w:val="none"/>
                <w:lang w:val="en-US" w:eastAsia="zh-CN"/>
              </w:rPr>
              <w:t>/年</w:t>
            </w:r>
            <w:r>
              <w:rPr>
                <w:rFonts w:hint="eastAsia" w:ascii="仿宋" w:hAnsi="仿宋" w:eastAsia="仿宋" w:cs="仿宋"/>
                <w:color w:val="auto"/>
                <w:kern w:val="0"/>
                <w:sz w:val="20"/>
                <w:szCs w:val="20"/>
                <w:highlight w:val="none"/>
              </w:rPr>
              <w:t>计</w:t>
            </w:r>
            <w:r>
              <w:rPr>
                <w:rFonts w:hint="eastAsia" w:ascii="仿宋" w:hAnsi="仿宋" w:eastAsia="仿宋" w:cs="仿宋"/>
                <w:color w:val="auto"/>
                <w:kern w:val="0"/>
                <w:sz w:val="20"/>
                <w:szCs w:val="20"/>
                <w:highlight w:val="none"/>
                <w:lang w:val="en-US" w:eastAsia="zh-CN"/>
              </w:rPr>
              <w:t>,按实发生结算支付</w:t>
            </w:r>
          </w:p>
        </w:tc>
      </w:tr>
      <w:tr w14:paraId="582464C6">
        <w:tblPrEx>
          <w:tblCellMar>
            <w:top w:w="0" w:type="dxa"/>
            <w:left w:w="108" w:type="dxa"/>
            <w:bottom w:w="0" w:type="dxa"/>
            <w:right w:w="108" w:type="dxa"/>
          </w:tblCellMar>
        </w:tblPrEx>
        <w:trPr>
          <w:trHeight w:val="680" w:hRule="atLeast"/>
        </w:trPr>
        <w:tc>
          <w:tcPr>
            <w:tcW w:w="321" w:type="pct"/>
            <w:tcBorders>
              <w:top w:val="nil"/>
              <w:left w:val="single" w:color="auto" w:sz="4" w:space="0"/>
              <w:bottom w:val="single" w:color="auto" w:sz="4" w:space="0"/>
              <w:right w:val="single" w:color="auto" w:sz="4" w:space="0"/>
            </w:tcBorders>
            <w:noWrap w:val="0"/>
            <w:vAlign w:val="center"/>
          </w:tcPr>
          <w:p w14:paraId="467A3C2A">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eastAsia="zh-CN"/>
              </w:rPr>
            </w:pPr>
            <w:r>
              <w:rPr>
                <w:rFonts w:hint="eastAsia" w:ascii="仿宋" w:hAnsi="仿宋" w:eastAsia="仿宋" w:cs="仿宋"/>
                <w:color w:val="auto"/>
                <w:kern w:val="0"/>
                <w:sz w:val="20"/>
                <w:szCs w:val="20"/>
                <w:highlight w:val="none"/>
                <w:lang w:val="en-US" w:eastAsia="zh-CN"/>
              </w:rPr>
              <w:t>6</w:t>
            </w:r>
          </w:p>
        </w:tc>
        <w:tc>
          <w:tcPr>
            <w:tcW w:w="946" w:type="pct"/>
            <w:gridSpan w:val="2"/>
            <w:tcBorders>
              <w:top w:val="single" w:color="auto" w:sz="4" w:space="0"/>
              <w:left w:val="nil"/>
              <w:bottom w:val="single" w:color="auto" w:sz="4" w:space="0"/>
              <w:right w:val="single" w:color="auto" w:sz="4" w:space="0"/>
            </w:tcBorders>
            <w:noWrap w:val="0"/>
            <w:vAlign w:val="center"/>
          </w:tcPr>
          <w:p w14:paraId="49326CA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管理费</w:t>
            </w:r>
          </w:p>
        </w:tc>
        <w:tc>
          <w:tcPr>
            <w:tcW w:w="983" w:type="pct"/>
            <w:tcBorders>
              <w:top w:val="nil"/>
              <w:left w:val="nil"/>
              <w:bottom w:val="single" w:color="auto" w:sz="4" w:space="0"/>
              <w:right w:val="single" w:color="auto" w:sz="4" w:space="0"/>
            </w:tcBorders>
            <w:noWrap w:val="0"/>
            <w:vAlign w:val="center"/>
          </w:tcPr>
          <w:p w14:paraId="2491D9CE">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u w:val="single"/>
                <w:lang w:val="en-US" w:eastAsia="zh-CN"/>
              </w:rPr>
              <w:t xml:space="preserve">      </w:t>
            </w:r>
            <w:r>
              <w:rPr>
                <w:rFonts w:hint="eastAsia" w:ascii="仿宋" w:hAnsi="仿宋" w:eastAsia="仿宋" w:cs="仿宋"/>
                <w:color w:val="auto"/>
                <w:kern w:val="0"/>
                <w:sz w:val="20"/>
                <w:szCs w:val="20"/>
                <w:highlight w:val="none"/>
              </w:rPr>
              <w:t>元/</w:t>
            </w:r>
            <w:r>
              <w:rPr>
                <w:rFonts w:hint="eastAsia" w:ascii="仿宋" w:hAnsi="仿宋" w:eastAsia="仿宋" w:cs="仿宋"/>
                <w:color w:val="auto"/>
                <w:kern w:val="0"/>
                <w:sz w:val="20"/>
                <w:szCs w:val="20"/>
                <w:highlight w:val="none"/>
                <w:lang w:val="en-US" w:eastAsia="zh-CN"/>
              </w:rPr>
              <w:t>月</w:t>
            </w:r>
          </w:p>
        </w:tc>
        <w:tc>
          <w:tcPr>
            <w:tcW w:w="733" w:type="pct"/>
            <w:tcBorders>
              <w:top w:val="nil"/>
              <w:left w:val="nil"/>
              <w:bottom w:val="single" w:color="auto" w:sz="4" w:space="0"/>
              <w:right w:val="single" w:color="auto" w:sz="4" w:space="0"/>
            </w:tcBorders>
            <w:noWrap w:val="0"/>
            <w:vAlign w:val="center"/>
          </w:tcPr>
          <w:p w14:paraId="6AF9764A">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lang w:val="en-US" w:eastAsia="zh-CN"/>
              </w:rPr>
              <w:t>12月</w:t>
            </w:r>
          </w:p>
        </w:tc>
        <w:tc>
          <w:tcPr>
            <w:tcW w:w="689" w:type="pct"/>
            <w:gridSpan w:val="2"/>
            <w:tcBorders>
              <w:top w:val="nil"/>
              <w:left w:val="nil"/>
              <w:bottom w:val="single" w:color="auto" w:sz="4" w:space="0"/>
              <w:right w:val="single" w:color="auto" w:sz="4" w:space="0"/>
            </w:tcBorders>
            <w:noWrap w:val="0"/>
            <w:vAlign w:val="center"/>
          </w:tcPr>
          <w:p w14:paraId="6B63441F">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1326" w:type="pct"/>
            <w:tcBorders>
              <w:top w:val="nil"/>
              <w:left w:val="nil"/>
              <w:bottom w:val="single" w:color="auto" w:sz="4" w:space="0"/>
              <w:right w:val="single" w:color="auto" w:sz="4" w:space="0"/>
            </w:tcBorders>
            <w:noWrap w:val="0"/>
            <w:vAlign w:val="center"/>
          </w:tcPr>
          <w:p w14:paraId="67EE5CE6">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r>
      <w:tr w14:paraId="1722820F">
        <w:tblPrEx>
          <w:tblCellMar>
            <w:top w:w="0" w:type="dxa"/>
            <w:left w:w="108" w:type="dxa"/>
            <w:bottom w:w="0" w:type="dxa"/>
            <w:right w:w="108" w:type="dxa"/>
          </w:tblCellMar>
        </w:tblPrEx>
        <w:trPr>
          <w:trHeight w:val="818" w:hRule="atLeast"/>
        </w:trPr>
        <w:tc>
          <w:tcPr>
            <w:tcW w:w="321" w:type="pct"/>
            <w:tcBorders>
              <w:top w:val="nil"/>
              <w:left w:val="single" w:color="auto" w:sz="4" w:space="0"/>
              <w:bottom w:val="single" w:color="auto" w:sz="4" w:space="0"/>
              <w:right w:val="single" w:color="auto" w:sz="4" w:space="0"/>
            </w:tcBorders>
            <w:noWrap w:val="0"/>
            <w:vAlign w:val="center"/>
          </w:tcPr>
          <w:p w14:paraId="6707BD41">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lang w:val="en-US" w:eastAsia="zh-CN"/>
              </w:rPr>
              <w:t>7</w:t>
            </w:r>
          </w:p>
        </w:tc>
        <w:tc>
          <w:tcPr>
            <w:tcW w:w="946" w:type="pct"/>
            <w:gridSpan w:val="2"/>
            <w:tcBorders>
              <w:top w:val="single" w:color="auto" w:sz="4" w:space="0"/>
              <w:left w:val="nil"/>
              <w:bottom w:val="single" w:color="auto" w:sz="4" w:space="0"/>
              <w:right w:val="single" w:color="auto" w:sz="4" w:space="0"/>
            </w:tcBorders>
            <w:noWrap w:val="0"/>
            <w:vAlign w:val="center"/>
          </w:tcPr>
          <w:p w14:paraId="0B779CA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税金</w:t>
            </w:r>
          </w:p>
        </w:tc>
        <w:tc>
          <w:tcPr>
            <w:tcW w:w="983" w:type="pct"/>
            <w:tcBorders>
              <w:top w:val="nil"/>
              <w:left w:val="nil"/>
              <w:bottom w:val="single" w:color="auto" w:sz="4" w:space="0"/>
              <w:right w:val="single" w:color="auto" w:sz="4" w:space="0"/>
            </w:tcBorders>
            <w:noWrap w:val="0"/>
            <w:vAlign w:val="center"/>
          </w:tcPr>
          <w:p w14:paraId="695AEF51">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u w:val="single"/>
                <w:lang w:val="en-US" w:eastAsia="zh-CN"/>
              </w:rPr>
              <w:t xml:space="preserve">      </w:t>
            </w:r>
            <w:r>
              <w:rPr>
                <w:rFonts w:hint="eastAsia" w:ascii="仿宋" w:hAnsi="仿宋" w:eastAsia="仿宋" w:cs="仿宋"/>
                <w:color w:val="auto"/>
                <w:kern w:val="0"/>
                <w:sz w:val="20"/>
                <w:szCs w:val="20"/>
                <w:highlight w:val="none"/>
              </w:rPr>
              <w:t>元/</w:t>
            </w:r>
            <w:r>
              <w:rPr>
                <w:rFonts w:hint="eastAsia" w:ascii="仿宋" w:hAnsi="仿宋" w:eastAsia="仿宋" w:cs="仿宋"/>
                <w:color w:val="auto"/>
                <w:kern w:val="0"/>
                <w:sz w:val="20"/>
                <w:szCs w:val="20"/>
                <w:highlight w:val="none"/>
                <w:lang w:val="en-US" w:eastAsia="zh-CN"/>
              </w:rPr>
              <w:t>月</w:t>
            </w:r>
          </w:p>
        </w:tc>
        <w:tc>
          <w:tcPr>
            <w:tcW w:w="733" w:type="pct"/>
            <w:tcBorders>
              <w:top w:val="nil"/>
              <w:left w:val="nil"/>
              <w:bottom w:val="single" w:color="auto" w:sz="4" w:space="0"/>
              <w:right w:val="single" w:color="auto" w:sz="4" w:space="0"/>
            </w:tcBorders>
            <w:noWrap w:val="0"/>
            <w:vAlign w:val="center"/>
          </w:tcPr>
          <w:p w14:paraId="352A04CA">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lang w:val="en-US" w:eastAsia="zh-CN"/>
              </w:rPr>
              <w:t>12月</w:t>
            </w:r>
          </w:p>
        </w:tc>
        <w:tc>
          <w:tcPr>
            <w:tcW w:w="689" w:type="pct"/>
            <w:gridSpan w:val="2"/>
            <w:tcBorders>
              <w:top w:val="nil"/>
              <w:left w:val="nil"/>
              <w:bottom w:val="single" w:color="auto" w:sz="4" w:space="0"/>
              <w:right w:val="single" w:color="auto" w:sz="4" w:space="0"/>
            </w:tcBorders>
            <w:noWrap w:val="0"/>
            <w:vAlign w:val="center"/>
          </w:tcPr>
          <w:p w14:paraId="19C19E8B">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p>
        </w:tc>
        <w:tc>
          <w:tcPr>
            <w:tcW w:w="1326" w:type="pct"/>
            <w:tcBorders>
              <w:top w:val="nil"/>
              <w:left w:val="nil"/>
              <w:bottom w:val="single" w:color="auto" w:sz="4" w:space="0"/>
              <w:right w:val="single" w:color="auto" w:sz="4" w:space="0"/>
            </w:tcBorders>
            <w:noWrap w:val="0"/>
            <w:vAlign w:val="center"/>
          </w:tcPr>
          <w:p w14:paraId="36B6C5D4">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★税金不得低于“（</w:t>
            </w:r>
            <w:r>
              <w:rPr>
                <w:rFonts w:hint="eastAsia" w:ascii="仿宋" w:hAnsi="仿宋" w:eastAsia="仿宋" w:cs="仿宋"/>
                <w:color w:val="auto"/>
                <w:kern w:val="0"/>
                <w:sz w:val="20"/>
                <w:szCs w:val="20"/>
                <w:highlight w:val="none"/>
                <w:lang w:val="en-US" w:eastAsia="zh-CN"/>
              </w:rPr>
              <w:t>1</w:t>
            </w:r>
            <w:r>
              <w:rPr>
                <w:rFonts w:hint="eastAsia" w:ascii="仿宋" w:hAnsi="仿宋" w:eastAsia="仿宋" w:cs="仿宋"/>
                <w:color w:val="auto"/>
                <w:kern w:val="0"/>
                <w:sz w:val="20"/>
                <w:szCs w:val="20"/>
                <w:highlight w:val="none"/>
              </w:rPr>
              <w:t>+</w:t>
            </w:r>
            <w:r>
              <w:rPr>
                <w:rFonts w:hint="eastAsia" w:ascii="仿宋" w:hAnsi="仿宋" w:eastAsia="仿宋" w:cs="仿宋"/>
                <w:color w:val="auto"/>
                <w:kern w:val="0"/>
                <w:sz w:val="20"/>
                <w:szCs w:val="20"/>
                <w:highlight w:val="none"/>
                <w:lang w:val="en-US" w:eastAsia="zh-CN"/>
              </w:rPr>
              <w:t>2</w:t>
            </w:r>
            <w:r>
              <w:rPr>
                <w:rFonts w:hint="eastAsia" w:ascii="仿宋" w:hAnsi="仿宋" w:eastAsia="仿宋" w:cs="仿宋"/>
                <w:color w:val="auto"/>
                <w:kern w:val="0"/>
                <w:sz w:val="20"/>
                <w:szCs w:val="20"/>
                <w:highlight w:val="none"/>
              </w:rPr>
              <w:t>+</w:t>
            </w:r>
            <w:r>
              <w:rPr>
                <w:rFonts w:hint="eastAsia" w:ascii="仿宋" w:hAnsi="仿宋" w:eastAsia="仿宋" w:cs="仿宋"/>
                <w:color w:val="auto"/>
                <w:kern w:val="0"/>
                <w:sz w:val="20"/>
                <w:szCs w:val="20"/>
                <w:highlight w:val="none"/>
                <w:lang w:val="en-US" w:eastAsia="zh-CN"/>
              </w:rPr>
              <w:t>3</w:t>
            </w:r>
            <w:r>
              <w:rPr>
                <w:rFonts w:hint="eastAsia" w:ascii="仿宋" w:hAnsi="仿宋" w:eastAsia="仿宋" w:cs="仿宋"/>
                <w:color w:val="auto"/>
                <w:kern w:val="0"/>
                <w:sz w:val="20"/>
                <w:szCs w:val="20"/>
                <w:highlight w:val="none"/>
              </w:rPr>
              <w:t>+</w:t>
            </w:r>
            <w:r>
              <w:rPr>
                <w:rFonts w:hint="eastAsia" w:ascii="仿宋" w:hAnsi="仿宋" w:eastAsia="仿宋" w:cs="仿宋"/>
                <w:color w:val="auto"/>
                <w:kern w:val="0"/>
                <w:sz w:val="20"/>
                <w:szCs w:val="20"/>
                <w:highlight w:val="none"/>
                <w:lang w:val="en-US" w:eastAsia="zh-CN"/>
              </w:rPr>
              <w:t>4+5+6</w:t>
            </w:r>
            <w:r>
              <w:rPr>
                <w:rFonts w:hint="eastAsia" w:ascii="仿宋" w:hAnsi="仿宋" w:eastAsia="仿宋" w:cs="仿宋"/>
                <w:color w:val="auto"/>
                <w:kern w:val="0"/>
                <w:sz w:val="20"/>
                <w:szCs w:val="20"/>
                <w:highlight w:val="none"/>
              </w:rPr>
              <w:t>）*6.6%”</w:t>
            </w:r>
          </w:p>
        </w:tc>
      </w:tr>
      <w:tr w14:paraId="194F8C15">
        <w:tblPrEx>
          <w:tblCellMar>
            <w:top w:w="0" w:type="dxa"/>
            <w:left w:w="108" w:type="dxa"/>
            <w:bottom w:w="0" w:type="dxa"/>
            <w:right w:w="108" w:type="dxa"/>
          </w:tblCellMar>
        </w:tblPrEx>
        <w:trPr>
          <w:trHeight w:val="468" w:hRule="atLeast"/>
        </w:trPr>
        <w:tc>
          <w:tcPr>
            <w:tcW w:w="5000" w:type="pct"/>
            <w:gridSpan w:val="8"/>
            <w:tcBorders>
              <w:top w:val="nil"/>
              <w:left w:val="single" w:color="auto" w:sz="4" w:space="0"/>
              <w:bottom w:val="single" w:color="auto" w:sz="4" w:space="0"/>
              <w:right w:val="single" w:color="auto" w:sz="4" w:space="0"/>
            </w:tcBorders>
            <w:noWrap w:val="0"/>
            <w:vAlign w:val="center"/>
          </w:tcPr>
          <w:p w14:paraId="595C56D9">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不参与竞争部分</w:t>
            </w:r>
          </w:p>
        </w:tc>
      </w:tr>
      <w:tr w14:paraId="2EC4C6CB">
        <w:tblPrEx>
          <w:tblCellMar>
            <w:top w:w="0" w:type="dxa"/>
            <w:left w:w="108" w:type="dxa"/>
            <w:bottom w:w="0" w:type="dxa"/>
            <w:right w:w="108" w:type="dxa"/>
          </w:tblCellMar>
        </w:tblPrEx>
        <w:trPr>
          <w:trHeight w:val="520" w:hRule="atLeast"/>
        </w:trPr>
        <w:tc>
          <w:tcPr>
            <w:tcW w:w="321" w:type="pct"/>
            <w:tcBorders>
              <w:top w:val="nil"/>
              <w:left w:val="single" w:color="auto" w:sz="4" w:space="0"/>
              <w:bottom w:val="single" w:color="auto" w:sz="4" w:space="0"/>
              <w:right w:val="single" w:color="auto" w:sz="4" w:space="0"/>
            </w:tcBorders>
            <w:noWrap w:val="0"/>
            <w:vAlign w:val="center"/>
          </w:tcPr>
          <w:p w14:paraId="549744A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eastAsia="zh-CN"/>
              </w:rPr>
            </w:pPr>
            <w:r>
              <w:rPr>
                <w:rFonts w:hint="eastAsia" w:ascii="仿宋" w:hAnsi="仿宋" w:eastAsia="仿宋" w:cs="仿宋"/>
                <w:color w:val="auto"/>
                <w:kern w:val="0"/>
                <w:sz w:val="20"/>
                <w:szCs w:val="20"/>
                <w:highlight w:val="none"/>
                <w:lang w:val="en-US" w:eastAsia="zh-CN"/>
              </w:rPr>
              <w:t>8</w:t>
            </w:r>
          </w:p>
        </w:tc>
        <w:tc>
          <w:tcPr>
            <w:tcW w:w="946" w:type="pct"/>
            <w:gridSpan w:val="2"/>
            <w:tcBorders>
              <w:top w:val="single" w:color="auto" w:sz="4" w:space="0"/>
              <w:left w:val="nil"/>
              <w:bottom w:val="single" w:color="auto" w:sz="4" w:space="0"/>
              <w:right w:val="single" w:color="auto" w:sz="4" w:space="0"/>
            </w:tcBorders>
            <w:noWrap w:val="0"/>
            <w:vAlign w:val="center"/>
          </w:tcPr>
          <w:p w14:paraId="2E2B3F22">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应急处置费</w:t>
            </w:r>
          </w:p>
        </w:tc>
        <w:tc>
          <w:tcPr>
            <w:tcW w:w="2112" w:type="pct"/>
            <w:gridSpan w:val="3"/>
            <w:tcBorders>
              <w:top w:val="nil"/>
              <w:left w:val="nil"/>
              <w:bottom w:val="single" w:color="auto" w:sz="4" w:space="0"/>
              <w:right w:val="single" w:color="auto" w:sz="4" w:space="0"/>
            </w:tcBorders>
            <w:noWrap w:val="0"/>
            <w:vAlign w:val="center"/>
          </w:tcPr>
          <w:p w14:paraId="58B0587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rPr>
            </w:pPr>
            <w:r>
              <w:rPr>
                <w:rFonts w:hint="eastAsia" w:ascii="仿宋" w:hAnsi="仿宋" w:eastAsia="仿宋" w:cs="仿宋"/>
                <w:color w:val="auto"/>
                <w:kern w:val="0"/>
                <w:sz w:val="20"/>
                <w:szCs w:val="20"/>
                <w:highlight w:val="none"/>
                <w:lang w:val="en-US" w:eastAsia="zh-CN"/>
              </w:rPr>
              <w:t>50万元/年</w:t>
            </w:r>
          </w:p>
        </w:tc>
        <w:tc>
          <w:tcPr>
            <w:tcW w:w="1620" w:type="pct"/>
            <w:gridSpan w:val="2"/>
            <w:tcBorders>
              <w:top w:val="nil"/>
              <w:left w:val="nil"/>
              <w:bottom w:val="single" w:color="auto" w:sz="4" w:space="0"/>
              <w:right w:val="single" w:color="auto" w:sz="4" w:space="0"/>
            </w:tcBorders>
            <w:noWrap w:val="0"/>
            <w:vAlign w:val="center"/>
          </w:tcPr>
          <w:p w14:paraId="0F943768">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不参与竞争，按实发生结算支付</w:t>
            </w:r>
          </w:p>
        </w:tc>
      </w:tr>
      <w:tr w14:paraId="4FEE0AA7">
        <w:tblPrEx>
          <w:tblCellMar>
            <w:top w:w="0" w:type="dxa"/>
            <w:left w:w="108" w:type="dxa"/>
            <w:bottom w:w="0" w:type="dxa"/>
            <w:right w:w="108" w:type="dxa"/>
          </w:tblCellMar>
        </w:tblPrEx>
        <w:trPr>
          <w:trHeight w:val="676" w:hRule="atLeast"/>
        </w:trPr>
        <w:tc>
          <w:tcPr>
            <w:tcW w:w="1267" w:type="pct"/>
            <w:gridSpan w:val="3"/>
            <w:tcBorders>
              <w:top w:val="single" w:color="auto" w:sz="4" w:space="0"/>
              <w:left w:val="single" w:color="auto" w:sz="4" w:space="0"/>
              <w:bottom w:val="single" w:color="auto" w:sz="4" w:space="0"/>
              <w:right w:val="single" w:color="auto" w:sz="4" w:space="0"/>
            </w:tcBorders>
            <w:noWrap w:val="0"/>
            <w:vAlign w:val="center"/>
          </w:tcPr>
          <w:p w14:paraId="5742A48B">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0"/>
                <w:szCs w:val="20"/>
                <w:highlight w:val="none"/>
              </w:rPr>
            </w:pPr>
            <w:r>
              <w:rPr>
                <w:rFonts w:hint="eastAsia" w:ascii="仿宋" w:hAnsi="仿宋" w:eastAsia="仿宋" w:cs="仿宋"/>
                <w:b/>
                <w:bCs/>
                <w:color w:val="auto"/>
                <w:kern w:val="0"/>
                <w:sz w:val="20"/>
                <w:szCs w:val="20"/>
                <w:highlight w:val="none"/>
                <w:lang w:eastAsia="zh-CN"/>
              </w:rPr>
              <w:t>（</w:t>
            </w:r>
            <w:r>
              <w:rPr>
                <w:rFonts w:hint="eastAsia" w:ascii="仿宋" w:hAnsi="仿宋" w:eastAsia="仿宋" w:cs="仿宋"/>
                <w:b/>
                <w:bCs/>
                <w:color w:val="auto"/>
                <w:kern w:val="0"/>
                <w:sz w:val="20"/>
                <w:szCs w:val="20"/>
                <w:highlight w:val="none"/>
                <w:lang w:val="en-US" w:eastAsia="zh-CN"/>
              </w:rPr>
              <w:t>一年</w:t>
            </w:r>
            <w:r>
              <w:rPr>
                <w:rFonts w:hint="eastAsia" w:ascii="仿宋" w:hAnsi="仿宋" w:eastAsia="仿宋" w:cs="仿宋"/>
                <w:b/>
                <w:bCs/>
                <w:color w:val="auto"/>
                <w:kern w:val="0"/>
                <w:sz w:val="20"/>
                <w:szCs w:val="20"/>
                <w:highlight w:val="none"/>
                <w:lang w:eastAsia="zh-CN"/>
              </w:rPr>
              <w:t>）</w:t>
            </w:r>
            <w:r>
              <w:rPr>
                <w:rFonts w:hint="eastAsia" w:ascii="仿宋" w:hAnsi="仿宋" w:eastAsia="仿宋" w:cs="仿宋"/>
                <w:b/>
                <w:bCs/>
                <w:color w:val="auto"/>
                <w:kern w:val="0"/>
                <w:sz w:val="20"/>
                <w:szCs w:val="20"/>
                <w:highlight w:val="none"/>
              </w:rPr>
              <w:t>投标报价</w:t>
            </w:r>
            <w:r>
              <w:rPr>
                <w:rFonts w:hint="eastAsia" w:ascii="仿宋" w:hAnsi="仿宋" w:eastAsia="仿宋" w:cs="仿宋"/>
                <w:color w:val="auto"/>
                <w:kern w:val="0"/>
                <w:sz w:val="20"/>
                <w:szCs w:val="20"/>
                <w:highlight w:val="none"/>
              </w:rPr>
              <w:t>：</w:t>
            </w:r>
          </w:p>
        </w:tc>
        <w:tc>
          <w:tcPr>
            <w:tcW w:w="1716" w:type="pct"/>
            <w:gridSpan w:val="2"/>
            <w:tcBorders>
              <w:top w:val="single" w:color="auto" w:sz="4" w:space="0"/>
              <w:left w:val="single" w:color="auto" w:sz="4" w:space="0"/>
              <w:bottom w:val="single" w:color="auto" w:sz="4" w:space="0"/>
              <w:right w:val="single" w:color="auto" w:sz="4" w:space="0"/>
            </w:tcBorders>
            <w:noWrap w:val="0"/>
            <w:vAlign w:val="center"/>
          </w:tcPr>
          <w:p w14:paraId="6B54C8C6">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ascii="仿宋" w:hAnsi="仿宋" w:eastAsia="仿宋" w:cs="仿宋"/>
                <w:color w:val="auto"/>
                <w:kern w:val="0"/>
                <w:sz w:val="20"/>
                <w:szCs w:val="20"/>
                <w:highlight w:val="none"/>
              </w:rPr>
            </w:pPr>
            <w:r>
              <w:rPr>
                <w:rFonts w:hint="eastAsia" w:ascii="仿宋" w:hAnsi="仿宋" w:eastAsia="仿宋" w:cs="仿宋"/>
                <w:b/>
                <w:color w:val="auto"/>
                <w:sz w:val="20"/>
                <w:szCs w:val="20"/>
                <w:highlight w:val="none"/>
              </w:rPr>
              <w:t>小写：</w:t>
            </w:r>
          </w:p>
        </w:tc>
        <w:tc>
          <w:tcPr>
            <w:tcW w:w="2016" w:type="pct"/>
            <w:gridSpan w:val="3"/>
            <w:tcBorders>
              <w:top w:val="single" w:color="auto" w:sz="4" w:space="0"/>
              <w:left w:val="single" w:color="auto" w:sz="4" w:space="0"/>
              <w:bottom w:val="single" w:color="auto" w:sz="4" w:space="0"/>
              <w:right w:val="single" w:color="auto" w:sz="4" w:space="0"/>
            </w:tcBorders>
            <w:noWrap w:val="0"/>
            <w:vAlign w:val="center"/>
          </w:tcPr>
          <w:p w14:paraId="2AA22AC4">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ascii="仿宋" w:hAnsi="仿宋" w:eastAsia="仿宋" w:cs="仿宋"/>
                <w:color w:val="auto"/>
                <w:kern w:val="0"/>
                <w:sz w:val="20"/>
                <w:szCs w:val="20"/>
                <w:highlight w:val="none"/>
                <w:lang w:val="en-US" w:eastAsia="zh-CN"/>
              </w:rPr>
            </w:pPr>
            <w:r>
              <w:rPr>
                <w:rFonts w:hint="eastAsia" w:ascii="仿宋" w:hAnsi="仿宋" w:eastAsia="仿宋" w:cs="仿宋"/>
                <w:color w:val="auto"/>
                <w:kern w:val="0"/>
                <w:sz w:val="20"/>
                <w:szCs w:val="20"/>
                <w:highlight w:val="none"/>
                <w:lang w:val="en-US" w:eastAsia="zh-CN"/>
              </w:rPr>
              <w:t>大写：</w:t>
            </w:r>
          </w:p>
        </w:tc>
      </w:tr>
    </w:tbl>
    <w:p w14:paraId="26FB7CD1">
      <w:pPr>
        <w:adjustRightInd/>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附：报价要求</w:t>
      </w:r>
    </w:p>
    <w:tbl>
      <w:tblPr>
        <w:tblStyle w:val="62"/>
        <w:tblW w:w="9791" w:type="dxa"/>
        <w:jc w:val="center"/>
        <w:tblLayout w:type="fixed"/>
        <w:tblCellMar>
          <w:top w:w="0" w:type="dxa"/>
          <w:left w:w="108" w:type="dxa"/>
          <w:bottom w:w="0" w:type="dxa"/>
          <w:right w:w="108" w:type="dxa"/>
        </w:tblCellMar>
      </w:tblPr>
      <w:tblGrid>
        <w:gridCol w:w="739"/>
        <w:gridCol w:w="9052"/>
      </w:tblGrid>
      <w:tr w14:paraId="4573266A">
        <w:tblPrEx>
          <w:tblCellMar>
            <w:top w:w="0" w:type="dxa"/>
            <w:left w:w="108" w:type="dxa"/>
            <w:bottom w:w="0" w:type="dxa"/>
            <w:right w:w="108" w:type="dxa"/>
          </w:tblCellMar>
        </w:tblPrEx>
        <w:trPr>
          <w:trHeight w:val="483"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679BA101">
            <w:pPr>
              <w:widowControl/>
              <w:autoSpaceDE w:val="0"/>
              <w:autoSpaceDN w:val="0"/>
              <w:jc w:val="center"/>
              <w:textAlignment w:val="bottom"/>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序号</w:t>
            </w:r>
          </w:p>
        </w:tc>
        <w:tc>
          <w:tcPr>
            <w:tcW w:w="9052" w:type="dxa"/>
            <w:tcBorders>
              <w:top w:val="single" w:color="auto" w:sz="4" w:space="0"/>
              <w:left w:val="nil"/>
              <w:bottom w:val="single" w:color="auto" w:sz="4" w:space="0"/>
              <w:right w:val="single" w:color="auto" w:sz="4" w:space="0"/>
            </w:tcBorders>
            <w:noWrap w:val="0"/>
            <w:vAlign w:val="center"/>
          </w:tcPr>
          <w:p w14:paraId="6AD7A34C">
            <w:pPr>
              <w:widowControl/>
              <w:autoSpaceDE w:val="0"/>
              <w:autoSpaceDN w:val="0"/>
              <w:jc w:val="both"/>
              <w:textAlignment w:val="bottom"/>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报价要求</w:t>
            </w:r>
          </w:p>
        </w:tc>
      </w:tr>
      <w:tr w14:paraId="6FE34251">
        <w:tblPrEx>
          <w:tblCellMar>
            <w:top w:w="0" w:type="dxa"/>
            <w:left w:w="108" w:type="dxa"/>
            <w:bottom w:w="0" w:type="dxa"/>
            <w:right w:w="108" w:type="dxa"/>
          </w:tblCellMar>
        </w:tblPrEx>
        <w:trPr>
          <w:trHeight w:val="1923"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1E7D3A3A">
            <w:pPr>
              <w:widowControl/>
              <w:autoSpaceDE w:val="0"/>
              <w:autoSpaceDN w:val="0"/>
              <w:jc w:val="center"/>
              <w:textAlignment w:val="bottom"/>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w:t>
            </w:r>
          </w:p>
        </w:tc>
        <w:tc>
          <w:tcPr>
            <w:tcW w:w="9052" w:type="dxa"/>
            <w:tcBorders>
              <w:top w:val="single" w:color="auto" w:sz="4" w:space="0"/>
              <w:left w:val="nil"/>
              <w:bottom w:val="single" w:color="auto" w:sz="4" w:space="0"/>
              <w:right w:val="single" w:color="auto" w:sz="4" w:space="0"/>
            </w:tcBorders>
            <w:noWrap w:val="0"/>
            <w:vAlign w:val="center"/>
          </w:tcPr>
          <w:p w14:paraId="790102E5">
            <w:pPr>
              <w:widowControl/>
              <w:autoSpaceDE w:val="0"/>
              <w:autoSpaceDN w:val="0"/>
              <w:jc w:val="both"/>
              <w:textAlignment w:val="bottom"/>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结合本项目具体情况，要求本次供应商员工（含承诺增加的员工）基本工资最低不得低于绍兴市本年度最低工资标准的110%（浙政办发[2009]190号）（最低月工资标准2260元/月绍政发〔2024〕3号））（最低工资不包括下列四项收入：延长工作时间的工资；高温、低温、有毒有害等特殊工作环境、条件下的津贴；贴补伙食、住房等支付给劳动者的非货币性收入；法律、法规和国家规定的劳动者应当享受的福利待遇等）。本项目最低工资标准要求为每人每月2260*110%=2486元人民币；员工</w:t>
            </w:r>
            <w:r>
              <w:rPr>
                <w:rFonts w:hint="eastAsia" w:ascii="仿宋" w:hAnsi="仿宋" w:eastAsia="仿宋" w:cs="仿宋"/>
                <w:color w:val="auto"/>
                <w:kern w:val="0"/>
                <w:sz w:val="20"/>
                <w:szCs w:val="20"/>
                <w:highlight w:val="none"/>
              </w:rPr>
              <w:t>休息日加班按年度52天计取、法定节假日补贴最少按年度11天计取，要求分别按最低工资的2倍和3倍计算发放。日工资不得低于100元/天。</w:t>
            </w:r>
          </w:p>
        </w:tc>
      </w:tr>
      <w:tr w14:paraId="2B17F204">
        <w:tblPrEx>
          <w:tblCellMar>
            <w:top w:w="0" w:type="dxa"/>
            <w:left w:w="108" w:type="dxa"/>
            <w:bottom w:w="0" w:type="dxa"/>
            <w:right w:w="108" w:type="dxa"/>
          </w:tblCellMar>
        </w:tblPrEx>
        <w:trPr>
          <w:trHeight w:val="448"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30DC29F1">
            <w:pPr>
              <w:widowControl/>
              <w:autoSpaceDE w:val="0"/>
              <w:autoSpaceDN w:val="0"/>
              <w:jc w:val="center"/>
              <w:textAlignment w:val="bottom"/>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2</w:t>
            </w:r>
          </w:p>
        </w:tc>
        <w:tc>
          <w:tcPr>
            <w:tcW w:w="9052" w:type="dxa"/>
            <w:tcBorders>
              <w:top w:val="single" w:color="auto" w:sz="4" w:space="0"/>
              <w:left w:val="nil"/>
              <w:bottom w:val="single" w:color="auto" w:sz="4" w:space="0"/>
              <w:right w:val="single" w:color="auto" w:sz="4" w:space="0"/>
            </w:tcBorders>
            <w:noWrap w:val="0"/>
            <w:vAlign w:val="center"/>
          </w:tcPr>
          <w:p w14:paraId="663A27CE">
            <w:pPr>
              <w:widowControl/>
              <w:autoSpaceDE w:val="0"/>
              <w:autoSpaceDN w:val="0"/>
              <w:jc w:val="both"/>
              <w:textAlignment w:val="bottom"/>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★节假日福利按年度不低于1900元计取，高温费按高温津贴标准发放，按每年4个月，每个月不少于300元计算。</w:t>
            </w:r>
          </w:p>
        </w:tc>
      </w:tr>
      <w:tr w14:paraId="47B8C200">
        <w:tblPrEx>
          <w:tblCellMar>
            <w:top w:w="0" w:type="dxa"/>
            <w:left w:w="108" w:type="dxa"/>
            <w:bottom w:w="0" w:type="dxa"/>
            <w:right w:w="108" w:type="dxa"/>
          </w:tblCellMar>
        </w:tblPrEx>
        <w:trPr>
          <w:trHeight w:val="649"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51AFA0A1">
            <w:pPr>
              <w:widowControl/>
              <w:autoSpaceDE w:val="0"/>
              <w:autoSpaceDN w:val="0"/>
              <w:jc w:val="center"/>
              <w:textAlignment w:val="bottom"/>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3</w:t>
            </w:r>
          </w:p>
        </w:tc>
        <w:tc>
          <w:tcPr>
            <w:tcW w:w="9052" w:type="dxa"/>
            <w:tcBorders>
              <w:top w:val="single" w:color="auto" w:sz="4" w:space="0"/>
              <w:left w:val="nil"/>
              <w:bottom w:val="single" w:color="auto" w:sz="4" w:space="0"/>
              <w:right w:val="single" w:color="auto" w:sz="4" w:space="0"/>
            </w:tcBorders>
            <w:noWrap w:val="0"/>
            <w:vAlign w:val="center"/>
          </w:tcPr>
          <w:p w14:paraId="2EA1B101">
            <w:pPr>
              <w:widowControl/>
              <w:autoSpaceDE w:val="0"/>
              <w:autoSpaceDN w:val="0"/>
              <w:jc w:val="both"/>
              <w:textAlignment w:val="bottom"/>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★中标人须为全体员工办理职工意外伤害保险，实现100%全覆盖。职工意外伤害保险费用每人每年不少于600元。</w:t>
            </w:r>
          </w:p>
        </w:tc>
      </w:tr>
      <w:tr w14:paraId="2D701ECE">
        <w:tblPrEx>
          <w:tblCellMar>
            <w:top w:w="0" w:type="dxa"/>
            <w:left w:w="108" w:type="dxa"/>
            <w:bottom w:w="0" w:type="dxa"/>
            <w:right w:w="108" w:type="dxa"/>
          </w:tblCellMar>
        </w:tblPrEx>
        <w:trPr>
          <w:trHeight w:val="1993"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417B39E4">
            <w:pPr>
              <w:widowControl/>
              <w:autoSpaceDE w:val="0"/>
              <w:autoSpaceDN w:val="0"/>
              <w:jc w:val="center"/>
              <w:textAlignment w:val="bottom"/>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4</w:t>
            </w:r>
          </w:p>
        </w:tc>
        <w:tc>
          <w:tcPr>
            <w:tcW w:w="9052" w:type="dxa"/>
            <w:tcBorders>
              <w:top w:val="single" w:color="auto" w:sz="4" w:space="0"/>
              <w:left w:val="nil"/>
              <w:bottom w:val="single" w:color="auto" w:sz="4" w:space="0"/>
              <w:right w:val="single" w:color="auto" w:sz="4" w:space="0"/>
            </w:tcBorders>
            <w:noWrap w:val="0"/>
            <w:vAlign w:val="center"/>
          </w:tcPr>
          <w:p w14:paraId="46635D84">
            <w:pPr>
              <w:adjustRightInd/>
              <w:jc w:val="both"/>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★供应商员工五险须按项目最低人员数量报价，报价必须包括养老保险、医疗保险、失业保险、工伤保险、生育保险，且不得低于绍兴市柯桥区最低缴费基数。</w:t>
            </w:r>
          </w:p>
          <w:p w14:paraId="1F9379AA">
            <w:pPr>
              <w:adjustRightInd/>
              <w:jc w:val="both"/>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最低缴费基数：</w:t>
            </w:r>
          </w:p>
          <w:p w14:paraId="59E88356">
            <w:pPr>
              <w:adjustRightInd/>
              <w:jc w:val="both"/>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养老保险基数为4812，单位须缴纳的比例为16%，即769.92元；</w:t>
            </w:r>
          </w:p>
          <w:p w14:paraId="74062681">
            <w:pPr>
              <w:adjustRightInd/>
              <w:jc w:val="both"/>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医疗保险（含生育）基数为4812，单位须缴纳的比例为8.6%，即413.83元；</w:t>
            </w:r>
          </w:p>
          <w:p w14:paraId="05EFF697">
            <w:pPr>
              <w:adjustRightInd/>
              <w:jc w:val="both"/>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工伤保险基数为4812，单位须缴纳的比例为0.2%，即9.62元；</w:t>
            </w:r>
          </w:p>
          <w:p w14:paraId="11F19FAE">
            <w:pPr>
              <w:adjustRightInd/>
              <w:jc w:val="both"/>
              <w:rPr>
                <w:rFonts w:hint="eastAsia" w:ascii="仿宋" w:hAnsi="仿宋" w:eastAsia="仿宋" w:cs="仿宋"/>
                <w:strike/>
                <w:color w:val="auto"/>
                <w:sz w:val="20"/>
                <w:szCs w:val="20"/>
                <w:highlight w:val="none"/>
              </w:rPr>
            </w:pPr>
            <w:r>
              <w:rPr>
                <w:rFonts w:hint="eastAsia" w:ascii="仿宋" w:hAnsi="仿宋" w:eastAsia="仿宋" w:cs="仿宋"/>
                <w:color w:val="auto"/>
                <w:sz w:val="20"/>
                <w:szCs w:val="20"/>
                <w:highlight w:val="none"/>
              </w:rPr>
              <w:t>失业保险基数为4812，单位须缴纳的比例为0.5%，即24.06元。</w:t>
            </w:r>
          </w:p>
        </w:tc>
      </w:tr>
      <w:tr w14:paraId="77C33487">
        <w:tblPrEx>
          <w:tblCellMar>
            <w:top w:w="0" w:type="dxa"/>
            <w:left w:w="108" w:type="dxa"/>
            <w:bottom w:w="0" w:type="dxa"/>
            <w:right w:w="108" w:type="dxa"/>
          </w:tblCellMar>
        </w:tblPrEx>
        <w:trPr>
          <w:trHeight w:val="673"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3A145FD4">
            <w:pPr>
              <w:widowControl/>
              <w:autoSpaceDE w:val="0"/>
              <w:autoSpaceDN w:val="0"/>
              <w:jc w:val="center"/>
              <w:textAlignment w:val="bottom"/>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5</w:t>
            </w:r>
          </w:p>
        </w:tc>
        <w:tc>
          <w:tcPr>
            <w:tcW w:w="9052" w:type="dxa"/>
            <w:tcBorders>
              <w:top w:val="single" w:color="auto" w:sz="4" w:space="0"/>
              <w:left w:val="nil"/>
              <w:bottom w:val="single" w:color="auto" w:sz="4" w:space="0"/>
              <w:right w:val="single" w:color="auto" w:sz="4" w:space="0"/>
            </w:tcBorders>
            <w:noWrap w:val="0"/>
            <w:vAlign w:val="center"/>
          </w:tcPr>
          <w:p w14:paraId="35ED54B3">
            <w:pPr>
              <w:adjustRightInd/>
              <w:jc w:val="both"/>
              <w:rPr>
                <w:rFonts w:hint="eastAsia" w:ascii="仿宋" w:hAnsi="仿宋" w:eastAsia="仿宋" w:cs="仿宋"/>
                <w:color w:val="auto"/>
                <w:sz w:val="20"/>
                <w:szCs w:val="20"/>
                <w:highlight w:val="none"/>
                <w:lang w:eastAsia="zh-CN"/>
              </w:rPr>
            </w:pPr>
            <w:r>
              <w:rPr>
                <w:rFonts w:hint="eastAsia" w:ascii="仿宋" w:hAnsi="仿宋" w:eastAsia="仿宋" w:cs="仿宋"/>
                <w:color w:val="auto"/>
                <w:sz w:val="20"/>
                <w:szCs w:val="20"/>
                <w:highlight w:val="none"/>
              </w:rPr>
              <w:t>★</w:t>
            </w:r>
            <w:r>
              <w:rPr>
                <w:rFonts w:hint="eastAsia" w:ascii="仿宋" w:hAnsi="仿宋" w:eastAsia="仿宋" w:cs="仿宋"/>
                <w:color w:val="auto"/>
                <w:sz w:val="20"/>
                <w:szCs w:val="20"/>
                <w:highlight w:val="none"/>
                <w:lang w:eastAsia="zh-CN"/>
              </w:rPr>
              <w:t>机具费用包含保险、维修、油耗、作业</w:t>
            </w:r>
            <w:r>
              <w:rPr>
                <w:rFonts w:hint="eastAsia" w:ascii="仿宋" w:hAnsi="仿宋" w:eastAsia="仿宋" w:cs="仿宋"/>
                <w:color w:val="auto"/>
                <w:sz w:val="20"/>
                <w:szCs w:val="20"/>
                <w:highlight w:val="none"/>
                <w:lang w:val="en-US" w:eastAsia="zh-CN"/>
              </w:rPr>
              <w:t>水费、车辆折旧或租赁费</w:t>
            </w:r>
            <w:r>
              <w:rPr>
                <w:rFonts w:hint="eastAsia" w:ascii="仿宋" w:hAnsi="仿宋" w:eastAsia="仿宋" w:cs="仿宋"/>
                <w:color w:val="auto"/>
                <w:sz w:val="20"/>
                <w:szCs w:val="20"/>
                <w:highlight w:val="none"/>
                <w:lang w:eastAsia="zh-CN"/>
              </w:rPr>
              <w:t>等所有相关费用，明显不符实际的将作无效标处理（</w:t>
            </w:r>
            <w:r>
              <w:rPr>
                <w:rFonts w:hint="eastAsia" w:ascii="仿宋" w:hAnsi="仿宋" w:eastAsia="仿宋" w:cs="仿宋"/>
                <w:color w:val="auto"/>
                <w:sz w:val="20"/>
                <w:szCs w:val="20"/>
                <w:highlight w:val="none"/>
                <w:lang w:val="en-US" w:eastAsia="zh-CN"/>
              </w:rPr>
              <w:t>本项目目前</w:t>
            </w:r>
            <w:r>
              <w:rPr>
                <w:rFonts w:hint="eastAsia" w:ascii="仿宋" w:hAnsi="仿宋" w:eastAsia="仿宋" w:cs="仿宋"/>
                <w:color w:val="auto"/>
                <w:sz w:val="20"/>
                <w:szCs w:val="20"/>
                <w:highlight w:val="none"/>
                <w:lang w:eastAsia="zh-CN"/>
              </w:rPr>
              <w:t>正常运作平均每月</w:t>
            </w:r>
            <w:r>
              <w:rPr>
                <w:rFonts w:hint="eastAsia" w:ascii="仿宋" w:hAnsi="仿宋" w:eastAsia="仿宋" w:cs="仿宋"/>
                <w:color w:val="auto"/>
                <w:sz w:val="20"/>
                <w:szCs w:val="20"/>
                <w:highlight w:val="none"/>
                <w:lang w:val="en-US" w:eastAsia="zh-CN"/>
              </w:rPr>
              <w:t>费用支出</w:t>
            </w:r>
            <w:r>
              <w:rPr>
                <w:rFonts w:hint="eastAsia" w:ascii="仿宋" w:hAnsi="仿宋" w:eastAsia="仿宋" w:cs="仿宋"/>
                <w:color w:val="auto"/>
                <w:sz w:val="20"/>
                <w:szCs w:val="20"/>
                <w:highlight w:val="none"/>
                <w:lang w:eastAsia="zh-CN"/>
              </w:rPr>
              <w:t>在</w:t>
            </w:r>
            <w:r>
              <w:rPr>
                <w:rFonts w:hint="eastAsia" w:ascii="仿宋" w:hAnsi="仿宋" w:eastAsia="仿宋" w:cs="仿宋"/>
                <w:color w:val="auto"/>
                <w:sz w:val="20"/>
                <w:szCs w:val="20"/>
                <w:highlight w:val="none"/>
                <w:lang w:val="en-US" w:eastAsia="zh-CN"/>
              </w:rPr>
              <w:t>7.7</w:t>
            </w:r>
            <w:r>
              <w:rPr>
                <w:rFonts w:hint="eastAsia" w:ascii="仿宋" w:hAnsi="仿宋" w:eastAsia="仿宋" w:cs="仿宋"/>
                <w:color w:val="auto"/>
                <w:sz w:val="20"/>
                <w:szCs w:val="20"/>
                <w:highlight w:val="none"/>
                <w:lang w:eastAsia="zh-CN"/>
              </w:rPr>
              <w:t>万以上，</w:t>
            </w:r>
            <w:r>
              <w:rPr>
                <w:rFonts w:hint="eastAsia" w:ascii="仿宋" w:hAnsi="仿宋" w:eastAsia="仿宋" w:cs="仿宋"/>
                <w:color w:val="auto"/>
                <w:sz w:val="20"/>
                <w:szCs w:val="20"/>
                <w:highlight w:val="none"/>
                <w:lang w:val="en-US" w:eastAsia="zh-CN"/>
              </w:rPr>
              <w:t>报价</w:t>
            </w:r>
            <w:r>
              <w:rPr>
                <w:rFonts w:hint="eastAsia" w:ascii="仿宋" w:hAnsi="仿宋" w:eastAsia="仿宋" w:cs="仿宋"/>
                <w:color w:val="auto"/>
                <w:sz w:val="20"/>
                <w:szCs w:val="20"/>
                <w:highlight w:val="none"/>
                <w:lang w:eastAsia="zh-CN"/>
              </w:rPr>
              <w:t>不得低于</w:t>
            </w:r>
            <w:r>
              <w:rPr>
                <w:rFonts w:hint="eastAsia" w:ascii="仿宋" w:hAnsi="仿宋" w:eastAsia="仿宋" w:cs="仿宋"/>
                <w:color w:val="auto"/>
                <w:sz w:val="20"/>
                <w:szCs w:val="20"/>
                <w:highlight w:val="none"/>
                <w:lang w:val="en-US" w:eastAsia="zh-CN"/>
              </w:rPr>
              <w:t>7</w:t>
            </w:r>
            <w:r>
              <w:rPr>
                <w:rFonts w:hint="eastAsia" w:ascii="仿宋" w:hAnsi="仿宋" w:eastAsia="仿宋" w:cs="仿宋"/>
                <w:color w:val="auto"/>
                <w:sz w:val="20"/>
                <w:szCs w:val="20"/>
                <w:highlight w:val="none"/>
                <w:lang w:eastAsia="zh-CN"/>
              </w:rPr>
              <w:t>万元/月）。</w:t>
            </w:r>
          </w:p>
        </w:tc>
      </w:tr>
      <w:tr w14:paraId="0664EDC4">
        <w:tblPrEx>
          <w:tblCellMar>
            <w:top w:w="0" w:type="dxa"/>
            <w:left w:w="108" w:type="dxa"/>
            <w:bottom w:w="0" w:type="dxa"/>
            <w:right w:w="108" w:type="dxa"/>
          </w:tblCellMar>
        </w:tblPrEx>
        <w:trPr>
          <w:trHeight w:val="909"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61B33252">
            <w:pPr>
              <w:widowControl/>
              <w:autoSpaceDE w:val="0"/>
              <w:autoSpaceDN w:val="0"/>
              <w:jc w:val="center"/>
              <w:textAlignment w:val="bottom"/>
              <w:rPr>
                <w:rFonts w:hint="default"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6</w:t>
            </w:r>
          </w:p>
        </w:tc>
        <w:tc>
          <w:tcPr>
            <w:tcW w:w="9052" w:type="dxa"/>
            <w:tcBorders>
              <w:top w:val="single" w:color="auto" w:sz="4" w:space="0"/>
              <w:left w:val="nil"/>
              <w:bottom w:val="single" w:color="auto" w:sz="4" w:space="0"/>
              <w:right w:val="single" w:color="auto" w:sz="4" w:space="0"/>
            </w:tcBorders>
            <w:noWrap w:val="0"/>
            <w:vAlign w:val="center"/>
          </w:tcPr>
          <w:p w14:paraId="61974D9F">
            <w:pPr>
              <w:adjustRightInd/>
              <w:jc w:val="both"/>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rPr>
              <w:t>★</w:t>
            </w:r>
            <w:r>
              <w:rPr>
                <w:rFonts w:hint="eastAsia" w:ascii="仿宋" w:hAnsi="仿宋" w:eastAsia="仿宋" w:cs="宋体"/>
                <w:color w:val="auto"/>
                <w:kern w:val="0"/>
                <w:sz w:val="20"/>
                <w:szCs w:val="20"/>
                <w:highlight w:val="none"/>
                <w:lang w:eastAsia="zh-CN"/>
              </w:rPr>
              <w:t>临时调派</w:t>
            </w:r>
            <w:r>
              <w:rPr>
                <w:rFonts w:hint="eastAsia" w:ascii="仿宋" w:hAnsi="仿宋" w:eastAsia="仿宋" w:cs="宋体"/>
                <w:color w:val="auto"/>
                <w:kern w:val="0"/>
                <w:sz w:val="20"/>
                <w:szCs w:val="20"/>
                <w:highlight w:val="none"/>
                <w:lang w:val="en-US" w:eastAsia="zh-CN"/>
              </w:rPr>
              <w:t>保湿洒水作业费</w:t>
            </w:r>
            <w:r>
              <w:rPr>
                <w:rFonts w:hint="eastAsia" w:ascii="仿宋" w:hAnsi="仿宋" w:eastAsia="仿宋" w:cs="仿宋"/>
                <w:color w:val="auto"/>
                <w:sz w:val="20"/>
                <w:szCs w:val="20"/>
                <w:highlight w:val="none"/>
                <w:lang w:val="en-US" w:eastAsia="zh-CN"/>
              </w:rPr>
              <w:t>用包含车辆</w:t>
            </w:r>
            <w:r>
              <w:rPr>
                <w:rFonts w:hint="eastAsia" w:ascii="仿宋" w:hAnsi="仿宋" w:eastAsia="仿宋" w:cs="仿宋"/>
                <w:color w:val="auto"/>
                <w:sz w:val="20"/>
                <w:szCs w:val="20"/>
                <w:highlight w:val="none"/>
                <w:lang w:eastAsia="zh-CN"/>
              </w:rPr>
              <w:t>保险、维修、油耗、作业</w:t>
            </w:r>
            <w:r>
              <w:rPr>
                <w:rFonts w:hint="eastAsia" w:ascii="仿宋" w:hAnsi="仿宋" w:eastAsia="仿宋" w:cs="仿宋"/>
                <w:color w:val="auto"/>
                <w:sz w:val="20"/>
                <w:szCs w:val="20"/>
                <w:highlight w:val="none"/>
                <w:lang w:val="en-US" w:eastAsia="zh-CN"/>
              </w:rPr>
              <w:t>水费、车辆折旧或租赁费、人员费用等相关费用，</w:t>
            </w:r>
            <w:r>
              <w:rPr>
                <w:rFonts w:hint="eastAsia" w:ascii="仿宋" w:hAnsi="仿宋" w:eastAsia="仿宋" w:cs="仿宋"/>
                <w:color w:val="auto"/>
                <w:sz w:val="20"/>
                <w:szCs w:val="20"/>
                <w:highlight w:val="none"/>
                <w:lang w:eastAsia="zh-CN"/>
              </w:rPr>
              <w:t>明显不符实际的将作无效标处理（洒水作业公里数暂按</w:t>
            </w:r>
            <w:r>
              <w:rPr>
                <w:rFonts w:hint="eastAsia" w:ascii="仿宋" w:hAnsi="仿宋" w:eastAsia="仿宋" w:cs="仿宋"/>
                <w:color w:val="auto"/>
                <w:sz w:val="20"/>
                <w:szCs w:val="20"/>
                <w:highlight w:val="none"/>
                <w:lang w:val="en-US" w:eastAsia="zh-CN"/>
              </w:rPr>
              <w:t>1万公里计，洒水作业费正常运作为7.8元/公里，报价不得低于7.02元/公里</w:t>
            </w:r>
            <w:r>
              <w:rPr>
                <w:rFonts w:hint="eastAsia" w:ascii="仿宋" w:hAnsi="仿宋" w:eastAsia="仿宋" w:cs="仿宋"/>
                <w:color w:val="auto"/>
                <w:sz w:val="20"/>
                <w:szCs w:val="20"/>
                <w:highlight w:val="none"/>
                <w:lang w:eastAsia="zh-CN"/>
              </w:rPr>
              <w:t>）</w:t>
            </w:r>
          </w:p>
        </w:tc>
      </w:tr>
      <w:tr w14:paraId="3D27157E">
        <w:tblPrEx>
          <w:tblCellMar>
            <w:top w:w="0" w:type="dxa"/>
            <w:left w:w="108" w:type="dxa"/>
            <w:bottom w:w="0" w:type="dxa"/>
            <w:right w:w="108" w:type="dxa"/>
          </w:tblCellMar>
        </w:tblPrEx>
        <w:trPr>
          <w:trHeight w:val="448"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017AB434">
            <w:pPr>
              <w:widowControl/>
              <w:autoSpaceDE w:val="0"/>
              <w:autoSpaceDN w:val="0"/>
              <w:jc w:val="center"/>
              <w:textAlignment w:val="bottom"/>
              <w:rPr>
                <w:rFonts w:hint="default"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7</w:t>
            </w:r>
          </w:p>
        </w:tc>
        <w:tc>
          <w:tcPr>
            <w:tcW w:w="9052" w:type="dxa"/>
            <w:tcBorders>
              <w:top w:val="single" w:color="auto" w:sz="4" w:space="0"/>
              <w:left w:val="nil"/>
              <w:bottom w:val="single" w:color="auto" w:sz="4" w:space="0"/>
              <w:right w:val="single" w:color="auto" w:sz="4" w:space="0"/>
            </w:tcBorders>
            <w:noWrap w:val="0"/>
            <w:vAlign w:val="center"/>
          </w:tcPr>
          <w:p w14:paraId="6DDE2F00">
            <w:pPr>
              <w:adjustRightInd/>
              <w:jc w:val="both"/>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rPr>
              <w:t>★</w:t>
            </w:r>
            <w:r>
              <w:rPr>
                <w:rFonts w:hint="eastAsia" w:ascii="仿宋" w:hAnsi="仿宋" w:eastAsia="仿宋" w:cs="仿宋"/>
                <w:color w:val="auto"/>
                <w:sz w:val="20"/>
                <w:szCs w:val="20"/>
                <w:highlight w:val="none"/>
                <w:lang w:eastAsia="zh-CN"/>
              </w:rPr>
              <w:t>临时雾炮降尘作业费用包含应急人员费用、车辆保险、维修、油耗、作业</w:t>
            </w:r>
            <w:r>
              <w:rPr>
                <w:rFonts w:hint="eastAsia" w:ascii="仿宋" w:hAnsi="仿宋" w:eastAsia="仿宋" w:cs="仿宋"/>
                <w:color w:val="auto"/>
                <w:sz w:val="20"/>
                <w:szCs w:val="20"/>
                <w:highlight w:val="none"/>
                <w:lang w:val="en-US" w:eastAsia="zh-CN"/>
              </w:rPr>
              <w:t>水费、车辆折旧或租赁费</w:t>
            </w:r>
            <w:r>
              <w:rPr>
                <w:rFonts w:hint="eastAsia" w:ascii="仿宋" w:hAnsi="仿宋" w:eastAsia="仿宋" w:cs="仿宋"/>
                <w:color w:val="auto"/>
                <w:sz w:val="20"/>
                <w:szCs w:val="20"/>
                <w:highlight w:val="none"/>
                <w:lang w:eastAsia="zh-CN"/>
              </w:rPr>
              <w:t>等所有相关费用（雾炮应急作业公里数暂按</w:t>
            </w:r>
            <w:r>
              <w:rPr>
                <w:rFonts w:hint="eastAsia" w:ascii="仿宋" w:hAnsi="仿宋" w:eastAsia="仿宋" w:cs="仿宋"/>
                <w:color w:val="auto"/>
                <w:sz w:val="20"/>
                <w:szCs w:val="20"/>
                <w:highlight w:val="none"/>
                <w:lang w:val="en-US" w:eastAsia="zh-CN"/>
              </w:rPr>
              <w:t>1万元公里计，</w:t>
            </w:r>
            <w:r>
              <w:rPr>
                <w:rFonts w:hint="eastAsia" w:ascii="仿宋" w:hAnsi="仿宋" w:eastAsia="仿宋" w:cs="仿宋"/>
                <w:color w:val="auto"/>
                <w:sz w:val="20"/>
                <w:szCs w:val="20"/>
                <w:highlight w:val="none"/>
                <w:lang w:eastAsia="zh-CN"/>
              </w:rPr>
              <w:t>雾炮降尘作业费正常运作为</w:t>
            </w:r>
            <w:r>
              <w:rPr>
                <w:rFonts w:hint="eastAsia" w:ascii="仿宋" w:hAnsi="仿宋" w:eastAsia="仿宋" w:cs="仿宋"/>
                <w:color w:val="auto"/>
                <w:sz w:val="20"/>
                <w:szCs w:val="20"/>
                <w:highlight w:val="none"/>
                <w:lang w:val="en-US" w:eastAsia="zh-CN"/>
              </w:rPr>
              <w:t>11元/公里，</w:t>
            </w:r>
            <w:r>
              <w:rPr>
                <w:rFonts w:hint="eastAsia" w:ascii="仿宋" w:hAnsi="仿宋" w:eastAsia="仿宋" w:cs="仿宋"/>
                <w:color w:val="auto"/>
                <w:sz w:val="20"/>
                <w:szCs w:val="20"/>
                <w:highlight w:val="none"/>
                <w:lang w:eastAsia="zh-CN"/>
              </w:rPr>
              <w:t>报价不得低于</w:t>
            </w:r>
            <w:r>
              <w:rPr>
                <w:rFonts w:hint="eastAsia" w:ascii="仿宋" w:hAnsi="仿宋" w:eastAsia="仿宋" w:cs="仿宋"/>
                <w:color w:val="auto"/>
                <w:sz w:val="20"/>
                <w:szCs w:val="20"/>
                <w:highlight w:val="none"/>
                <w:lang w:val="en-US" w:eastAsia="zh-CN"/>
              </w:rPr>
              <w:t>10元/公里）</w:t>
            </w:r>
          </w:p>
        </w:tc>
      </w:tr>
      <w:tr w14:paraId="206D5AD0">
        <w:tblPrEx>
          <w:tblCellMar>
            <w:top w:w="0" w:type="dxa"/>
            <w:left w:w="108" w:type="dxa"/>
            <w:bottom w:w="0" w:type="dxa"/>
            <w:right w:w="108" w:type="dxa"/>
          </w:tblCellMar>
        </w:tblPrEx>
        <w:trPr>
          <w:trHeight w:val="543"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27A6FED0">
            <w:pPr>
              <w:widowControl/>
              <w:autoSpaceDE w:val="0"/>
              <w:autoSpaceDN w:val="0"/>
              <w:jc w:val="center"/>
              <w:textAlignment w:val="bottom"/>
              <w:rPr>
                <w:rFonts w:hint="default"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8</w:t>
            </w:r>
          </w:p>
        </w:tc>
        <w:tc>
          <w:tcPr>
            <w:tcW w:w="9052" w:type="dxa"/>
            <w:tcBorders>
              <w:top w:val="single" w:color="auto" w:sz="4" w:space="0"/>
              <w:left w:val="nil"/>
              <w:bottom w:val="single" w:color="auto" w:sz="4" w:space="0"/>
              <w:right w:val="single" w:color="auto" w:sz="4" w:space="0"/>
            </w:tcBorders>
            <w:noWrap w:val="0"/>
            <w:vAlign w:val="center"/>
          </w:tcPr>
          <w:p w14:paraId="452530AD">
            <w:pPr>
              <w:adjustRightInd/>
              <w:jc w:val="both"/>
              <w:rPr>
                <w:rFonts w:hint="eastAsia" w:ascii="仿宋" w:hAnsi="仿宋" w:eastAsia="仿宋" w:cs="仿宋"/>
                <w:b/>
                <w:color w:val="auto"/>
                <w:sz w:val="20"/>
                <w:szCs w:val="20"/>
                <w:highlight w:val="none"/>
              </w:rPr>
            </w:pPr>
            <w:r>
              <w:rPr>
                <w:rFonts w:hint="eastAsia" w:ascii="仿宋" w:hAnsi="仿宋" w:eastAsia="仿宋" w:cs="仿宋"/>
                <w:color w:val="auto"/>
                <w:sz w:val="20"/>
                <w:szCs w:val="20"/>
                <w:highlight w:val="none"/>
              </w:rPr>
              <w:t>★</w:t>
            </w:r>
            <w:r>
              <w:rPr>
                <w:rFonts w:hint="eastAsia" w:ascii="仿宋" w:hAnsi="仿宋" w:eastAsia="仿宋" w:cs="仿宋"/>
                <w:b w:val="0"/>
                <w:bCs/>
                <w:color w:val="auto"/>
                <w:sz w:val="20"/>
                <w:szCs w:val="20"/>
                <w:highlight w:val="none"/>
                <w:lang w:eastAsia="zh-CN"/>
              </w:rPr>
              <w:t>税金</w:t>
            </w:r>
            <w:r>
              <w:rPr>
                <w:rFonts w:hint="eastAsia" w:ascii="仿宋" w:hAnsi="仿宋" w:eastAsia="仿宋" w:cs="仿宋"/>
                <w:color w:val="auto"/>
                <w:sz w:val="20"/>
                <w:szCs w:val="20"/>
                <w:highlight w:val="none"/>
                <w:lang w:eastAsia="zh-CN"/>
              </w:rPr>
              <w:t>不得低于明细表中“（</w:t>
            </w:r>
            <w:r>
              <w:rPr>
                <w:rFonts w:hint="eastAsia" w:ascii="仿宋" w:hAnsi="仿宋" w:eastAsia="仿宋" w:cs="仿宋"/>
                <w:color w:val="auto"/>
                <w:sz w:val="20"/>
                <w:szCs w:val="20"/>
                <w:highlight w:val="none"/>
                <w:lang w:val="en-US" w:eastAsia="zh-CN"/>
              </w:rPr>
              <w:t>1</w:t>
            </w:r>
            <w:r>
              <w:rPr>
                <w:rFonts w:hint="eastAsia" w:ascii="仿宋" w:hAnsi="仿宋" w:eastAsia="仿宋" w:cs="仿宋"/>
                <w:color w:val="auto"/>
                <w:sz w:val="20"/>
                <w:szCs w:val="20"/>
                <w:highlight w:val="none"/>
              </w:rPr>
              <w:t>+</w:t>
            </w:r>
            <w:r>
              <w:rPr>
                <w:rFonts w:hint="eastAsia" w:ascii="仿宋" w:hAnsi="仿宋" w:eastAsia="仿宋" w:cs="仿宋"/>
                <w:color w:val="auto"/>
                <w:sz w:val="20"/>
                <w:szCs w:val="20"/>
                <w:highlight w:val="none"/>
                <w:lang w:val="en-US" w:eastAsia="zh-CN"/>
              </w:rPr>
              <w:t>2</w:t>
            </w:r>
            <w:r>
              <w:rPr>
                <w:rFonts w:hint="eastAsia" w:ascii="仿宋" w:hAnsi="仿宋" w:eastAsia="仿宋" w:cs="仿宋"/>
                <w:color w:val="auto"/>
                <w:sz w:val="20"/>
                <w:szCs w:val="20"/>
                <w:highlight w:val="none"/>
              </w:rPr>
              <w:t>+</w:t>
            </w:r>
            <w:r>
              <w:rPr>
                <w:rFonts w:hint="eastAsia" w:ascii="仿宋" w:hAnsi="仿宋" w:eastAsia="仿宋" w:cs="仿宋"/>
                <w:color w:val="auto"/>
                <w:sz w:val="20"/>
                <w:szCs w:val="20"/>
                <w:highlight w:val="none"/>
                <w:lang w:val="en-US" w:eastAsia="zh-CN"/>
              </w:rPr>
              <w:t>3</w:t>
            </w:r>
            <w:r>
              <w:rPr>
                <w:rFonts w:hint="eastAsia" w:ascii="仿宋" w:hAnsi="仿宋" w:eastAsia="仿宋" w:cs="仿宋"/>
                <w:color w:val="auto"/>
                <w:sz w:val="20"/>
                <w:szCs w:val="20"/>
                <w:highlight w:val="none"/>
              </w:rPr>
              <w:t>+</w:t>
            </w:r>
            <w:r>
              <w:rPr>
                <w:rFonts w:hint="eastAsia" w:ascii="仿宋" w:hAnsi="仿宋" w:eastAsia="仿宋" w:cs="仿宋"/>
                <w:color w:val="auto"/>
                <w:sz w:val="20"/>
                <w:szCs w:val="20"/>
                <w:highlight w:val="none"/>
                <w:lang w:val="en-US" w:eastAsia="zh-CN"/>
              </w:rPr>
              <w:t>4+5+6</w:t>
            </w:r>
            <w:r>
              <w:rPr>
                <w:rFonts w:hint="eastAsia" w:ascii="仿宋" w:hAnsi="仿宋" w:eastAsia="仿宋" w:cs="仿宋"/>
                <w:color w:val="auto"/>
                <w:sz w:val="20"/>
                <w:szCs w:val="20"/>
                <w:highlight w:val="none"/>
                <w:lang w:eastAsia="zh-CN"/>
              </w:rPr>
              <w:t>）</w:t>
            </w:r>
            <w:r>
              <w:rPr>
                <w:rFonts w:hint="eastAsia" w:ascii="仿宋" w:hAnsi="仿宋" w:eastAsia="仿宋" w:cs="仿宋"/>
                <w:color w:val="auto"/>
                <w:sz w:val="20"/>
                <w:szCs w:val="20"/>
                <w:highlight w:val="none"/>
                <w:lang w:val="en-US" w:eastAsia="zh-CN"/>
              </w:rPr>
              <w:t>*6.6%</w:t>
            </w:r>
            <w:r>
              <w:rPr>
                <w:rFonts w:hint="eastAsia" w:ascii="仿宋" w:hAnsi="仿宋" w:eastAsia="仿宋" w:cs="仿宋"/>
                <w:color w:val="auto"/>
                <w:sz w:val="20"/>
                <w:szCs w:val="20"/>
                <w:highlight w:val="none"/>
                <w:lang w:eastAsia="zh-CN"/>
              </w:rPr>
              <w:t>”</w:t>
            </w:r>
            <w:r>
              <w:rPr>
                <w:rFonts w:hint="eastAsia" w:ascii="仿宋" w:hAnsi="仿宋" w:eastAsia="仿宋" w:cs="仿宋"/>
                <w:color w:val="auto"/>
                <w:sz w:val="20"/>
                <w:szCs w:val="20"/>
                <w:highlight w:val="none"/>
                <w:lang w:val="en-US" w:eastAsia="zh-CN"/>
              </w:rPr>
              <w:t>。</w:t>
            </w:r>
          </w:p>
        </w:tc>
      </w:tr>
      <w:tr w14:paraId="2785BF41">
        <w:tblPrEx>
          <w:tblCellMar>
            <w:top w:w="0" w:type="dxa"/>
            <w:left w:w="108" w:type="dxa"/>
            <w:bottom w:w="0" w:type="dxa"/>
            <w:right w:w="108" w:type="dxa"/>
          </w:tblCellMar>
        </w:tblPrEx>
        <w:trPr>
          <w:trHeight w:val="661"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53EA6AEF">
            <w:pPr>
              <w:widowControl/>
              <w:autoSpaceDE w:val="0"/>
              <w:autoSpaceDN w:val="0"/>
              <w:jc w:val="center"/>
              <w:textAlignment w:val="bottom"/>
              <w:rPr>
                <w:rFonts w:hint="default"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9</w:t>
            </w:r>
          </w:p>
        </w:tc>
        <w:tc>
          <w:tcPr>
            <w:tcW w:w="9052" w:type="dxa"/>
            <w:tcBorders>
              <w:top w:val="single" w:color="auto" w:sz="4" w:space="0"/>
              <w:left w:val="nil"/>
              <w:bottom w:val="single" w:color="auto" w:sz="4" w:space="0"/>
              <w:right w:val="single" w:color="auto" w:sz="4" w:space="0"/>
            </w:tcBorders>
            <w:noWrap w:val="0"/>
            <w:vAlign w:val="center"/>
          </w:tcPr>
          <w:p w14:paraId="56950B75">
            <w:pPr>
              <w:widowControl/>
              <w:autoSpaceDE w:val="0"/>
              <w:autoSpaceDN w:val="0"/>
              <w:jc w:val="both"/>
              <w:textAlignment w:val="bottom"/>
              <w:rPr>
                <w:rFonts w:hint="default" w:ascii="仿宋" w:hAnsi="仿宋" w:eastAsia="仿宋" w:cs="仿宋"/>
                <w:b/>
                <w:strike/>
                <w:color w:val="auto"/>
                <w:sz w:val="20"/>
                <w:szCs w:val="20"/>
                <w:highlight w:val="none"/>
                <w:lang w:val="en-US" w:eastAsia="zh-CN"/>
              </w:rPr>
            </w:pPr>
            <w:r>
              <w:rPr>
                <w:rFonts w:hint="eastAsia" w:ascii="仿宋" w:hAnsi="仿宋" w:eastAsia="仿宋" w:cs="仿宋"/>
                <w:color w:val="auto"/>
                <w:sz w:val="20"/>
                <w:szCs w:val="20"/>
                <w:highlight w:val="none"/>
              </w:rPr>
              <w:t>★本表（</w:t>
            </w:r>
            <w:r>
              <w:rPr>
                <w:rFonts w:hint="eastAsia" w:ascii="仿宋" w:hAnsi="仿宋" w:eastAsia="仿宋" w:cs="仿宋"/>
                <w:color w:val="auto"/>
                <w:sz w:val="20"/>
                <w:szCs w:val="20"/>
                <w:highlight w:val="none"/>
                <w:lang w:val="en-US" w:eastAsia="zh-CN"/>
              </w:rPr>
              <w:t>一年</w:t>
            </w:r>
            <w:r>
              <w:rPr>
                <w:rFonts w:hint="eastAsia" w:ascii="仿宋" w:hAnsi="仿宋" w:eastAsia="仿宋" w:cs="仿宋"/>
                <w:color w:val="auto"/>
                <w:sz w:val="20"/>
                <w:szCs w:val="20"/>
                <w:highlight w:val="none"/>
              </w:rPr>
              <w:t>）投标报价四舍五入到元，否则作无效标处理。</w:t>
            </w:r>
            <w:r>
              <w:rPr>
                <w:rFonts w:hint="eastAsia" w:ascii="仿宋" w:hAnsi="仿宋" w:eastAsia="仿宋" w:cs="仿宋"/>
                <w:color w:val="auto"/>
                <w:sz w:val="20"/>
                <w:szCs w:val="20"/>
                <w:highlight w:val="none"/>
                <w:lang w:val="en-US" w:eastAsia="zh-CN"/>
              </w:rPr>
              <w:t>报价明细表中，合计=投标单价×数量，其中人工费用合计=投标单价×数量×12月。</w:t>
            </w:r>
          </w:p>
        </w:tc>
      </w:tr>
      <w:tr w14:paraId="0CD96B4D">
        <w:tblPrEx>
          <w:tblCellMar>
            <w:top w:w="0" w:type="dxa"/>
            <w:left w:w="108" w:type="dxa"/>
            <w:bottom w:w="0" w:type="dxa"/>
            <w:right w:w="108" w:type="dxa"/>
          </w:tblCellMar>
        </w:tblPrEx>
        <w:trPr>
          <w:trHeight w:val="460"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1DBF60E4">
            <w:pPr>
              <w:widowControl/>
              <w:autoSpaceDE w:val="0"/>
              <w:autoSpaceDN w:val="0"/>
              <w:jc w:val="center"/>
              <w:textAlignment w:val="bottom"/>
              <w:rPr>
                <w:rFonts w:hint="default"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10</w:t>
            </w:r>
          </w:p>
        </w:tc>
        <w:tc>
          <w:tcPr>
            <w:tcW w:w="9052" w:type="dxa"/>
            <w:tcBorders>
              <w:top w:val="single" w:color="auto" w:sz="4" w:space="0"/>
              <w:left w:val="nil"/>
              <w:bottom w:val="single" w:color="auto" w:sz="4" w:space="0"/>
              <w:right w:val="single" w:color="auto" w:sz="4" w:space="0"/>
            </w:tcBorders>
            <w:noWrap w:val="0"/>
            <w:vAlign w:val="center"/>
          </w:tcPr>
          <w:p w14:paraId="7BC66FFD">
            <w:pPr>
              <w:widowControl/>
              <w:autoSpaceDE w:val="0"/>
              <w:autoSpaceDN w:val="0"/>
              <w:jc w:val="both"/>
              <w:textAlignment w:val="bottom"/>
              <w:rPr>
                <w:rFonts w:hint="eastAsia" w:ascii="仿宋" w:hAnsi="仿宋" w:eastAsia="仿宋" w:cs="仿宋"/>
                <w:b/>
                <w:color w:val="auto"/>
                <w:sz w:val="20"/>
                <w:szCs w:val="20"/>
                <w:highlight w:val="none"/>
              </w:rPr>
            </w:pPr>
            <w:r>
              <w:rPr>
                <w:rFonts w:hint="eastAsia" w:ascii="仿宋" w:hAnsi="仿宋" w:eastAsia="仿宋" w:cs="仿宋"/>
                <w:color w:val="auto"/>
                <w:sz w:val="20"/>
                <w:szCs w:val="20"/>
                <w:highlight w:val="none"/>
              </w:rPr>
              <w:t>★</w:t>
            </w:r>
            <w:r>
              <w:rPr>
                <w:rFonts w:hint="eastAsia" w:ascii="仿宋" w:hAnsi="仿宋" w:eastAsia="仿宋" w:cs="仿宋"/>
                <w:b w:val="0"/>
                <w:bCs/>
                <w:color w:val="auto"/>
                <w:sz w:val="20"/>
                <w:szCs w:val="20"/>
                <w:highlight w:val="none"/>
              </w:rPr>
              <w:t>采购人将以合同形式有偿取得货物或服务，不接受投标人给予的赠品、回扣或者与采购无关的其他商品、服务，不得出现“0元”“免费赠送”等形式的无偿报价，否则视为投标文件含有采购人不能接受的附加条件，投标无效。</w:t>
            </w:r>
          </w:p>
        </w:tc>
      </w:tr>
    </w:tbl>
    <w:p w14:paraId="47943234">
      <w:pPr>
        <w:keepNext w:val="0"/>
        <w:keepLines w:val="0"/>
        <w:pageBreakBefore w:val="0"/>
        <w:widowControl w:val="0"/>
        <w:kinsoku/>
        <w:wordWrap/>
        <w:overflowPunct/>
        <w:topLinePunct w:val="0"/>
        <w:autoSpaceDE/>
        <w:autoSpaceDN/>
        <w:bidi w:val="0"/>
        <w:spacing w:line="240" w:lineRule="auto"/>
        <w:ind w:right="960"/>
        <w:jc w:val="right"/>
        <w:textAlignment w:val="auto"/>
        <w:rPr>
          <w:rFonts w:hint="eastAsia" w:ascii="仿宋" w:hAnsi="仿宋" w:eastAsia="仿宋" w:cs="仿宋_GB2312"/>
          <w:color w:val="auto"/>
          <w:sz w:val="24"/>
          <w:highlight w:val="none"/>
        </w:rPr>
      </w:pPr>
    </w:p>
    <w:p w14:paraId="4F664A43">
      <w:pPr>
        <w:keepNext w:val="0"/>
        <w:keepLines w:val="0"/>
        <w:pageBreakBefore w:val="0"/>
        <w:widowControl w:val="0"/>
        <w:kinsoku/>
        <w:wordWrap/>
        <w:overflowPunct/>
        <w:topLinePunct w:val="0"/>
        <w:autoSpaceDE/>
        <w:autoSpaceDN/>
        <w:bidi w:val="0"/>
        <w:spacing w:line="240" w:lineRule="auto"/>
        <w:ind w:right="960"/>
        <w:jc w:val="right"/>
        <w:textAlignment w:val="auto"/>
        <w:rPr>
          <w:rFonts w:hint="eastAsia" w:ascii="仿宋" w:hAnsi="仿宋" w:eastAsia="仿宋" w:cs="仿宋_GB2312"/>
          <w:color w:val="auto"/>
          <w:sz w:val="24"/>
          <w:highlight w:val="none"/>
        </w:rPr>
      </w:pPr>
    </w:p>
    <w:p w14:paraId="51B34DC0">
      <w:pPr>
        <w:numPr>
          <w:ilvl w:val="0"/>
          <w:numId w:val="0"/>
        </w:numPr>
        <w:spacing w:line="360" w:lineRule="auto"/>
        <w:jc w:val="right"/>
        <w:outlineLvl w:val="0"/>
        <w:rPr>
          <w:rFonts w:hint="eastAsia" w:ascii="仿宋" w:hAnsi="仿宋" w:eastAsia="仿宋" w:cs="仿宋"/>
          <w:color w:val="auto"/>
          <w:kern w:val="2"/>
          <w:sz w:val="32"/>
          <w:szCs w:val="32"/>
          <w:highlight w:val="none"/>
          <w:lang w:val="en-US" w:eastAsia="zh-CN"/>
        </w:rPr>
      </w:pPr>
      <w:r>
        <w:rPr>
          <w:rFonts w:hint="eastAsia" w:ascii="仿宋" w:hAnsi="仿宋" w:eastAsia="仿宋" w:cs="仿宋_GB2312"/>
          <w:color w:val="auto"/>
          <w:sz w:val="24"/>
          <w:highlight w:val="none"/>
        </w:rPr>
        <w:t>投标人名称（电子签名）：                                                                                   日期：  年   月   日</w:t>
      </w:r>
    </w:p>
    <w:p w14:paraId="177E4FAF">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lang w:val="en-US" w:eastAsia="zh-CN"/>
        </w:rPr>
        <w:t>三</w:t>
      </w:r>
      <w:r>
        <w:rPr>
          <w:rFonts w:hint="eastAsia" w:ascii="仿宋" w:hAnsi="仿宋" w:eastAsia="仿宋" w:cs="仿宋"/>
          <w:color w:val="auto"/>
          <w:kern w:val="2"/>
          <w:sz w:val="32"/>
          <w:szCs w:val="32"/>
          <w:highlight w:val="none"/>
        </w:rPr>
        <w:t>、</w:t>
      </w:r>
      <w:r>
        <w:rPr>
          <w:rFonts w:hint="eastAsia" w:ascii="仿宋" w:hAnsi="仿宋" w:eastAsia="仿宋" w:cs="仿宋"/>
          <w:color w:val="auto"/>
          <w:sz w:val="32"/>
          <w:szCs w:val="32"/>
          <w:highlight w:val="none"/>
        </w:rPr>
        <w:t>中小企业声明函（如有）</w:t>
      </w:r>
    </w:p>
    <w:p w14:paraId="793F9DE7">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D915B97">
      <w:pPr>
        <w:pStyle w:val="79"/>
        <w:rPr>
          <w:rFonts w:hint="eastAsia" w:ascii="仿宋" w:hAnsi="仿宋" w:eastAsia="仿宋" w:cs="仿宋"/>
          <w:b/>
          <w:color w:val="auto"/>
          <w:sz w:val="24"/>
          <w:highlight w:val="none"/>
        </w:rPr>
      </w:pPr>
    </w:p>
    <w:p w14:paraId="35F7983F">
      <w:pPr>
        <w:pStyle w:val="80"/>
        <w:rPr>
          <w:rFonts w:hint="eastAsia" w:ascii="仿宋" w:hAnsi="仿宋" w:eastAsia="仿宋" w:cs="仿宋"/>
          <w:b/>
          <w:color w:val="auto"/>
          <w:sz w:val="24"/>
          <w:highlight w:val="none"/>
        </w:rPr>
      </w:pPr>
    </w:p>
    <w:p w14:paraId="1AEF67F1">
      <w:pPr>
        <w:rPr>
          <w:rFonts w:hint="eastAsia"/>
          <w:highlight w:val="none"/>
          <w:lang w:eastAsia="zh-CN"/>
        </w:rPr>
      </w:pPr>
    </w:p>
    <w:p w14:paraId="786DF4E9">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四</w:t>
      </w:r>
      <w:r>
        <w:rPr>
          <w:rFonts w:hint="eastAsia" w:ascii="仿宋" w:hAnsi="仿宋" w:eastAsia="仿宋" w:cs="仿宋"/>
          <w:b/>
          <w:color w:val="auto"/>
          <w:sz w:val="32"/>
          <w:szCs w:val="32"/>
          <w:highlight w:val="none"/>
          <w:lang w:eastAsia="zh-CN"/>
        </w:rPr>
        <w:t>、残疾人福利性单位声明函（如有）</w:t>
      </w:r>
    </w:p>
    <w:p w14:paraId="0E317465">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41B98A21">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highlight w:val="none"/>
        </w:rPr>
      </w:pPr>
    </w:p>
    <w:p w14:paraId="0EF75EB3">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highlight w:val="none"/>
        </w:rPr>
      </w:pPr>
      <w:r>
        <w:rPr>
          <w:rFonts w:hint="eastAsia" w:ascii="仿宋" w:hAnsi="仿宋" w:eastAsia="仿宋" w:cs="仿宋"/>
          <w:highlight w:val="none"/>
        </w:rPr>
        <w:t>附件</w:t>
      </w:r>
    </w:p>
    <w:p w14:paraId="04532E3D">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14:paraId="7C77FDA7">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14:paraId="710C6A07">
      <w:pPr>
        <w:snapToGrid w:val="0"/>
        <w:spacing w:before="240"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一、质疑供应商基本信息</w:t>
      </w:r>
    </w:p>
    <w:p w14:paraId="52B427D5">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14:paraId="15BEB2EF">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3800FAC3">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5600D5F5">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14:paraId="7D46FCA5">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087B458D">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026AADF4">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14:paraId="4A2145FA">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14:paraId="3A4834E7">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16DC409D">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14:paraId="799CAB74">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14:paraId="17DD7DDD">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14:paraId="485B606F">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14:paraId="3090AF8D">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6C80219D">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dotted"/>
        </w:rPr>
        <w:t xml:space="preserve">                                                       </w:t>
      </w:r>
    </w:p>
    <w:p w14:paraId="70B3D0E2">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35DE2E14">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70C37013">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14:paraId="0EEB971B">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14:paraId="372BDA6C">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14:paraId="40B40591">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14:paraId="539685DA">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7BAADAF3">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24AA663E">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14:paraId="4CA4E67C">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14:paraId="352CB15D">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14:paraId="30B52D3D">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14:paraId="4F12B03A">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14:paraId="6E92D98B">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14:paraId="6E7265E5">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14:paraId="63F1074E">
      <w:pPr>
        <w:widowControl/>
        <w:spacing w:line="360" w:lineRule="auto"/>
        <w:ind w:firstLine="600" w:firstLineChars="200"/>
        <w:jc w:val="left"/>
        <w:rPr>
          <w:rFonts w:hint="eastAsia" w:ascii="仿宋" w:hAnsi="仿宋" w:eastAsia="仿宋" w:cs="仿宋"/>
          <w:sz w:val="30"/>
          <w:szCs w:val="30"/>
          <w:highlight w:val="none"/>
        </w:rPr>
      </w:pPr>
    </w:p>
    <w:p w14:paraId="0C604A57">
      <w:pPr>
        <w:spacing w:line="360" w:lineRule="auto"/>
        <w:jc w:val="center"/>
        <w:rPr>
          <w:rFonts w:hint="eastAsia" w:ascii="仿宋" w:hAnsi="仿宋" w:eastAsia="仿宋" w:cs="仿宋"/>
          <w:b/>
          <w:spacing w:val="6"/>
          <w:sz w:val="32"/>
          <w:szCs w:val="32"/>
          <w:highlight w:val="none"/>
        </w:rPr>
      </w:pPr>
    </w:p>
    <w:p w14:paraId="6F759901">
      <w:pPr>
        <w:spacing w:line="360" w:lineRule="auto"/>
        <w:jc w:val="center"/>
        <w:rPr>
          <w:rFonts w:hint="eastAsia" w:ascii="仿宋" w:hAnsi="仿宋" w:eastAsia="仿宋" w:cs="仿宋"/>
          <w:b/>
          <w:spacing w:val="6"/>
          <w:sz w:val="32"/>
          <w:szCs w:val="32"/>
          <w:highlight w:val="none"/>
        </w:rPr>
      </w:pPr>
    </w:p>
    <w:p w14:paraId="69BAE314">
      <w:pPr>
        <w:spacing w:line="360" w:lineRule="auto"/>
        <w:jc w:val="center"/>
        <w:rPr>
          <w:rFonts w:hint="eastAsia" w:ascii="仿宋" w:hAnsi="仿宋" w:eastAsia="仿宋" w:cs="仿宋"/>
          <w:b/>
          <w:spacing w:val="6"/>
          <w:sz w:val="32"/>
          <w:szCs w:val="32"/>
          <w:highlight w:val="none"/>
        </w:rPr>
      </w:pPr>
    </w:p>
    <w:p w14:paraId="76E3CF0A">
      <w:pPr>
        <w:spacing w:line="360" w:lineRule="auto"/>
        <w:jc w:val="center"/>
        <w:rPr>
          <w:rFonts w:hint="eastAsia" w:ascii="仿宋" w:hAnsi="仿宋" w:eastAsia="仿宋" w:cs="仿宋"/>
          <w:b/>
          <w:spacing w:val="6"/>
          <w:sz w:val="32"/>
          <w:szCs w:val="32"/>
          <w:highlight w:val="none"/>
        </w:rPr>
      </w:pPr>
    </w:p>
    <w:p w14:paraId="45FF6359">
      <w:pPr>
        <w:spacing w:line="360" w:lineRule="auto"/>
        <w:jc w:val="center"/>
        <w:rPr>
          <w:rFonts w:hint="eastAsia" w:ascii="仿宋" w:hAnsi="仿宋" w:eastAsia="仿宋" w:cs="仿宋"/>
          <w:b/>
          <w:spacing w:val="6"/>
          <w:sz w:val="32"/>
          <w:szCs w:val="32"/>
          <w:highlight w:val="none"/>
        </w:rPr>
      </w:pPr>
    </w:p>
    <w:p w14:paraId="5D830EE7">
      <w:pPr>
        <w:spacing w:line="360" w:lineRule="auto"/>
        <w:jc w:val="center"/>
        <w:rPr>
          <w:rFonts w:hint="eastAsia" w:ascii="仿宋" w:hAnsi="仿宋" w:eastAsia="仿宋" w:cs="仿宋"/>
          <w:b/>
          <w:spacing w:val="6"/>
          <w:sz w:val="32"/>
          <w:szCs w:val="32"/>
          <w:highlight w:val="none"/>
        </w:rPr>
      </w:pPr>
    </w:p>
    <w:p w14:paraId="6D04C5A7">
      <w:pPr>
        <w:spacing w:line="360" w:lineRule="auto"/>
        <w:jc w:val="center"/>
        <w:rPr>
          <w:rFonts w:hint="eastAsia" w:ascii="仿宋" w:hAnsi="仿宋" w:eastAsia="仿宋" w:cs="仿宋"/>
          <w:b/>
          <w:spacing w:val="6"/>
          <w:sz w:val="32"/>
          <w:szCs w:val="32"/>
          <w:highlight w:val="none"/>
        </w:rPr>
      </w:pPr>
    </w:p>
    <w:p w14:paraId="1CBB039A">
      <w:pPr>
        <w:spacing w:line="360" w:lineRule="auto"/>
        <w:jc w:val="left"/>
        <w:rPr>
          <w:rFonts w:hint="eastAsia" w:ascii="仿宋" w:hAnsi="仿宋" w:eastAsia="仿宋" w:cs="仿宋"/>
          <w:b/>
          <w:spacing w:val="6"/>
          <w:sz w:val="32"/>
          <w:szCs w:val="32"/>
          <w:highlight w:val="none"/>
        </w:rPr>
      </w:pPr>
    </w:p>
    <w:p w14:paraId="0F10EDFD">
      <w:pPr>
        <w:spacing w:line="360" w:lineRule="auto"/>
        <w:jc w:val="left"/>
        <w:rPr>
          <w:rFonts w:hint="eastAsia" w:ascii="仿宋" w:hAnsi="仿宋" w:eastAsia="仿宋" w:cs="仿宋"/>
          <w:b/>
          <w:spacing w:val="6"/>
          <w:sz w:val="32"/>
          <w:szCs w:val="32"/>
          <w:highlight w:val="none"/>
        </w:rPr>
      </w:pPr>
    </w:p>
    <w:p w14:paraId="1A7D8084">
      <w:pPr>
        <w:spacing w:line="360" w:lineRule="auto"/>
        <w:jc w:val="left"/>
        <w:rPr>
          <w:rFonts w:hint="eastAsia" w:ascii="仿宋" w:hAnsi="仿宋" w:eastAsia="仿宋" w:cs="仿宋"/>
          <w:b/>
          <w:spacing w:val="6"/>
          <w:sz w:val="32"/>
          <w:szCs w:val="32"/>
          <w:highlight w:val="none"/>
        </w:rPr>
      </w:pPr>
    </w:p>
    <w:p w14:paraId="22EFA9AA">
      <w:pPr>
        <w:spacing w:line="360" w:lineRule="auto"/>
        <w:jc w:val="left"/>
        <w:rPr>
          <w:rFonts w:hint="eastAsia" w:ascii="仿宋" w:hAnsi="仿宋" w:eastAsia="仿宋" w:cs="仿宋"/>
          <w:b/>
          <w:spacing w:val="6"/>
          <w:sz w:val="32"/>
          <w:szCs w:val="32"/>
          <w:highlight w:val="none"/>
        </w:rPr>
      </w:pPr>
    </w:p>
    <w:p w14:paraId="067F18CE">
      <w:pPr>
        <w:spacing w:line="360" w:lineRule="auto"/>
        <w:jc w:val="left"/>
        <w:rPr>
          <w:rFonts w:hint="eastAsia" w:ascii="仿宋" w:hAnsi="仿宋" w:eastAsia="仿宋" w:cs="仿宋"/>
          <w:b/>
          <w:spacing w:val="6"/>
          <w:sz w:val="32"/>
          <w:szCs w:val="32"/>
          <w:highlight w:val="none"/>
        </w:rPr>
      </w:pPr>
    </w:p>
    <w:p w14:paraId="5B95B836">
      <w:pPr>
        <w:spacing w:line="360" w:lineRule="auto"/>
        <w:jc w:val="left"/>
        <w:rPr>
          <w:rFonts w:hint="eastAsia" w:ascii="仿宋" w:hAnsi="仿宋" w:eastAsia="仿宋" w:cs="仿宋"/>
          <w:b/>
          <w:spacing w:val="6"/>
          <w:sz w:val="32"/>
          <w:szCs w:val="32"/>
          <w:highlight w:val="none"/>
        </w:rPr>
      </w:pPr>
    </w:p>
    <w:p w14:paraId="4099EA32">
      <w:pPr>
        <w:spacing w:line="360" w:lineRule="auto"/>
        <w:jc w:val="left"/>
        <w:rPr>
          <w:rFonts w:hint="eastAsia" w:ascii="仿宋" w:hAnsi="仿宋" w:eastAsia="仿宋" w:cs="仿宋"/>
          <w:b/>
          <w:spacing w:val="6"/>
          <w:sz w:val="32"/>
          <w:szCs w:val="32"/>
          <w:highlight w:val="none"/>
        </w:rPr>
      </w:pPr>
    </w:p>
    <w:p w14:paraId="7DE0417F">
      <w:pP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14:paraId="6A4E27E5">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2</w:t>
      </w:r>
      <w:r>
        <w:rPr>
          <w:rFonts w:hint="eastAsia" w:ascii="仿宋" w:hAnsi="仿宋" w:eastAsia="仿宋" w:cs="仿宋"/>
          <w:b/>
          <w:spacing w:val="6"/>
          <w:sz w:val="32"/>
          <w:szCs w:val="32"/>
          <w:highlight w:val="none"/>
        </w:rPr>
        <w:t>：投诉书范本及制作说明</w:t>
      </w:r>
    </w:p>
    <w:p w14:paraId="0D00E855">
      <w:pPr>
        <w:spacing w:line="360" w:lineRule="auto"/>
        <w:jc w:val="center"/>
        <w:rPr>
          <w:rFonts w:hint="eastAsia" w:ascii="仿宋" w:hAnsi="仿宋" w:eastAsia="仿宋" w:cs="仿宋"/>
          <w:b/>
          <w:sz w:val="24"/>
          <w:highlight w:val="none"/>
        </w:rPr>
      </w:pPr>
    </w:p>
    <w:p w14:paraId="43607416">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14:paraId="0F4F6073">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14:paraId="6FD73372">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14:paraId="520B5D2F">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0B530861">
      <w:pP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43229F38">
      <w:pP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6685AB1D">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18412F02">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14:paraId="0F18E7FA">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0A85A83E">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5AA0763B">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5C18CA94">
      <w:pP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14:paraId="2B0BF806">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0BAD2C2D">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096539F9">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4762E53E">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3B689E41">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14:paraId="16175EAA">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14:paraId="7EC23B36">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799B2D33">
      <w:pP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795D0471">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14:paraId="597CEF8F">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3CE2E498">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1310855F">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14:paraId="6361D008">
      <w:pP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14:paraId="7224B22B">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654579D7">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14:paraId="3E9241F0">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14:paraId="672373B8">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14:paraId="7A82153C">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4840927C">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49CBFF68">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3C3641AE">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42430605">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14:paraId="61CB3A0E">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03C3A14A">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14:paraId="0DAA0B6F">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489BACAE">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p>
    <w:p w14:paraId="03D12EFF">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32A1E3D2">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6B6655A8">
      <w:pPr>
        <w:spacing w:line="360" w:lineRule="auto"/>
        <w:rPr>
          <w:rFonts w:hint="eastAsia" w:ascii="仿宋" w:hAnsi="仿宋" w:eastAsia="仿宋" w:cs="仿宋"/>
          <w:b/>
          <w:sz w:val="24"/>
          <w:highlight w:val="none"/>
        </w:rPr>
      </w:pPr>
    </w:p>
    <w:p w14:paraId="1F86B7E9">
      <w:pPr>
        <w:spacing w:line="360" w:lineRule="auto"/>
        <w:rPr>
          <w:rFonts w:hint="eastAsia" w:ascii="仿宋" w:hAnsi="仿宋" w:eastAsia="仿宋" w:cs="仿宋"/>
          <w:b/>
          <w:sz w:val="24"/>
          <w:highlight w:val="none"/>
        </w:rPr>
      </w:pPr>
    </w:p>
    <w:p w14:paraId="147EA3B8">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14:paraId="7EF1AF7E">
      <w:pPr>
        <w:widowControl/>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14:paraId="262B9B11">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14:paraId="208AD60B">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14:paraId="426509B7">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14:paraId="0488BC08">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14:paraId="31870E95">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14:paraId="48F730FB">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14:paraId="32EE1AEB">
      <w:pPr>
        <w:spacing w:line="360" w:lineRule="auto"/>
        <w:rPr>
          <w:rFonts w:hint="eastAsia" w:ascii="仿宋" w:hAnsi="仿宋" w:eastAsia="仿宋" w:cs="仿宋"/>
          <w:b/>
          <w:sz w:val="24"/>
          <w:highlight w:val="none"/>
        </w:rPr>
      </w:pPr>
    </w:p>
    <w:p w14:paraId="5A87E5A4">
      <w:pPr>
        <w:autoSpaceDE w:val="0"/>
        <w:autoSpaceDN w:val="0"/>
        <w:jc w:val="center"/>
        <w:rPr>
          <w:rFonts w:hint="eastAsia" w:ascii="仿宋" w:hAnsi="仿宋" w:eastAsia="仿宋" w:cs="仿宋"/>
          <w:b/>
          <w:spacing w:val="6"/>
          <w:sz w:val="32"/>
          <w:szCs w:val="32"/>
          <w:highlight w:val="none"/>
        </w:rPr>
      </w:pPr>
    </w:p>
    <w:p w14:paraId="11F1A2C2">
      <w:pPr>
        <w:autoSpaceDE w:val="0"/>
        <w:autoSpaceDN w:val="0"/>
        <w:jc w:val="center"/>
        <w:rPr>
          <w:rFonts w:hint="eastAsia" w:ascii="仿宋" w:hAnsi="仿宋" w:eastAsia="仿宋" w:cs="仿宋"/>
          <w:b/>
          <w:spacing w:val="6"/>
          <w:sz w:val="32"/>
          <w:szCs w:val="32"/>
          <w:highlight w:val="none"/>
        </w:rPr>
      </w:pPr>
    </w:p>
    <w:p w14:paraId="366BD353">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0B745343">
      <w:pPr>
        <w:spacing w:line="360" w:lineRule="auto"/>
        <w:rPr>
          <w:rFonts w:hint="eastAsia" w:ascii="仿宋" w:hAnsi="仿宋" w:eastAsia="仿宋" w:cs="仿宋"/>
          <w:color w:val="auto"/>
          <w:sz w:val="24"/>
          <w:highlight w:val="none"/>
          <w:u w:val="single"/>
        </w:rPr>
      </w:pPr>
    </w:p>
    <w:p w14:paraId="0D265F72">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DC1883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2C02E0C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特此说明。</w:t>
      </w:r>
    </w:p>
    <w:p w14:paraId="06D57615">
      <w:pPr>
        <w:spacing w:line="360" w:lineRule="auto"/>
        <w:ind w:firstLine="494"/>
        <w:rPr>
          <w:rFonts w:hint="eastAsia" w:ascii="仿宋" w:hAnsi="仿宋" w:eastAsia="仿宋" w:cs="仿宋"/>
          <w:sz w:val="24"/>
          <w:highlight w:val="none"/>
        </w:rPr>
      </w:pPr>
    </w:p>
    <w:p w14:paraId="1653D4BB">
      <w:pPr>
        <w:spacing w:line="360" w:lineRule="auto"/>
        <w:ind w:firstLine="494"/>
        <w:rPr>
          <w:rFonts w:hint="eastAsia" w:ascii="仿宋" w:hAnsi="仿宋" w:eastAsia="仿宋" w:cs="仿宋"/>
          <w:sz w:val="24"/>
          <w:highlight w:val="none"/>
        </w:rPr>
      </w:pPr>
    </w:p>
    <w:p w14:paraId="1B8356E5">
      <w:pPr>
        <w:spacing w:line="360" w:lineRule="auto"/>
        <w:ind w:firstLine="494"/>
        <w:rPr>
          <w:rFonts w:hint="eastAsia" w:ascii="仿宋" w:hAnsi="仿宋" w:eastAsia="仿宋" w:cs="仿宋"/>
          <w:sz w:val="24"/>
          <w:highlight w:val="none"/>
        </w:rPr>
      </w:pPr>
    </w:p>
    <w:p w14:paraId="18E69699">
      <w:pPr>
        <w:spacing w:line="360" w:lineRule="auto"/>
        <w:ind w:firstLine="494"/>
        <w:rPr>
          <w:rFonts w:hint="eastAsia" w:ascii="仿宋" w:hAnsi="仿宋" w:eastAsia="仿宋" w:cs="仿宋"/>
          <w:sz w:val="24"/>
          <w:highlight w:val="none"/>
        </w:rPr>
      </w:pPr>
    </w:p>
    <w:p w14:paraId="290956C6">
      <w:pPr>
        <w:spacing w:line="360" w:lineRule="auto"/>
        <w:ind w:right="480" w:firstLine="4080" w:firstLineChars="1700"/>
        <w:rPr>
          <w:rFonts w:hint="eastAsia" w:ascii="仿宋" w:hAnsi="仿宋" w:eastAsia="仿宋" w:cs="仿宋"/>
          <w:sz w:val="24"/>
          <w:highlight w:val="none"/>
        </w:rPr>
      </w:pPr>
      <w:r>
        <w:rPr>
          <w:rFonts w:hint="eastAsia" w:ascii="仿宋" w:hAnsi="仿宋" w:eastAsia="仿宋" w:cs="仿宋"/>
          <w:sz w:val="24"/>
          <w:highlight w:val="none"/>
        </w:rPr>
        <w:t>投标单位（法定名称章）：</w:t>
      </w:r>
    </w:p>
    <w:p w14:paraId="371D234E">
      <w:pPr>
        <w:ind w:right="1440" w:firstLine="494"/>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0D683C78">
      <w:pPr>
        <w:rPr>
          <w:rFonts w:hint="eastAsia" w:ascii="仿宋" w:hAnsi="仿宋" w:eastAsia="仿宋" w:cs="仿宋"/>
          <w:sz w:val="24"/>
          <w:highlight w:val="none"/>
        </w:rPr>
      </w:pPr>
      <w:r>
        <w:rPr>
          <w:rFonts w:hint="eastAsia" w:ascii="仿宋" w:hAnsi="仿宋" w:eastAsia="仿宋" w:cs="仿宋"/>
          <w:b/>
          <w:bCs/>
          <w:sz w:val="24"/>
          <w:highlight w:val="none"/>
        </w:rPr>
        <w:t>附：</w:t>
      </w:r>
    </w:p>
    <w:p w14:paraId="09DF9896">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14:paraId="0526961F">
      <w:pPr>
        <w:autoSpaceDE w:val="0"/>
        <w:autoSpaceDN w:val="0"/>
        <w:jc w:val="center"/>
        <w:rPr>
          <w:rFonts w:hint="eastAsia" w:ascii="仿宋" w:hAnsi="仿宋" w:eastAsia="仿宋" w:cs="仿宋"/>
          <w:b/>
          <w:spacing w:val="6"/>
          <w:sz w:val="32"/>
          <w:szCs w:val="32"/>
          <w:highlight w:val="none"/>
        </w:rPr>
      </w:pPr>
    </w:p>
    <w:p w14:paraId="21155B76">
      <w:pPr>
        <w:autoSpaceDE w:val="0"/>
        <w:autoSpaceDN w:val="0"/>
        <w:jc w:val="center"/>
        <w:rPr>
          <w:rFonts w:hint="eastAsia" w:ascii="仿宋" w:hAnsi="仿宋" w:eastAsia="仿宋" w:cs="仿宋"/>
          <w:b/>
          <w:spacing w:val="6"/>
          <w:sz w:val="32"/>
          <w:szCs w:val="32"/>
          <w:highlight w:val="none"/>
        </w:rPr>
      </w:pPr>
    </w:p>
    <w:p w14:paraId="61B6E3A0">
      <w:pPr>
        <w:autoSpaceDE w:val="0"/>
        <w:autoSpaceDN w:val="0"/>
        <w:jc w:val="center"/>
        <w:rPr>
          <w:rFonts w:hint="eastAsia" w:ascii="仿宋" w:hAnsi="仿宋" w:eastAsia="仿宋" w:cs="仿宋"/>
          <w:b/>
          <w:spacing w:val="6"/>
          <w:sz w:val="32"/>
          <w:szCs w:val="32"/>
          <w:highlight w:val="none"/>
        </w:rPr>
      </w:pPr>
    </w:p>
    <w:p w14:paraId="7441D98D">
      <w:pPr>
        <w:autoSpaceDE w:val="0"/>
        <w:autoSpaceDN w:val="0"/>
        <w:jc w:val="center"/>
        <w:rPr>
          <w:rFonts w:hint="eastAsia" w:ascii="仿宋" w:hAnsi="仿宋" w:eastAsia="仿宋" w:cs="仿宋"/>
          <w:b/>
          <w:spacing w:val="6"/>
          <w:sz w:val="32"/>
          <w:szCs w:val="32"/>
          <w:highlight w:val="none"/>
        </w:rPr>
      </w:pPr>
    </w:p>
    <w:p w14:paraId="12145CD8">
      <w:pPr>
        <w:autoSpaceDE w:val="0"/>
        <w:autoSpaceDN w:val="0"/>
        <w:jc w:val="center"/>
        <w:rPr>
          <w:rFonts w:hint="eastAsia" w:ascii="仿宋" w:hAnsi="仿宋" w:eastAsia="仿宋" w:cs="仿宋"/>
          <w:b/>
          <w:spacing w:val="6"/>
          <w:sz w:val="32"/>
          <w:szCs w:val="32"/>
          <w:highlight w:val="none"/>
        </w:rPr>
      </w:pPr>
    </w:p>
    <w:p w14:paraId="3444BDF3">
      <w:pPr>
        <w:autoSpaceDE w:val="0"/>
        <w:autoSpaceDN w:val="0"/>
        <w:jc w:val="center"/>
        <w:rPr>
          <w:rFonts w:hint="eastAsia" w:ascii="仿宋" w:hAnsi="仿宋" w:eastAsia="仿宋" w:cs="仿宋"/>
          <w:b/>
          <w:spacing w:val="6"/>
          <w:sz w:val="32"/>
          <w:szCs w:val="32"/>
          <w:highlight w:val="none"/>
        </w:rPr>
      </w:pPr>
    </w:p>
    <w:p w14:paraId="67E0AFC8">
      <w:pPr>
        <w:autoSpaceDE w:val="0"/>
        <w:autoSpaceDN w:val="0"/>
        <w:jc w:val="center"/>
        <w:rPr>
          <w:rFonts w:hint="eastAsia" w:ascii="仿宋" w:hAnsi="仿宋" w:eastAsia="仿宋" w:cs="仿宋"/>
          <w:b/>
          <w:spacing w:val="6"/>
          <w:sz w:val="32"/>
          <w:szCs w:val="32"/>
          <w:highlight w:val="none"/>
        </w:rPr>
      </w:pPr>
    </w:p>
    <w:p w14:paraId="2BF829CF">
      <w:pPr>
        <w:autoSpaceDE w:val="0"/>
        <w:autoSpaceDN w:val="0"/>
        <w:jc w:val="center"/>
        <w:rPr>
          <w:rFonts w:hint="eastAsia" w:ascii="仿宋" w:hAnsi="仿宋" w:eastAsia="仿宋" w:cs="仿宋"/>
          <w:b/>
          <w:spacing w:val="6"/>
          <w:sz w:val="32"/>
          <w:szCs w:val="32"/>
          <w:highlight w:val="none"/>
        </w:rPr>
      </w:pPr>
    </w:p>
    <w:p w14:paraId="58E5B4C2">
      <w:pPr>
        <w:autoSpaceDE w:val="0"/>
        <w:autoSpaceDN w:val="0"/>
        <w:jc w:val="center"/>
        <w:rPr>
          <w:rFonts w:hint="eastAsia" w:ascii="仿宋" w:hAnsi="仿宋" w:eastAsia="仿宋" w:cs="仿宋"/>
          <w:b/>
          <w:spacing w:val="6"/>
          <w:sz w:val="32"/>
          <w:szCs w:val="32"/>
          <w:highlight w:val="none"/>
        </w:rPr>
      </w:pPr>
    </w:p>
    <w:p w14:paraId="3F7946CA">
      <w:pPr>
        <w:autoSpaceDE w:val="0"/>
        <w:autoSpaceDN w:val="0"/>
        <w:jc w:val="center"/>
        <w:rPr>
          <w:rFonts w:hint="eastAsia" w:ascii="仿宋" w:hAnsi="仿宋" w:eastAsia="仿宋" w:cs="仿宋"/>
          <w:b/>
          <w:spacing w:val="6"/>
          <w:sz w:val="32"/>
          <w:szCs w:val="32"/>
          <w:highlight w:val="none"/>
        </w:rPr>
      </w:pPr>
    </w:p>
    <w:p w14:paraId="21BB88CD">
      <w:pPr>
        <w:autoSpaceDE w:val="0"/>
        <w:autoSpaceDN w:val="0"/>
        <w:jc w:val="center"/>
        <w:rPr>
          <w:rFonts w:hint="eastAsia" w:ascii="仿宋" w:hAnsi="仿宋" w:eastAsia="仿宋" w:cs="仿宋"/>
          <w:b/>
          <w:spacing w:val="6"/>
          <w:sz w:val="32"/>
          <w:szCs w:val="32"/>
          <w:highlight w:val="none"/>
        </w:rPr>
      </w:pPr>
    </w:p>
    <w:p w14:paraId="77EAD2CA">
      <w:pPr>
        <w:autoSpaceDE w:val="0"/>
        <w:autoSpaceDN w:val="0"/>
        <w:jc w:val="center"/>
        <w:rPr>
          <w:rFonts w:hint="eastAsia" w:ascii="仿宋" w:hAnsi="仿宋" w:eastAsia="仿宋" w:cs="仿宋"/>
          <w:b/>
          <w:spacing w:val="6"/>
          <w:sz w:val="32"/>
          <w:szCs w:val="32"/>
          <w:highlight w:val="none"/>
        </w:rPr>
      </w:pPr>
    </w:p>
    <w:p w14:paraId="5EA67BC5">
      <w:pPr>
        <w:autoSpaceDE w:val="0"/>
        <w:autoSpaceDN w:val="0"/>
        <w:jc w:val="center"/>
        <w:rPr>
          <w:rFonts w:hint="eastAsia" w:ascii="仿宋" w:hAnsi="仿宋" w:eastAsia="仿宋" w:cs="仿宋"/>
          <w:b/>
          <w:spacing w:val="6"/>
          <w:sz w:val="32"/>
          <w:szCs w:val="32"/>
          <w:highlight w:val="none"/>
        </w:rPr>
      </w:pPr>
    </w:p>
    <w:p w14:paraId="229F6FE8">
      <w:pPr>
        <w:autoSpaceDE w:val="0"/>
        <w:autoSpaceDN w:val="0"/>
        <w:jc w:val="center"/>
        <w:rPr>
          <w:rFonts w:hint="eastAsia" w:ascii="仿宋" w:hAnsi="仿宋" w:eastAsia="仿宋" w:cs="仿宋"/>
          <w:b/>
          <w:spacing w:val="6"/>
          <w:sz w:val="32"/>
          <w:szCs w:val="32"/>
          <w:highlight w:val="none"/>
        </w:rPr>
      </w:pPr>
    </w:p>
    <w:p w14:paraId="0FA56D1A">
      <w:pPr>
        <w:autoSpaceDE w:val="0"/>
        <w:autoSpaceDN w:val="0"/>
        <w:jc w:val="center"/>
        <w:rPr>
          <w:rFonts w:hint="eastAsia" w:ascii="仿宋" w:hAnsi="仿宋" w:eastAsia="仿宋" w:cs="仿宋"/>
          <w:b/>
          <w:spacing w:val="6"/>
          <w:sz w:val="32"/>
          <w:szCs w:val="32"/>
          <w:highlight w:val="none"/>
        </w:rPr>
      </w:pPr>
    </w:p>
    <w:p w14:paraId="500C4E62">
      <w:pPr>
        <w:autoSpaceDE w:val="0"/>
        <w:autoSpaceDN w:val="0"/>
        <w:jc w:val="center"/>
        <w:rPr>
          <w:rFonts w:hint="eastAsia" w:ascii="仿宋" w:hAnsi="仿宋" w:eastAsia="仿宋" w:cs="仿宋"/>
          <w:b/>
          <w:spacing w:val="6"/>
          <w:sz w:val="32"/>
          <w:szCs w:val="32"/>
          <w:highlight w:val="none"/>
        </w:rPr>
      </w:pPr>
    </w:p>
    <w:p w14:paraId="09EF7CBB">
      <w:pPr>
        <w:autoSpaceDE w:val="0"/>
        <w:autoSpaceDN w:val="0"/>
        <w:jc w:val="center"/>
        <w:rPr>
          <w:rFonts w:hint="eastAsia" w:ascii="仿宋" w:hAnsi="仿宋" w:eastAsia="仿宋" w:cs="仿宋"/>
          <w:b/>
          <w:spacing w:val="6"/>
          <w:sz w:val="32"/>
          <w:szCs w:val="32"/>
          <w:highlight w:val="none"/>
        </w:rPr>
      </w:pPr>
    </w:p>
    <w:p w14:paraId="18150191">
      <w:pPr>
        <w:autoSpaceDE w:val="0"/>
        <w:autoSpaceDN w:val="0"/>
        <w:jc w:val="center"/>
        <w:rPr>
          <w:rFonts w:hint="eastAsia" w:ascii="仿宋" w:hAnsi="仿宋" w:eastAsia="仿宋" w:cs="仿宋"/>
          <w:b/>
          <w:kern w:val="0"/>
          <w:sz w:val="32"/>
          <w:szCs w:val="32"/>
          <w:highlight w:val="none"/>
          <w:lang w:val="zh-CN"/>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4</w:t>
      </w:r>
      <w:r>
        <w:rPr>
          <w:rFonts w:hint="eastAsia" w:ascii="仿宋" w:hAnsi="仿宋" w:eastAsia="仿宋" w:cs="仿宋"/>
          <w:b/>
          <w:spacing w:val="6"/>
          <w:sz w:val="32"/>
          <w:szCs w:val="32"/>
          <w:highlight w:val="none"/>
        </w:rPr>
        <w:t>：</w:t>
      </w:r>
      <w:r>
        <w:rPr>
          <w:rFonts w:hint="eastAsia" w:ascii="仿宋" w:hAnsi="仿宋" w:eastAsia="仿宋" w:cs="仿宋"/>
          <w:b/>
          <w:kern w:val="0"/>
          <w:sz w:val="32"/>
          <w:szCs w:val="32"/>
          <w:highlight w:val="none"/>
          <w:lang w:val="zh-CN"/>
        </w:rPr>
        <w:t>联合协议</w:t>
      </w:r>
    </w:p>
    <w:p w14:paraId="06DF96B3">
      <w:pPr>
        <w:keepNext w:val="0"/>
        <w:keepLines w:val="0"/>
        <w:pageBreakBefore w:val="0"/>
        <w:widowControl/>
        <w:kinsoku/>
        <w:wordWrap/>
        <w:overflowPunct/>
        <w:topLinePunct w:val="0"/>
        <w:autoSpaceDE/>
        <w:autoSpaceDN/>
        <w:bidi w:val="0"/>
        <w:adjustRightInd w:val="0"/>
        <w:spacing w:line="380" w:lineRule="exact"/>
        <w:ind w:righ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14:paraId="2C5C16E4">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4665A5AB">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14:paraId="3D21025F">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14:paraId="7150362E">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14:paraId="7B2F5319">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1BFF816B">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5A18A9B0">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p>
    <w:p w14:paraId="7E1023F0">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14:paraId="04A306B8">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w:t>
      </w:r>
      <w:bookmarkStart w:id="158" w:name="_Hlk101131882"/>
      <w:r>
        <w:rPr>
          <w:rFonts w:hint="eastAsia" w:ascii="仿宋" w:hAnsi="仿宋" w:eastAsia="仿宋" w:cs="仿宋"/>
          <w:kern w:val="0"/>
          <w:sz w:val="24"/>
          <w:highlight w:val="none"/>
          <w:u w:val="single"/>
        </w:rPr>
        <w:t>联合体成员X,……</w:t>
      </w:r>
      <w:bookmarkEnd w:id="158"/>
      <w:r>
        <w:rPr>
          <w:rFonts w:hint="eastAsia" w:ascii="仿宋" w:hAnsi="仿宋" w:eastAsia="仿宋" w:cs="仿宋"/>
          <w:kern w:val="0"/>
          <w:sz w:val="24"/>
          <w:highlight w:val="none"/>
          <w:u w:val="single"/>
        </w:rPr>
        <w:t>）</w:t>
      </w:r>
      <w:r>
        <w:rPr>
          <w:rFonts w:hint="eastAsia" w:ascii="仿宋" w:hAnsi="仿宋" w:eastAsia="仿宋" w:cs="仿宋"/>
          <w:kern w:val="0"/>
          <w:sz w:val="24"/>
          <w:highlight w:val="none"/>
        </w:rPr>
        <w:t>提供的服务由小微企业承接，其合同份额占到合同总金额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w:t>
      </w:r>
      <w:bookmarkStart w:id="159" w:name="_Hlk101133598"/>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bookmarkEnd w:id="159"/>
      <w:r>
        <w:rPr>
          <w:rFonts w:hint="eastAsia" w:ascii="仿宋" w:hAnsi="仿宋" w:eastAsia="仿宋" w:cs="仿宋"/>
          <w:b/>
          <w:kern w:val="0"/>
          <w:sz w:val="24"/>
          <w:highlight w:val="none"/>
          <w:lang w:val="zh-CN"/>
        </w:rPr>
        <w:t>）</w:t>
      </w:r>
    </w:p>
    <w:p w14:paraId="0FFC0CB4">
      <w:pPr>
        <w:keepNext w:val="0"/>
        <w:keepLines w:val="0"/>
        <w:pageBreakBefore w:val="0"/>
        <w:kinsoku/>
        <w:wordWrap/>
        <w:overflowPunct/>
        <w:topLinePunct w:val="0"/>
        <w:autoSpaceDE/>
        <w:autoSpaceDN/>
        <w:bidi w:val="0"/>
        <w:adjustRightInd w:val="0"/>
        <w:spacing w:line="380" w:lineRule="exact"/>
        <w:ind w:right="0" w:firstLine="600" w:firstLineChars="250"/>
        <w:textAlignment w:val="auto"/>
        <w:rPr>
          <w:rFonts w:hint="eastAsia" w:ascii="仿宋" w:hAnsi="仿宋" w:eastAsia="仿宋" w:cs="仿宋"/>
          <w:b/>
          <w:bCs/>
          <w:kern w:val="0"/>
          <w:sz w:val="24"/>
          <w:highlight w:val="none"/>
          <w:lang w:val="zh-CN"/>
        </w:rPr>
      </w:pPr>
      <w:r>
        <w:rPr>
          <w:rFonts w:hint="eastAsia" w:ascii="仿宋" w:hAnsi="仿宋" w:eastAsia="仿宋" w:cs="仿宋"/>
          <w:sz w:val="24"/>
          <w:highlight w:val="none"/>
        </w:rPr>
        <w:t>2、</w:t>
      </w:r>
      <w:bookmarkStart w:id="160"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bookmarkEnd w:id="160"/>
    </w:p>
    <w:p w14:paraId="211341AF">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14:paraId="57AE4FB2">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14:paraId="538D8A1E">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14:paraId="1C936194">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14:paraId="719BEC16">
      <w:pPr>
        <w:keepNext w:val="0"/>
        <w:keepLines w:val="0"/>
        <w:pageBreakBefore w:val="0"/>
        <w:kinsoku/>
        <w:wordWrap/>
        <w:overflowPunct/>
        <w:topLinePunct w:val="0"/>
        <w:autoSpaceDE/>
        <w:autoSpaceDN/>
        <w:bidi w:val="0"/>
        <w:adjustRightInd w:val="0"/>
        <w:snapToGrid w:val="0"/>
        <w:spacing w:line="38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14:paraId="09D0A192">
      <w:pPr>
        <w:keepNext w:val="0"/>
        <w:keepLines w:val="0"/>
        <w:pageBreakBefore w:val="0"/>
        <w:kinsoku/>
        <w:wordWrap/>
        <w:overflowPunct/>
        <w:topLinePunct w:val="0"/>
        <w:autoSpaceDE/>
        <w:autoSpaceDN/>
        <w:bidi w:val="0"/>
        <w:adjustRightInd w:val="0"/>
        <w:snapToGrid w:val="0"/>
        <w:spacing w:line="380" w:lineRule="exact"/>
        <w:ind w:right="0" w:firstLine="5040" w:firstLineChars="210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62AFC7CB">
      <w:pPr>
        <w:keepNext w:val="0"/>
        <w:keepLines w:val="0"/>
        <w:pageBreakBefore w:val="0"/>
        <w:kinsoku/>
        <w:wordWrap/>
        <w:overflowPunct/>
        <w:topLinePunct w:val="0"/>
        <w:autoSpaceDE/>
        <w:autoSpaceDN/>
        <w:bidi w:val="0"/>
        <w:adjustRightInd w:val="0"/>
        <w:snapToGrid w:val="0"/>
        <w:spacing w:line="380" w:lineRule="exact"/>
        <w:ind w:right="0" w:firstLine="5040" w:firstLineChars="210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234201EB">
      <w:pPr>
        <w:keepNext w:val="0"/>
        <w:keepLines w:val="0"/>
        <w:pageBreakBefore w:val="0"/>
        <w:kinsoku/>
        <w:wordWrap/>
        <w:overflowPunct/>
        <w:topLinePunct w:val="0"/>
        <w:autoSpaceDE/>
        <w:autoSpaceDN/>
        <w:bidi w:val="0"/>
        <w:adjustRightInd w:val="0"/>
        <w:snapToGrid w:val="0"/>
        <w:spacing w:line="380" w:lineRule="exact"/>
        <w:ind w:right="0"/>
        <w:jc w:val="center"/>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14:paraId="1B3D8652">
      <w:pPr>
        <w:keepNext w:val="0"/>
        <w:keepLines w:val="0"/>
        <w:pageBreakBefore w:val="0"/>
        <w:kinsoku/>
        <w:wordWrap/>
        <w:overflowPunct/>
        <w:topLinePunct w:val="0"/>
        <w:autoSpaceDE/>
        <w:autoSpaceDN/>
        <w:bidi w:val="0"/>
        <w:adjustRightInd w:val="0"/>
        <w:snapToGrid w:val="0"/>
        <w:spacing w:line="380" w:lineRule="exact"/>
        <w:ind w:right="0"/>
        <w:jc w:val="right"/>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685A17F8">
      <w:pPr>
        <w:keepNext w:val="0"/>
        <w:keepLines w:val="0"/>
        <w:pageBreakBefore w:val="0"/>
        <w:kinsoku/>
        <w:wordWrap/>
        <w:overflowPunct/>
        <w:topLinePunct w:val="0"/>
        <w:autoSpaceDE/>
        <w:autoSpaceDN/>
        <w:bidi w:val="0"/>
        <w:adjustRightInd w:val="0"/>
        <w:spacing w:line="380" w:lineRule="exact"/>
        <w:ind w:right="0"/>
        <w:textAlignment w:val="auto"/>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075A08AA">
      <w:pPr>
        <w:snapToGrid w:val="0"/>
        <w:spacing w:line="360" w:lineRule="auto"/>
        <w:jc w:val="center"/>
        <w:rPr>
          <w:rFonts w:hint="eastAsia" w:ascii="仿宋" w:hAnsi="仿宋" w:eastAsia="仿宋" w:cs="仿宋"/>
          <w:b/>
          <w:kern w:val="0"/>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5</w:t>
      </w:r>
      <w:r>
        <w:rPr>
          <w:rFonts w:hint="eastAsia" w:ascii="仿宋" w:hAnsi="仿宋" w:eastAsia="仿宋" w:cs="仿宋"/>
          <w:b/>
          <w:spacing w:val="6"/>
          <w:sz w:val="32"/>
          <w:szCs w:val="32"/>
          <w:highlight w:val="none"/>
        </w:rPr>
        <w:t>：</w:t>
      </w:r>
      <w:r>
        <w:rPr>
          <w:rFonts w:hint="eastAsia" w:ascii="仿宋" w:hAnsi="仿宋" w:eastAsia="仿宋" w:cs="仿宋"/>
          <w:b/>
          <w:kern w:val="0"/>
          <w:sz w:val="32"/>
          <w:szCs w:val="32"/>
          <w:highlight w:val="none"/>
        </w:rPr>
        <w:t>分包意向协议</w:t>
      </w:r>
    </w:p>
    <w:p w14:paraId="221A98C4">
      <w:pPr>
        <w:pageBreakBefore w:val="0"/>
        <w:widowControl/>
        <w:kinsoku/>
        <w:wordWrap/>
        <w:overflowPunct/>
        <w:topLinePunct w:val="0"/>
        <w:autoSpaceDE/>
        <w:autoSpaceDN/>
        <w:bidi w:val="0"/>
        <w:spacing w:line="360" w:lineRule="exact"/>
        <w:ind w:left="0" w:leftChars="0" w:right="0" w:firstLine="120" w:firstLineChars="50"/>
        <w:jc w:val="left"/>
        <w:textAlignment w:val="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14:paraId="5E1A96A2">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sz w:val="24"/>
          <w:highlight w:val="none"/>
        </w:rPr>
        <w:t>】</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14:paraId="53FC55A5">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14:paraId="5237DDD1">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（分包供应商2名称），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14:paraId="2E11B44A">
      <w:pPr>
        <w:pStyle w:val="3"/>
        <w:pageBreakBefore w:val="0"/>
        <w:kinsoku/>
        <w:wordWrap/>
        <w:overflowPunct/>
        <w:topLinePunct w:val="0"/>
        <w:autoSpaceDE/>
        <w:autoSpaceDN/>
        <w:bidi w:val="0"/>
        <w:spacing w:line="360" w:lineRule="exact"/>
        <w:ind w:left="0" w:leftChars="0" w:right="0" w:firstLine="229" w:firstLineChars="95"/>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p>
    <w:p w14:paraId="0652D41E">
      <w:pPr>
        <w:pageBreakBefore w:val="0"/>
        <w:kinsoku/>
        <w:wordWrap/>
        <w:overflowPunct/>
        <w:topLinePunct w:val="0"/>
        <w:autoSpaceDE/>
        <w:autoSpaceDN/>
        <w:bidi w:val="0"/>
        <w:spacing w:line="360" w:lineRule="exact"/>
        <w:ind w:left="0" w:leftChars="0" w:right="0"/>
        <w:textAlignment w:val="auto"/>
        <w:rPr>
          <w:rFonts w:hint="eastAsia" w:ascii="仿宋" w:hAnsi="仿宋" w:eastAsia="仿宋" w:cs="仿宋"/>
          <w:highlight w:val="none"/>
        </w:rPr>
      </w:pPr>
      <w:r>
        <w:rPr>
          <w:rFonts w:hint="eastAsia" w:ascii="仿宋" w:hAnsi="仿宋" w:eastAsia="仿宋" w:cs="仿宋"/>
          <w:highlight w:val="none"/>
          <w:lang w:val="zh-CN"/>
        </w:rPr>
        <w:t xml:space="preserve"> </w:t>
      </w:r>
    </w:p>
    <w:p w14:paraId="36A94566">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14:paraId="395D4388">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（分包供应商X,……）提供的服务全部由小微企业承接，</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47830202">
      <w:pPr>
        <w:pageBreakBefore w:val="0"/>
        <w:kinsoku/>
        <w:wordWrap/>
        <w:overflowPunct/>
        <w:topLinePunct w:val="0"/>
        <w:autoSpaceDE/>
        <w:autoSpaceDN/>
        <w:bidi w:val="0"/>
        <w:spacing w:line="360" w:lineRule="exact"/>
        <w:ind w:left="0" w:leftChars="0" w:right="0" w:firstLine="480" w:firstLineChars="200"/>
        <w:textAlignment w:val="auto"/>
        <w:rPr>
          <w:rFonts w:hint="eastAsia" w:ascii="仿宋" w:hAnsi="仿宋" w:eastAsia="仿宋" w:cs="仿宋"/>
          <w:b/>
          <w:bCs/>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p>
    <w:p w14:paraId="7393303E">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14:paraId="73DAA245">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6309E3F2">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14:paraId="29F5463E">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223EB93D">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14:paraId="28504E4D">
      <w:pPr>
        <w:pageBreakBefore w:val="0"/>
        <w:kinsoku/>
        <w:wordWrap/>
        <w:overflowPunct/>
        <w:topLinePunct w:val="0"/>
        <w:autoSpaceDE/>
        <w:autoSpaceDN/>
        <w:bidi w:val="0"/>
        <w:snapToGrid w:val="0"/>
        <w:spacing w:line="360" w:lineRule="exact"/>
        <w:ind w:left="0" w:leftChars="0" w:right="0" w:firstLine="525" w:firstLineChars="250"/>
        <w:textAlignment w:val="auto"/>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39A8B24B">
      <w:pPr>
        <w:pageBreakBefore w:val="0"/>
        <w:kinsoku/>
        <w:wordWrap/>
        <w:overflowPunct/>
        <w:topLinePunct w:val="0"/>
        <w:autoSpaceDE/>
        <w:autoSpaceDN/>
        <w:bidi w:val="0"/>
        <w:snapToGrid w:val="0"/>
        <w:spacing w:line="360" w:lineRule="exact"/>
        <w:ind w:left="0" w:leftChars="0" w:right="0" w:firstLine="600" w:firstLineChars="25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14:paraId="5637DF43">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76C416B2">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14:paraId="16D0E0C8">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73D177C7">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八、其他</w:t>
      </w:r>
    </w:p>
    <w:p w14:paraId="5913F8A9">
      <w:pPr>
        <w:pageBreakBefore w:val="0"/>
        <w:kinsoku/>
        <w:wordWrap/>
        <w:overflowPunct/>
        <w:topLinePunct w:val="0"/>
        <w:autoSpaceDE/>
        <w:autoSpaceDN/>
        <w:bidi w:val="0"/>
        <w:snapToGrid w:val="0"/>
        <w:spacing w:line="360" w:lineRule="exact"/>
        <w:ind w:left="5040" w:leftChars="0" w:right="0" w:hanging="5040" w:hangingChars="2100"/>
        <w:textAlignment w:val="auto"/>
        <w:rPr>
          <w:rFonts w:hint="eastAsia" w:ascii="仿宋" w:hAnsi="仿宋" w:eastAsia="仿宋" w:cs="仿宋"/>
          <w:kern w:val="0"/>
          <w:sz w:val="24"/>
          <w:highlight w:val="none"/>
          <w:lang w:val="zh-CN"/>
        </w:rPr>
      </w:pPr>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 xml:space="preserve">  。                                           投标人名称(电子签名)：</w:t>
      </w:r>
    </w:p>
    <w:p w14:paraId="726098C3">
      <w:pPr>
        <w:pageBreakBefore w:val="0"/>
        <w:kinsoku/>
        <w:wordWrap/>
        <w:overflowPunct/>
        <w:topLinePunct w:val="0"/>
        <w:autoSpaceDE/>
        <w:autoSpaceDN/>
        <w:bidi w:val="0"/>
        <w:snapToGrid w:val="0"/>
        <w:spacing w:line="360" w:lineRule="exact"/>
        <w:ind w:left="0" w:leftChars="0" w:right="0"/>
        <w:jc w:val="right"/>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14:paraId="470EC40B">
      <w:pPr>
        <w:pageBreakBefore w:val="0"/>
        <w:kinsoku/>
        <w:wordWrap/>
        <w:overflowPunct/>
        <w:topLinePunct w:val="0"/>
        <w:autoSpaceDE/>
        <w:autoSpaceDN/>
        <w:bidi w:val="0"/>
        <w:snapToGrid w:val="0"/>
        <w:spacing w:line="360" w:lineRule="exact"/>
        <w:ind w:left="0" w:leftChars="0" w:right="0" w:firstLine="5760" w:firstLineChars="2400"/>
        <w:textAlignment w:val="auto"/>
        <w:rPr>
          <w:rFonts w:hint="eastAsia" w:ascii="仿宋" w:hAnsi="仿宋" w:eastAsia="仿宋" w:cs="仿宋"/>
          <w:highlight w:val="none"/>
        </w:rPr>
      </w:pPr>
      <w:r>
        <w:rPr>
          <w:rFonts w:hint="eastAsia" w:ascii="仿宋" w:hAnsi="仿宋" w:eastAsia="仿宋" w:cs="仿宋"/>
          <w:kern w:val="0"/>
          <w:sz w:val="24"/>
          <w:highlight w:val="none"/>
          <w:lang w:val="zh-CN"/>
        </w:rPr>
        <w:t>……</w:t>
      </w:r>
    </w:p>
    <w:p w14:paraId="74E1BBFC">
      <w:pPr>
        <w:pageBreakBefore w:val="0"/>
        <w:kinsoku/>
        <w:wordWrap/>
        <w:overflowPunct/>
        <w:topLinePunct w:val="0"/>
        <w:autoSpaceDE/>
        <w:autoSpaceDN/>
        <w:bidi w:val="0"/>
        <w:snapToGrid w:val="0"/>
        <w:spacing w:line="360" w:lineRule="exact"/>
        <w:ind w:left="5040" w:leftChars="0" w:right="0" w:hanging="5040" w:hangingChars="210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150CCC01">
      <w:pPr>
        <w:pageBreakBefore w:val="0"/>
        <w:kinsoku/>
        <w:wordWrap/>
        <w:overflowPunct/>
        <w:topLinePunct w:val="0"/>
        <w:autoSpaceDE/>
        <w:autoSpaceDN/>
        <w:bidi w:val="0"/>
        <w:spacing w:line="360" w:lineRule="exact"/>
        <w:ind w:left="0" w:leftChars="0" w:right="0"/>
        <w:textAlignment w:val="auto"/>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76D1D840">
      <w:pPr>
        <w:autoSpaceDE w:val="0"/>
        <w:autoSpaceDN w:val="0"/>
        <w:jc w:val="center"/>
        <w:rPr>
          <w:rFonts w:hint="eastAsia" w:ascii="仿宋" w:hAnsi="仿宋" w:eastAsia="仿宋" w:cs="仿宋"/>
          <w:b/>
          <w:spacing w:val="6"/>
          <w:sz w:val="32"/>
          <w:szCs w:val="32"/>
          <w:highlight w:val="none"/>
        </w:rPr>
      </w:pPr>
    </w:p>
    <w:p w14:paraId="3A28EC90">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6</w:t>
      </w:r>
      <w:r>
        <w:rPr>
          <w:rFonts w:hint="eastAsia" w:ascii="仿宋" w:hAnsi="仿宋" w:eastAsia="仿宋" w:cs="仿宋"/>
          <w:b/>
          <w:spacing w:val="6"/>
          <w:sz w:val="32"/>
          <w:szCs w:val="32"/>
          <w:highlight w:val="none"/>
        </w:rPr>
        <w:t>：</w:t>
      </w:r>
      <w:bookmarkStart w:id="161" w:name="OLE_LINK13"/>
      <w:bookmarkStart w:id="162" w:name="OLE_LINK14"/>
      <w:r>
        <w:rPr>
          <w:rFonts w:hint="eastAsia" w:ascii="仿宋" w:hAnsi="仿宋" w:eastAsia="仿宋" w:cs="仿宋"/>
          <w:b/>
          <w:spacing w:val="6"/>
          <w:sz w:val="32"/>
          <w:szCs w:val="32"/>
          <w:highlight w:val="none"/>
        </w:rPr>
        <w:t>残疾人福利性单位声明函</w:t>
      </w:r>
    </w:p>
    <w:bookmarkEnd w:id="161"/>
    <w:bookmarkEnd w:id="162"/>
    <w:p w14:paraId="1A544996">
      <w:pPr>
        <w:spacing w:line="360" w:lineRule="auto"/>
        <w:rPr>
          <w:rFonts w:hint="eastAsia" w:ascii="仿宋" w:hAnsi="仿宋" w:eastAsia="仿宋" w:cs="仿宋"/>
          <w:b/>
          <w:spacing w:val="6"/>
          <w:sz w:val="30"/>
          <w:szCs w:val="30"/>
          <w:highlight w:val="none"/>
        </w:rPr>
      </w:pPr>
    </w:p>
    <w:p w14:paraId="1CAA1B9E">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rPr>
        <w:t>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w:t>
      </w:r>
      <w:r>
        <w:rPr>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14:paraId="653C6A7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5E837BB8">
      <w:pPr>
        <w:spacing w:line="360" w:lineRule="auto"/>
        <w:ind w:firstLine="480" w:firstLineChars="200"/>
        <w:rPr>
          <w:rFonts w:hint="eastAsia" w:ascii="仿宋" w:hAnsi="仿宋" w:eastAsia="仿宋" w:cs="仿宋"/>
          <w:sz w:val="24"/>
          <w:highlight w:val="none"/>
        </w:rPr>
      </w:pPr>
    </w:p>
    <w:p w14:paraId="4D648ED5">
      <w:pPr>
        <w:spacing w:line="360" w:lineRule="auto"/>
        <w:ind w:firstLine="480" w:firstLineChars="200"/>
        <w:rPr>
          <w:rFonts w:hint="eastAsia" w:ascii="仿宋" w:hAnsi="仿宋" w:eastAsia="仿宋" w:cs="仿宋"/>
          <w:sz w:val="24"/>
          <w:highlight w:val="none"/>
        </w:rPr>
      </w:pPr>
    </w:p>
    <w:p w14:paraId="23C3B7C1">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14:paraId="00050C23">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日  期：</w:t>
      </w:r>
    </w:p>
    <w:p w14:paraId="5303565C">
      <w:pPr>
        <w:autoSpaceDE w:val="0"/>
        <w:autoSpaceDN w:val="0"/>
        <w:jc w:val="center"/>
        <w:rPr>
          <w:rFonts w:hint="eastAsia" w:ascii="仿宋" w:hAnsi="仿宋" w:eastAsia="仿宋" w:cs="仿宋"/>
          <w:b/>
          <w:spacing w:val="6"/>
          <w:sz w:val="32"/>
          <w:szCs w:val="32"/>
          <w:highlight w:val="none"/>
        </w:rPr>
      </w:pPr>
    </w:p>
    <w:p w14:paraId="3947BB49">
      <w:pPr>
        <w:autoSpaceDE w:val="0"/>
        <w:autoSpaceDN w:val="0"/>
        <w:jc w:val="center"/>
        <w:rPr>
          <w:rFonts w:hint="eastAsia" w:ascii="仿宋" w:hAnsi="仿宋" w:eastAsia="仿宋" w:cs="仿宋"/>
          <w:b/>
          <w:spacing w:val="6"/>
          <w:sz w:val="32"/>
          <w:szCs w:val="32"/>
          <w:highlight w:val="none"/>
        </w:rPr>
      </w:pPr>
    </w:p>
    <w:p w14:paraId="64D5722E">
      <w:pPr>
        <w:autoSpaceDE w:val="0"/>
        <w:autoSpaceDN w:val="0"/>
        <w:jc w:val="center"/>
        <w:rPr>
          <w:rFonts w:hint="eastAsia" w:ascii="仿宋" w:hAnsi="仿宋" w:eastAsia="仿宋" w:cs="仿宋"/>
          <w:b/>
          <w:spacing w:val="6"/>
          <w:sz w:val="32"/>
          <w:szCs w:val="32"/>
          <w:highlight w:val="none"/>
        </w:rPr>
      </w:pPr>
    </w:p>
    <w:p w14:paraId="231C2F6A">
      <w:pPr>
        <w:autoSpaceDE w:val="0"/>
        <w:autoSpaceDN w:val="0"/>
        <w:jc w:val="center"/>
        <w:rPr>
          <w:rFonts w:hint="eastAsia" w:ascii="仿宋" w:hAnsi="仿宋" w:eastAsia="仿宋" w:cs="仿宋"/>
          <w:b/>
          <w:spacing w:val="6"/>
          <w:sz w:val="32"/>
          <w:szCs w:val="32"/>
          <w:highlight w:val="none"/>
        </w:rPr>
      </w:pPr>
    </w:p>
    <w:p w14:paraId="46033B5E">
      <w:pPr>
        <w:autoSpaceDE w:val="0"/>
        <w:autoSpaceDN w:val="0"/>
        <w:jc w:val="center"/>
        <w:rPr>
          <w:rFonts w:hint="eastAsia" w:ascii="仿宋" w:hAnsi="仿宋" w:eastAsia="仿宋" w:cs="仿宋"/>
          <w:b/>
          <w:spacing w:val="6"/>
          <w:sz w:val="32"/>
          <w:szCs w:val="32"/>
          <w:highlight w:val="none"/>
        </w:rPr>
      </w:pPr>
    </w:p>
    <w:p w14:paraId="4A68F5DA">
      <w:pPr>
        <w:autoSpaceDE w:val="0"/>
        <w:autoSpaceDN w:val="0"/>
        <w:jc w:val="center"/>
        <w:rPr>
          <w:rFonts w:hint="eastAsia" w:ascii="仿宋" w:hAnsi="仿宋" w:eastAsia="仿宋" w:cs="仿宋"/>
          <w:b/>
          <w:spacing w:val="6"/>
          <w:sz w:val="32"/>
          <w:szCs w:val="32"/>
          <w:highlight w:val="none"/>
        </w:rPr>
      </w:pPr>
    </w:p>
    <w:p w14:paraId="56DAB9B1">
      <w:pPr>
        <w:autoSpaceDE w:val="0"/>
        <w:autoSpaceDN w:val="0"/>
        <w:jc w:val="center"/>
        <w:rPr>
          <w:rFonts w:hint="eastAsia" w:ascii="仿宋" w:hAnsi="仿宋" w:eastAsia="仿宋" w:cs="仿宋"/>
          <w:b/>
          <w:spacing w:val="6"/>
          <w:sz w:val="32"/>
          <w:szCs w:val="32"/>
          <w:highlight w:val="none"/>
        </w:rPr>
      </w:pPr>
    </w:p>
    <w:p w14:paraId="14199EC3">
      <w:pPr>
        <w:autoSpaceDE w:val="0"/>
        <w:autoSpaceDN w:val="0"/>
        <w:jc w:val="center"/>
        <w:rPr>
          <w:rFonts w:hint="eastAsia" w:ascii="仿宋" w:hAnsi="仿宋" w:eastAsia="仿宋" w:cs="仿宋"/>
          <w:b/>
          <w:spacing w:val="6"/>
          <w:sz w:val="32"/>
          <w:szCs w:val="32"/>
          <w:highlight w:val="none"/>
        </w:rPr>
      </w:pPr>
    </w:p>
    <w:p w14:paraId="46CF1911">
      <w:pPr>
        <w:autoSpaceDE w:val="0"/>
        <w:autoSpaceDN w:val="0"/>
        <w:jc w:val="center"/>
        <w:rPr>
          <w:rFonts w:hint="eastAsia" w:ascii="仿宋" w:hAnsi="仿宋" w:eastAsia="仿宋" w:cs="仿宋"/>
          <w:b/>
          <w:spacing w:val="6"/>
          <w:sz w:val="32"/>
          <w:szCs w:val="32"/>
          <w:highlight w:val="none"/>
        </w:rPr>
      </w:pPr>
    </w:p>
    <w:p w14:paraId="6B2555E6">
      <w:pPr>
        <w:autoSpaceDE w:val="0"/>
        <w:autoSpaceDN w:val="0"/>
        <w:jc w:val="center"/>
        <w:rPr>
          <w:rFonts w:hint="eastAsia" w:ascii="仿宋" w:hAnsi="仿宋" w:eastAsia="仿宋" w:cs="仿宋"/>
          <w:b/>
          <w:spacing w:val="6"/>
          <w:sz w:val="32"/>
          <w:szCs w:val="32"/>
          <w:highlight w:val="none"/>
        </w:rPr>
      </w:pPr>
    </w:p>
    <w:p w14:paraId="57C4C139">
      <w:pPr>
        <w:autoSpaceDE w:val="0"/>
        <w:autoSpaceDN w:val="0"/>
        <w:jc w:val="center"/>
        <w:rPr>
          <w:rFonts w:hint="eastAsia" w:ascii="仿宋" w:hAnsi="仿宋" w:eastAsia="仿宋" w:cs="仿宋"/>
          <w:b/>
          <w:spacing w:val="6"/>
          <w:sz w:val="32"/>
          <w:szCs w:val="32"/>
          <w:highlight w:val="none"/>
        </w:rPr>
      </w:pPr>
    </w:p>
    <w:p w14:paraId="10B12210">
      <w:pPr>
        <w:autoSpaceDE w:val="0"/>
        <w:autoSpaceDN w:val="0"/>
        <w:jc w:val="center"/>
        <w:rPr>
          <w:rFonts w:hint="eastAsia" w:ascii="仿宋" w:hAnsi="仿宋" w:eastAsia="仿宋" w:cs="仿宋"/>
          <w:b/>
          <w:spacing w:val="6"/>
          <w:sz w:val="32"/>
          <w:szCs w:val="32"/>
          <w:highlight w:val="none"/>
        </w:rPr>
      </w:pPr>
    </w:p>
    <w:p w14:paraId="0C52CC37">
      <w:pPr>
        <w:autoSpaceDE w:val="0"/>
        <w:autoSpaceDN w:val="0"/>
        <w:jc w:val="center"/>
        <w:rPr>
          <w:rFonts w:hint="eastAsia" w:ascii="仿宋" w:hAnsi="仿宋" w:eastAsia="仿宋" w:cs="仿宋"/>
          <w:b/>
          <w:spacing w:val="6"/>
          <w:sz w:val="32"/>
          <w:szCs w:val="32"/>
          <w:highlight w:val="none"/>
        </w:rPr>
      </w:pPr>
    </w:p>
    <w:p w14:paraId="1632F7D4">
      <w:pPr>
        <w:autoSpaceDE w:val="0"/>
        <w:autoSpaceDN w:val="0"/>
        <w:jc w:val="center"/>
        <w:rPr>
          <w:rFonts w:hint="eastAsia" w:ascii="仿宋" w:hAnsi="仿宋" w:eastAsia="仿宋" w:cs="仿宋"/>
          <w:b/>
          <w:spacing w:val="6"/>
          <w:sz w:val="32"/>
          <w:szCs w:val="32"/>
          <w:highlight w:val="none"/>
        </w:rPr>
      </w:pPr>
    </w:p>
    <w:p w14:paraId="1BD8AB33">
      <w:pPr>
        <w:autoSpaceDE w:val="0"/>
        <w:autoSpaceDN w:val="0"/>
        <w:jc w:val="center"/>
        <w:rPr>
          <w:rFonts w:hint="eastAsia" w:ascii="仿宋" w:hAnsi="仿宋" w:eastAsia="仿宋" w:cs="仿宋"/>
          <w:b/>
          <w:spacing w:val="6"/>
          <w:sz w:val="32"/>
          <w:szCs w:val="32"/>
          <w:highlight w:val="none"/>
        </w:rPr>
      </w:pPr>
    </w:p>
    <w:p w14:paraId="6E94CB9E">
      <w:pPr>
        <w:pStyle w:val="23"/>
        <w:rPr>
          <w:rFonts w:hint="eastAsia" w:ascii="仿宋" w:hAnsi="仿宋" w:eastAsia="仿宋" w:cs="仿宋"/>
          <w:highlight w:val="none"/>
        </w:rPr>
      </w:pPr>
    </w:p>
    <w:p w14:paraId="5BF524BD">
      <w:pPr>
        <w:snapToGrid w:val="0"/>
        <w:spacing w:line="360" w:lineRule="auto"/>
        <w:rPr>
          <w:rFonts w:hint="eastAsia" w:ascii="仿宋" w:hAnsi="仿宋" w:eastAsia="仿宋" w:cs="仿宋"/>
          <w:b/>
          <w:kern w:val="0"/>
          <w:sz w:val="32"/>
          <w:szCs w:val="32"/>
          <w:highlight w:val="none"/>
        </w:rPr>
      </w:pPr>
    </w:p>
    <w:p w14:paraId="147F7A2F">
      <w:pPr>
        <w:snapToGrid w:val="0"/>
        <w:spacing w:line="360" w:lineRule="auto"/>
        <w:rPr>
          <w:rFonts w:hint="eastAsia" w:ascii="仿宋" w:hAnsi="仿宋" w:eastAsia="仿宋" w:cs="仿宋"/>
          <w:b/>
          <w:kern w:val="0"/>
          <w:sz w:val="32"/>
          <w:szCs w:val="32"/>
          <w:highlight w:val="none"/>
        </w:rPr>
      </w:pPr>
    </w:p>
    <w:p w14:paraId="2BEDEC32">
      <w:pPr>
        <w:snapToGrid w:val="0"/>
        <w:spacing w:line="360" w:lineRule="auto"/>
        <w:rPr>
          <w:rFonts w:hint="eastAsia" w:ascii="仿宋" w:hAnsi="仿宋" w:eastAsia="仿宋" w:cs="仿宋"/>
          <w:b/>
          <w:kern w:val="0"/>
          <w:sz w:val="32"/>
          <w:szCs w:val="32"/>
          <w:highlight w:val="none"/>
        </w:rPr>
      </w:pPr>
    </w:p>
    <w:p w14:paraId="1ACC3961">
      <w:pPr>
        <w:snapToGrid w:val="0"/>
        <w:spacing w:line="360" w:lineRule="auto"/>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7</w:t>
      </w:r>
      <w:r>
        <w:rPr>
          <w:rFonts w:hint="eastAsia" w:ascii="仿宋" w:hAnsi="仿宋" w:eastAsia="仿宋" w:cs="仿宋"/>
          <w:b/>
          <w:kern w:val="0"/>
          <w:sz w:val="32"/>
          <w:szCs w:val="32"/>
          <w:highlight w:val="none"/>
        </w:rPr>
        <w:t>：中小企业声明函</w:t>
      </w:r>
    </w:p>
    <w:p w14:paraId="774A569D">
      <w:pPr>
        <w:keepNext w:val="0"/>
        <w:keepLines w:val="0"/>
        <w:pageBreakBefore w:val="0"/>
        <w:widowControl w:val="0"/>
        <w:kinsoku/>
        <w:wordWrap/>
        <w:overflowPunct/>
        <w:topLinePunct w:val="0"/>
        <w:autoSpaceDE/>
        <w:autoSpaceDN/>
        <w:bidi w:val="0"/>
        <w:adjustRightInd w:val="0"/>
        <w:snapToGrid/>
        <w:spacing w:line="312" w:lineRule="auto"/>
        <w:jc w:val="center"/>
        <w:textAlignment w:val="auto"/>
        <w:rPr>
          <w:rFonts w:hint="eastAsia" w:ascii="仿宋" w:hAnsi="仿宋" w:eastAsia="仿宋" w:cs="仿宋"/>
          <w:b/>
          <w:sz w:val="32"/>
          <w:szCs w:val="32"/>
          <w:highlight w:val="none"/>
        </w:rPr>
      </w:pPr>
      <w:r>
        <w:rPr>
          <w:rFonts w:hint="eastAsia" w:ascii="仿宋" w:hAnsi="仿宋" w:eastAsia="仿宋" w:cs="仿宋"/>
          <w:b/>
          <w:sz w:val="32"/>
          <w:szCs w:val="32"/>
          <w:highlight w:val="none"/>
        </w:rPr>
        <w:t>中小企业声明函（服务）</w:t>
      </w:r>
    </w:p>
    <w:p w14:paraId="00E7E7DA">
      <w:pPr>
        <w:keepNext w:val="0"/>
        <w:keepLines w:val="0"/>
        <w:pageBreakBefore w:val="0"/>
        <w:widowControl w:val="0"/>
        <w:kinsoku/>
        <w:wordWrap/>
        <w:overflowPunct/>
        <w:topLinePunct w:val="0"/>
        <w:autoSpaceDE/>
        <w:autoSpaceDN/>
        <w:bidi w:val="0"/>
        <w:adjustRightInd w:val="0"/>
        <w:snapToGrid/>
        <w:spacing w:line="312"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sz w:val="24"/>
          <w:highlight w:val="none"/>
        </w:rPr>
        <w:t>本公司（联合体）郑重</w:t>
      </w:r>
      <w:r>
        <w:rPr>
          <w:rFonts w:hint="eastAsia" w:ascii="仿宋" w:hAnsi="仿宋" w:eastAsia="仿宋" w:cs="仿宋"/>
          <w:color w:val="auto"/>
          <w:sz w:val="24"/>
          <w:highlight w:val="none"/>
        </w:rPr>
        <w:t xml:space="preserve">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0F902CFD">
      <w:pPr>
        <w:keepNext w:val="0"/>
        <w:keepLines w:val="0"/>
        <w:pageBreakBefore w:val="0"/>
        <w:widowControl w:val="0"/>
        <w:kinsoku/>
        <w:wordWrap/>
        <w:overflowPunct/>
        <w:topLinePunct w:val="0"/>
        <w:autoSpaceDE/>
        <w:autoSpaceDN/>
        <w:bidi w:val="0"/>
        <w:adjustRightInd w:val="0"/>
        <w:snapToGrid/>
        <w:spacing w:line="312"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2AB99FDD">
      <w:pPr>
        <w:keepNext w:val="0"/>
        <w:keepLines w:val="0"/>
        <w:pageBreakBefore w:val="0"/>
        <w:widowControl w:val="0"/>
        <w:kinsoku/>
        <w:wordWrap/>
        <w:overflowPunct/>
        <w:topLinePunct w:val="0"/>
        <w:autoSpaceDE/>
        <w:autoSpaceDN/>
        <w:bidi w:val="0"/>
        <w:adjustRightInd w:val="0"/>
        <w:snapToGrid/>
        <w:spacing w:line="312"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1CFC668">
      <w:pPr>
        <w:keepNext w:val="0"/>
        <w:keepLines w:val="0"/>
        <w:pageBreakBefore w:val="0"/>
        <w:widowControl w:val="0"/>
        <w:kinsoku/>
        <w:wordWrap/>
        <w:overflowPunct/>
        <w:topLinePunct w:val="0"/>
        <w:autoSpaceDE/>
        <w:autoSpaceDN/>
        <w:bidi w:val="0"/>
        <w:adjustRightInd w:val="0"/>
        <w:snapToGrid/>
        <w:spacing w:line="312" w:lineRule="auto"/>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w:t>
      </w:r>
    </w:p>
    <w:p w14:paraId="3304FFB1">
      <w:pPr>
        <w:keepNext w:val="0"/>
        <w:keepLines w:val="0"/>
        <w:pageBreakBefore w:val="0"/>
        <w:widowControl w:val="0"/>
        <w:kinsoku/>
        <w:wordWrap/>
        <w:overflowPunct/>
        <w:topLinePunct w:val="0"/>
        <w:autoSpaceDE/>
        <w:autoSpaceDN/>
        <w:bidi w:val="0"/>
        <w:adjustRightInd w:val="0"/>
        <w:snapToGrid/>
        <w:spacing w:line="312" w:lineRule="auto"/>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14:paraId="290426B5">
      <w:pPr>
        <w:keepNext w:val="0"/>
        <w:keepLines w:val="0"/>
        <w:pageBreakBefore w:val="0"/>
        <w:widowControl w:val="0"/>
        <w:kinsoku/>
        <w:wordWrap/>
        <w:overflowPunct/>
        <w:topLinePunct w:val="0"/>
        <w:autoSpaceDE/>
        <w:autoSpaceDN/>
        <w:bidi w:val="0"/>
        <w:adjustRightInd w:val="0"/>
        <w:snapToGrid/>
        <w:spacing w:line="312" w:lineRule="auto"/>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14:paraId="65BFDADC">
      <w:pPr>
        <w:keepNext w:val="0"/>
        <w:keepLines w:val="0"/>
        <w:pageBreakBefore w:val="0"/>
        <w:widowControl w:val="0"/>
        <w:kinsoku/>
        <w:wordWrap/>
        <w:overflowPunct/>
        <w:topLinePunct w:val="0"/>
        <w:autoSpaceDE/>
        <w:autoSpaceDN/>
        <w:bidi w:val="0"/>
        <w:adjustRightInd w:val="0"/>
        <w:snapToGrid/>
        <w:spacing w:line="312" w:lineRule="auto"/>
        <w:ind w:right="1760"/>
        <w:jc w:val="right"/>
        <w:textAlignment w:val="auto"/>
        <w:rPr>
          <w:rFonts w:hint="eastAsia" w:ascii="仿宋" w:hAnsi="仿宋" w:eastAsia="仿宋" w:cs="仿宋"/>
          <w:sz w:val="24"/>
          <w:highlight w:val="none"/>
        </w:rPr>
      </w:pPr>
      <w:r>
        <w:rPr>
          <w:rFonts w:hint="eastAsia" w:ascii="仿宋" w:hAnsi="仿宋" w:eastAsia="仿宋" w:cs="仿宋"/>
          <w:sz w:val="24"/>
          <w:highlight w:val="none"/>
        </w:rPr>
        <w:t>投标人名称（电子签名）：</w:t>
      </w:r>
    </w:p>
    <w:p w14:paraId="4F20295B">
      <w:pPr>
        <w:keepNext w:val="0"/>
        <w:keepLines w:val="0"/>
        <w:pageBreakBefore w:val="0"/>
        <w:widowControl w:val="0"/>
        <w:kinsoku/>
        <w:wordWrap/>
        <w:overflowPunct/>
        <w:topLinePunct w:val="0"/>
        <w:autoSpaceDE/>
        <w:autoSpaceDN/>
        <w:bidi w:val="0"/>
        <w:adjustRightInd w:val="0"/>
        <w:snapToGrid/>
        <w:spacing w:line="312" w:lineRule="auto"/>
        <w:ind w:right="1120" w:firstLine="4680" w:firstLineChars="1950"/>
        <w:textAlignment w:val="auto"/>
        <w:rPr>
          <w:rFonts w:hint="eastAsia" w:ascii="仿宋" w:hAnsi="仿宋" w:eastAsia="仿宋" w:cs="仿宋"/>
          <w:sz w:val="24"/>
          <w:highlight w:val="none"/>
        </w:rPr>
      </w:pPr>
      <w:r>
        <w:rPr>
          <w:rFonts w:hint="eastAsia" w:ascii="仿宋" w:hAnsi="仿宋" w:eastAsia="仿宋" w:cs="仿宋"/>
          <w:sz w:val="24"/>
          <w:highlight w:val="none"/>
        </w:rPr>
        <w:t>日 期：</w:t>
      </w:r>
    </w:p>
    <w:p w14:paraId="23A3D7C0">
      <w:pPr>
        <w:keepNext w:val="0"/>
        <w:keepLines w:val="0"/>
        <w:pageBreakBefore w:val="0"/>
        <w:widowControl w:val="0"/>
        <w:kinsoku/>
        <w:wordWrap/>
        <w:overflowPunct/>
        <w:topLinePunct w:val="0"/>
        <w:autoSpaceDE/>
        <w:autoSpaceDN/>
        <w:bidi w:val="0"/>
        <w:adjustRightInd w:val="0"/>
        <w:snapToGrid/>
        <w:spacing w:line="312" w:lineRule="auto"/>
        <w:ind w:firstLine="310" w:firstLineChars="147"/>
        <w:jc w:val="left"/>
        <w:textAlignment w:val="auto"/>
        <w:rPr>
          <w:rFonts w:hint="eastAsia" w:ascii="仿宋" w:hAnsi="仿宋" w:eastAsia="仿宋" w:cs="仿宋"/>
          <w:b/>
          <w:szCs w:val="21"/>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14:paraId="6B999C91">
      <w:pPr>
        <w:keepNext w:val="0"/>
        <w:keepLines w:val="0"/>
        <w:pageBreakBefore w:val="0"/>
        <w:widowControl w:val="0"/>
        <w:kinsoku/>
        <w:wordWrap/>
        <w:overflowPunct/>
        <w:topLinePunct w:val="0"/>
        <w:autoSpaceDE/>
        <w:autoSpaceDN/>
        <w:bidi w:val="0"/>
        <w:adjustRightInd w:val="0"/>
        <w:snapToGrid/>
        <w:spacing w:line="312" w:lineRule="auto"/>
        <w:ind w:right="420"/>
        <w:textAlignment w:val="auto"/>
        <w:rPr>
          <w:rFonts w:hint="eastAsia" w:ascii="仿宋" w:hAnsi="仿宋" w:eastAsia="仿宋" w:cs="仿宋"/>
          <w:sz w:val="24"/>
          <w:highlight w:val="none"/>
        </w:rPr>
      </w:pPr>
    </w:p>
    <w:p w14:paraId="3E31CE93">
      <w:pPr>
        <w:keepNext w:val="0"/>
        <w:keepLines w:val="0"/>
        <w:pageBreakBefore w:val="0"/>
        <w:widowControl w:val="0"/>
        <w:kinsoku/>
        <w:wordWrap/>
        <w:overflowPunct/>
        <w:topLinePunct w:val="0"/>
        <w:autoSpaceDE/>
        <w:autoSpaceDN/>
        <w:bidi w:val="0"/>
        <w:adjustRightInd w:val="0"/>
        <w:snapToGrid/>
        <w:spacing w:line="312" w:lineRule="auto"/>
        <w:ind w:right="42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   注：</w:t>
      </w:r>
    </w:p>
    <w:p w14:paraId="3891377B">
      <w:pPr>
        <w:keepNext w:val="0"/>
        <w:keepLines w:val="0"/>
        <w:pageBreakBefore w:val="0"/>
        <w:widowControl w:val="0"/>
        <w:kinsoku/>
        <w:wordWrap/>
        <w:overflowPunct/>
        <w:topLinePunct w:val="0"/>
        <w:autoSpaceDE/>
        <w:autoSpaceDN/>
        <w:bidi w:val="0"/>
        <w:adjustRightInd w:val="0"/>
        <w:snapToGrid/>
        <w:spacing w:line="312" w:lineRule="auto"/>
        <w:ind w:right="42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C864120">
      <w:pPr>
        <w:keepNext w:val="0"/>
        <w:keepLines w:val="0"/>
        <w:pageBreakBefore w:val="0"/>
        <w:widowControl w:val="0"/>
        <w:kinsoku/>
        <w:wordWrap/>
        <w:overflowPunct/>
        <w:topLinePunct w:val="0"/>
        <w:autoSpaceDE/>
        <w:autoSpaceDN/>
        <w:bidi w:val="0"/>
        <w:adjustRightInd w:val="0"/>
        <w:snapToGrid/>
        <w:spacing w:line="312" w:lineRule="auto"/>
        <w:ind w:right="42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4C27736">
      <w:pPr>
        <w:pageBreakBefore/>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14:paraId="2285551E">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14:paraId="77703346">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CE5B5DC">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14:paraId="37F70F2C">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国家统计局  </w:t>
      </w:r>
    </w:p>
    <w:p w14:paraId="1B51216D">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2017年12月28日</w:t>
      </w:r>
    </w:p>
    <w:p w14:paraId="3CD59307">
      <w:pPr>
        <w:pStyle w:val="23"/>
        <w:rPr>
          <w:rFonts w:hint="eastAsia"/>
          <w:highlight w:val="none"/>
          <w:lang w:val="en-US" w:eastAsia="zh-CN"/>
        </w:rPr>
      </w:pPr>
    </w:p>
    <w:p w14:paraId="3175B9D8">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14:paraId="7E447E9C">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1E26B794">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14:paraId="121A5957">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F0621BF">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D0574F1">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14:paraId="7C022FB3">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14:paraId="6BEDBC4F">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14:paraId="7B6B2E16">
      <w:pPr>
        <w:widowControl/>
        <w:jc w:val="left"/>
        <w:rPr>
          <w:rFonts w:hint="eastAsia" w:ascii="仿宋" w:hAnsi="仿宋" w:eastAsia="仿宋" w:cs="仿宋"/>
          <w:kern w:val="0"/>
          <w:sz w:val="24"/>
          <w:highlight w:val="none"/>
        </w:rPr>
      </w:pPr>
    </w:p>
    <w:p w14:paraId="36E1E2AC">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FC84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B38AE9A">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14:paraId="736CAB55">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14:paraId="1B31DF1F">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14:paraId="363B50DE">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14:paraId="265F74B0">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14:paraId="169E0CAB">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14:paraId="7698356A">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14:paraId="3290C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25F196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14:paraId="03C540D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43BC5B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A35F53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5EE88AC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03437D1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14:paraId="28CB1A7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77969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ECA3D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14:paraId="4199ABB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A6CECA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8ED033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5BFBD52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653BEE8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7101D0F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0FAA6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84A0F6">
            <w:pPr>
              <w:widowControl/>
              <w:jc w:val="left"/>
              <w:rPr>
                <w:rFonts w:hint="eastAsia" w:ascii="仿宋" w:hAnsi="仿宋" w:eastAsia="仿宋" w:cs="仿宋"/>
                <w:kern w:val="0"/>
                <w:sz w:val="24"/>
                <w:highlight w:val="none"/>
              </w:rPr>
            </w:pPr>
          </w:p>
        </w:tc>
        <w:tc>
          <w:tcPr>
            <w:tcW w:w="1560" w:type="dxa"/>
            <w:vAlign w:val="center"/>
          </w:tcPr>
          <w:p w14:paraId="2A28A27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F01CAF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F7A1D0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7BD8D8A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14:paraId="14BA796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14:paraId="3BEB9B3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4D054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539EB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14:paraId="053AC2B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DE49AE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8A50CF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14:paraId="315DDD2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14:paraId="3494F35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14:paraId="74F89A6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76663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6F8E35">
            <w:pPr>
              <w:widowControl/>
              <w:jc w:val="left"/>
              <w:rPr>
                <w:rFonts w:hint="eastAsia" w:ascii="仿宋" w:hAnsi="仿宋" w:eastAsia="仿宋" w:cs="仿宋"/>
                <w:kern w:val="0"/>
                <w:sz w:val="24"/>
                <w:highlight w:val="none"/>
              </w:rPr>
            </w:pPr>
          </w:p>
        </w:tc>
        <w:tc>
          <w:tcPr>
            <w:tcW w:w="1560" w:type="dxa"/>
            <w:vAlign w:val="center"/>
          </w:tcPr>
          <w:p w14:paraId="55FFB75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370DB0D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6DFACD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14:paraId="54F9951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14:paraId="022A202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14:paraId="2063982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14:paraId="02D9E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3F319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14:paraId="7582208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A8D888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6EA9A3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6D25AD9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14:paraId="7BA6A64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14:paraId="53C9623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14:paraId="1CF22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DD1B1B">
            <w:pPr>
              <w:widowControl/>
              <w:jc w:val="left"/>
              <w:rPr>
                <w:rFonts w:hint="eastAsia" w:ascii="仿宋" w:hAnsi="仿宋" w:eastAsia="仿宋" w:cs="仿宋"/>
                <w:kern w:val="0"/>
                <w:sz w:val="24"/>
                <w:highlight w:val="none"/>
              </w:rPr>
            </w:pPr>
          </w:p>
        </w:tc>
        <w:tc>
          <w:tcPr>
            <w:tcW w:w="1560" w:type="dxa"/>
            <w:vAlign w:val="center"/>
          </w:tcPr>
          <w:p w14:paraId="475ED3B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99B140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CD9E97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1C45353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14:paraId="6BE3114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14:paraId="3C921BE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14:paraId="1035A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9A875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14:paraId="3D3C613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1C9AC2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B5DFF6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34C9FBF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14:paraId="5619ABD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14:paraId="6333426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0AF82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2173CC">
            <w:pPr>
              <w:widowControl/>
              <w:jc w:val="left"/>
              <w:rPr>
                <w:rFonts w:hint="eastAsia" w:ascii="仿宋" w:hAnsi="仿宋" w:eastAsia="仿宋" w:cs="仿宋"/>
                <w:kern w:val="0"/>
                <w:sz w:val="24"/>
                <w:highlight w:val="none"/>
              </w:rPr>
            </w:pPr>
          </w:p>
        </w:tc>
        <w:tc>
          <w:tcPr>
            <w:tcW w:w="1560" w:type="dxa"/>
            <w:vAlign w:val="center"/>
          </w:tcPr>
          <w:p w14:paraId="0EA5478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CD62FC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867603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644660D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0514EDB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14:paraId="69B5561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059EE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DDA37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14:paraId="42A9130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DF087E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6B8D01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42A7188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7A996BE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0500C82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5397C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87D617">
            <w:pPr>
              <w:widowControl/>
              <w:jc w:val="left"/>
              <w:rPr>
                <w:rFonts w:hint="eastAsia" w:ascii="仿宋" w:hAnsi="仿宋" w:eastAsia="仿宋" w:cs="仿宋"/>
                <w:kern w:val="0"/>
                <w:sz w:val="24"/>
                <w:highlight w:val="none"/>
              </w:rPr>
            </w:pPr>
          </w:p>
        </w:tc>
        <w:tc>
          <w:tcPr>
            <w:tcW w:w="1560" w:type="dxa"/>
            <w:vAlign w:val="center"/>
          </w:tcPr>
          <w:p w14:paraId="367D589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A650E7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205E5C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208F9A5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14:paraId="4888B50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14:paraId="320232B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14:paraId="1FC4D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6EC37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14:paraId="1A0031B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2854FD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84474A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3A8A8F0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14:paraId="21652AE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14:paraId="79E5C5A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0AC33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AD28C9">
            <w:pPr>
              <w:widowControl/>
              <w:jc w:val="left"/>
              <w:rPr>
                <w:rFonts w:hint="eastAsia" w:ascii="仿宋" w:hAnsi="仿宋" w:eastAsia="仿宋" w:cs="仿宋"/>
                <w:kern w:val="0"/>
                <w:sz w:val="24"/>
                <w:highlight w:val="none"/>
              </w:rPr>
            </w:pPr>
          </w:p>
        </w:tc>
        <w:tc>
          <w:tcPr>
            <w:tcW w:w="1560" w:type="dxa"/>
            <w:vAlign w:val="center"/>
          </w:tcPr>
          <w:p w14:paraId="036F449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DD3CAA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3F99C2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192406E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14:paraId="7002C8F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5C10536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7235D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F6260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14:paraId="12BDC5D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24FE58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38BEAC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4E41FE3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781B5CA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586F29E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564DB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6D2EE6">
            <w:pPr>
              <w:widowControl/>
              <w:jc w:val="left"/>
              <w:rPr>
                <w:rFonts w:hint="eastAsia" w:ascii="仿宋" w:hAnsi="仿宋" w:eastAsia="仿宋" w:cs="仿宋"/>
                <w:kern w:val="0"/>
                <w:sz w:val="24"/>
                <w:highlight w:val="none"/>
              </w:rPr>
            </w:pPr>
          </w:p>
        </w:tc>
        <w:tc>
          <w:tcPr>
            <w:tcW w:w="1560" w:type="dxa"/>
            <w:vAlign w:val="center"/>
          </w:tcPr>
          <w:p w14:paraId="109442A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BA4E37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DD15B6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678DCF1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14:paraId="582EA06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480817A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5E9F0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B2321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14:paraId="01F4940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080A05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DE0110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3045525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146669E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7F97993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2E3DC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B0E14E">
            <w:pPr>
              <w:widowControl/>
              <w:jc w:val="left"/>
              <w:rPr>
                <w:rFonts w:hint="eastAsia" w:ascii="仿宋" w:hAnsi="仿宋" w:eastAsia="仿宋" w:cs="仿宋"/>
                <w:kern w:val="0"/>
                <w:sz w:val="24"/>
                <w:highlight w:val="none"/>
              </w:rPr>
            </w:pPr>
          </w:p>
        </w:tc>
        <w:tc>
          <w:tcPr>
            <w:tcW w:w="1560" w:type="dxa"/>
            <w:vAlign w:val="center"/>
          </w:tcPr>
          <w:p w14:paraId="1C70C0D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61A4B2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60AC26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3C366CE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67959F3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359C107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1475D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11F54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14:paraId="22F9CE7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198918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4F7823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7723E46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0C0D1CD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473F749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0BBE3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A50FC1">
            <w:pPr>
              <w:widowControl/>
              <w:jc w:val="left"/>
              <w:rPr>
                <w:rFonts w:hint="eastAsia" w:ascii="仿宋" w:hAnsi="仿宋" w:eastAsia="仿宋" w:cs="仿宋"/>
                <w:kern w:val="0"/>
                <w:sz w:val="24"/>
                <w:highlight w:val="none"/>
              </w:rPr>
            </w:pPr>
          </w:p>
        </w:tc>
        <w:tc>
          <w:tcPr>
            <w:tcW w:w="1560" w:type="dxa"/>
            <w:vAlign w:val="center"/>
          </w:tcPr>
          <w:p w14:paraId="0EE42A4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44F975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230149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16F4BB4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4585896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52939D7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0906D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218C5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14:paraId="237D564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8AE375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A58E84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14:paraId="097169B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14:paraId="04A02FD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6E5A389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4F597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48B1DC">
            <w:pPr>
              <w:widowControl/>
              <w:jc w:val="left"/>
              <w:rPr>
                <w:rFonts w:hint="eastAsia" w:ascii="仿宋" w:hAnsi="仿宋" w:eastAsia="仿宋" w:cs="仿宋"/>
                <w:kern w:val="0"/>
                <w:sz w:val="24"/>
                <w:highlight w:val="none"/>
              </w:rPr>
            </w:pPr>
          </w:p>
        </w:tc>
        <w:tc>
          <w:tcPr>
            <w:tcW w:w="1560" w:type="dxa"/>
            <w:vAlign w:val="center"/>
          </w:tcPr>
          <w:p w14:paraId="6BA413B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9E4C05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AC3A0D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14:paraId="20BEBB9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14:paraId="1C3D1CD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22AE8C9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7A89E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52C91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14:paraId="5ABAE20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13EF57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32437B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3933036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05D1F88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022DBDA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79B95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9A2A5E">
            <w:pPr>
              <w:widowControl/>
              <w:jc w:val="left"/>
              <w:rPr>
                <w:rFonts w:hint="eastAsia" w:ascii="仿宋" w:hAnsi="仿宋" w:eastAsia="仿宋" w:cs="仿宋"/>
                <w:kern w:val="0"/>
                <w:sz w:val="24"/>
                <w:highlight w:val="none"/>
              </w:rPr>
            </w:pPr>
          </w:p>
        </w:tc>
        <w:tc>
          <w:tcPr>
            <w:tcW w:w="1560" w:type="dxa"/>
            <w:vAlign w:val="center"/>
          </w:tcPr>
          <w:p w14:paraId="41BEBA1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627530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872B60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3CB2A6A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14:paraId="407209A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14:paraId="6AFA2F1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47CA5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9EBE0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14:paraId="485E228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DB950B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ABB890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14:paraId="247C88B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14:paraId="6E30DDA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32FC47B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4F3A2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6FE821">
            <w:pPr>
              <w:widowControl/>
              <w:jc w:val="left"/>
              <w:rPr>
                <w:rFonts w:hint="eastAsia" w:ascii="仿宋" w:hAnsi="仿宋" w:eastAsia="仿宋" w:cs="仿宋"/>
                <w:kern w:val="0"/>
                <w:sz w:val="24"/>
                <w:highlight w:val="none"/>
              </w:rPr>
            </w:pPr>
          </w:p>
        </w:tc>
        <w:tc>
          <w:tcPr>
            <w:tcW w:w="1560" w:type="dxa"/>
            <w:vAlign w:val="center"/>
          </w:tcPr>
          <w:p w14:paraId="0FC0650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7289D22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2F313F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14:paraId="71CA946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14:paraId="3AC5A34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14:paraId="3C1D973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14:paraId="27706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56E74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14:paraId="51061FC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CA78DF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CE6E46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41A9BAF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1C1BE96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14:paraId="325E7EC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14:paraId="7DF1A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863E73">
            <w:pPr>
              <w:widowControl/>
              <w:jc w:val="left"/>
              <w:rPr>
                <w:rFonts w:hint="eastAsia" w:ascii="仿宋" w:hAnsi="仿宋" w:eastAsia="仿宋" w:cs="仿宋"/>
                <w:kern w:val="0"/>
                <w:sz w:val="24"/>
                <w:highlight w:val="none"/>
              </w:rPr>
            </w:pPr>
          </w:p>
        </w:tc>
        <w:tc>
          <w:tcPr>
            <w:tcW w:w="1560" w:type="dxa"/>
            <w:vAlign w:val="center"/>
          </w:tcPr>
          <w:p w14:paraId="1BDFBBF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9B2326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57280A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14:paraId="744FBCF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14:paraId="2839480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14:paraId="39D36E7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14:paraId="7A0AA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3AF68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14:paraId="6E5DA62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7CCAFF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5B3BC5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6B2EC19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349DD26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17A1F25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10F62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8007D1">
            <w:pPr>
              <w:widowControl/>
              <w:jc w:val="left"/>
              <w:rPr>
                <w:rFonts w:hint="eastAsia" w:ascii="仿宋" w:hAnsi="仿宋" w:eastAsia="仿宋" w:cs="仿宋"/>
                <w:kern w:val="0"/>
                <w:sz w:val="24"/>
                <w:highlight w:val="none"/>
              </w:rPr>
            </w:pPr>
          </w:p>
        </w:tc>
        <w:tc>
          <w:tcPr>
            <w:tcW w:w="1560" w:type="dxa"/>
            <w:vAlign w:val="center"/>
          </w:tcPr>
          <w:p w14:paraId="3E6E27C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4AE2DE1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428845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14:paraId="34C7EE3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14:paraId="44DFEC6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14:paraId="63A62A2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14:paraId="3E040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A3E7F4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14:paraId="3974BDF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FE9ED5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FDFB0C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211C042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664E497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71A935D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14:paraId="5D92E109">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说明： 　　</w:t>
      </w:r>
    </w:p>
    <w:p w14:paraId="1D6E8FAF">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1.大型、中型和小型企业须同时满足所列指标的下限，否则下划一档；微型企业只须满足所列指标中的一项即可。 　　</w:t>
      </w:r>
    </w:p>
    <w:p w14:paraId="494EEADC">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8ABAAA0">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3.企业划分指标以现行统计制度为准。</w:t>
      </w:r>
    </w:p>
    <w:p w14:paraId="19CD9B46">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14:paraId="0C39FD1E">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49EF218">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14:paraId="0ED08DF5">
      <w:pPr>
        <w:widowControl/>
        <w:jc w:val="left"/>
        <w:rPr>
          <w:rFonts w:hint="eastAsia" w:ascii="仿宋" w:hAnsi="仿宋" w:eastAsia="仿宋" w:cs="仿宋"/>
          <w:kern w:val="0"/>
          <w:sz w:val="24"/>
          <w:highlight w:val="none"/>
        </w:rPr>
      </w:pPr>
    </w:p>
    <w:p w14:paraId="6D0169BF">
      <w:pPr>
        <w:widowControl/>
        <w:jc w:val="left"/>
        <w:rPr>
          <w:rFonts w:hint="eastAsia" w:ascii="仿宋" w:hAnsi="仿宋" w:eastAsia="仿宋" w:cs="仿宋"/>
          <w:kern w:val="0"/>
          <w:sz w:val="24"/>
          <w:highlight w:val="none"/>
        </w:rPr>
      </w:pPr>
    </w:p>
    <w:p w14:paraId="430A7B3A">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14:paraId="78FB0EBE">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14:paraId="01F145FB">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CD199E8">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5BA30D7">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14:paraId="2906BBFD">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719F48B">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将交通运输业中包括的“装卸搬运和运输代理业”修改为“多式联运和运输代理业、装卸搬运”。</w:t>
      </w:r>
    </w:p>
    <w:p w14:paraId="2CF6E40D">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仓储业所包括的行业中类，根据《国民经济行业分类》（GB/T4754—2017）调整为“通用仓储，低温仓储，危险品仓储，谷物、棉花等农产品仓储，中药材仓储和其他仓储业”。</w:t>
      </w:r>
    </w:p>
    <w:p w14:paraId="19C896FC">
      <w:pPr>
        <w:widowControl/>
        <w:jc w:val="left"/>
        <w:rPr>
          <w:rFonts w:hint="eastAsia" w:ascii="仿宋" w:hAnsi="仿宋" w:eastAsia="仿宋" w:cs="仿宋"/>
          <w:kern w:val="0"/>
          <w:sz w:val="18"/>
          <w:szCs w:val="18"/>
          <w:highlight w:val="none"/>
        </w:rPr>
      </w:pPr>
    </w:p>
    <w:p w14:paraId="2FDF4853">
      <w:pPr>
        <w:widowControl/>
        <w:jc w:val="left"/>
        <w:rPr>
          <w:rFonts w:hint="eastAsia" w:ascii="仿宋" w:hAnsi="仿宋" w:eastAsia="仿宋" w:cs="仿宋"/>
          <w:kern w:val="0"/>
          <w:sz w:val="18"/>
          <w:szCs w:val="18"/>
          <w:highlight w:val="none"/>
        </w:rPr>
      </w:pPr>
    </w:p>
    <w:p w14:paraId="24F31744">
      <w:pPr>
        <w:widowControl/>
        <w:jc w:val="left"/>
        <w:rPr>
          <w:rFonts w:hint="eastAsia" w:ascii="仿宋" w:hAnsi="仿宋" w:eastAsia="仿宋" w:cs="仿宋"/>
          <w:kern w:val="0"/>
          <w:sz w:val="18"/>
          <w:szCs w:val="18"/>
          <w:highlight w:val="none"/>
        </w:rPr>
      </w:pPr>
    </w:p>
    <w:p w14:paraId="29163E32">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14:paraId="36BC009F">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14:paraId="0642689F">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14:paraId="3E95D3F4">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8BF7885">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193AB1E4">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14:paraId="4BBF3FC5">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14:paraId="064CBAE3">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0B42CA57">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二、适用范围。本规定适用于从事《国民经济行业分类》(GB/T4754-2011)中J门类（金融业）活动的企业。</w:t>
      </w:r>
    </w:p>
    <w:p w14:paraId="14A955BC">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C05477C">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四、划型标准指标。采用一个完整会计年度中四个季度末法人并表口径的资产总额（信托公司为信托资产）平均值作为划型指标，该指标以监管部门数据为准。</w:t>
      </w:r>
    </w:p>
    <w:p w14:paraId="695EE28C">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五、指标标准值。依据指标标准值，将各类金融业企业划分为大、中、小、微四个规模类型，中型企业标准上限及以上的为大型企业。</w:t>
      </w:r>
    </w:p>
    <w:p w14:paraId="5529BF89">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615C8A6E">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75C87532">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0766512">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C5DA90F">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3DE62B9A">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FB01DF8">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5788CA51">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C1BB038">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F893A9D">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七、标准值的评估和调整。金融业企业划型标准工作组毎五年对划型标准值受经济发展与通货膨胀等因素的响程度进行评估和调整。</w:t>
      </w:r>
    </w:p>
    <w:p w14:paraId="78B298AE">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八、本规定的中型金融业企业标准上限即为大型金融业企业下限。国务院有关部门据此进行相关数据的统计分析，不得制定与本规定不一致的金融业企业划型标准。</w:t>
      </w:r>
    </w:p>
    <w:p w14:paraId="1608284F">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九</w:t>
      </w:r>
      <w:r>
        <w:rPr>
          <w:rFonts w:hint="eastAsia" w:ascii="仿宋" w:hAnsi="仿宋" w:eastAsia="仿宋" w:cs="仿宋"/>
          <w:kern w:val="0"/>
          <w:szCs w:val="21"/>
          <w:highlight w:val="none"/>
          <w:lang w:eastAsia="zh-CN"/>
        </w:rPr>
        <w:t>、</w:t>
      </w:r>
      <w:r>
        <w:rPr>
          <w:rFonts w:hint="eastAsia" w:ascii="仿宋" w:hAnsi="仿宋" w:eastAsia="仿宋" w:cs="仿宋"/>
          <w:kern w:val="0"/>
          <w:szCs w:val="21"/>
          <w:highlight w:val="none"/>
        </w:rPr>
        <w:t>融资担保公司参照本规定中“除贷款公司、小额贷款公司、典当行以外的其他金融机构”标准划型。</w:t>
      </w:r>
    </w:p>
    <w:p w14:paraId="77C3E7F1">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十、本规定由人民银行会同银监会，证监会、保监会和统计局负责解释。</w:t>
      </w:r>
    </w:p>
    <w:p w14:paraId="5BEBC88D">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十一、本规定自发布之日起实施。</w:t>
      </w:r>
    </w:p>
    <w:p w14:paraId="5077D4E6">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14:paraId="5ABCF986">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6ED1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B9611F3">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14:paraId="56BF31BD">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14:paraId="1C1ADCB2">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14:paraId="4784825E">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14:paraId="3C9B8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1B4F8D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14:paraId="6E28DF5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14:paraId="732176B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14:paraId="4407F14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6B4AB84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5FAB7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D4CA45">
            <w:pPr>
              <w:widowControl/>
              <w:jc w:val="left"/>
              <w:rPr>
                <w:rFonts w:hint="eastAsia" w:ascii="仿宋" w:hAnsi="仿宋" w:eastAsia="仿宋" w:cs="仿宋"/>
                <w:kern w:val="0"/>
                <w:sz w:val="24"/>
                <w:highlight w:val="none"/>
              </w:rPr>
            </w:pPr>
          </w:p>
        </w:tc>
        <w:tc>
          <w:tcPr>
            <w:tcW w:w="1025" w:type="dxa"/>
            <w:vMerge w:val="continue"/>
            <w:vAlign w:val="center"/>
          </w:tcPr>
          <w:p w14:paraId="3118474F">
            <w:pPr>
              <w:widowControl/>
              <w:jc w:val="left"/>
              <w:rPr>
                <w:rFonts w:hint="eastAsia" w:ascii="仿宋" w:hAnsi="仿宋" w:eastAsia="仿宋" w:cs="仿宋"/>
                <w:kern w:val="0"/>
                <w:sz w:val="24"/>
                <w:highlight w:val="none"/>
              </w:rPr>
            </w:pPr>
          </w:p>
        </w:tc>
        <w:tc>
          <w:tcPr>
            <w:tcW w:w="2836" w:type="dxa"/>
            <w:vMerge w:val="continue"/>
            <w:vAlign w:val="center"/>
          </w:tcPr>
          <w:p w14:paraId="02FC520F">
            <w:pPr>
              <w:widowControl/>
              <w:jc w:val="left"/>
              <w:rPr>
                <w:rFonts w:hint="eastAsia" w:ascii="仿宋" w:hAnsi="仿宋" w:eastAsia="仿宋" w:cs="仿宋"/>
                <w:kern w:val="0"/>
                <w:sz w:val="24"/>
                <w:highlight w:val="none"/>
              </w:rPr>
            </w:pPr>
          </w:p>
        </w:tc>
        <w:tc>
          <w:tcPr>
            <w:tcW w:w="606" w:type="dxa"/>
            <w:vAlign w:val="center"/>
          </w:tcPr>
          <w:p w14:paraId="2771DF5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4FCDF2C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1F0C9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FFDB76">
            <w:pPr>
              <w:widowControl/>
              <w:jc w:val="left"/>
              <w:rPr>
                <w:rFonts w:hint="eastAsia" w:ascii="仿宋" w:hAnsi="仿宋" w:eastAsia="仿宋" w:cs="仿宋"/>
                <w:kern w:val="0"/>
                <w:sz w:val="24"/>
                <w:highlight w:val="none"/>
              </w:rPr>
            </w:pPr>
          </w:p>
        </w:tc>
        <w:tc>
          <w:tcPr>
            <w:tcW w:w="1025" w:type="dxa"/>
            <w:vMerge w:val="continue"/>
            <w:vAlign w:val="center"/>
          </w:tcPr>
          <w:p w14:paraId="5B36A62C">
            <w:pPr>
              <w:widowControl/>
              <w:jc w:val="left"/>
              <w:rPr>
                <w:rFonts w:hint="eastAsia" w:ascii="仿宋" w:hAnsi="仿宋" w:eastAsia="仿宋" w:cs="仿宋"/>
                <w:kern w:val="0"/>
                <w:sz w:val="24"/>
                <w:highlight w:val="none"/>
              </w:rPr>
            </w:pPr>
          </w:p>
        </w:tc>
        <w:tc>
          <w:tcPr>
            <w:tcW w:w="2836" w:type="dxa"/>
            <w:vMerge w:val="continue"/>
            <w:vAlign w:val="center"/>
          </w:tcPr>
          <w:p w14:paraId="74E806B8">
            <w:pPr>
              <w:widowControl/>
              <w:jc w:val="left"/>
              <w:rPr>
                <w:rFonts w:hint="eastAsia" w:ascii="仿宋" w:hAnsi="仿宋" w:eastAsia="仿宋" w:cs="仿宋"/>
                <w:kern w:val="0"/>
                <w:sz w:val="24"/>
                <w:highlight w:val="none"/>
              </w:rPr>
            </w:pPr>
          </w:p>
        </w:tc>
        <w:tc>
          <w:tcPr>
            <w:tcW w:w="606" w:type="dxa"/>
            <w:vAlign w:val="center"/>
          </w:tcPr>
          <w:p w14:paraId="77930BD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2F641B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62A78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23BDCB">
            <w:pPr>
              <w:widowControl/>
              <w:jc w:val="left"/>
              <w:rPr>
                <w:rFonts w:hint="eastAsia" w:ascii="仿宋" w:hAnsi="仿宋" w:eastAsia="仿宋" w:cs="仿宋"/>
                <w:kern w:val="0"/>
                <w:sz w:val="24"/>
                <w:highlight w:val="none"/>
              </w:rPr>
            </w:pPr>
          </w:p>
        </w:tc>
        <w:tc>
          <w:tcPr>
            <w:tcW w:w="1025" w:type="dxa"/>
            <w:vMerge w:val="restart"/>
            <w:vAlign w:val="center"/>
          </w:tcPr>
          <w:p w14:paraId="58A0B1F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14:paraId="636C2EB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14:paraId="5B05758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33C7D7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533F4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01108C">
            <w:pPr>
              <w:widowControl/>
              <w:jc w:val="left"/>
              <w:rPr>
                <w:rFonts w:hint="eastAsia" w:ascii="仿宋" w:hAnsi="仿宋" w:eastAsia="仿宋" w:cs="仿宋"/>
                <w:kern w:val="0"/>
                <w:sz w:val="24"/>
                <w:highlight w:val="none"/>
              </w:rPr>
            </w:pPr>
          </w:p>
        </w:tc>
        <w:tc>
          <w:tcPr>
            <w:tcW w:w="1025" w:type="dxa"/>
            <w:vMerge w:val="continue"/>
            <w:vAlign w:val="center"/>
          </w:tcPr>
          <w:p w14:paraId="3B8FAA44">
            <w:pPr>
              <w:widowControl/>
              <w:jc w:val="left"/>
              <w:rPr>
                <w:rFonts w:hint="eastAsia" w:ascii="仿宋" w:hAnsi="仿宋" w:eastAsia="仿宋" w:cs="仿宋"/>
                <w:kern w:val="0"/>
                <w:sz w:val="24"/>
                <w:highlight w:val="none"/>
              </w:rPr>
            </w:pPr>
          </w:p>
        </w:tc>
        <w:tc>
          <w:tcPr>
            <w:tcW w:w="2836" w:type="dxa"/>
            <w:vMerge w:val="continue"/>
            <w:vAlign w:val="center"/>
          </w:tcPr>
          <w:p w14:paraId="4E4AA47D">
            <w:pPr>
              <w:widowControl/>
              <w:jc w:val="left"/>
              <w:rPr>
                <w:rFonts w:hint="eastAsia" w:ascii="仿宋" w:hAnsi="仿宋" w:eastAsia="仿宋" w:cs="仿宋"/>
                <w:kern w:val="0"/>
                <w:sz w:val="24"/>
                <w:highlight w:val="none"/>
              </w:rPr>
            </w:pPr>
          </w:p>
        </w:tc>
        <w:tc>
          <w:tcPr>
            <w:tcW w:w="606" w:type="dxa"/>
            <w:vAlign w:val="center"/>
          </w:tcPr>
          <w:p w14:paraId="08939AB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25633C6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5F29A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8AFDD8">
            <w:pPr>
              <w:widowControl/>
              <w:jc w:val="left"/>
              <w:rPr>
                <w:rFonts w:hint="eastAsia" w:ascii="仿宋" w:hAnsi="仿宋" w:eastAsia="仿宋" w:cs="仿宋"/>
                <w:kern w:val="0"/>
                <w:sz w:val="24"/>
                <w:highlight w:val="none"/>
              </w:rPr>
            </w:pPr>
          </w:p>
        </w:tc>
        <w:tc>
          <w:tcPr>
            <w:tcW w:w="1025" w:type="dxa"/>
            <w:vMerge w:val="continue"/>
            <w:vAlign w:val="center"/>
          </w:tcPr>
          <w:p w14:paraId="0BD5405F">
            <w:pPr>
              <w:widowControl/>
              <w:jc w:val="left"/>
              <w:rPr>
                <w:rFonts w:hint="eastAsia" w:ascii="仿宋" w:hAnsi="仿宋" w:eastAsia="仿宋" w:cs="仿宋"/>
                <w:kern w:val="0"/>
                <w:sz w:val="24"/>
                <w:highlight w:val="none"/>
              </w:rPr>
            </w:pPr>
          </w:p>
        </w:tc>
        <w:tc>
          <w:tcPr>
            <w:tcW w:w="2836" w:type="dxa"/>
            <w:vMerge w:val="continue"/>
            <w:vAlign w:val="center"/>
          </w:tcPr>
          <w:p w14:paraId="2B2C61D3">
            <w:pPr>
              <w:widowControl/>
              <w:jc w:val="left"/>
              <w:rPr>
                <w:rFonts w:hint="eastAsia" w:ascii="仿宋" w:hAnsi="仿宋" w:eastAsia="仿宋" w:cs="仿宋"/>
                <w:kern w:val="0"/>
                <w:sz w:val="24"/>
                <w:highlight w:val="none"/>
              </w:rPr>
            </w:pPr>
          </w:p>
        </w:tc>
        <w:tc>
          <w:tcPr>
            <w:tcW w:w="606" w:type="dxa"/>
            <w:vAlign w:val="center"/>
          </w:tcPr>
          <w:p w14:paraId="763F37D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89D5DB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16318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0872EE">
            <w:pPr>
              <w:widowControl/>
              <w:jc w:val="left"/>
              <w:rPr>
                <w:rFonts w:hint="eastAsia" w:ascii="仿宋" w:hAnsi="仿宋" w:eastAsia="仿宋" w:cs="仿宋"/>
                <w:kern w:val="0"/>
                <w:sz w:val="24"/>
                <w:highlight w:val="none"/>
              </w:rPr>
            </w:pPr>
          </w:p>
        </w:tc>
        <w:tc>
          <w:tcPr>
            <w:tcW w:w="1025" w:type="dxa"/>
            <w:vMerge w:val="continue"/>
            <w:vAlign w:val="center"/>
          </w:tcPr>
          <w:p w14:paraId="686EF77A">
            <w:pPr>
              <w:widowControl/>
              <w:jc w:val="left"/>
              <w:rPr>
                <w:rFonts w:hint="eastAsia" w:ascii="仿宋" w:hAnsi="仿宋" w:eastAsia="仿宋" w:cs="仿宋"/>
                <w:kern w:val="0"/>
                <w:sz w:val="24"/>
                <w:highlight w:val="none"/>
              </w:rPr>
            </w:pPr>
          </w:p>
        </w:tc>
        <w:tc>
          <w:tcPr>
            <w:tcW w:w="2836" w:type="dxa"/>
            <w:vMerge w:val="restart"/>
            <w:vAlign w:val="center"/>
          </w:tcPr>
          <w:p w14:paraId="357A70D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14:paraId="711F3FB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AE168A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46F8EB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6EA11D">
            <w:pPr>
              <w:widowControl/>
              <w:jc w:val="left"/>
              <w:rPr>
                <w:rFonts w:hint="eastAsia" w:ascii="仿宋" w:hAnsi="仿宋" w:eastAsia="仿宋" w:cs="仿宋"/>
                <w:kern w:val="0"/>
                <w:sz w:val="24"/>
                <w:highlight w:val="none"/>
              </w:rPr>
            </w:pPr>
          </w:p>
        </w:tc>
        <w:tc>
          <w:tcPr>
            <w:tcW w:w="1025" w:type="dxa"/>
            <w:vMerge w:val="continue"/>
            <w:vAlign w:val="center"/>
          </w:tcPr>
          <w:p w14:paraId="3B226CB7">
            <w:pPr>
              <w:widowControl/>
              <w:jc w:val="left"/>
              <w:rPr>
                <w:rFonts w:hint="eastAsia" w:ascii="仿宋" w:hAnsi="仿宋" w:eastAsia="仿宋" w:cs="仿宋"/>
                <w:kern w:val="0"/>
                <w:sz w:val="24"/>
                <w:highlight w:val="none"/>
              </w:rPr>
            </w:pPr>
          </w:p>
        </w:tc>
        <w:tc>
          <w:tcPr>
            <w:tcW w:w="2836" w:type="dxa"/>
            <w:vMerge w:val="continue"/>
            <w:vAlign w:val="center"/>
          </w:tcPr>
          <w:p w14:paraId="0FA0E5BD">
            <w:pPr>
              <w:widowControl/>
              <w:jc w:val="left"/>
              <w:rPr>
                <w:rFonts w:hint="eastAsia" w:ascii="仿宋" w:hAnsi="仿宋" w:eastAsia="仿宋" w:cs="仿宋"/>
                <w:kern w:val="0"/>
                <w:sz w:val="24"/>
                <w:highlight w:val="none"/>
              </w:rPr>
            </w:pPr>
          </w:p>
        </w:tc>
        <w:tc>
          <w:tcPr>
            <w:tcW w:w="606" w:type="dxa"/>
            <w:vAlign w:val="center"/>
          </w:tcPr>
          <w:p w14:paraId="0D9D875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C2DE38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2057C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552829">
            <w:pPr>
              <w:widowControl/>
              <w:jc w:val="left"/>
              <w:rPr>
                <w:rFonts w:hint="eastAsia" w:ascii="仿宋" w:hAnsi="仿宋" w:eastAsia="仿宋" w:cs="仿宋"/>
                <w:kern w:val="0"/>
                <w:sz w:val="24"/>
                <w:highlight w:val="none"/>
              </w:rPr>
            </w:pPr>
          </w:p>
        </w:tc>
        <w:tc>
          <w:tcPr>
            <w:tcW w:w="1025" w:type="dxa"/>
            <w:vMerge w:val="continue"/>
            <w:vAlign w:val="center"/>
          </w:tcPr>
          <w:p w14:paraId="67689899">
            <w:pPr>
              <w:widowControl/>
              <w:jc w:val="left"/>
              <w:rPr>
                <w:rFonts w:hint="eastAsia" w:ascii="仿宋" w:hAnsi="仿宋" w:eastAsia="仿宋" w:cs="仿宋"/>
                <w:kern w:val="0"/>
                <w:sz w:val="24"/>
                <w:highlight w:val="none"/>
              </w:rPr>
            </w:pPr>
          </w:p>
        </w:tc>
        <w:tc>
          <w:tcPr>
            <w:tcW w:w="2836" w:type="dxa"/>
            <w:vMerge w:val="continue"/>
            <w:vAlign w:val="center"/>
          </w:tcPr>
          <w:p w14:paraId="5E321A2A">
            <w:pPr>
              <w:widowControl/>
              <w:jc w:val="left"/>
              <w:rPr>
                <w:rFonts w:hint="eastAsia" w:ascii="仿宋" w:hAnsi="仿宋" w:eastAsia="仿宋" w:cs="仿宋"/>
                <w:kern w:val="0"/>
                <w:sz w:val="24"/>
                <w:highlight w:val="none"/>
              </w:rPr>
            </w:pPr>
          </w:p>
        </w:tc>
        <w:tc>
          <w:tcPr>
            <w:tcW w:w="606" w:type="dxa"/>
            <w:vAlign w:val="center"/>
          </w:tcPr>
          <w:p w14:paraId="2D69BE1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7521F3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659F6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6DCFCB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14:paraId="373CCD8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14:paraId="6554C89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2B8885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14:paraId="67B0F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EAA64D">
            <w:pPr>
              <w:widowControl/>
              <w:jc w:val="left"/>
              <w:rPr>
                <w:rFonts w:hint="eastAsia" w:ascii="仿宋" w:hAnsi="仿宋" w:eastAsia="仿宋" w:cs="仿宋"/>
                <w:kern w:val="0"/>
                <w:sz w:val="24"/>
                <w:highlight w:val="none"/>
              </w:rPr>
            </w:pPr>
          </w:p>
        </w:tc>
        <w:tc>
          <w:tcPr>
            <w:tcW w:w="2836" w:type="dxa"/>
            <w:vMerge w:val="continue"/>
            <w:vAlign w:val="center"/>
          </w:tcPr>
          <w:p w14:paraId="58FC046A">
            <w:pPr>
              <w:widowControl/>
              <w:jc w:val="left"/>
              <w:rPr>
                <w:rFonts w:hint="eastAsia" w:ascii="仿宋" w:hAnsi="仿宋" w:eastAsia="仿宋" w:cs="仿宋"/>
                <w:kern w:val="0"/>
                <w:sz w:val="24"/>
                <w:highlight w:val="none"/>
              </w:rPr>
            </w:pPr>
          </w:p>
        </w:tc>
        <w:tc>
          <w:tcPr>
            <w:tcW w:w="606" w:type="dxa"/>
            <w:vAlign w:val="center"/>
          </w:tcPr>
          <w:p w14:paraId="6287E77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493E64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14:paraId="31740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C964DFF">
            <w:pPr>
              <w:widowControl/>
              <w:jc w:val="left"/>
              <w:rPr>
                <w:rFonts w:hint="eastAsia" w:ascii="仿宋" w:hAnsi="仿宋" w:eastAsia="仿宋" w:cs="仿宋"/>
                <w:kern w:val="0"/>
                <w:sz w:val="24"/>
                <w:highlight w:val="none"/>
              </w:rPr>
            </w:pPr>
          </w:p>
        </w:tc>
        <w:tc>
          <w:tcPr>
            <w:tcW w:w="2836" w:type="dxa"/>
            <w:vMerge w:val="continue"/>
            <w:vAlign w:val="center"/>
          </w:tcPr>
          <w:p w14:paraId="2E910E48">
            <w:pPr>
              <w:widowControl/>
              <w:jc w:val="left"/>
              <w:rPr>
                <w:rFonts w:hint="eastAsia" w:ascii="仿宋" w:hAnsi="仿宋" w:eastAsia="仿宋" w:cs="仿宋"/>
                <w:kern w:val="0"/>
                <w:sz w:val="24"/>
                <w:highlight w:val="none"/>
              </w:rPr>
            </w:pPr>
          </w:p>
        </w:tc>
        <w:tc>
          <w:tcPr>
            <w:tcW w:w="606" w:type="dxa"/>
            <w:vAlign w:val="center"/>
          </w:tcPr>
          <w:p w14:paraId="4B6BEF4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1903413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14:paraId="2065F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44431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14:paraId="4FBFA95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14:paraId="74A5D25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684356A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14:paraId="307FE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59AF564">
            <w:pPr>
              <w:widowControl/>
              <w:jc w:val="left"/>
              <w:rPr>
                <w:rFonts w:hint="eastAsia" w:ascii="仿宋" w:hAnsi="仿宋" w:eastAsia="仿宋" w:cs="仿宋"/>
                <w:kern w:val="0"/>
                <w:sz w:val="24"/>
                <w:highlight w:val="none"/>
              </w:rPr>
            </w:pPr>
          </w:p>
        </w:tc>
        <w:tc>
          <w:tcPr>
            <w:tcW w:w="2836" w:type="dxa"/>
            <w:vMerge w:val="continue"/>
            <w:vAlign w:val="center"/>
          </w:tcPr>
          <w:p w14:paraId="321CF0AF">
            <w:pPr>
              <w:widowControl/>
              <w:jc w:val="left"/>
              <w:rPr>
                <w:rFonts w:hint="eastAsia" w:ascii="仿宋" w:hAnsi="仿宋" w:eastAsia="仿宋" w:cs="仿宋"/>
                <w:kern w:val="0"/>
                <w:sz w:val="24"/>
                <w:highlight w:val="none"/>
              </w:rPr>
            </w:pPr>
          </w:p>
        </w:tc>
        <w:tc>
          <w:tcPr>
            <w:tcW w:w="606" w:type="dxa"/>
            <w:vAlign w:val="center"/>
          </w:tcPr>
          <w:p w14:paraId="7172D31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552AA74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2F237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FF64195">
            <w:pPr>
              <w:widowControl/>
              <w:jc w:val="left"/>
              <w:rPr>
                <w:rFonts w:hint="eastAsia" w:ascii="仿宋" w:hAnsi="仿宋" w:eastAsia="仿宋" w:cs="仿宋"/>
                <w:kern w:val="0"/>
                <w:sz w:val="24"/>
                <w:highlight w:val="none"/>
              </w:rPr>
            </w:pPr>
          </w:p>
        </w:tc>
        <w:tc>
          <w:tcPr>
            <w:tcW w:w="2836" w:type="dxa"/>
            <w:vMerge w:val="continue"/>
            <w:vAlign w:val="center"/>
          </w:tcPr>
          <w:p w14:paraId="13D349CB">
            <w:pPr>
              <w:widowControl/>
              <w:jc w:val="left"/>
              <w:rPr>
                <w:rFonts w:hint="eastAsia" w:ascii="仿宋" w:hAnsi="仿宋" w:eastAsia="仿宋" w:cs="仿宋"/>
                <w:kern w:val="0"/>
                <w:sz w:val="24"/>
                <w:highlight w:val="none"/>
              </w:rPr>
            </w:pPr>
          </w:p>
        </w:tc>
        <w:tc>
          <w:tcPr>
            <w:tcW w:w="606" w:type="dxa"/>
            <w:vAlign w:val="center"/>
          </w:tcPr>
          <w:p w14:paraId="0394DCB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016DA0D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41CA2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restart"/>
            <w:vAlign w:val="center"/>
          </w:tcPr>
          <w:p w14:paraId="686CAEE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14:paraId="15A3991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14:paraId="4DDB9AC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14:paraId="00A4667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664E6D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14:paraId="18C7F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F0BF99">
            <w:pPr>
              <w:widowControl/>
              <w:jc w:val="left"/>
              <w:rPr>
                <w:rFonts w:hint="eastAsia" w:ascii="仿宋" w:hAnsi="仿宋" w:eastAsia="仿宋" w:cs="仿宋"/>
                <w:kern w:val="0"/>
                <w:sz w:val="24"/>
                <w:highlight w:val="none"/>
              </w:rPr>
            </w:pPr>
          </w:p>
        </w:tc>
        <w:tc>
          <w:tcPr>
            <w:tcW w:w="1025" w:type="dxa"/>
            <w:vMerge w:val="continue"/>
            <w:vAlign w:val="center"/>
          </w:tcPr>
          <w:p w14:paraId="2C120C13">
            <w:pPr>
              <w:widowControl/>
              <w:jc w:val="left"/>
              <w:rPr>
                <w:rFonts w:hint="eastAsia" w:ascii="仿宋" w:hAnsi="仿宋" w:eastAsia="仿宋" w:cs="仿宋"/>
                <w:kern w:val="0"/>
                <w:sz w:val="24"/>
                <w:highlight w:val="none"/>
              </w:rPr>
            </w:pPr>
          </w:p>
        </w:tc>
        <w:tc>
          <w:tcPr>
            <w:tcW w:w="2836" w:type="dxa"/>
            <w:vMerge w:val="continue"/>
            <w:vAlign w:val="center"/>
          </w:tcPr>
          <w:p w14:paraId="3F988921">
            <w:pPr>
              <w:widowControl/>
              <w:jc w:val="left"/>
              <w:rPr>
                <w:rFonts w:hint="eastAsia" w:ascii="仿宋" w:hAnsi="仿宋" w:eastAsia="仿宋" w:cs="仿宋"/>
                <w:kern w:val="0"/>
                <w:sz w:val="24"/>
                <w:highlight w:val="none"/>
              </w:rPr>
            </w:pPr>
          </w:p>
        </w:tc>
        <w:tc>
          <w:tcPr>
            <w:tcW w:w="606" w:type="dxa"/>
            <w:vAlign w:val="center"/>
          </w:tcPr>
          <w:p w14:paraId="6C47794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3ADF8D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13D43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988344">
            <w:pPr>
              <w:widowControl/>
              <w:jc w:val="left"/>
              <w:rPr>
                <w:rFonts w:hint="eastAsia" w:ascii="仿宋" w:hAnsi="仿宋" w:eastAsia="仿宋" w:cs="仿宋"/>
                <w:kern w:val="0"/>
                <w:sz w:val="24"/>
                <w:highlight w:val="none"/>
              </w:rPr>
            </w:pPr>
          </w:p>
        </w:tc>
        <w:tc>
          <w:tcPr>
            <w:tcW w:w="1025" w:type="dxa"/>
            <w:vMerge w:val="continue"/>
            <w:vAlign w:val="center"/>
          </w:tcPr>
          <w:p w14:paraId="2BEEC3F7">
            <w:pPr>
              <w:widowControl/>
              <w:jc w:val="left"/>
              <w:rPr>
                <w:rFonts w:hint="eastAsia" w:ascii="仿宋" w:hAnsi="仿宋" w:eastAsia="仿宋" w:cs="仿宋"/>
                <w:kern w:val="0"/>
                <w:sz w:val="24"/>
                <w:highlight w:val="none"/>
              </w:rPr>
            </w:pPr>
          </w:p>
        </w:tc>
        <w:tc>
          <w:tcPr>
            <w:tcW w:w="2836" w:type="dxa"/>
            <w:vMerge w:val="continue"/>
            <w:vAlign w:val="center"/>
          </w:tcPr>
          <w:p w14:paraId="4C688CCA">
            <w:pPr>
              <w:widowControl/>
              <w:jc w:val="left"/>
              <w:rPr>
                <w:rFonts w:hint="eastAsia" w:ascii="仿宋" w:hAnsi="仿宋" w:eastAsia="仿宋" w:cs="仿宋"/>
                <w:kern w:val="0"/>
                <w:sz w:val="24"/>
                <w:highlight w:val="none"/>
              </w:rPr>
            </w:pPr>
          </w:p>
        </w:tc>
        <w:tc>
          <w:tcPr>
            <w:tcW w:w="606" w:type="dxa"/>
            <w:vAlign w:val="center"/>
          </w:tcPr>
          <w:p w14:paraId="0184FCA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78DC759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69121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D2B5EC">
            <w:pPr>
              <w:widowControl/>
              <w:jc w:val="left"/>
              <w:rPr>
                <w:rFonts w:hint="eastAsia" w:ascii="仿宋" w:hAnsi="仿宋" w:eastAsia="仿宋" w:cs="仿宋"/>
                <w:kern w:val="0"/>
                <w:sz w:val="24"/>
                <w:highlight w:val="none"/>
              </w:rPr>
            </w:pPr>
          </w:p>
        </w:tc>
        <w:tc>
          <w:tcPr>
            <w:tcW w:w="1025" w:type="dxa"/>
            <w:vMerge w:val="restart"/>
            <w:vAlign w:val="center"/>
          </w:tcPr>
          <w:p w14:paraId="6DCE106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14:paraId="67C2A9C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14:paraId="67E7894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472B814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013C1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EB8C0F">
            <w:pPr>
              <w:widowControl/>
              <w:jc w:val="left"/>
              <w:rPr>
                <w:rFonts w:hint="eastAsia" w:ascii="仿宋" w:hAnsi="仿宋" w:eastAsia="仿宋" w:cs="仿宋"/>
                <w:kern w:val="0"/>
                <w:sz w:val="24"/>
                <w:highlight w:val="none"/>
              </w:rPr>
            </w:pPr>
          </w:p>
        </w:tc>
        <w:tc>
          <w:tcPr>
            <w:tcW w:w="1025" w:type="dxa"/>
            <w:vMerge w:val="continue"/>
            <w:vAlign w:val="center"/>
          </w:tcPr>
          <w:p w14:paraId="379F46E0">
            <w:pPr>
              <w:widowControl/>
              <w:jc w:val="left"/>
              <w:rPr>
                <w:rFonts w:hint="eastAsia" w:ascii="仿宋" w:hAnsi="仿宋" w:eastAsia="仿宋" w:cs="仿宋"/>
                <w:kern w:val="0"/>
                <w:sz w:val="24"/>
                <w:highlight w:val="none"/>
              </w:rPr>
            </w:pPr>
          </w:p>
        </w:tc>
        <w:tc>
          <w:tcPr>
            <w:tcW w:w="2836" w:type="dxa"/>
            <w:vMerge w:val="continue"/>
            <w:vAlign w:val="center"/>
          </w:tcPr>
          <w:p w14:paraId="58490F03">
            <w:pPr>
              <w:widowControl/>
              <w:jc w:val="left"/>
              <w:rPr>
                <w:rFonts w:hint="eastAsia" w:ascii="仿宋" w:hAnsi="仿宋" w:eastAsia="仿宋" w:cs="仿宋"/>
                <w:kern w:val="0"/>
                <w:sz w:val="24"/>
                <w:highlight w:val="none"/>
              </w:rPr>
            </w:pPr>
          </w:p>
        </w:tc>
        <w:tc>
          <w:tcPr>
            <w:tcW w:w="606" w:type="dxa"/>
            <w:vAlign w:val="center"/>
          </w:tcPr>
          <w:p w14:paraId="1D9CE73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0A9431F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01AEA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D7DB87">
            <w:pPr>
              <w:widowControl/>
              <w:jc w:val="left"/>
              <w:rPr>
                <w:rFonts w:hint="eastAsia" w:ascii="仿宋" w:hAnsi="仿宋" w:eastAsia="仿宋" w:cs="仿宋"/>
                <w:kern w:val="0"/>
                <w:sz w:val="24"/>
                <w:highlight w:val="none"/>
              </w:rPr>
            </w:pPr>
          </w:p>
        </w:tc>
        <w:tc>
          <w:tcPr>
            <w:tcW w:w="1025" w:type="dxa"/>
            <w:vMerge w:val="continue"/>
            <w:vAlign w:val="center"/>
          </w:tcPr>
          <w:p w14:paraId="1A133CBE">
            <w:pPr>
              <w:widowControl/>
              <w:jc w:val="left"/>
              <w:rPr>
                <w:rFonts w:hint="eastAsia" w:ascii="仿宋" w:hAnsi="仿宋" w:eastAsia="仿宋" w:cs="仿宋"/>
                <w:kern w:val="0"/>
                <w:sz w:val="24"/>
                <w:highlight w:val="none"/>
              </w:rPr>
            </w:pPr>
          </w:p>
        </w:tc>
        <w:tc>
          <w:tcPr>
            <w:tcW w:w="2836" w:type="dxa"/>
            <w:vMerge w:val="continue"/>
            <w:vAlign w:val="center"/>
          </w:tcPr>
          <w:p w14:paraId="2A7C2CCA">
            <w:pPr>
              <w:widowControl/>
              <w:jc w:val="left"/>
              <w:rPr>
                <w:rFonts w:hint="eastAsia" w:ascii="仿宋" w:hAnsi="仿宋" w:eastAsia="仿宋" w:cs="仿宋"/>
                <w:kern w:val="0"/>
                <w:sz w:val="24"/>
                <w:highlight w:val="none"/>
              </w:rPr>
            </w:pPr>
          </w:p>
        </w:tc>
        <w:tc>
          <w:tcPr>
            <w:tcW w:w="606" w:type="dxa"/>
            <w:vAlign w:val="center"/>
          </w:tcPr>
          <w:p w14:paraId="055497B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0B18F80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70037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75968C">
            <w:pPr>
              <w:widowControl/>
              <w:jc w:val="left"/>
              <w:rPr>
                <w:rFonts w:hint="eastAsia" w:ascii="仿宋" w:hAnsi="仿宋" w:eastAsia="仿宋" w:cs="仿宋"/>
                <w:kern w:val="0"/>
                <w:sz w:val="24"/>
                <w:highlight w:val="none"/>
              </w:rPr>
            </w:pPr>
          </w:p>
        </w:tc>
        <w:tc>
          <w:tcPr>
            <w:tcW w:w="1025" w:type="dxa"/>
            <w:vMerge w:val="restart"/>
            <w:vAlign w:val="center"/>
          </w:tcPr>
          <w:p w14:paraId="4562035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14:paraId="074FF4A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14:paraId="7937F0D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55FB560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42095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1B7F99">
            <w:pPr>
              <w:widowControl/>
              <w:jc w:val="left"/>
              <w:rPr>
                <w:rFonts w:hint="eastAsia" w:ascii="仿宋" w:hAnsi="仿宋" w:eastAsia="仿宋" w:cs="仿宋"/>
                <w:kern w:val="0"/>
                <w:sz w:val="24"/>
                <w:highlight w:val="none"/>
              </w:rPr>
            </w:pPr>
          </w:p>
        </w:tc>
        <w:tc>
          <w:tcPr>
            <w:tcW w:w="1025" w:type="dxa"/>
            <w:vMerge w:val="continue"/>
            <w:vAlign w:val="center"/>
          </w:tcPr>
          <w:p w14:paraId="00955775">
            <w:pPr>
              <w:widowControl/>
              <w:jc w:val="left"/>
              <w:rPr>
                <w:rFonts w:hint="eastAsia" w:ascii="仿宋" w:hAnsi="仿宋" w:eastAsia="仿宋" w:cs="仿宋"/>
                <w:kern w:val="0"/>
                <w:sz w:val="24"/>
                <w:highlight w:val="none"/>
              </w:rPr>
            </w:pPr>
          </w:p>
        </w:tc>
        <w:tc>
          <w:tcPr>
            <w:tcW w:w="2836" w:type="dxa"/>
            <w:vMerge w:val="continue"/>
            <w:vAlign w:val="center"/>
          </w:tcPr>
          <w:p w14:paraId="70A4428F">
            <w:pPr>
              <w:widowControl/>
              <w:jc w:val="left"/>
              <w:rPr>
                <w:rFonts w:hint="eastAsia" w:ascii="仿宋" w:hAnsi="仿宋" w:eastAsia="仿宋" w:cs="仿宋"/>
                <w:kern w:val="0"/>
                <w:sz w:val="24"/>
                <w:highlight w:val="none"/>
              </w:rPr>
            </w:pPr>
          </w:p>
        </w:tc>
        <w:tc>
          <w:tcPr>
            <w:tcW w:w="606" w:type="dxa"/>
            <w:vAlign w:val="center"/>
          </w:tcPr>
          <w:p w14:paraId="2910397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0BF5B58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484364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7B63BC">
            <w:pPr>
              <w:widowControl/>
              <w:jc w:val="left"/>
              <w:rPr>
                <w:rFonts w:hint="eastAsia" w:ascii="仿宋" w:hAnsi="仿宋" w:eastAsia="仿宋" w:cs="仿宋"/>
                <w:kern w:val="0"/>
                <w:sz w:val="24"/>
                <w:highlight w:val="none"/>
              </w:rPr>
            </w:pPr>
          </w:p>
        </w:tc>
        <w:tc>
          <w:tcPr>
            <w:tcW w:w="1025" w:type="dxa"/>
            <w:vMerge w:val="continue"/>
            <w:vAlign w:val="center"/>
          </w:tcPr>
          <w:p w14:paraId="13700A3E">
            <w:pPr>
              <w:widowControl/>
              <w:jc w:val="left"/>
              <w:rPr>
                <w:rFonts w:hint="eastAsia" w:ascii="仿宋" w:hAnsi="仿宋" w:eastAsia="仿宋" w:cs="仿宋"/>
                <w:kern w:val="0"/>
                <w:sz w:val="24"/>
                <w:highlight w:val="none"/>
              </w:rPr>
            </w:pPr>
          </w:p>
        </w:tc>
        <w:tc>
          <w:tcPr>
            <w:tcW w:w="2836" w:type="dxa"/>
            <w:vMerge w:val="continue"/>
            <w:vAlign w:val="center"/>
          </w:tcPr>
          <w:p w14:paraId="13A83102">
            <w:pPr>
              <w:widowControl/>
              <w:jc w:val="left"/>
              <w:rPr>
                <w:rFonts w:hint="eastAsia" w:ascii="仿宋" w:hAnsi="仿宋" w:eastAsia="仿宋" w:cs="仿宋"/>
                <w:kern w:val="0"/>
                <w:sz w:val="24"/>
                <w:highlight w:val="none"/>
              </w:rPr>
            </w:pPr>
          </w:p>
        </w:tc>
        <w:tc>
          <w:tcPr>
            <w:tcW w:w="606" w:type="dxa"/>
            <w:vAlign w:val="center"/>
          </w:tcPr>
          <w:p w14:paraId="4D8338B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A685E8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14:paraId="29AA0B86">
      <w:pPr>
        <w:rPr>
          <w:rFonts w:hint="eastAsia" w:ascii="仿宋" w:hAnsi="仿宋" w:eastAsia="仿宋" w:cs="仿宋"/>
          <w:sz w:val="24"/>
          <w:highlight w:val="none"/>
        </w:rPr>
      </w:pPr>
    </w:p>
    <w:p w14:paraId="0EA7FF7F">
      <w:pPr>
        <w:ind w:firstLine="420" w:firstLineChars="200"/>
        <w:rPr>
          <w:rFonts w:hint="eastAsia" w:ascii="仿宋" w:hAnsi="仿宋" w:eastAsia="仿宋" w:cs="仿宋"/>
          <w:highlight w:val="none"/>
        </w:rPr>
      </w:pPr>
    </w:p>
    <w:p w14:paraId="2B755323">
      <w:pPr>
        <w:spacing w:line="360" w:lineRule="auto"/>
        <w:ind w:right="420"/>
        <w:rPr>
          <w:rFonts w:hint="eastAsia" w:ascii="仿宋" w:hAnsi="仿宋" w:eastAsia="仿宋" w:cs="仿宋"/>
          <w:highlight w:val="none"/>
        </w:rPr>
      </w:pPr>
    </w:p>
    <w:p w14:paraId="58D8C8E5">
      <w:pPr>
        <w:spacing w:line="360" w:lineRule="auto"/>
        <w:rPr>
          <w:rFonts w:ascii="宋体" w:hAnsi="宋体" w:cs="宋体"/>
          <w:bCs/>
          <w:sz w:val="24"/>
          <w:highlight w:val="none"/>
        </w:rPr>
      </w:pPr>
    </w:p>
    <w:sectPr>
      <w:headerReference r:id="rId17" w:type="first"/>
      <w:footerReference r:id="rId19" w:type="first"/>
      <w:headerReference r:id="rId16" w:type="default"/>
      <w:footerReference r:id="rId18" w:type="default"/>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06B60">
    <w:pPr>
      <w:pStyle w:val="41"/>
      <w:framePr w:wrap="around" w:vAnchor="text" w:hAnchor="margin" w:xAlign="right" w:y="1"/>
      <w:rPr>
        <w:rStyle w:val="72"/>
      </w:rPr>
    </w:pPr>
    <w:r>
      <w:fldChar w:fldCharType="begin"/>
    </w:r>
    <w:r>
      <w:rPr>
        <w:rStyle w:val="72"/>
      </w:rPr>
      <w:instrText xml:space="preserve">PAGE  </w:instrText>
    </w:r>
    <w:r>
      <w:fldChar w:fldCharType="end"/>
    </w:r>
  </w:p>
  <w:p w14:paraId="166FB5E6">
    <w:pPr>
      <w:pStyle w:val="4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11AAF">
    <w:pPr>
      <w:pStyle w:val="4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3E1DB">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C1EFF">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22C1EFF">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10CAB">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CDFBC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6CDFBC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CECB0B0">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00946">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4AE2B5">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44AE2B5">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F190BA8">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7577F">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8743C6">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8743C6">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447DB83">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BF209">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CD6B69">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6CD6B69">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C253025">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4E4A4">
    <w:pPr>
      <w:pStyle w:val="41"/>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0686A4">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D0686A4">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B96F1">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4DB388">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91899912"/>
                          <w:bookmarkStart w:id="164" w:name="_Toc131845147"/>
                          <w:bookmarkStart w:id="165" w:name="_Toc36110187"/>
                          <w:bookmarkStart w:id="166" w:name="_Toc164085800"/>
                          <w:r>
                            <w:rPr>
                              <w:rFonts w:hint="eastAsia" w:ascii="仿宋_GB2312" w:eastAsia="仿宋_GB2312"/>
                              <w:kern w:val="0"/>
                              <w:szCs w:val="21"/>
                            </w:rPr>
                            <w:t xml:space="preserve"> 页</w:t>
                          </w:r>
                          <w:bookmarkEnd w:id="163"/>
                          <w:bookmarkEnd w:id="164"/>
                          <w:bookmarkEnd w:id="165"/>
                          <w:bookmarkEnd w:id="166"/>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84DB388">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91899912"/>
                    <w:bookmarkStart w:id="164" w:name="_Toc131845147"/>
                    <w:bookmarkStart w:id="165" w:name="_Toc36110187"/>
                    <w:bookmarkStart w:id="166" w:name="_Toc164085800"/>
                    <w:r>
                      <w:rPr>
                        <w:rFonts w:hint="eastAsia" w:ascii="仿宋_GB2312" w:eastAsia="仿宋_GB2312"/>
                        <w:kern w:val="0"/>
                        <w:szCs w:val="21"/>
                      </w:rPr>
                      <w:t xml:space="preserve"> 页</w:t>
                    </w:r>
                    <w:bookmarkEnd w:id="163"/>
                    <w:bookmarkEnd w:id="164"/>
                    <w:bookmarkEnd w:id="165"/>
                    <w:bookmarkEnd w:id="166"/>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FBACB">
    <w:pPr>
      <w:pStyle w:val="42"/>
      <w:pBdr>
        <w:bottom w:val="none" w:color="auto" w:sz="0" w:space="1"/>
      </w:pBd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08BA5">
    <w:pPr>
      <w:pStyle w:val="42"/>
      <w:pBdr>
        <w:bottom w:val="none" w:color="auto" w:sz="0" w:space="1"/>
      </w:pBdr>
      <w:jc w:val="left"/>
    </w:pP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DD9DA">
    <w:pPr>
      <w:pStyle w:val="4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4331A">
    <w:pPr>
      <w:pStyle w:val="4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56955">
    <w:pPr>
      <w:pStyle w:val="42"/>
      <w:jc w:val="left"/>
      <w:rPr>
        <w:rFonts w:ascii="仿宋_GB2312" w:eastAsia="仿宋_GB2312"/>
        <w:b/>
        <w:i/>
        <w:u w:val="single"/>
      </w:rPr>
    </w:pPr>
    <w:r>
      <w:rPr>
        <w:rFonts w:hint="eastAsia"/>
      </w:rPr>
      <w:t xml:space="preserve">                       </w:t>
    </w:r>
  </w:p>
  <w:p w14:paraId="1A15D035">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AA6BA">
    <w:pPr>
      <w:pStyle w:val="4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D0C04">
    <w:pPr>
      <w:pStyle w:val="4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F30C9">
    <w:pPr>
      <w:pStyle w:val="4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38A7D4"/>
    <w:multiLevelType w:val="singleLevel"/>
    <w:tmpl w:val="A538A7D4"/>
    <w:lvl w:ilvl="0" w:tentative="0">
      <w:start w:val="2"/>
      <w:numFmt w:val="decimal"/>
      <w:lvlText w:val="%1."/>
      <w:lvlJc w:val="left"/>
      <w:pPr>
        <w:tabs>
          <w:tab w:val="left" w:pos="312"/>
        </w:tabs>
      </w:p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09D035B"/>
    <w:multiLevelType w:val="singleLevel"/>
    <w:tmpl w:val="509D035B"/>
    <w:lvl w:ilvl="0" w:tentative="0">
      <w:start w:val="2"/>
      <w:numFmt w:val="chineseCounting"/>
      <w:suff w:val="nothing"/>
      <w:lvlText w:val="%1、"/>
      <w:lvlJc w:val="left"/>
      <w:rPr>
        <w:rFonts w:hint="eastAsia"/>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2"/>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417EF4"/>
    <w:rsid w:val="00733E26"/>
    <w:rsid w:val="00B34AC1"/>
    <w:rsid w:val="00CB5A10"/>
    <w:rsid w:val="012F2443"/>
    <w:rsid w:val="01423F24"/>
    <w:rsid w:val="014D28C9"/>
    <w:rsid w:val="016C0FA1"/>
    <w:rsid w:val="017E0CD4"/>
    <w:rsid w:val="01934780"/>
    <w:rsid w:val="01B42948"/>
    <w:rsid w:val="01C04E49"/>
    <w:rsid w:val="01D9415D"/>
    <w:rsid w:val="01DB1C83"/>
    <w:rsid w:val="01F9035B"/>
    <w:rsid w:val="020E3E06"/>
    <w:rsid w:val="02117D9A"/>
    <w:rsid w:val="021D04ED"/>
    <w:rsid w:val="023D0B8F"/>
    <w:rsid w:val="0274447C"/>
    <w:rsid w:val="02A4476B"/>
    <w:rsid w:val="02B01361"/>
    <w:rsid w:val="02D7069C"/>
    <w:rsid w:val="02E96679"/>
    <w:rsid w:val="035148F2"/>
    <w:rsid w:val="03522419"/>
    <w:rsid w:val="03561F09"/>
    <w:rsid w:val="03581F13"/>
    <w:rsid w:val="035BEF8B"/>
    <w:rsid w:val="03D90444"/>
    <w:rsid w:val="03ED6BB8"/>
    <w:rsid w:val="03FE2876"/>
    <w:rsid w:val="042305AC"/>
    <w:rsid w:val="04581CB1"/>
    <w:rsid w:val="04A22F2C"/>
    <w:rsid w:val="04E6106A"/>
    <w:rsid w:val="04E61D08"/>
    <w:rsid w:val="04FF037E"/>
    <w:rsid w:val="055A7363"/>
    <w:rsid w:val="059211F2"/>
    <w:rsid w:val="05BA0394"/>
    <w:rsid w:val="05C01001"/>
    <w:rsid w:val="05E03D0C"/>
    <w:rsid w:val="060A6FDB"/>
    <w:rsid w:val="060F45F1"/>
    <w:rsid w:val="0624009C"/>
    <w:rsid w:val="06304C93"/>
    <w:rsid w:val="068E19BA"/>
    <w:rsid w:val="068E3768"/>
    <w:rsid w:val="069761AE"/>
    <w:rsid w:val="06AA28D8"/>
    <w:rsid w:val="06B62CBE"/>
    <w:rsid w:val="06C74ECC"/>
    <w:rsid w:val="06D3561E"/>
    <w:rsid w:val="06F061D0"/>
    <w:rsid w:val="06F85085"/>
    <w:rsid w:val="074C3905"/>
    <w:rsid w:val="07A72EEE"/>
    <w:rsid w:val="07C75183"/>
    <w:rsid w:val="07E31891"/>
    <w:rsid w:val="07F11433"/>
    <w:rsid w:val="08017F69"/>
    <w:rsid w:val="080E531D"/>
    <w:rsid w:val="081128A2"/>
    <w:rsid w:val="084560A8"/>
    <w:rsid w:val="08597DA5"/>
    <w:rsid w:val="089D4136"/>
    <w:rsid w:val="08C23B9D"/>
    <w:rsid w:val="08C72F61"/>
    <w:rsid w:val="08CC0577"/>
    <w:rsid w:val="08DF64FD"/>
    <w:rsid w:val="08E6744D"/>
    <w:rsid w:val="08FA1588"/>
    <w:rsid w:val="09061CDB"/>
    <w:rsid w:val="0946032A"/>
    <w:rsid w:val="098D7D07"/>
    <w:rsid w:val="09F77876"/>
    <w:rsid w:val="0A342878"/>
    <w:rsid w:val="0A4A3E4A"/>
    <w:rsid w:val="0A544CC8"/>
    <w:rsid w:val="0A801619"/>
    <w:rsid w:val="0A83110A"/>
    <w:rsid w:val="0A894972"/>
    <w:rsid w:val="0B301291"/>
    <w:rsid w:val="0B4D2C84"/>
    <w:rsid w:val="0B9510F4"/>
    <w:rsid w:val="0BD53BE7"/>
    <w:rsid w:val="0BD7795F"/>
    <w:rsid w:val="0BEF3EB3"/>
    <w:rsid w:val="0C2A7A8F"/>
    <w:rsid w:val="0C321039"/>
    <w:rsid w:val="0C822971"/>
    <w:rsid w:val="0C882A07"/>
    <w:rsid w:val="0CBA3508"/>
    <w:rsid w:val="0CCD48BE"/>
    <w:rsid w:val="0CDB7176"/>
    <w:rsid w:val="0CE916F8"/>
    <w:rsid w:val="0D6D057B"/>
    <w:rsid w:val="0DA33F9D"/>
    <w:rsid w:val="0DB55A7E"/>
    <w:rsid w:val="0E5139F9"/>
    <w:rsid w:val="0E5C239D"/>
    <w:rsid w:val="0E8F4521"/>
    <w:rsid w:val="0E975183"/>
    <w:rsid w:val="0E9E6512"/>
    <w:rsid w:val="0ED62150"/>
    <w:rsid w:val="0F096B8F"/>
    <w:rsid w:val="0F490B74"/>
    <w:rsid w:val="0F63063F"/>
    <w:rsid w:val="0F732D95"/>
    <w:rsid w:val="0F786D63"/>
    <w:rsid w:val="0F8676D2"/>
    <w:rsid w:val="0F890F70"/>
    <w:rsid w:val="1006196F"/>
    <w:rsid w:val="10086339"/>
    <w:rsid w:val="100A1780"/>
    <w:rsid w:val="10134CDE"/>
    <w:rsid w:val="10216A43"/>
    <w:rsid w:val="10856D99"/>
    <w:rsid w:val="1088747A"/>
    <w:rsid w:val="10A73DA4"/>
    <w:rsid w:val="10AD5132"/>
    <w:rsid w:val="10BD64F2"/>
    <w:rsid w:val="119500A0"/>
    <w:rsid w:val="127F48AC"/>
    <w:rsid w:val="12831B61"/>
    <w:rsid w:val="12A85BB1"/>
    <w:rsid w:val="12B02CB8"/>
    <w:rsid w:val="12DC3AAD"/>
    <w:rsid w:val="12DE15D3"/>
    <w:rsid w:val="12E27315"/>
    <w:rsid w:val="1312127D"/>
    <w:rsid w:val="13217712"/>
    <w:rsid w:val="13394A5B"/>
    <w:rsid w:val="13675A6C"/>
    <w:rsid w:val="13824654"/>
    <w:rsid w:val="138A3509"/>
    <w:rsid w:val="13E470BD"/>
    <w:rsid w:val="13F217DA"/>
    <w:rsid w:val="13F56BD4"/>
    <w:rsid w:val="13FA068E"/>
    <w:rsid w:val="14217850"/>
    <w:rsid w:val="14495172"/>
    <w:rsid w:val="145C2510"/>
    <w:rsid w:val="14CD3D4D"/>
    <w:rsid w:val="1598015F"/>
    <w:rsid w:val="1602382A"/>
    <w:rsid w:val="16096967"/>
    <w:rsid w:val="162437A1"/>
    <w:rsid w:val="162E2871"/>
    <w:rsid w:val="16551BAC"/>
    <w:rsid w:val="16F72C63"/>
    <w:rsid w:val="17306175"/>
    <w:rsid w:val="1740285C"/>
    <w:rsid w:val="177469AA"/>
    <w:rsid w:val="181B5077"/>
    <w:rsid w:val="181B6E25"/>
    <w:rsid w:val="18401400"/>
    <w:rsid w:val="184C3483"/>
    <w:rsid w:val="185A16FC"/>
    <w:rsid w:val="18644328"/>
    <w:rsid w:val="18E60774"/>
    <w:rsid w:val="19193365"/>
    <w:rsid w:val="193E2362"/>
    <w:rsid w:val="193F440D"/>
    <w:rsid w:val="19622F5E"/>
    <w:rsid w:val="196A0064"/>
    <w:rsid w:val="19E00326"/>
    <w:rsid w:val="19E82D37"/>
    <w:rsid w:val="19F53B59"/>
    <w:rsid w:val="1A3E50EB"/>
    <w:rsid w:val="1A78230D"/>
    <w:rsid w:val="1AB570BD"/>
    <w:rsid w:val="1ACB68E1"/>
    <w:rsid w:val="1AD82DAC"/>
    <w:rsid w:val="1B041DF3"/>
    <w:rsid w:val="1B1F09DB"/>
    <w:rsid w:val="1B46240B"/>
    <w:rsid w:val="1B5C39DD"/>
    <w:rsid w:val="1B6C2BED"/>
    <w:rsid w:val="1B6F1962"/>
    <w:rsid w:val="1BB27AA1"/>
    <w:rsid w:val="1BB75A29"/>
    <w:rsid w:val="1BE35EAC"/>
    <w:rsid w:val="1BE91714"/>
    <w:rsid w:val="1BED2887"/>
    <w:rsid w:val="1C2A7637"/>
    <w:rsid w:val="1C3B5CE8"/>
    <w:rsid w:val="1C4701E9"/>
    <w:rsid w:val="1C6F14EE"/>
    <w:rsid w:val="1D0B7468"/>
    <w:rsid w:val="1D2F1C3B"/>
    <w:rsid w:val="1D666D95"/>
    <w:rsid w:val="1D884F5D"/>
    <w:rsid w:val="1DA619A9"/>
    <w:rsid w:val="1DAF4298"/>
    <w:rsid w:val="1DE55F0B"/>
    <w:rsid w:val="1DF83E91"/>
    <w:rsid w:val="1E1C7453"/>
    <w:rsid w:val="1E74103D"/>
    <w:rsid w:val="1E803E86"/>
    <w:rsid w:val="1EB2717C"/>
    <w:rsid w:val="1EC57AEB"/>
    <w:rsid w:val="1F460C2C"/>
    <w:rsid w:val="1F5C21FD"/>
    <w:rsid w:val="1FBFFEB0"/>
    <w:rsid w:val="200A1C59"/>
    <w:rsid w:val="20B87907"/>
    <w:rsid w:val="2127683B"/>
    <w:rsid w:val="21933ED0"/>
    <w:rsid w:val="21E8421C"/>
    <w:rsid w:val="221072CF"/>
    <w:rsid w:val="223236E9"/>
    <w:rsid w:val="22721D38"/>
    <w:rsid w:val="227B5090"/>
    <w:rsid w:val="22B45EAC"/>
    <w:rsid w:val="22B67E76"/>
    <w:rsid w:val="2305495A"/>
    <w:rsid w:val="231F3C6E"/>
    <w:rsid w:val="234E6301"/>
    <w:rsid w:val="23531B69"/>
    <w:rsid w:val="23F0560A"/>
    <w:rsid w:val="244D65B8"/>
    <w:rsid w:val="246D0A09"/>
    <w:rsid w:val="248A3369"/>
    <w:rsid w:val="24C74DF4"/>
    <w:rsid w:val="24CE594B"/>
    <w:rsid w:val="255816B9"/>
    <w:rsid w:val="25626093"/>
    <w:rsid w:val="257B7155"/>
    <w:rsid w:val="25983863"/>
    <w:rsid w:val="259B3353"/>
    <w:rsid w:val="261C6242"/>
    <w:rsid w:val="26263565"/>
    <w:rsid w:val="26591245"/>
    <w:rsid w:val="26E544B7"/>
    <w:rsid w:val="27233601"/>
    <w:rsid w:val="27343A60"/>
    <w:rsid w:val="27572149"/>
    <w:rsid w:val="275DFFED"/>
    <w:rsid w:val="27734588"/>
    <w:rsid w:val="27B150B0"/>
    <w:rsid w:val="27CE17BE"/>
    <w:rsid w:val="27DE3E2C"/>
    <w:rsid w:val="28243AD4"/>
    <w:rsid w:val="28321D4D"/>
    <w:rsid w:val="287C56BE"/>
    <w:rsid w:val="288F719F"/>
    <w:rsid w:val="28F039B6"/>
    <w:rsid w:val="28FE60D3"/>
    <w:rsid w:val="29323FCF"/>
    <w:rsid w:val="29361D11"/>
    <w:rsid w:val="29640A02"/>
    <w:rsid w:val="29A057C1"/>
    <w:rsid w:val="29AF73CD"/>
    <w:rsid w:val="29BB7D5A"/>
    <w:rsid w:val="29CB06AB"/>
    <w:rsid w:val="29D066BE"/>
    <w:rsid w:val="2A510485"/>
    <w:rsid w:val="2A8C4F56"/>
    <w:rsid w:val="2A9E191C"/>
    <w:rsid w:val="2ABA19BE"/>
    <w:rsid w:val="2ABB4790"/>
    <w:rsid w:val="2ADC0696"/>
    <w:rsid w:val="2AE632C3"/>
    <w:rsid w:val="2B0674C1"/>
    <w:rsid w:val="2B2D7144"/>
    <w:rsid w:val="2B342280"/>
    <w:rsid w:val="2B8B4CDF"/>
    <w:rsid w:val="2B9B5E5B"/>
    <w:rsid w:val="2BE21CDC"/>
    <w:rsid w:val="2BF67536"/>
    <w:rsid w:val="2BFF463C"/>
    <w:rsid w:val="2C7566AC"/>
    <w:rsid w:val="2C8C39F6"/>
    <w:rsid w:val="2CA46F92"/>
    <w:rsid w:val="2DAA4A7C"/>
    <w:rsid w:val="2DEA30CA"/>
    <w:rsid w:val="2E1819E5"/>
    <w:rsid w:val="2E2465DC"/>
    <w:rsid w:val="2E586286"/>
    <w:rsid w:val="2E8B0409"/>
    <w:rsid w:val="2ED27DE6"/>
    <w:rsid w:val="2EFA10EB"/>
    <w:rsid w:val="2F0C0A43"/>
    <w:rsid w:val="2F4D3910"/>
    <w:rsid w:val="2F61116A"/>
    <w:rsid w:val="2F754C15"/>
    <w:rsid w:val="2FD91648"/>
    <w:rsid w:val="305A1716"/>
    <w:rsid w:val="306B04F2"/>
    <w:rsid w:val="30CD01D9"/>
    <w:rsid w:val="30F229C1"/>
    <w:rsid w:val="31010E56"/>
    <w:rsid w:val="31101099"/>
    <w:rsid w:val="31480833"/>
    <w:rsid w:val="316360FB"/>
    <w:rsid w:val="31837ABD"/>
    <w:rsid w:val="31FB58A6"/>
    <w:rsid w:val="31FC33CC"/>
    <w:rsid w:val="3203475A"/>
    <w:rsid w:val="32087FC3"/>
    <w:rsid w:val="32146967"/>
    <w:rsid w:val="324C7EAF"/>
    <w:rsid w:val="32562ADC"/>
    <w:rsid w:val="32621481"/>
    <w:rsid w:val="326F4556"/>
    <w:rsid w:val="32A73338"/>
    <w:rsid w:val="32F50547"/>
    <w:rsid w:val="32FD564D"/>
    <w:rsid w:val="33093FF2"/>
    <w:rsid w:val="333A0DD8"/>
    <w:rsid w:val="334D0383"/>
    <w:rsid w:val="33615BDC"/>
    <w:rsid w:val="33CA3782"/>
    <w:rsid w:val="33CD5020"/>
    <w:rsid w:val="3437693D"/>
    <w:rsid w:val="345E211C"/>
    <w:rsid w:val="34733E19"/>
    <w:rsid w:val="347D07F4"/>
    <w:rsid w:val="34833930"/>
    <w:rsid w:val="34CC177B"/>
    <w:rsid w:val="34F36D08"/>
    <w:rsid w:val="35074561"/>
    <w:rsid w:val="3522139B"/>
    <w:rsid w:val="357716E7"/>
    <w:rsid w:val="358362DE"/>
    <w:rsid w:val="359C114E"/>
    <w:rsid w:val="35BE2E72"/>
    <w:rsid w:val="35DA3A24"/>
    <w:rsid w:val="35F42D38"/>
    <w:rsid w:val="35FC7E3E"/>
    <w:rsid w:val="361707D4"/>
    <w:rsid w:val="362D7FF8"/>
    <w:rsid w:val="36851BE2"/>
    <w:rsid w:val="36AD48C7"/>
    <w:rsid w:val="36CC15BF"/>
    <w:rsid w:val="37265173"/>
    <w:rsid w:val="375F35B5"/>
    <w:rsid w:val="3768578B"/>
    <w:rsid w:val="37CF580A"/>
    <w:rsid w:val="37F94635"/>
    <w:rsid w:val="382D2E86"/>
    <w:rsid w:val="385950D4"/>
    <w:rsid w:val="385C2E16"/>
    <w:rsid w:val="38757CB0"/>
    <w:rsid w:val="38B90269"/>
    <w:rsid w:val="38BA3255"/>
    <w:rsid w:val="38C34C43"/>
    <w:rsid w:val="38D46E50"/>
    <w:rsid w:val="38EA21D0"/>
    <w:rsid w:val="39246639"/>
    <w:rsid w:val="39363667"/>
    <w:rsid w:val="39483BDB"/>
    <w:rsid w:val="39893797"/>
    <w:rsid w:val="39930ABA"/>
    <w:rsid w:val="39933A90"/>
    <w:rsid w:val="39B5458C"/>
    <w:rsid w:val="39C12F31"/>
    <w:rsid w:val="39DA3FF3"/>
    <w:rsid w:val="3A2B484E"/>
    <w:rsid w:val="3A2F2590"/>
    <w:rsid w:val="3A581515"/>
    <w:rsid w:val="3AA80595"/>
    <w:rsid w:val="3AAC1E33"/>
    <w:rsid w:val="3AE72E6B"/>
    <w:rsid w:val="3AF45588"/>
    <w:rsid w:val="3B464036"/>
    <w:rsid w:val="3B9F72A2"/>
    <w:rsid w:val="3BDA652C"/>
    <w:rsid w:val="3BE13D5E"/>
    <w:rsid w:val="3BF03FA1"/>
    <w:rsid w:val="3BF5780A"/>
    <w:rsid w:val="3C2E0626"/>
    <w:rsid w:val="3C3519B4"/>
    <w:rsid w:val="3C6D114E"/>
    <w:rsid w:val="3C805325"/>
    <w:rsid w:val="3CA8487C"/>
    <w:rsid w:val="3CBD0327"/>
    <w:rsid w:val="3D22462E"/>
    <w:rsid w:val="3D363C36"/>
    <w:rsid w:val="3D7D3613"/>
    <w:rsid w:val="3D934BE4"/>
    <w:rsid w:val="3D9A2417"/>
    <w:rsid w:val="3D9F17DB"/>
    <w:rsid w:val="3E0E6961"/>
    <w:rsid w:val="3E2D5039"/>
    <w:rsid w:val="3E6DF6DC"/>
    <w:rsid w:val="3E8D3D29"/>
    <w:rsid w:val="3E94330A"/>
    <w:rsid w:val="3EB43064"/>
    <w:rsid w:val="3F2F6B8F"/>
    <w:rsid w:val="3F5B3E28"/>
    <w:rsid w:val="3F7D78FA"/>
    <w:rsid w:val="3FCA4B09"/>
    <w:rsid w:val="3FCFDA4A"/>
    <w:rsid w:val="40295CD4"/>
    <w:rsid w:val="406B009A"/>
    <w:rsid w:val="407056B1"/>
    <w:rsid w:val="40813AF9"/>
    <w:rsid w:val="40F57964"/>
    <w:rsid w:val="411424E0"/>
    <w:rsid w:val="412D35A2"/>
    <w:rsid w:val="41466412"/>
    <w:rsid w:val="4151103E"/>
    <w:rsid w:val="41546D80"/>
    <w:rsid w:val="418A27A2"/>
    <w:rsid w:val="41931657"/>
    <w:rsid w:val="420460B1"/>
    <w:rsid w:val="424C5CAA"/>
    <w:rsid w:val="425828A0"/>
    <w:rsid w:val="42613503"/>
    <w:rsid w:val="427E60E8"/>
    <w:rsid w:val="428C42F8"/>
    <w:rsid w:val="429F402B"/>
    <w:rsid w:val="42B51AA1"/>
    <w:rsid w:val="42CB6BCE"/>
    <w:rsid w:val="42DA1507"/>
    <w:rsid w:val="431542ED"/>
    <w:rsid w:val="43544E16"/>
    <w:rsid w:val="43917E18"/>
    <w:rsid w:val="43D61CCF"/>
    <w:rsid w:val="43F65ECD"/>
    <w:rsid w:val="44093E52"/>
    <w:rsid w:val="442C7B41"/>
    <w:rsid w:val="44316F05"/>
    <w:rsid w:val="44814A5E"/>
    <w:rsid w:val="448160DE"/>
    <w:rsid w:val="44B55D88"/>
    <w:rsid w:val="45120AE5"/>
    <w:rsid w:val="451F1453"/>
    <w:rsid w:val="452B70F5"/>
    <w:rsid w:val="453942C3"/>
    <w:rsid w:val="453C3DB3"/>
    <w:rsid w:val="45426D2F"/>
    <w:rsid w:val="454D4212"/>
    <w:rsid w:val="456926CF"/>
    <w:rsid w:val="457F1EF2"/>
    <w:rsid w:val="45854142"/>
    <w:rsid w:val="45A35BE1"/>
    <w:rsid w:val="45AD2F03"/>
    <w:rsid w:val="45B46040"/>
    <w:rsid w:val="45BB5620"/>
    <w:rsid w:val="45C02C36"/>
    <w:rsid w:val="45FB77CB"/>
    <w:rsid w:val="464B2908"/>
    <w:rsid w:val="46503FBA"/>
    <w:rsid w:val="46713F31"/>
    <w:rsid w:val="46841EB6"/>
    <w:rsid w:val="46BC33FE"/>
    <w:rsid w:val="46F96400"/>
    <w:rsid w:val="47727F60"/>
    <w:rsid w:val="47A53E92"/>
    <w:rsid w:val="483671E0"/>
    <w:rsid w:val="48A24875"/>
    <w:rsid w:val="48AB372A"/>
    <w:rsid w:val="48C26CC5"/>
    <w:rsid w:val="492047F1"/>
    <w:rsid w:val="49310DE8"/>
    <w:rsid w:val="49325BF9"/>
    <w:rsid w:val="4953791E"/>
    <w:rsid w:val="497B2AF6"/>
    <w:rsid w:val="49942410"/>
    <w:rsid w:val="49DD5E53"/>
    <w:rsid w:val="4A413C1A"/>
    <w:rsid w:val="4A5F3724"/>
    <w:rsid w:val="4A7933B4"/>
    <w:rsid w:val="4AB50E67"/>
    <w:rsid w:val="4ACE3700"/>
    <w:rsid w:val="4AED1AF9"/>
    <w:rsid w:val="4B1A06F3"/>
    <w:rsid w:val="4B3C2D5F"/>
    <w:rsid w:val="4B49722A"/>
    <w:rsid w:val="4B8244EA"/>
    <w:rsid w:val="4B824C4E"/>
    <w:rsid w:val="4B9E1324"/>
    <w:rsid w:val="4BAD77B9"/>
    <w:rsid w:val="4BB114DC"/>
    <w:rsid w:val="4BF4363A"/>
    <w:rsid w:val="4C456E85"/>
    <w:rsid w:val="4C4719BC"/>
    <w:rsid w:val="4C52210E"/>
    <w:rsid w:val="4C73127D"/>
    <w:rsid w:val="4C76404F"/>
    <w:rsid w:val="4CAC181F"/>
    <w:rsid w:val="4CCA7EF7"/>
    <w:rsid w:val="4CCE5C39"/>
    <w:rsid w:val="4D023B34"/>
    <w:rsid w:val="4D423F31"/>
    <w:rsid w:val="4D826A23"/>
    <w:rsid w:val="4DA93FB0"/>
    <w:rsid w:val="4DC67CB4"/>
    <w:rsid w:val="4DF06083"/>
    <w:rsid w:val="4E047438"/>
    <w:rsid w:val="4E0D09E3"/>
    <w:rsid w:val="4E200716"/>
    <w:rsid w:val="4E530E23"/>
    <w:rsid w:val="4EC310A1"/>
    <w:rsid w:val="4EE03A01"/>
    <w:rsid w:val="4EFE032C"/>
    <w:rsid w:val="4F416B96"/>
    <w:rsid w:val="4F4B3D85"/>
    <w:rsid w:val="4F5D5052"/>
    <w:rsid w:val="4F9842DC"/>
    <w:rsid w:val="4FA233AD"/>
    <w:rsid w:val="50033E4B"/>
    <w:rsid w:val="50E61077"/>
    <w:rsid w:val="51022355"/>
    <w:rsid w:val="510C6D30"/>
    <w:rsid w:val="51142088"/>
    <w:rsid w:val="51200A2D"/>
    <w:rsid w:val="5153670D"/>
    <w:rsid w:val="515F1555"/>
    <w:rsid w:val="51782617"/>
    <w:rsid w:val="51BF0246"/>
    <w:rsid w:val="5248023B"/>
    <w:rsid w:val="52522E68"/>
    <w:rsid w:val="52543D11"/>
    <w:rsid w:val="52741030"/>
    <w:rsid w:val="52AB4326"/>
    <w:rsid w:val="52AD009F"/>
    <w:rsid w:val="52BE04FE"/>
    <w:rsid w:val="52C84ED8"/>
    <w:rsid w:val="52D04C2D"/>
    <w:rsid w:val="530103EA"/>
    <w:rsid w:val="5356107F"/>
    <w:rsid w:val="53966D85"/>
    <w:rsid w:val="53A75A14"/>
    <w:rsid w:val="53B13BBE"/>
    <w:rsid w:val="53B67427"/>
    <w:rsid w:val="53D53D51"/>
    <w:rsid w:val="53F252D8"/>
    <w:rsid w:val="540E2DBF"/>
    <w:rsid w:val="54462559"/>
    <w:rsid w:val="54501629"/>
    <w:rsid w:val="546B0211"/>
    <w:rsid w:val="547215A0"/>
    <w:rsid w:val="547A66A6"/>
    <w:rsid w:val="547C241E"/>
    <w:rsid w:val="54AD082A"/>
    <w:rsid w:val="55BA1450"/>
    <w:rsid w:val="55C53951"/>
    <w:rsid w:val="55D3606E"/>
    <w:rsid w:val="56206DD9"/>
    <w:rsid w:val="56552F27"/>
    <w:rsid w:val="56777341"/>
    <w:rsid w:val="56AE2637"/>
    <w:rsid w:val="56E83D9B"/>
    <w:rsid w:val="57315871"/>
    <w:rsid w:val="57342B3C"/>
    <w:rsid w:val="576775D8"/>
    <w:rsid w:val="57D936E4"/>
    <w:rsid w:val="57E04A72"/>
    <w:rsid w:val="57E97DCB"/>
    <w:rsid w:val="58002419"/>
    <w:rsid w:val="58584F50"/>
    <w:rsid w:val="587437FF"/>
    <w:rsid w:val="58757401"/>
    <w:rsid w:val="58922210"/>
    <w:rsid w:val="589C4E3D"/>
    <w:rsid w:val="58A41F44"/>
    <w:rsid w:val="58AC2BA6"/>
    <w:rsid w:val="58B06B3A"/>
    <w:rsid w:val="58C62C5F"/>
    <w:rsid w:val="5947124D"/>
    <w:rsid w:val="594A2AEB"/>
    <w:rsid w:val="59D92725"/>
    <w:rsid w:val="5AC71F19"/>
    <w:rsid w:val="5ADD173D"/>
    <w:rsid w:val="5B044F1C"/>
    <w:rsid w:val="5B071A27"/>
    <w:rsid w:val="5B330941"/>
    <w:rsid w:val="5B677683"/>
    <w:rsid w:val="5B73EE39"/>
    <w:rsid w:val="5B800A46"/>
    <w:rsid w:val="5B863B83"/>
    <w:rsid w:val="5BCF4C91"/>
    <w:rsid w:val="5BD23601"/>
    <w:rsid w:val="5BD91F04"/>
    <w:rsid w:val="5C1E3DBB"/>
    <w:rsid w:val="5C3830CF"/>
    <w:rsid w:val="5C403D31"/>
    <w:rsid w:val="5C5617A7"/>
    <w:rsid w:val="5C5F065B"/>
    <w:rsid w:val="5C732D6B"/>
    <w:rsid w:val="5CC46711"/>
    <w:rsid w:val="5CF505EE"/>
    <w:rsid w:val="5CFAC9C4"/>
    <w:rsid w:val="5D221689"/>
    <w:rsid w:val="5D504448"/>
    <w:rsid w:val="5D704AEA"/>
    <w:rsid w:val="5D79574D"/>
    <w:rsid w:val="5DCB3ACF"/>
    <w:rsid w:val="5E08087F"/>
    <w:rsid w:val="5E2046CD"/>
    <w:rsid w:val="5E2E29DB"/>
    <w:rsid w:val="5E6A778C"/>
    <w:rsid w:val="5E9842F9"/>
    <w:rsid w:val="5EB60B08"/>
    <w:rsid w:val="5EDC2437"/>
    <w:rsid w:val="5EF01C8B"/>
    <w:rsid w:val="5F013C4C"/>
    <w:rsid w:val="5F487ACD"/>
    <w:rsid w:val="5F561B6F"/>
    <w:rsid w:val="5F57E5CA"/>
    <w:rsid w:val="5F922AF6"/>
    <w:rsid w:val="5FEC4B19"/>
    <w:rsid w:val="60121E89"/>
    <w:rsid w:val="601E25DC"/>
    <w:rsid w:val="6045400C"/>
    <w:rsid w:val="60457B68"/>
    <w:rsid w:val="60563B24"/>
    <w:rsid w:val="60A52CFD"/>
    <w:rsid w:val="60B42F40"/>
    <w:rsid w:val="60EC4488"/>
    <w:rsid w:val="6109328C"/>
    <w:rsid w:val="614A3CD5"/>
    <w:rsid w:val="61616C24"/>
    <w:rsid w:val="61776447"/>
    <w:rsid w:val="61811074"/>
    <w:rsid w:val="619A3EE4"/>
    <w:rsid w:val="61BC19B6"/>
    <w:rsid w:val="61C76746"/>
    <w:rsid w:val="61CA2A1B"/>
    <w:rsid w:val="61EB2991"/>
    <w:rsid w:val="620121B5"/>
    <w:rsid w:val="62377985"/>
    <w:rsid w:val="628C5F22"/>
    <w:rsid w:val="62E47B0C"/>
    <w:rsid w:val="631B72A6"/>
    <w:rsid w:val="635A7DCF"/>
    <w:rsid w:val="635F7193"/>
    <w:rsid w:val="642B176B"/>
    <w:rsid w:val="649824A7"/>
    <w:rsid w:val="64AF7CA6"/>
    <w:rsid w:val="64AFCBD0"/>
    <w:rsid w:val="64D21BE7"/>
    <w:rsid w:val="64DF6B47"/>
    <w:rsid w:val="64E57B6C"/>
    <w:rsid w:val="652E506F"/>
    <w:rsid w:val="65363F24"/>
    <w:rsid w:val="657F3B1C"/>
    <w:rsid w:val="659E5881"/>
    <w:rsid w:val="659F7D1B"/>
    <w:rsid w:val="65D35C16"/>
    <w:rsid w:val="65F75DA9"/>
    <w:rsid w:val="66091638"/>
    <w:rsid w:val="669C35D3"/>
    <w:rsid w:val="66DC6D4D"/>
    <w:rsid w:val="671958AB"/>
    <w:rsid w:val="671D4DCD"/>
    <w:rsid w:val="674C5C80"/>
    <w:rsid w:val="679D028A"/>
    <w:rsid w:val="67C50C16"/>
    <w:rsid w:val="67CE2B39"/>
    <w:rsid w:val="67EA3883"/>
    <w:rsid w:val="681A18DB"/>
    <w:rsid w:val="68525F93"/>
    <w:rsid w:val="68594AF9"/>
    <w:rsid w:val="689E69AF"/>
    <w:rsid w:val="68B14F0E"/>
    <w:rsid w:val="68D339E7"/>
    <w:rsid w:val="68D73C6F"/>
    <w:rsid w:val="68F55EA4"/>
    <w:rsid w:val="69230C63"/>
    <w:rsid w:val="692955D6"/>
    <w:rsid w:val="69320EA6"/>
    <w:rsid w:val="69E15F06"/>
    <w:rsid w:val="69F83E9D"/>
    <w:rsid w:val="6A024D1C"/>
    <w:rsid w:val="6A3C6480"/>
    <w:rsid w:val="6A3F7D1E"/>
    <w:rsid w:val="6A582B8E"/>
    <w:rsid w:val="6A707ED8"/>
    <w:rsid w:val="6A935974"/>
    <w:rsid w:val="6A99742E"/>
    <w:rsid w:val="6ADC556D"/>
    <w:rsid w:val="6AFF2A6C"/>
    <w:rsid w:val="6B785296"/>
    <w:rsid w:val="6B8C0D41"/>
    <w:rsid w:val="6B9876E6"/>
    <w:rsid w:val="6BEE37AA"/>
    <w:rsid w:val="6BFA110A"/>
    <w:rsid w:val="6C125356"/>
    <w:rsid w:val="6C186A79"/>
    <w:rsid w:val="6C5775A1"/>
    <w:rsid w:val="6C577A48"/>
    <w:rsid w:val="6C6A0AC0"/>
    <w:rsid w:val="6C783074"/>
    <w:rsid w:val="6C892E5E"/>
    <w:rsid w:val="6CB95B66"/>
    <w:rsid w:val="6CC87B57"/>
    <w:rsid w:val="6D0A63C2"/>
    <w:rsid w:val="6D5E495F"/>
    <w:rsid w:val="6D853C9A"/>
    <w:rsid w:val="6DB93944"/>
    <w:rsid w:val="6DE9247B"/>
    <w:rsid w:val="6DEE5CE3"/>
    <w:rsid w:val="6E423939"/>
    <w:rsid w:val="6EAB5982"/>
    <w:rsid w:val="6EBAEEF7"/>
    <w:rsid w:val="6EE844E0"/>
    <w:rsid w:val="6F285225"/>
    <w:rsid w:val="6F3E2352"/>
    <w:rsid w:val="6F4656AB"/>
    <w:rsid w:val="6F814935"/>
    <w:rsid w:val="6F9957DB"/>
    <w:rsid w:val="6FB57FD6"/>
    <w:rsid w:val="6FC30AAA"/>
    <w:rsid w:val="6FC37AD4"/>
    <w:rsid w:val="6FC565D0"/>
    <w:rsid w:val="6FC7059A"/>
    <w:rsid w:val="700F4542"/>
    <w:rsid w:val="70812E3F"/>
    <w:rsid w:val="70840239"/>
    <w:rsid w:val="70A55107"/>
    <w:rsid w:val="71285068"/>
    <w:rsid w:val="712D267F"/>
    <w:rsid w:val="714A1482"/>
    <w:rsid w:val="715C11B6"/>
    <w:rsid w:val="716A5681"/>
    <w:rsid w:val="717B5AE0"/>
    <w:rsid w:val="71C1726B"/>
    <w:rsid w:val="71FF0F1B"/>
    <w:rsid w:val="72021D5D"/>
    <w:rsid w:val="727B38BE"/>
    <w:rsid w:val="72840E99"/>
    <w:rsid w:val="7289422C"/>
    <w:rsid w:val="729B5D0E"/>
    <w:rsid w:val="72B666A4"/>
    <w:rsid w:val="72C139C6"/>
    <w:rsid w:val="730E64E0"/>
    <w:rsid w:val="7419338E"/>
    <w:rsid w:val="743B1556"/>
    <w:rsid w:val="744C3764"/>
    <w:rsid w:val="745E6FF3"/>
    <w:rsid w:val="746C7962"/>
    <w:rsid w:val="748A066E"/>
    <w:rsid w:val="74942A15"/>
    <w:rsid w:val="74BB61F3"/>
    <w:rsid w:val="74D53759"/>
    <w:rsid w:val="75157FF9"/>
    <w:rsid w:val="7533222E"/>
    <w:rsid w:val="75516410"/>
    <w:rsid w:val="75531CD2"/>
    <w:rsid w:val="75864A53"/>
    <w:rsid w:val="75CB06B8"/>
    <w:rsid w:val="75E02AB1"/>
    <w:rsid w:val="763149BF"/>
    <w:rsid w:val="764F12E9"/>
    <w:rsid w:val="767E572A"/>
    <w:rsid w:val="768F7938"/>
    <w:rsid w:val="76A01B45"/>
    <w:rsid w:val="76C174E4"/>
    <w:rsid w:val="771340C5"/>
    <w:rsid w:val="771A05FD"/>
    <w:rsid w:val="771B11CB"/>
    <w:rsid w:val="77204A34"/>
    <w:rsid w:val="773A3122"/>
    <w:rsid w:val="774424D0"/>
    <w:rsid w:val="77470212"/>
    <w:rsid w:val="774C0E93"/>
    <w:rsid w:val="775A7F45"/>
    <w:rsid w:val="778CFDC4"/>
    <w:rsid w:val="77D53A70"/>
    <w:rsid w:val="77ED700C"/>
    <w:rsid w:val="77EDE09C"/>
    <w:rsid w:val="78105060"/>
    <w:rsid w:val="783469E8"/>
    <w:rsid w:val="78A7540C"/>
    <w:rsid w:val="78AD1F79"/>
    <w:rsid w:val="78C23FF4"/>
    <w:rsid w:val="791E4FA3"/>
    <w:rsid w:val="7984574E"/>
    <w:rsid w:val="798642D3"/>
    <w:rsid w:val="79B005DD"/>
    <w:rsid w:val="79F53F55"/>
    <w:rsid w:val="7A7E3F4B"/>
    <w:rsid w:val="7A85352B"/>
    <w:rsid w:val="7AB21E46"/>
    <w:rsid w:val="7AB67B89"/>
    <w:rsid w:val="7AFD57B8"/>
    <w:rsid w:val="7B095301"/>
    <w:rsid w:val="7B4C4049"/>
    <w:rsid w:val="7BAA3D4A"/>
    <w:rsid w:val="7BC41E31"/>
    <w:rsid w:val="7BE2675B"/>
    <w:rsid w:val="7BEB1AB4"/>
    <w:rsid w:val="7C2B0102"/>
    <w:rsid w:val="7C3A6597"/>
    <w:rsid w:val="7C6B04FF"/>
    <w:rsid w:val="7C6B2835"/>
    <w:rsid w:val="7C9C690A"/>
    <w:rsid w:val="7CA51C63"/>
    <w:rsid w:val="7CFD384D"/>
    <w:rsid w:val="7D7F0942"/>
    <w:rsid w:val="7D845D1C"/>
    <w:rsid w:val="7D983576"/>
    <w:rsid w:val="7DA0067C"/>
    <w:rsid w:val="7DBF6D54"/>
    <w:rsid w:val="7DD722F0"/>
    <w:rsid w:val="7DFF3A1B"/>
    <w:rsid w:val="7E745D91"/>
    <w:rsid w:val="7E776B66"/>
    <w:rsid w:val="7E8D0C00"/>
    <w:rsid w:val="7EA877E8"/>
    <w:rsid w:val="7F0B7D77"/>
    <w:rsid w:val="7F10538E"/>
    <w:rsid w:val="7F2A5316"/>
    <w:rsid w:val="7F533BF8"/>
    <w:rsid w:val="7F833DB1"/>
    <w:rsid w:val="7FAF2DF8"/>
    <w:rsid w:val="7FBB179D"/>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19"/>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link w:val="263"/>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6"/>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basedOn w:val="69"/>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7"/>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basedOn w:val="69"/>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99</Pages>
  <Words>25863</Words>
  <Characters>27649</Characters>
  <Paragraphs>1943</Paragraphs>
  <TotalTime>14</TotalTime>
  <ScaleCrop>false</ScaleCrop>
  <LinksUpToDate>false</LinksUpToDate>
  <CharactersWithSpaces>29322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Yc.</cp:lastModifiedBy>
  <cp:lastPrinted>2021-12-31T19:06:00Z</cp:lastPrinted>
  <dcterms:modified xsi:type="dcterms:W3CDTF">2025-06-18T08:24:08Z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3685895CDE934ABE8522CF1371D55ED3_13</vt:lpwstr>
  </property>
  <property fmtid="{D5CDD505-2E9C-101B-9397-08002B2CF9AE}" pid="5" name="KSOTemplateDocerSaveRecord">
    <vt:lpwstr>eyJoZGlkIjoiNDNlZjBmZjY5YTQ5NGRhMjE0ZWU1YWQ5MTA4NmE5MmQiLCJ1c2VySWQiOiI3MDgyNzkyOTUifQ==</vt:lpwstr>
  </property>
</Properties>
</file>