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3AEF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cs="楷体"/>
          <w:b/>
          <w:bCs w:val="0"/>
          <w:iCs/>
          <w:sz w:val="32"/>
          <w:szCs w:val="32"/>
          <w:highlight w:val="none"/>
          <w:lang w:val="en-US" w:eastAsia="zh-CN"/>
        </w:rPr>
      </w:pPr>
      <w:bookmarkStart w:id="0" w:name="_GoBack"/>
      <w:bookmarkEnd w:id="0"/>
      <w:r>
        <w:rPr>
          <w:rFonts w:hint="eastAsia" w:ascii="Times New Roman" w:hAnsi="Times New Roman" w:eastAsia="宋体" w:cs="楷体"/>
          <w:b/>
          <w:bCs w:val="0"/>
          <w:iCs/>
          <w:sz w:val="32"/>
          <w:szCs w:val="32"/>
          <w:highlight w:val="none"/>
          <w:lang w:val="en-US" w:eastAsia="zh-CN"/>
        </w:rPr>
        <w:t>南山校区12、14号教学楼</w:t>
      </w:r>
    </w:p>
    <w:p w14:paraId="4A04B6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cs="楷体"/>
          <w:b/>
          <w:bCs w:val="0"/>
          <w:iCs/>
          <w:sz w:val="32"/>
          <w:szCs w:val="32"/>
          <w:highlight w:val="none"/>
          <w:lang w:val="en-US" w:eastAsia="zh-CN"/>
        </w:rPr>
      </w:pPr>
      <w:r>
        <w:rPr>
          <w:rFonts w:hint="eastAsia" w:ascii="Times New Roman" w:hAnsi="Times New Roman" w:eastAsia="宋体" w:cs="楷体"/>
          <w:b/>
          <w:bCs w:val="0"/>
          <w:iCs/>
          <w:sz w:val="32"/>
          <w:szCs w:val="32"/>
          <w:highlight w:val="none"/>
          <w:lang w:val="en-US" w:eastAsia="zh-CN"/>
        </w:rPr>
        <w:t>（商学院、外国语学院）维修改造项目</w:t>
      </w:r>
    </w:p>
    <w:p w14:paraId="5008B27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cs="楷体"/>
          <w:b/>
          <w:bCs w:val="0"/>
          <w:iCs/>
          <w:sz w:val="32"/>
          <w:szCs w:val="32"/>
          <w:lang w:val="en-US" w:eastAsia="zh-CN"/>
        </w:rPr>
      </w:pPr>
      <w:r>
        <w:rPr>
          <w:rFonts w:hint="eastAsia" w:ascii="Times New Roman" w:hAnsi="Times New Roman" w:eastAsia="宋体" w:cs="楷体"/>
          <w:b/>
          <w:bCs w:val="0"/>
          <w:iCs/>
          <w:sz w:val="32"/>
          <w:szCs w:val="32"/>
          <w:lang w:val="en-US" w:eastAsia="zh-CN"/>
        </w:rPr>
        <w:t>标底编制说明</w:t>
      </w:r>
    </w:p>
    <w:p w14:paraId="4BA1F37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imes New Roman" w:hAnsi="Times New Roman" w:eastAsia="宋体" w:cs="楷体"/>
          <w:bCs/>
          <w:iCs/>
          <w:sz w:val="24"/>
          <w:szCs w:val="84"/>
          <w:lang w:val="en-US" w:eastAsia="zh-CN"/>
        </w:rPr>
      </w:pPr>
    </w:p>
    <w:p w14:paraId="23BCF5BA">
      <w:pPr>
        <w:keepNext w:val="0"/>
        <w:keepLines w:val="0"/>
        <w:pageBreakBefore w:val="0"/>
        <w:widowControl w:val="0"/>
        <w:numPr>
          <w:ilvl w:val="0"/>
          <w:numId w:val="0"/>
        </w:numPr>
        <w:kinsoku/>
        <w:wordWrap/>
        <w:overflowPunct/>
        <w:topLinePunct w:val="0"/>
        <w:autoSpaceDE/>
        <w:autoSpaceDN/>
        <w:bidi w:val="0"/>
        <w:adjustRightInd w:val="0"/>
        <w:snapToGrid w:val="0"/>
        <w:spacing w:line="348" w:lineRule="auto"/>
        <w:ind w:firstLine="482" w:firstLineChars="200"/>
        <w:textAlignment w:val="auto"/>
        <w:rPr>
          <w:rFonts w:hint="eastAsia" w:ascii="Times New Roman" w:hAnsi="Times New Roman" w:eastAsia="宋体" w:cs="楷体"/>
          <w:b/>
          <w:bCs w:val="0"/>
          <w:iCs/>
          <w:sz w:val="24"/>
          <w:szCs w:val="84"/>
          <w:lang w:val="en-US" w:eastAsia="zh-CN"/>
        </w:rPr>
      </w:pPr>
      <w:r>
        <w:rPr>
          <w:rFonts w:hint="eastAsia" w:ascii="Times New Roman" w:hAnsi="Times New Roman" w:eastAsia="宋体" w:cs="楷体"/>
          <w:b/>
          <w:bCs w:val="0"/>
          <w:iCs/>
          <w:kern w:val="2"/>
          <w:sz w:val="24"/>
          <w:szCs w:val="84"/>
          <w:lang w:val="en-US" w:eastAsia="zh-CN" w:bidi="ar-SA"/>
        </w:rPr>
        <w:t>一、</w:t>
      </w:r>
      <w:r>
        <w:rPr>
          <w:rFonts w:hint="eastAsia" w:ascii="Times New Roman" w:hAnsi="Times New Roman" w:eastAsia="宋体" w:cs="楷体"/>
          <w:b/>
          <w:bCs w:val="0"/>
          <w:iCs/>
          <w:sz w:val="24"/>
          <w:szCs w:val="84"/>
          <w:lang w:val="en-US" w:eastAsia="zh-CN"/>
        </w:rPr>
        <w:t>工程名称：</w:t>
      </w:r>
    </w:p>
    <w:p w14:paraId="1ADA6EDE">
      <w:pPr>
        <w:keepNext w:val="0"/>
        <w:keepLines w:val="0"/>
        <w:pageBreakBefore w:val="0"/>
        <w:widowControl w:val="0"/>
        <w:numPr>
          <w:ilvl w:val="0"/>
          <w:numId w:val="0"/>
        </w:numPr>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南山校区12、14号教学楼（商学院、外国语学院）维修改造项目</w:t>
      </w:r>
    </w:p>
    <w:p w14:paraId="386A13B6">
      <w:pPr>
        <w:keepNext w:val="0"/>
        <w:keepLines w:val="0"/>
        <w:pageBreakBefore w:val="0"/>
        <w:widowControl w:val="0"/>
        <w:kinsoku/>
        <w:wordWrap/>
        <w:overflowPunct/>
        <w:topLinePunct w:val="0"/>
        <w:autoSpaceDE/>
        <w:autoSpaceDN/>
        <w:bidi w:val="0"/>
        <w:adjustRightInd w:val="0"/>
        <w:snapToGrid w:val="0"/>
        <w:spacing w:line="348" w:lineRule="auto"/>
        <w:ind w:firstLine="482" w:firstLineChars="200"/>
        <w:textAlignment w:val="auto"/>
        <w:rPr>
          <w:rFonts w:hint="eastAsia" w:ascii="Times New Roman" w:hAnsi="Times New Roman" w:eastAsia="宋体" w:cs="楷体"/>
          <w:bCs/>
          <w:iCs/>
          <w:sz w:val="24"/>
          <w:szCs w:val="84"/>
        </w:rPr>
      </w:pPr>
      <w:r>
        <w:rPr>
          <w:rFonts w:hint="eastAsia" w:ascii="Times New Roman" w:hAnsi="Times New Roman" w:eastAsia="宋体" w:cs="楷体"/>
          <w:b/>
          <w:bCs w:val="0"/>
          <w:iCs/>
          <w:sz w:val="24"/>
          <w:szCs w:val="84"/>
          <w:highlight w:val="none"/>
          <w:lang w:val="en-US" w:eastAsia="zh-CN"/>
        </w:rPr>
        <w:t>二、</w:t>
      </w:r>
      <w:r>
        <w:rPr>
          <w:rFonts w:hint="eastAsia" w:ascii="Times New Roman" w:hAnsi="Times New Roman" w:eastAsia="宋体" w:cs="楷体"/>
          <w:b/>
          <w:bCs w:val="0"/>
          <w:iCs/>
          <w:sz w:val="24"/>
          <w:szCs w:val="84"/>
        </w:rPr>
        <w:t>工程概况：</w:t>
      </w:r>
    </w:p>
    <w:p w14:paraId="1B8F2D58">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本工程为南山校区12、14号教学楼（商学院、外国语学院）维修改造项目。施工内容包括原有墙体拆改、新增隔墙、室内装饰、强弱电安装等。</w:t>
      </w:r>
    </w:p>
    <w:p w14:paraId="340E6018">
      <w:pPr>
        <w:keepNext w:val="0"/>
        <w:keepLines w:val="0"/>
        <w:pageBreakBefore w:val="0"/>
        <w:widowControl w:val="0"/>
        <w:numPr>
          <w:ilvl w:val="0"/>
          <w:numId w:val="0"/>
        </w:numPr>
        <w:kinsoku/>
        <w:wordWrap/>
        <w:overflowPunct/>
        <w:topLinePunct w:val="0"/>
        <w:autoSpaceDE/>
        <w:autoSpaceDN/>
        <w:bidi w:val="0"/>
        <w:adjustRightInd w:val="0"/>
        <w:snapToGrid w:val="0"/>
        <w:spacing w:line="348" w:lineRule="auto"/>
        <w:ind w:firstLine="482" w:firstLineChars="200"/>
        <w:textAlignment w:val="auto"/>
        <w:rPr>
          <w:rFonts w:hint="eastAsia" w:ascii="Times New Roman" w:hAnsi="Times New Roman" w:eastAsia="宋体" w:cs="楷体"/>
          <w:b/>
          <w:bCs w:val="0"/>
          <w:iCs/>
          <w:sz w:val="24"/>
          <w:szCs w:val="84"/>
        </w:rPr>
      </w:pPr>
      <w:r>
        <w:rPr>
          <w:rFonts w:hint="eastAsia" w:ascii="Times New Roman" w:hAnsi="Times New Roman" w:eastAsia="宋体" w:cs="楷体"/>
          <w:b/>
          <w:bCs w:val="0"/>
          <w:iCs/>
          <w:kern w:val="2"/>
          <w:sz w:val="24"/>
          <w:szCs w:val="84"/>
          <w:lang w:val="en-US" w:eastAsia="zh-CN" w:bidi="ar-SA"/>
        </w:rPr>
        <w:t>三、</w:t>
      </w:r>
      <w:r>
        <w:rPr>
          <w:rFonts w:hint="eastAsia" w:ascii="Times New Roman" w:hAnsi="Times New Roman" w:eastAsia="宋体" w:cs="楷体"/>
          <w:b/>
          <w:bCs w:val="0"/>
          <w:iCs/>
          <w:sz w:val="24"/>
          <w:szCs w:val="84"/>
        </w:rPr>
        <w:t>编制依据：</w:t>
      </w:r>
    </w:p>
    <w:p w14:paraId="4F0CD11E">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1、根据浙江中景建筑设计集团有限公司设计的《外国语学院12号楼改造》、《商学院新大楼搬迁改造工程》设计图纸计算；</w:t>
      </w:r>
    </w:p>
    <w:p w14:paraId="02777F31">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2、《建设工程工程量清单计价规范》（GB50500-2013）；</w:t>
      </w:r>
    </w:p>
    <w:p w14:paraId="5C3F57B4">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3、《浙江省建设工程计价规则》（2018版）、《浙江省建设工程工程量清单计价实用手册》（2018版）；</w:t>
      </w:r>
    </w:p>
    <w:p w14:paraId="4D5D52D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4、《浙江省建筑工程预算定额》（2018版）、《浙江省安装工程预算定额》（2018版）、《浙江省市政工程预算定额》（2018版）、《浙江省建设工程施工费用定额》（2018版）；</w:t>
      </w:r>
    </w:p>
    <w:p w14:paraId="5589AE91">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5、相关文件、解释等；</w:t>
      </w:r>
    </w:p>
    <w:p w14:paraId="4AD3E2A5">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6、人工价格按照绍兴市信息价计取，即二类人工149元/工日，三类人工171元/工日；</w:t>
      </w:r>
    </w:p>
    <w:p w14:paraId="59A9DBEA">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7、材料价格参照《绍兴市造价信息》2025年第2期，《浙江省造价信息》2025年第2期，无信息价材料按推荐品牌市场价计入；</w:t>
      </w:r>
    </w:p>
    <w:p w14:paraId="6C73514A">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8、取费标准：施工组织措施费中安全文明施工基本费按市区工程中值计取，其它施工组织措施费不计取，以后不再增加该类费用，规费按浙建建【2018】61号规定的标准费率的36%计算，请投标单位在报价时自行综合考虑；</w:t>
      </w:r>
    </w:p>
    <w:p w14:paraId="4EA72DE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9、农民工工伤保险费已包含在标底报价内；</w:t>
      </w:r>
    </w:p>
    <w:p w14:paraId="03A1EA99">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10、本工程采用一般计税方法计算。税金根据浙建建发【2019】92号文《关于增值税调整后我省建设工程计价依据增值税税率及有关计价调整的通知》按9%计取，计费基数为税前工程造价；</w:t>
      </w:r>
    </w:p>
    <w:p w14:paraId="4103738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11、本工程不考虑创标化工地、优质工程和计取总承包服务费。</w:t>
      </w:r>
    </w:p>
    <w:p w14:paraId="17459E89">
      <w:pPr>
        <w:keepNext w:val="0"/>
        <w:keepLines w:val="0"/>
        <w:pageBreakBefore w:val="0"/>
        <w:widowControl w:val="0"/>
        <w:kinsoku/>
        <w:wordWrap/>
        <w:overflowPunct/>
        <w:topLinePunct w:val="0"/>
        <w:autoSpaceDE/>
        <w:autoSpaceDN/>
        <w:bidi w:val="0"/>
        <w:adjustRightInd w:val="0"/>
        <w:snapToGrid w:val="0"/>
        <w:spacing w:line="348" w:lineRule="auto"/>
        <w:ind w:firstLine="482" w:firstLineChars="200"/>
        <w:textAlignment w:val="auto"/>
        <w:rPr>
          <w:rFonts w:hint="eastAsia" w:ascii="Times New Roman" w:hAnsi="Times New Roman" w:eastAsia="宋体" w:cs="楷体"/>
          <w:b/>
          <w:bCs w:val="0"/>
          <w:iCs/>
          <w:sz w:val="24"/>
          <w:szCs w:val="84"/>
        </w:rPr>
      </w:pPr>
      <w:r>
        <w:rPr>
          <w:rFonts w:hint="eastAsia" w:ascii="Times New Roman" w:hAnsi="Times New Roman" w:eastAsia="宋体" w:cs="楷体"/>
          <w:b/>
          <w:bCs w:val="0"/>
          <w:iCs/>
          <w:sz w:val="24"/>
          <w:szCs w:val="84"/>
          <w:lang w:val="en-US" w:eastAsia="zh-CN"/>
        </w:rPr>
        <w:t>四</w:t>
      </w:r>
      <w:r>
        <w:rPr>
          <w:rFonts w:hint="eastAsia" w:ascii="Times New Roman" w:hAnsi="Times New Roman" w:eastAsia="宋体" w:cs="楷体"/>
          <w:b/>
          <w:bCs w:val="0"/>
          <w:iCs/>
          <w:sz w:val="24"/>
          <w:szCs w:val="84"/>
        </w:rPr>
        <w:t>、内容相关说明：</w:t>
      </w:r>
    </w:p>
    <w:p w14:paraId="307BB4EF">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lang w:val="en-US" w:eastAsia="zh-CN"/>
        </w:rPr>
      </w:pPr>
      <w:r>
        <w:rPr>
          <w:rFonts w:hint="eastAsia" w:ascii="Times New Roman" w:hAnsi="Times New Roman" w:eastAsia="宋体" w:cs="楷体"/>
          <w:b w:val="0"/>
          <w:bCs/>
          <w:iCs/>
          <w:sz w:val="24"/>
          <w:szCs w:val="84"/>
          <w:lang w:val="en-US" w:eastAsia="zh-CN"/>
        </w:rPr>
        <w:t>（一）建筑：</w:t>
      </w:r>
    </w:p>
    <w:p w14:paraId="32B66B0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1、墙面乳胶漆按腻子二遍，乳胶漆二遍考虑，其墙面刮腻子工程量，按墙面面积的10%计取，结算时根据业主、监理签证，工程量按实调整；</w:t>
      </w:r>
    </w:p>
    <w:p w14:paraId="76CB1778">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2、新增轻钢龙骨纸面石膏板隔断中的门按成品实木复合门（尺寸1*2m，带门套、五金等）考虑，结算时按实调整；</w:t>
      </w:r>
    </w:p>
    <w:p w14:paraId="3368F97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3、成品铝合金玻璃隔断中的门按成品铝合金门（尺寸1*2m，带门套、玻璃、五金等）考虑，结算时按实调整；</w:t>
      </w:r>
    </w:p>
    <w:p w14:paraId="3A673BE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4、乳胶漆按信息价的90%计入；</w:t>
      </w:r>
    </w:p>
    <w:p w14:paraId="71AC0EC9">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5、无边硫酸钙抗静电地板（含可调支架系统）按宁波市2025年第2期信息价计入；</w:t>
      </w:r>
    </w:p>
    <w:p w14:paraId="0816DFD3">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6、木条吸音板按嘉兴市2025年第2期信息价计入；</w:t>
      </w:r>
    </w:p>
    <w:p w14:paraId="181C092B">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7、</w:t>
      </w:r>
      <w:r>
        <w:rPr>
          <w:rFonts w:hint="default" w:ascii="Times New Roman" w:hAnsi="Times New Roman" w:eastAsia="宋体" w:cs="楷体"/>
          <w:bCs/>
          <w:iCs/>
          <w:sz w:val="24"/>
          <w:szCs w:val="84"/>
          <w:highlight w:val="none"/>
          <w:lang w:val="en-US" w:eastAsia="zh-CN"/>
        </w:rPr>
        <w:t>南山校区12号教学楼（外国语学院）</w:t>
      </w:r>
      <w:r>
        <w:rPr>
          <w:rFonts w:hint="eastAsia" w:ascii="Times New Roman" w:hAnsi="Times New Roman" w:eastAsia="宋体" w:cs="楷体"/>
          <w:b w:val="0"/>
          <w:bCs/>
          <w:iCs/>
          <w:sz w:val="24"/>
          <w:szCs w:val="84"/>
          <w:highlight w:val="none"/>
          <w:lang w:val="en-US" w:eastAsia="zh-CN"/>
        </w:rPr>
        <w:t>除走廊之外的房间吊顶修补（未注明做法）按矿棉板吊顶考虑，结算时按实调整；</w:t>
      </w:r>
    </w:p>
    <w:p w14:paraId="17E087BB">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8、</w:t>
      </w:r>
      <w:r>
        <w:rPr>
          <w:rFonts w:hint="default" w:ascii="Times New Roman" w:hAnsi="Times New Roman" w:eastAsia="宋体" w:cs="楷体"/>
          <w:bCs/>
          <w:iCs/>
          <w:sz w:val="24"/>
          <w:szCs w:val="84"/>
          <w:highlight w:val="none"/>
          <w:lang w:val="en-US" w:eastAsia="zh-CN"/>
        </w:rPr>
        <w:t>南山校区12号教学楼（外国语学院）</w:t>
      </w:r>
      <w:r>
        <w:rPr>
          <w:rFonts w:hint="eastAsia" w:ascii="Times New Roman" w:hAnsi="Times New Roman" w:eastAsia="宋体" w:cs="楷体"/>
          <w:b w:val="0"/>
          <w:bCs/>
          <w:iCs/>
          <w:sz w:val="24"/>
          <w:szCs w:val="84"/>
          <w:highlight w:val="none"/>
          <w:lang w:val="en-US" w:eastAsia="zh-CN"/>
        </w:rPr>
        <w:t>走廊吊顶修补按石膏板吊顶，腻子二遍，乳胶漆二遍考虑，其石膏板、刮腻子工程量，按吊顶面积的20%计取，结算时根据业主、监理签证，工程量按实调整；</w:t>
      </w:r>
    </w:p>
    <w:p w14:paraId="2136DD2F">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9、</w:t>
      </w:r>
      <w:r>
        <w:rPr>
          <w:rFonts w:hint="default" w:ascii="Times New Roman" w:hAnsi="Times New Roman" w:eastAsia="宋体" w:cs="楷体"/>
          <w:bCs/>
          <w:iCs/>
          <w:sz w:val="24"/>
          <w:szCs w:val="84"/>
          <w:highlight w:val="none"/>
          <w:lang w:val="en-US" w:eastAsia="zh-CN"/>
        </w:rPr>
        <w:t>南山校区14号教学楼（商学院）</w:t>
      </w:r>
      <w:r>
        <w:rPr>
          <w:rFonts w:hint="eastAsia" w:ascii="Times New Roman" w:hAnsi="Times New Roman" w:eastAsia="宋体" w:cs="楷体"/>
          <w:bCs/>
          <w:iCs/>
          <w:sz w:val="24"/>
          <w:szCs w:val="84"/>
          <w:highlight w:val="none"/>
          <w:lang w:val="en-US" w:eastAsia="zh-CN"/>
        </w:rPr>
        <w:t>门封堵按尺寸1*2m金属门窗拆除，砂浆DM M7.5砌筑200mm厚蒸压加气混凝土砌块墙，抹20mm厚DP M15砂浆，刮腻子二遍，刷乳胶漆二遍</w:t>
      </w:r>
      <w:r>
        <w:rPr>
          <w:rFonts w:hint="eastAsia" w:ascii="Times New Roman" w:hAnsi="Times New Roman" w:eastAsia="宋体" w:cs="楷体"/>
          <w:b w:val="0"/>
          <w:bCs/>
          <w:iCs/>
          <w:sz w:val="24"/>
          <w:szCs w:val="84"/>
          <w:highlight w:val="none"/>
          <w:lang w:val="en-US" w:eastAsia="zh-CN"/>
        </w:rPr>
        <w:t>考虑，结算时按实调整；</w:t>
      </w:r>
    </w:p>
    <w:p w14:paraId="6D96947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10、</w:t>
      </w:r>
      <w:r>
        <w:rPr>
          <w:rFonts w:hint="default" w:ascii="Times New Roman" w:hAnsi="Times New Roman" w:eastAsia="宋体" w:cs="楷体"/>
          <w:bCs/>
          <w:iCs/>
          <w:sz w:val="24"/>
          <w:szCs w:val="84"/>
          <w:highlight w:val="none"/>
          <w:lang w:val="en-US" w:eastAsia="zh-CN"/>
        </w:rPr>
        <w:t>南山校区14号教学楼（商学院）</w:t>
      </w:r>
      <w:r>
        <w:rPr>
          <w:rFonts w:hint="eastAsia" w:ascii="Times New Roman" w:hAnsi="Times New Roman" w:eastAsia="宋体" w:cs="楷体"/>
          <w:b w:val="0"/>
          <w:bCs/>
          <w:iCs/>
          <w:sz w:val="24"/>
          <w:szCs w:val="84"/>
          <w:highlight w:val="none"/>
          <w:lang w:val="en-US" w:eastAsia="zh-CN"/>
        </w:rPr>
        <w:t>墙面装饰板按墙面木夹板基层，硬木条吸音墙面考虑，结算时按实调整；</w:t>
      </w:r>
    </w:p>
    <w:p w14:paraId="5E640A3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11、</w:t>
      </w:r>
      <w:r>
        <w:rPr>
          <w:rFonts w:hint="default" w:ascii="Times New Roman" w:hAnsi="Times New Roman" w:eastAsia="宋体" w:cs="楷体"/>
          <w:bCs/>
          <w:iCs/>
          <w:sz w:val="24"/>
          <w:szCs w:val="84"/>
          <w:highlight w:val="none"/>
          <w:lang w:val="en-US" w:eastAsia="zh-CN"/>
        </w:rPr>
        <w:t>南山校区14号教学楼（商学院）</w:t>
      </w:r>
      <w:r>
        <w:rPr>
          <w:rFonts w:hint="eastAsia" w:ascii="Times New Roman" w:hAnsi="Times New Roman" w:eastAsia="宋体" w:cs="楷体"/>
          <w:b w:val="0"/>
          <w:bCs/>
          <w:iCs/>
          <w:sz w:val="24"/>
          <w:szCs w:val="84"/>
          <w:highlight w:val="none"/>
          <w:lang w:val="en-US" w:eastAsia="zh-CN"/>
        </w:rPr>
        <w:t>隐形门按木饰面（带门套、五金等）考虑，结算时按实调整；</w:t>
      </w:r>
    </w:p>
    <w:p w14:paraId="3D9B9197">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12、</w:t>
      </w:r>
      <w:r>
        <w:rPr>
          <w:rFonts w:hint="default" w:ascii="Times New Roman" w:hAnsi="Times New Roman" w:eastAsia="宋体" w:cs="楷体"/>
          <w:bCs/>
          <w:iCs/>
          <w:sz w:val="24"/>
          <w:szCs w:val="84"/>
          <w:highlight w:val="none"/>
          <w:lang w:val="en-US" w:eastAsia="zh-CN"/>
        </w:rPr>
        <w:t>南山校区14号教学楼（商学院）</w:t>
      </w:r>
      <w:r>
        <w:rPr>
          <w:rFonts w:hint="eastAsia" w:ascii="Times New Roman" w:hAnsi="Times New Roman" w:eastAsia="宋体" w:cs="楷体"/>
          <w:bCs/>
          <w:iCs/>
          <w:sz w:val="24"/>
          <w:szCs w:val="84"/>
          <w:highlight w:val="none"/>
          <w:lang w:val="en-US" w:eastAsia="zh-CN"/>
        </w:rPr>
        <w:t>三层系小会议室、系大会议室、MPAcc学习室，五层党员之家/教工小家的墙面按</w:t>
      </w:r>
      <w:r>
        <w:rPr>
          <w:rFonts w:hint="eastAsia" w:ascii="Times New Roman" w:hAnsi="Times New Roman" w:eastAsia="宋体" w:cs="楷体"/>
          <w:b w:val="0"/>
          <w:bCs/>
          <w:iCs/>
          <w:sz w:val="24"/>
          <w:szCs w:val="84"/>
          <w:highlight w:val="none"/>
          <w:lang w:val="en-US" w:eastAsia="zh-CN"/>
        </w:rPr>
        <w:t>墙面装饰板考虑，结算时按实调整</w:t>
      </w:r>
      <w:r>
        <w:rPr>
          <w:rFonts w:hint="eastAsia" w:ascii="Times New Roman" w:hAnsi="Times New Roman" w:eastAsia="宋体" w:cs="楷体"/>
          <w:bCs/>
          <w:iCs/>
          <w:sz w:val="24"/>
          <w:szCs w:val="84"/>
          <w:highlight w:val="none"/>
          <w:lang w:val="en-US" w:eastAsia="zh-CN"/>
        </w:rPr>
        <w:t>；</w:t>
      </w:r>
    </w:p>
    <w:p w14:paraId="2DB01BAF">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13、</w:t>
      </w:r>
      <w:r>
        <w:rPr>
          <w:rFonts w:hint="default" w:ascii="Times New Roman" w:hAnsi="Times New Roman" w:eastAsia="宋体" w:cs="楷体"/>
          <w:bCs/>
          <w:iCs/>
          <w:sz w:val="24"/>
          <w:szCs w:val="84"/>
          <w:highlight w:val="none"/>
          <w:lang w:val="en-US" w:eastAsia="zh-CN"/>
        </w:rPr>
        <w:t>南山校区14号教学楼（商学院）</w:t>
      </w:r>
      <w:r>
        <w:rPr>
          <w:rFonts w:hint="eastAsia" w:ascii="Times New Roman" w:hAnsi="Times New Roman" w:eastAsia="宋体" w:cs="楷体"/>
          <w:b w:val="0"/>
          <w:bCs/>
          <w:iCs/>
          <w:sz w:val="24"/>
          <w:szCs w:val="84"/>
          <w:highlight w:val="none"/>
          <w:lang w:val="en-US" w:eastAsia="zh-CN"/>
        </w:rPr>
        <w:t>文化墙、形象墙不计入。</w:t>
      </w:r>
    </w:p>
    <w:p w14:paraId="211CE5E8">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 w:val="0"/>
          <w:bCs/>
          <w:iCs/>
          <w:sz w:val="24"/>
          <w:szCs w:val="84"/>
          <w:highlight w:val="none"/>
          <w:lang w:val="en-US" w:eastAsia="zh-CN"/>
        </w:rPr>
      </w:pPr>
      <w:r>
        <w:rPr>
          <w:rFonts w:hint="eastAsia" w:ascii="Times New Roman" w:hAnsi="Times New Roman" w:eastAsia="宋体" w:cs="楷体"/>
          <w:b w:val="0"/>
          <w:bCs/>
          <w:iCs/>
          <w:sz w:val="24"/>
          <w:szCs w:val="84"/>
          <w:highlight w:val="none"/>
          <w:lang w:val="en-US" w:eastAsia="zh-CN"/>
        </w:rPr>
        <w:t>（二）安装：</w:t>
      </w:r>
    </w:p>
    <w:p w14:paraId="465F7829">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1</w:t>
      </w:r>
      <w:r>
        <w:rPr>
          <w:rFonts w:hint="default" w:ascii="Times New Roman" w:hAnsi="Times New Roman" w:eastAsia="宋体" w:cs="楷体"/>
          <w:bCs/>
          <w:iCs/>
          <w:sz w:val="24"/>
          <w:szCs w:val="84"/>
          <w:highlight w:val="none"/>
          <w:lang w:val="en-US" w:eastAsia="zh-CN"/>
        </w:rPr>
        <w:t>、南山校区12号教学楼（外国语学院）楼层配电箱进线长度</w:t>
      </w:r>
      <w:r>
        <w:rPr>
          <w:rFonts w:hint="eastAsia" w:ascii="Times New Roman" w:hAnsi="Times New Roman" w:eastAsia="宋体" w:cs="楷体"/>
          <w:bCs/>
          <w:iCs/>
          <w:sz w:val="24"/>
          <w:szCs w:val="84"/>
          <w:highlight w:val="none"/>
          <w:lang w:val="en-US" w:eastAsia="zh-CN"/>
        </w:rPr>
        <w:t>为</w:t>
      </w:r>
      <w:r>
        <w:rPr>
          <w:rFonts w:hint="default" w:ascii="Times New Roman" w:hAnsi="Times New Roman" w:eastAsia="宋体" w:cs="楷体"/>
          <w:bCs/>
          <w:iCs/>
          <w:sz w:val="24"/>
          <w:szCs w:val="84"/>
          <w:highlight w:val="none"/>
          <w:lang w:val="en-US" w:eastAsia="zh-CN"/>
        </w:rPr>
        <w:t>暂估工程量，结算时需按实结算；</w:t>
      </w:r>
    </w:p>
    <w:p w14:paraId="552F2D3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2、</w:t>
      </w:r>
      <w:r>
        <w:rPr>
          <w:rFonts w:hint="default" w:ascii="Times New Roman" w:hAnsi="Times New Roman" w:eastAsia="宋体" w:cs="楷体"/>
          <w:bCs/>
          <w:iCs/>
          <w:sz w:val="24"/>
          <w:szCs w:val="84"/>
          <w:highlight w:val="none"/>
          <w:lang w:val="en-US" w:eastAsia="zh-CN"/>
        </w:rPr>
        <w:t>南山校区12号教学楼（外国语学院）</w:t>
      </w:r>
      <w:r>
        <w:rPr>
          <w:rFonts w:hint="eastAsia" w:ascii="Times New Roman" w:hAnsi="Times New Roman" w:eastAsia="宋体" w:cs="楷体"/>
          <w:bCs/>
          <w:iCs/>
          <w:sz w:val="24"/>
          <w:szCs w:val="84"/>
          <w:highlight w:val="none"/>
          <w:lang w:val="en-US" w:eastAsia="zh-CN"/>
        </w:rPr>
        <w:t>的5层和6层总电箱的进线电缆不考虑在本标底内；</w:t>
      </w:r>
    </w:p>
    <w:p w14:paraId="35F865A4">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3</w:t>
      </w:r>
      <w:r>
        <w:rPr>
          <w:rFonts w:hint="default" w:ascii="Times New Roman" w:hAnsi="Times New Roman" w:eastAsia="宋体" w:cs="楷体"/>
          <w:bCs/>
          <w:iCs/>
          <w:sz w:val="24"/>
          <w:szCs w:val="84"/>
          <w:highlight w:val="none"/>
          <w:lang w:val="en-US" w:eastAsia="zh-CN"/>
        </w:rPr>
        <w:t>、南山校区12号教学楼（外国语学院）电气中的配管敷设方式按照设计系统图中的吊顶内敷设及沿墙明敷考虑</w:t>
      </w:r>
      <w:r>
        <w:rPr>
          <w:rFonts w:hint="eastAsia" w:ascii="Times New Roman" w:hAnsi="Times New Roman" w:eastAsia="宋体" w:cs="楷体"/>
          <w:bCs/>
          <w:iCs/>
          <w:sz w:val="24"/>
          <w:szCs w:val="84"/>
          <w:highlight w:val="none"/>
          <w:lang w:val="en-US" w:eastAsia="zh-CN"/>
        </w:rPr>
        <w:t>，沿墙明敷时按照塑料线槽考虑</w:t>
      </w:r>
      <w:r>
        <w:rPr>
          <w:rFonts w:hint="default" w:ascii="Times New Roman" w:hAnsi="Times New Roman" w:eastAsia="宋体" w:cs="楷体"/>
          <w:bCs/>
          <w:iCs/>
          <w:sz w:val="24"/>
          <w:szCs w:val="84"/>
          <w:highlight w:val="none"/>
          <w:lang w:val="en-US" w:eastAsia="zh-CN"/>
        </w:rPr>
        <w:t>；</w:t>
      </w:r>
    </w:p>
    <w:p w14:paraId="6C50F678">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default" w:ascii="Times New Roman" w:hAnsi="Times New Roman" w:eastAsia="宋体" w:cs="楷体"/>
          <w:bCs/>
          <w:iCs/>
          <w:sz w:val="24"/>
          <w:szCs w:val="84"/>
          <w:highlight w:val="none"/>
          <w:lang w:val="en-US" w:eastAsia="zh-CN"/>
        </w:rPr>
        <w:t>4、南山校区12号教学楼（外国语学院）弱电的机柜及柜内设备等暂不考虑在内；</w:t>
      </w:r>
    </w:p>
    <w:p w14:paraId="68079C9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default" w:ascii="Times New Roman" w:hAnsi="Times New Roman" w:eastAsia="宋体" w:cs="楷体"/>
          <w:bCs/>
          <w:iCs/>
          <w:sz w:val="24"/>
          <w:szCs w:val="84"/>
          <w:highlight w:val="none"/>
          <w:lang w:val="en-US" w:eastAsia="zh-CN"/>
        </w:rPr>
        <w:t>5、南山校区14号教学楼（商学院）楼层改造总箱的</w:t>
      </w:r>
      <w:r>
        <w:rPr>
          <w:rFonts w:hint="eastAsia" w:ascii="Times New Roman" w:hAnsi="Times New Roman" w:eastAsia="宋体" w:cs="楷体"/>
          <w:bCs/>
          <w:iCs/>
          <w:sz w:val="24"/>
          <w:szCs w:val="84"/>
          <w:highlight w:val="none"/>
          <w:lang w:val="en-US" w:eastAsia="zh-CN"/>
        </w:rPr>
        <w:t>进线电缆为暂估工程量，结算时按实结算</w:t>
      </w:r>
      <w:r>
        <w:rPr>
          <w:rFonts w:hint="default" w:ascii="Times New Roman" w:hAnsi="Times New Roman" w:eastAsia="宋体" w:cs="楷体"/>
          <w:bCs/>
          <w:iCs/>
          <w:sz w:val="24"/>
          <w:szCs w:val="84"/>
          <w:highlight w:val="none"/>
          <w:lang w:val="en-US" w:eastAsia="zh-CN"/>
        </w:rPr>
        <w:t>；</w:t>
      </w:r>
    </w:p>
    <w:p w14:paraId="31338DA5">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default" w:ascii="Times New Roman" w:hAnsi="Times New Roman" w:eastAsia="宋体" w:cs="楷体"/>
          <w:bCs/>
          <w:iCs/>
          <w:sz w:val="24"/>
          <w:szCs w:val="84"/>
          <w:highlight w:val="none"/>
          <w:lang w:val="en-US" w:eastAsia="zh-CN"/>
        </w:rPr>
        <w:t>6、南山校区14号教学楼（商学院）空调仅只考虑移位，不考虑新增空调；</w:t>
      </w:r>
    </w:p>
    <w:p w14:paraId="5F52F38E">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default" w:ascii="Times New Roman" w:hAnsi="Times New Roman" w:eastAsia="宋体" w:cs="楷体"/>
          <w:bCs/>
          <w:iCs/>
          <w:sz w:val="24"/>
          <w:szCs w:val="84"/>
          <w:highlight w:val="none"/>
          <w:lang w:val="en-US" w:eastAsia="zh-CN"/>
        </w:rPr>
        <w:t>7、南山校区14号教学楼（商学院）弱电</w:t>
      </w:r>
      <w:r>
        <w:rPr>
          <w:rFonts w:hint="eastAsia" w:ascii="Times New Roman" w:hAnsi="Times New Roman" w:eastAsia="宋体" w:cs="楷体"/>
          <w:bCs/>
          <w:iCs/>
          <w:sz w:val="24"/>
          <w:szCs w:val="84"/>
          <w:highlight w:val="none"/>
          <w:lang w:val="en-US" w:eastAsia="zh-CN"/>
        </w:rPr>
        <w:t>仅考虑2层教室内的管线布置，其余包括引至井道的管线、</w:t>
      </w:r>
      <w:r>
        <w:rPr>
          <w:rFonts w:hint="default" w:ascii="Times New Roman" w:hAnsi="Times New Roman" w:eastAsia="宋体" w:cs="楷体"/>
          <w:bCs/>
          <w:iCs/>
          <w:sz w:val="24"/>
          <w:szCs w:val="84"/>
          <w:highlight w:val="none"/>
          <w:lang w:val="en-US" w:eastAsia="zh-CN"/>
        </w:rPr>
        <w:t>摄像机、无线AP、音响、投影仪、投影幕、机柜及柜内设备等</w:t>
      </w:r>
      <w:r>
        <w:rPr>
          <w:rFonts w:hint="eastAsia" w:ascii="Times New Roman" w:hAnsi="Times New Roman" w:eastAsia="宋体" w:cs="楷体"/>
          <w:bCs/>
          <w:iCs/>
          <w:sz w:val="24"/>
          <w:szCs w:val="84"/>
          <w:highlight w:val="none"/>
          <w:lang w:val="en-US" w:eastAsia="zh-CN"/>
        </w:rPr>
        <w:t>均</w:t>
      </w:r>
      <w:r>
        <w:rPr>
          <w:rFonts w:hint="default" w:ascii="Times New Roman" w:hAnsi="Times New Roman" w:eastAsia="宋体" w:cs="楷体"/>
          <w:bCs/>
          <w:iCs/>
          <w:sz w:val="24"/>
          <w:szCs w:val="84"/>
          <w:highlight w:val="none"/>
          <w:lang w:val="en-US" w:eastAsia="zh-CN"/>
        </w:rPr>
        <w:t>不考虑在内</w:t>
      </w:r>
      <w:r>
        <w:rPr>
          <w:rFonts w:hint="eastAsia" w:ascii="Times New Roman" w:hAnsi="Times New Roman" w:eastAsia="宋体" w:cs="楷体"/>
          <w:bCs/>
          <w:iCs/>
          <w:sz w:val="24"/>
          <w:szCs w:val="84"/>
          <w:highlight w:val="none"/>
          <w:lang w:val="en-US" w:eastAsia="zh-CN"/>
        </w:rPr>
        <w:t>；</w:t>
      </w:r>
    </w:p>
    <w:p w14:paraId="6A72FF7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8、地面开槽修复及墙面开槽修复为暂估工程量，结算时按实结算。</w:t>
      </w:r>
    </w:p>
    <w:p w14:paraId="3072792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（三）其他：</w:t>
      </w:r>
    </w:p>
    <w:p w14:paraId="653DDD0A">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default"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1、技术措施项目是按常规列项的，如果实际施工中增加的其它技术措施费用、改变施工方法增加的费用等，结算时不增加费用。</w:t>
      </w:r>
    </w:p>
    <w:p w14:paraId="246F69BA">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2、建筑垃圾无论运距有无增加，都不调整，投标单位投标报价自行考虑；</w:t>
      </w:r>
    </w:p>
    <w:p w14:paraId="68EE41F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3、建筑材料搬运费不单独列，结算时不再另行考虑，投标单位投标报价自行考虑；</w:t>
      </w:r>
    </w:p>
    <w:p w14:paraId="17D48F4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Times New Roman" w:hAnsi="Times New Roman" w:eastAsia="宋体" w:cs="楷体"/>
          <w:bCs/>
          <w:iCs/>
          <w:sz w:val="24"/>
          <w:szCs w:val="84"/>
          <w:highlight w:val="none"/>
          <w:lang w:val="en-US" w:eastAsia="zh-CN"/>
        </w:rPr>
      </w:pPr>
      <w:r>
        <w:rPr>
          <w:rFonts w:hint="eastAsia" w:ascii="Times New Roman" w:hAnsi="Times New Roman" w:eastAsia="宋体" w:cs="楷体"/>
          <w:bCs/>
          <w:iCs/>
          <w:sz w:val="24"/>
          <w:szCs w:val="84"/>
          <w:highlight w:val="none"/>
          <w:lang w:val="en-US" w:eastAsia="zh-CN"/>
        </w:rPr>
        <w:t>4、不详之处详见标底。</w:t>
      </w:r>
    </w:p>
    <w:p w14:paraId="16A7289C">
      <w:pPr>
        <w:keepNext w:val="0"/>
        <w:keepLines w:val="0"/>
        <w:pageBreakBefore w:val="0"/>
        <w:widowControl w:val="0"/>
        <w:kinsoku/>
        <w:wordWrap/>
        <w:overflowPunct/>
        <w:topLinePunct w:val="0"/>
        <w:autoSpaceDE/>
        <w:autoSpaceDN/>
        <w:bidi w:val="0"/>
        <w:adjustRightInd w:val="0"/>
        <w:snapToGrid w:val="0"/>
        <w:spacing w:line="348" w:lineRule="auto"/>
        <w:ind w:firstLine="482" w:firstLineChars="200"/>
        <w:textAlignment w:val="auto"/>
        <w:rPr>
          <w:rFonts w:hint="eastAsia" w:ascii="Times New Roman" w:hAnsi="Times New Roman" w:eastAsia="宋体" w:cs="楷体"/>
          <w:b/>
          <w:bCs w:val="0"/>
          <w:iCs/>
          <w:sz w:val="24"/>
          <w:szCs w:val="84"/>
        </w:rPr>
      </w:pPr>
      <w:r>
        <w:rPr>
          <w:rFonts w:hint="eastAsia" w:ascii="Times New Roman" w:hAnsi="Times New Roman" w:eastAsia="宋体" w:cs="楷体"/>
          <w:b/>
          <w:bCs w:val="0"/>
          <w:iCs/>
          <w:sz w:val="24"/>
          <w:szCs w:val="84"/>
          <w:lang w:val="en-US" w:eastAsia="zh-CN"/>
        </w:rPr>
        <w:t>五</w:t>
      </w:r>
      <w:r>
        <w:rPr>
          <w:rFonts w:hint="eastAsia" w:ascii="Times New Roman" w:hAnsi="Times New Roman" w:eastAsia="宋体" w:cs="楷体"/>
          <w:b/>
          <w:bCs w:val="0"/>
          <w:iCs/>
          <w:sz w:val="24"/>
          <w:szCs w:val="84"/>
        </w:rPr>
        <w:t>、其他说明：</w:t>
      </w:r>
    </w:p>
    <w:p w14:paraId="644470DE">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ascii="Times New Roman" w:hAnsi="Times New Roman" w:eastAsia="宋体" w:cs="楷体"/>
          <w:bCs/>
          <w:iCs/>
          <w:sz w:val="24"/>
          <w:szCs w:val="84"/>
        </w:rPr>
      </w:pPr>
      <w:r>
        <w:rPr>
          <w:rFonts w:ascii="Times New Roman" w:hAnsi="Times New Roman" w:eastAsia="宋体" w:cs="楷体"/>
          <w:bCs/>
          <w:iCs/>
          <w:sz w:val="24"/>
          <w:szCs w:val="84"/>
        </w:rPr>
        <w:t>投标人应对招标人提供的标底进行复核，如标底中存在除工程量清单项目漏项、项目多列或重复列项、清单项目工程量有误以外的定额错套、信息价输入差错、清单组合子目缺漏及清单组合子目工程量有误等错误的，应在招标答疑时提出，经招标人确认后，在答疑纪要中明确并调整，如不提出，今后不予调整。工程量清单所列的工程量暂定（明细内容中已写明一次性包干的工程量除外），竣工结算时按实结算确定。</w:t>
      </w:r>
    </w:p>
    <w:p w14:paraId="297998C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imes New Roman" w:hAnsi="Times New Roman" w:eastAsia="宋体" w:cs="楷体"/>
          <w:bCs/>
          <w:iCs/>
          <w:sz w:val="24"/>
          <w:szCs w:val="84"/>
        </w:rPr>
      </w:pPr>
    </w:p>
    <w:p w14:paraId="031725A1">
      <w:pPr>
        <w:pStyle w:val="2"/>
        <w:keepNext w:val="0"/>
        <w:keepLines w:val="0"/>
        <w:pageBreakBefore w:val="0"/>
        <w:widowControl w:val="0"/>
        <w:kinsoku/>
        <w:wordWrap/>
        <w:overflowPunct/>
        <w:topLinePunct w:val="0"/>
        <w:autoSpaceDE/>
        <w:autoSpaceDN/>
        <w:bidi w:val="0"/>
        <w:adjustRightInd w:val="0"/>
        <w:snapToGrid w:val="0"/>
        <w:spacing w:line="360" w:lineRule="auto"/>
        <w:ind w:firstLine="5060" w:firstLineChars="2100"/>
        <w:textAlignment w:val="auto"/>
        <w:rPr>
          <w:rFonts w:hint="eastAsia" w:ascii="Times New Roman" w:hAnsi="Times New Roman" w:eastAsia="宋体" w:cs="楷体"/>
          <w:b/>
          <w:bCs w:val="0"/>
          <w:iCs/>
          <w:sz w:val="24"/>
          <w:szCs w:val="84"/>
        </w:rPr>
      </w:pPr>
      <w:r>
        <w:rPr>
          <w:rFonts w:hint="eastAsia" w:ascii="Times New Roman" w:hAnsi="Times New Roman" w:eastAsia="宋体" w:cs="楷体"/>
          <w:b/>
          <w:bCs w:val="0"/>
          <w:iCs/>
          <w:sz w:val="24"/>
          <w:szCs w:val="84"/>
        </w:rPr>
        <w:t>绍兴市恒正建设咨询有限公司</w:t>
      </w:r>
    </w:p>
    <w:p w14:paraId="6B05D33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783" w:firstLineChars="2400"/>
        <w:textAlignment w:val="auto"/>
        <w:rPr>
          <w:rFonts w:hint="default" w:ascii="Times New Roman" w:hAnsi="Times New Roman" w:eastAsia="宋体" w:cs="楷体"/>
          <w:bCs/>
          <w:iCs/>
          <w:sz w:val="24"/>
          <w:szCs w:val="84"/>
          <w:highlight w:val="none"/>
          <w:lang w:val="en-US" w:eastAsia="zh-CN"/>
        </w:rPr>
      </w:pPr>
      <w:r>
        <w:rPr>
          <w:rFonts w:hint="eastAsia" w:ascii="Times New Roman" w:hAnsi="Times New Roman" w:eastAsia="宋体" w:cs="楷体"/>
          <w:b/>
          <w:bCs w:val="0"/>
          <w:iCs/>
          <w:sz w:val="24"/>
          <w:szCs w:val="84"/>
          <w:lang w:val="en-US" w:eastAsia="zh-CN"/>
        </w:rPr>
        <w:t>2025年3月24日</w:t>
      </w:r>
    </w:p>
    <w:sectPr>
      <w:pgSz w:w="11906" w:h="16838"/>
      <w:pgMar w:top="1440" w:right="1800" w:bottom="1440" w:left="1800" w:header="851" w:footer="992" w:gutter="0"/>
      <w:cols w:space="0" w:num="1"/>
      <w:rtlGutter w:val="0"/>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4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8F75DE"/>
    <w:rsid w:val="026B5B76"/>
    <w:rsid w:val="0DC10D94"/>
    <w:rsid w:val="10223B78"/>
    <w:rsid w:val="15495B56"/>
    <w:rsid w:val="21472A0F"/>
    <w:rsid w:val="276F6B7D"/>
    <w:rsid w:val="2A5167B9"/>
    <w:rsid w:val="2CD81100"/>
    <w:rsid w:val="345507E9"/>
    <w:rsid w:val="34620154"/>
    <w:rsid w:val="39FC02E0"/>
    <w:rsid w:val="3FA75961"/>
    <w:rsid w:val="40C67145"/>
    <w:rsid w:val="48DF7AF6"/>
    <w:rsid w:val="493D4E75"/>
    <w:rsid w:val="4B460B4B"/>
    <w:rsid w:val="4D7F4284"/>
    <w:rsid w:val="4F0E4A6F"/>
    <w:rsid w:val="502C3DF5"/>
    <w:rsid w:val="528F75DE"/>
    <w:rsid w:val="538C5511"/>
    <w:rsid w:val="57E30391"/>
    <w:rsid w:val="59195066"/>
    <w:rsid w:val="5F7B2F1E"/>
    <w:rsid w:val="66914324"/>
    <w:rsid w:val="673B6131"/>
    <w:rsid w:val="6B7A4304"/>
    <w:rsid w:val="6F25480F"/>
    <w:rsid w:val="70457D5D"/>
    <w:rsid w:val="75940718"/>
    <w:rsid w:val="78884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2073</Words>
  <Characters>2198</Characters>
  <Lines>0</Lines>
  <Paragraphs>0</Paragraphs>
  <TotalTime>6</TotalTime>
  <ScaleCrop>false</ScaleCrop>
  <LinksUpToDate>false</LinksUpToDate>
  <CharactersWithSpaces>2200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2025-01-07T17:14:00Z</dcterms:created>
  <dc:creator>W y</dc:creator>
  <cp:lastModifiedBy>W y</cp:lastModifiedBy>
  <dcterms:modified xsi:type="dcterms:W3CDTF">2025-03-24T07:43:23Z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98A3FFCCA3804CF596CB03F41F262652_11</vt:lpwstr>
  </property>
  <property fmtid="{D5CDD505-2E9C-101B-9397-08002B2CF9AE}" pid="4" name="KSOTemplateDocerSaveRecord">
    <vt:lpwstr>eyJoZGlkIjoiYmEyZDMxNWRkYmY5MjE3NjUxYTk3ZDA1NDUyNmVkYWEiLCJ1c2VySWQiOiIxMzg5NTExMzI5In0=</vt:lpwstr>
  </property>
</Properties>
</file>