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sz w:val="44"/>
        </w:rPr>
      </w:pPr>
      <w:r>
        <w:rPr>
          <w:rFonts w:hint="eastAsia" w:ascii="隶书" w:hAnsi="Arial" w:eastAsia="隶书" w:cs="Arial"/>
          <w:b/>
          <w:spacing w:val="-12"/>
          <w:sz w:val="52"/>
          <w:szCs w:val="52"/>
        </w:rPr>
        <w:t>绍兴市城市地下市政基础设施普查数据整合入库与建模</w:t>
      </w: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w:t>
      </w:r>
      <w:r>
        <w:rPr>
          <w:rFonts w:hint="eastAsia" w:ascii="隶书" w:hAnsi="Arial" w:eastAsia="隶书" w:cs="Arial"/>
          <w:b/>
          <w:spacing w:val="-12"/>
          <w:sz w:val="36"/>
          <w:szCs w:val="36"/>
        </w:rPr>
        <w:t xml:space="preserve"> </w:t>
      </w:r>
      <w:r>
        <w:rPr>
          <w:rFonts w:hint="eastAsia" w:ascii="隶书" w:eastAsia="隶书"/>
          <w:b/>
          <w:sz w:val="28"/>
          <w:szCs w:val="28"/>
        </w:rPr>
        <w:t>HC2024-03-21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四</w:t>
            </w:r>
            <w:r>
              <w:rPr>
                <w:rFonts w:hint="eastAsia" w:ascii="隶书" w:eastAsia="隶书"/>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 xml:space="preserve">第二部分   </w:t>
      </w:r>
      <w:r>
        <w:rPr>
          <w:rFonts w:ascii="仿宋_GB2312" w:hAnsi="宋体" w:eastAsia="仿宋_GB2312"/>
          <w:b/>
          <w:sz w:val="36"/>
          <w:szCs w:val="36"/>
        </w:rPr>
        <w:t xml:space="preserve"> </w:t>
      </w:r>
      <w:r>
        <w:rPr>
          <w:rFonts w:hint="eastAsia" w:ascii="仿宋_GB2312" w:hAnsi="宋体" w:eastAsia="仿宋_GB2312"/>
          <w:b/>
          <w:sz w:val="36"/>
          <w:szCs w:val="36"/>
        </w:rPr>
        <w:t>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pPr>
      <w:r>
        <w:rPr>
          <w:rFonts w:hint="eastAsia" w:ascii="仿宋_GB2312" w:hAnsi="宋体" w:eastAsia="仿宋_GB2312"/>
          <w:b/>
          <w:sz w:val="36"/>
          <w:szCs w:val="36"/>
        </w:rPr>
        <w:t>第六部分    投标文件及其附件格式</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ascii="仿宋_GB2312" w:hAnsi="宋体" w:eastAsia="仿宋_GB2312"/>
                <w:sz w:val="36"/>
                <w:szCs w:val="36"/>
              </w:rPr>
            </w:pPr>
            <w:r>
              <w:rPr>
                <w:rFonts w:hint="eastAsia" w:ascii="仿宋_GB2312" w:eastAsia="仿宋_GB2312"/>
                <w:b/>
                <w:sz w:val="36"/>
                <w:szCs w:val="36"/>
              </w:rPr>
              <w:t>第一部分 招标公告</w:t>
            </w:r>
          </w:p>
          <w:tbl>
            <w:tblPr>
              <w:tblStyle w:val="63"/>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r>
                    <w:rPr>
                      <w:rFonts w:hint="eastAsia"/>
                    </w:rPr>
                    <w:t>项目概况：</w:t>
                  </w:r>
                </w:p>
                <w:p>
                  <w:pPr>
                    <w:pStyle w:val="100"/>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绍兴市城市地下市政基础设施普查数据整合入库与建模</w:t>
                  </w:r>
                  <w:r>
                    <w:rPr>
                      <w:rFonts w:hint="eastAsia" w:ascii="仿宋_GB2312" w:hAnsi="新宋体" w:eastAsia="仿宋_GB2312"/>
                      <w:szCs w:val="24"/>
                    </w:rPr>
                    <w:t>招标项目的潜在投标人应在政采云平台（https://www.zcygov.cn/）获取（下载）招标文件，并于</w:t>
                  </w:r>
                  <w:bookmarkStart w:id="0" w:name="OLE_LINK2"/>
                  <w:r>
                    <w:rPr>
                      <w:rFonts w:hint="eastAsia" w:ascii="仿宋_GB2312" w:hAnsi="新宋体" w:eastAsia="仿宋_GB2312"/>
                      <w:color w:val="0000FF"/>
                      <w:szCs w:val="24"/>
                    </w:rPr>
                    <w:t>2024年  月  日9</w:t>
                  </w:r>
                  <w:bookmarkEnd w:id="0"/>
                  <w:r>
                    <w:rPr>
                      <w:rFonts w:hint="eastAsia" w:ascii="仿宋_GB2312" w:hAnsi="新宋体" w:eastAsia="仿宋_GB2312"/>
                      <w:color w:val="0000FF"/>
                      <w:szCs w:val="24"/>
                    </w:rPr>
                    <w:t>点00分00秒</w:t>
                  </w:r>
                  <w:r>
                    <w:rPr>
                      <w:rFonts w:hint="eastAsia" w:ascii="仿宋_GB2312" w:hAnsi="新宋体" w:eastAsia="仿宋_GB2312"/>
                      <w:szCs w:val="24"/>
                    </w:rPr>
                    <w:t>（北京时间）前递交（上传）投标文件。</w:t>
                  </w:r>
                </w:p>
              </w:tc>
            </w:tr>
          </w:tbl>
          <w:p>
            <w:r>
              <w:rPr>
                <w:rFonts w:ascii="仿宋_GB2312" w:hAnsi="新宋体" w:eastAsia="仿宋_GB2312"/>
              </w:rPr>
              <w:br w:type="page"/>
            </w:r>
          </w:p>
          <w:p>
            <w:pPr>
              <w:pStyle w:val="100"/>
              <w:spacing w:afterLines="0" w:line="440" w:lineRule="exact"/>
              <w:ind w:firstLine="0" w:firstLineChars="0"/>
              <w:jc w:val="left"/>
              <w:rPr>
                <w:rFonts w:ascii="仿宋_GB2312" w:hAnsi="新宋体" w:eastAsia="仿宋_GB2312"/>
                <w:b/>
                <w:szCs w:val="24"/>
              </w:rPr>
            </w:pPr>
          </w:p>
          <w:p>
            <w:pPr>
              <w:pStyle w:val="100"/>
              <w:numPr>
                <w:ilvl w:val="0"/>
                <w:numId w:val="6"/>
              </w:numPr>
              <w:spacing w:afterLines="0" w:line="440" w:lineRule="exact"/>
              <w:ind w:firstLine="482"/>
              <w:rPr>
                <w:rFonts w:ascii="仿宋_GB2312" w:hAnsi="新宋体" w:eastAsia="仿宋_GB2312"/>
                <w:b/>
                <w:szCs w:val="24"/>
              </w:rPr>
            </w:pPr>
            <w:r>
              <w:rPr>
                <w:rFonts w:hint="eastAsia" w:ascii="仿宋_GB2312" w:hAnsi="新宋体" w:eastAsia="仿宋_GB2312"/>
                <w:b/>
                <w:szCs w:val="24"/>
              </w:rPr>
              <w:t>项目基本情况</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HC2024-03-21</w:t>
            </w:r>
          </w:p>
          <w:p>
            <w:pPr>
              <w:pStyle w:val="100"/>
              <w:spacing w:afterLines="0" w:line="440" w:lineRule="exact"/>
              <w:ind w:right="-508" w:rightChars="-242" w:firstLine="482"/>
              <w:rPr>
                <w:rFonts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szCs w:val="24"/>
              </w:rPr>
              <w:t>绍兴市城市地下市政基础设施普查数据整合入库与建模</w:t>
            </w:r>
            <w:r>
              <w:rPr>
                <w:rStyle w:val="80"/>
                <w:rFonts w:hint="eastAsia" w:ascii="仿宋_GB2312" w:hAnsi="新宋体" w:eastAsia="仿宋_GB2312"/>
                <w:szCs w:val="24"/>
              </w:rPr>
              <w:footnoteReference w:id="0"/>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100"/>
              <w:spacing w:afterLines="0" w:line="440" w:lineRule="exact"/>
              <w:ind w:firstLine="482"/>
              <w:rPr>
                <w:rFonts w:hint="eastAsia" w:ascii="仿宋_GB2312" w:hAnsi="新宋体" w:eastAsia="仿宋_GB2312"/>
                <w:szCs w:val="24"/>
                <w:lang w:val="en-US" w:eastAsia="zh-CN"/>
              </w:rPr>
            </w:pPr>
            <w:r>
              <w:rPr>
                <w:rFonts w:hint="eastAsia" w:ascii="仿宋_GB2312" w:hAnsi="新宋体" w:eastAsia="仿宋_GB2312"/>
                <w:b/>
                <w:szCs w:val="24"/>
              </w:rPr>
              <w:t>预算金额（元）：</w:t>
            </w:r>
            <w:r>
              <w:rPr>
                <w:rFonts w:hint="eastAsia" w:ascii="仿宋_GB2312" w:hAnsi="新宋体" w:eastAsia="仿宋_GB2312"/>
                <w:szCs w:val="24"/>
                <w:lang w:val="en-US" w:eastAsia="zh-CN"/>
              </w:rPr>
              <w:t>965000</w:t>
            </w:r>
          </w:p>
          <w:p>
            <w:pPr>
              <w:pStyle w:val="100"/>
              <w:spacing w:afterLines="0" w:line="440" w:lineRule="exact"/>
              <w:ind w:firstLine="482"/>
              <w:rPr>
                <w:rFonts w:hint="default" w:ascii="仿宋_GB2312" w:hAnsi="新宋体" w:eastAsia="仿宋_GB2312"/>
                <w:szCs w:val="24"/>
                <w:lang w:val="en-US" w:eastAsia="zh-CN"/>
              </w:rPr>
            </w:pPr>
            <w:r>
              <w:rPr>
                <w:rFonts w:hint="eastAsia" w:ascii="仿宋_GB2312" w:hAnsi="新宋体" w:eastAsia="仿宋_GB2312"/>
                <w:b/>
                <w:szCs w:val="24"/>
              </w:rPr>
              <w:t>最高限价（元）：</w:t>
            </w:r>
            <w:r>
              <w:rPr>
                <w:rFonts w:hint="eastAsia" w:ascii="仿宋_GB2312" w:hAnsi="新宋体" w:eastAsia="仿宋_GB2312"/>
                <w:szCs w:val="24"/>
                <w:lang w:val="en-US" w:eastAsia="zh-CN"/>
              </w:rPr>
              <w:t>965000</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100"/>
              <w:spacing w:afterLines="0" w:line="440" w:lineRule="exact"/>
              <w:ind w:firstLine="480"/>
              <w:rPr>
                <w:rFonts w:ascii="仿宋_GB2312" w:hAnsi="新宋体" w:eastAsia="仿宋_GB2312"/>
                <w:sz w:val="22"/>
                <w:szCs w:val="22"/>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标项名称: </w:t>
            </w:r>
            <w:r>
              <w:rPr>
                <w:rFonts w:hint="eastAsia" w:ascii="仿宋_GB2312" w:hAnsi="新宋体" w:eastAsia="仿宋_GB2312"/>
                <w:sz w:val="22"/>
                <w:szCs w:val="22"/>
              </w:rPr>
              <w:t>绍兴市城市地下市政基础设施普查数据整合入库与建模</w:t>
            </w:r>
            <w:r>
              <w:rPr>
                <w:rFonts w:ascii="仿宋_GB2312" w:hAnsi="新宋体" w:eastAsia="仿宋_GB2312"/>
                <w:sz w:val="22"/>
                <w:szCs w:val="22"/>
              </w:rPr>
              <w:t> </w:t>
            </w:r>
          </w:p>
          <w:p>
            <w:pPr>
              <w:pStyle w:val="100"/>
              <w:spacing w:afterLines="0" w:line="440" w:lineRule="exact"/>
              <w:ind w:firstLine="482"/>
              <w:rPr>
                <w:rFonts w:hint="default" w:ascii="仿宋_GB2312" w:hAnsi="新宋体" w:eastAsia="仿宋_GB2312"/>
                <w:szCs w:val="24"/>
                <w:lang w:val="en-US" w:eastAsia="zh-CN"/>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965000</w:t>
            </w:r>
          </w:p>
          <w:p>
            <w:pPr>
              <w:pStyle w:val="100"/>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100"/>
              <w:spacing w:afterLines="0" w:line="440" w:lineRule="exact"/>
              <w:ind w:firstLine="482"/>
              <w:rPr>
                <w:rFonts w:ascii="仿宋_GB2312" w:hAnsi="新宋体" w:eastAsia="仿宋_GB2312"/>
                <w:b/>
                <w:szCs w:val="24"/>
                <w:highlight w:val="yellow"/>
              </w:rPr>
            </w:pPr>
            <w:r>
              <w:rPr>
                <w:rFonts w:hint="eastAsia" w:ascii="仿宋_GB2312" w:hAnsi="新宋体" w:eastAsia="仿宋_GB2312"/>
                <w:b/>
                <w:szCs w:val="24"/>
                <w:highlight w:val="yellow"/>
              </w:rPr>
              <w:t>本项目接受联合体投标：</w:t>
            </w:r>
            <w:r>
              <w:rPr>
                <w:rFonts w:hint="eastAsia" w:ascii="仿宋_GB2312" w:hAnsi="MS Gothic" w:eastAsia="仿宋_GB2312" w:cs="Arial"/>
                <w:highlight w:val="yellow"/>
              </w:rPr>
              <w:sym w:font="Wingdings" w:char="00A8"/>
            </w:r>
            <w:r>
              <w:rPr>
                <w:rFonts w:hint="eastAsia" w:ascii="仿宋_GB2312" w:hAnsi="新宋体" w:eastAsia="仿宋_GB2312"/>
                <w:b/>
                <w:szCs w:val="24"/>
                <w:highlight w:val="yellow"/>
              </w:rPr>
              <w:t>是，</w:t>
            </w:r>
            <w:r>
              <w:rPr>
                <w:rFonts w:hint="eastAsia" w:ascii="仿宋_GB2312" w:hAnsi="MS Gothic" w:eastAsia="仿宋_GB2312" w:cs="Arial"/>
                <w:highlight w:val="yellow"/>
              </w:rPr>
              <w:sym w:font="Wingdings" w:char="00FE"/>
            </w:r>
            <w:r>
              <w:rPr>
                <w:rFonts w:hint="eastAsia" w:ascii="仿宋_GB2312" w:hAnsi="新宋体" w:eastAsia="仿宋_GB2312"/>
                <w:b/>
                <w:szCs w:val="24"/>
                <w:highlight w:val="yellow"/>
              </w:rPr>
              <w:t>否。</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100"/>
              <w:spacing w:afterLines="0" w:line="440" w:lineRule="exact"/>
              <w:ind w:firstLine="420"/>
              <w:rPr>
                <w:rFonts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仿宋" w:eastAsia="仿宋_GB2312" w:cs="Arial"/>
                        <w:sz w:val="21"/>
                        <w:szCs w:val="21"/>
                      </w:rPr>
                      <w:t xml:space="preserve">  </w:t>
                    </w:r>
                    <w:r>
                      <w:rPr>
                        <w:rFonts w:hint="eastAsia" w:ascii="仿宋_GB2312" w:hAnsi="MS Gothic" w:eastAsia="仿宋_GB2312" w:cs="Arial"/>
                      </w:rPr>
                      <w:sym w:font="Wingdings" w:char="F0FE"/>
                    </w:r>
                  </w:sdtContent>
                </w:sdt>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t xml:space="preserve"> </w:t>
                </w:r>
                <w:r>
                  <w:rPr>
                    <w:rFonts w:ascii="MS Gothic" w:hAnsi="MS Gothic" w:eastAsia="MS Gothic" w:cs="Arial"/>
                    <w:kern w:val="0"/>
                    <w:sz w:val="24"/>
                  </w:rPr>
                  <w:t>☐</w:t>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ascii="仿宋_GB2312" w:hAnsi="仿宋" w:eastAsia="仿宋_GB2312" w:cs="Arial"/>
                  <w:szCs w:val="21"/>
                </w:rPr>
                <w:id w:val="743226"/>
              </w:sdtPr>
              <w:sdtEndPr>
                <w:rPr>
                  <w:rFonts w:hint="eastAsia" w:ascii="仿宋_GB2312" w:hAnsi="仿宋" w:eastAsia="仿宋_GB2312" w:cs="Arial"/>
                  <w:szCs w:val="21"/>
                </w:rPr>
              </w:sdtEndPr>
              <w:sdtContent>
                <w:sdt>
                  <w:sdtPr>
                    <w:rPr>
                      <w:rFonts w:ascii="仿宋_GB2312" w:hAnsi="仿宋" w:eastAsia="仿宋_GB2312" w:cs="Arial"/>
                      <w:kern w:val="0"/>
                      <w:sz w:val="24"/>
                    </w:rPr>
                    <w:id w:val="-948692587"/>
                  </w:sdtPr>
                  <w:sdtEndPr>
                    <w:rPr>
                      <w:rFonts w:hint="eastAsia" w:ascii="仿宋_GB2312" w:hAnsi="仿宋" w:eastAsia="仿宋_GB2312" w:cs="Arial"/>
                      <w:kern w:val="0"/>
                      <w:sz w:val="24"/>
                    </w:rPr>
                  </w:sdtEndPr>
                  <w:sdtContent>
                    <w:r>
                      <w:rPr>
                        <w:rFonts w:hint="eastAsia" w:ascii="仿宋_GB2312" w:hAnsi="仿宋" w:eastAsia="仿宋_GB2312" w:cs="Arial"/>
                        <w:szCs w:val="21"/>
                      </w:rPr>
                      <w:t xml:space="preserve"> </w:t>
                    </w:r>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5358707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jc w:val="left"/>
              <w:rPr>
                <w:rFonts w:ascii="仿宋_GB2312" w:hAnsi="新宋体" w:eastAsia="仿宋_GB2312"/>
                <w:sz w:val="22"/>
                <w:szCs w:val="28"/>
                <w:highlight w:val="yellow"/>
              </w:rPr>
            </w:pPr>
            <w:r>
              <w:rPr>
                <w:rFonts w:hint="eastAsia" w:ascii="仿宋_GB2312" w:hAnsi="新宋体" w:eastAsia="仿宋_GB2312"/>
                <w:sz w:val="22"/>
                <w:szCs w:val="28"/>
                <w:highlight w:val="yellow"/>
              </w:rPr>
              <w:t>4.本项目的特定资格要求：</w:t>
            </w:r>
            <w:r>
              <w:rPr>
                <w:rFonts w:hint="eastAsia" w:ascii="仿宋" w:hAnsi="仿宋" w:eastAsia="仿宋" w:cs="仿宋"/>
                <w:b/>
                <w:bCs/>
                <w:color w:val="000000" w:themeColor="text1"/>
                <w:sz w:val="22"/>
                <w:szCs w:val="28"/>
                <w:highlight w:val="yellow"/>
                <w14:textFill>
                  <w14:solidFill>
                    <w14:schemeClr w14:val="tx1"/>
                  </w14:solidFill>
                </w14:textFill>
              </w:rPr>
              <w:t>具有乙级及以上测绘资质（专业范围需同时具有</w:t>
            </w:r>
            <w:r>
              <w:rPr>
                <w:rFonts w:hint="eastAsia" w:ascii="仿宋" w:hAnsi="仿宋" w:eastAsia="仿宋" w:cs="仿宋"/>
                <w:b/>
                <w:bCs/>
                <w:spacing w:val="8"/>
                <w:kern w:val="0"/>
                <w:sz w:val="22"/>
                <w:szCs w:val="28"/>
                <w:highlight w:val="yellow"/>
              </w:rPr>
              <w:t>工程测量、地理信息系统工程）</w:t>
            </w:r>
            <w:r>
              <w:rPr>
                <w:rFonts w:hint="eastAsia" w:ascii="仿宋" w:hAnsi="仿宋" w:eastAsia="仿宋" w:cs="仿宋"/>
                <w:b/>
                <w:bCs/>
                <w:color w:val="000000" w:themeColor="text1"/>
                <w:sz w:val="22"/>
                <w:szCs w:val="28"/>
                <w:highlight w:val="yellow"/>
                <w14:textFill>
                  <w14:solidFill>
                    <w14:schemeClr w14:val="tx1"/>
                  </w14:solidFill>
                </w14:textFill>
              </w:rPr>
              <w:t>的企事业单位</w:t>
            </w:r>
            <w:r>
              <w:rPr>
                <w:rFonts w:hint="eastAsia" w:ascii="仿宋" w:hAnsi="仿宋" w:eastAsia="仿宋" w:cs="仿宋"/>
                <w:b/>
                <w:bCs/>
                <w:sz w:val="22"/>
                <w:szCs w:val="28"/>
                <w:highlight w:val="yellow"/>
              </w:rPr>
              <w:t>。</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w:t>
            </w:r>
            <w:r>
              <w:rPr>
                <w:rFonts w:hint="eastAsia" w:ascii="仿宋_GB2312" w:hAnsi="仿宋" w:eastAsia="仿宋_GB2312" w:cs="仿宋"/>
                <w:color w:val="0000FF"/>
                <w:sz w:val="24"/>
              </w:rPr>
              <w:t>至</w:t>
            </w:r>
            <w:r>
              <w:rPr>
                <w:rFonts w:hint="eastAsia" w:ascii="仿宋_GB2312" w:hAnsi="仿宋" w:eastAsia="仿宋_GB2312" w:cs="仿宋"/>
                <w:color w:val="0000FF"/>
                <w:sz w:val="24"/>
                <w:u w:val="single"/>
              </w:rPr>
              <w:t>2024年  月  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w:t>
            </w:r>
            <w:r>
              <w:rPr>
                <w:rFonts w:hint="eastAsia" w:ascii="仿宋_GB2312" w:hAnsi="仿宋" w:eastAsia="仿宋_GB2312" w:cs="仿宋"/>
                <w:color w:val="0000FF"/>
                <w:sz w:val="24"/>
                <w:u w:val="single"/>
              </w:rPr>
              <w:t>2024年 月日9 点00 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color w:val="0000FF"/>
                <w:sz w:val="24"/>
                <w:u w:val="single"/>
              </w:rPr>
              <w:t>2024年  月  日9 点00 分00秒</w:t>
            </w:r>
            <w:r>
              <w:rPr>
                <w:rFonts w:hint="eastAsia" w:ascii="仿宋_GB2312" w:hAnsi="仿宋" w:eastAsia="仿宋_GB2312" w:cs="仿宋"/>
                <w:bCs/>
                <w:sz w:val="24"/>
                <w:u w:val="single"/>
              </w:rPr>
              <w:t xml:space="preserve">  </w:t>
            </w:r>
          </w:p>
          <w:p>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名称：绍兴市自然资源和规划局</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地址：绍兴市越城区解放大道99号</w:t>
            </w:r>
          </w:p>
          <w:p>
            <w:pPr>
              <w:pStyle w:val="100"/>
              <w:spacing w:afterLines="0" w:line="440" w:lineRule="exact"/>
              <w:ind w:firstLine="480"/>
              <w:rPr>
                <w:rFonts w:ascii="仿宋_GB2312" w:hAnsi="新宋体" w:eastAsia="仿宋_GB2312"/>
                <w:color w:val="0000FF"/>
                <w:szCs w:val="24"/>
              </w:rPr>
            </w:pPr>
            <w:r>
              <w:rPr>
                <w:rFonts w:hint="eastAsia" w:ascii="仿宋_GB2312" w:hAnsi="新宋体" w:eastAsia="仿宋_GB2312"/>
                <w:color w:val="0000FF"/>
                <w:szCs w:val="24"/>
              </w:rPr>
              <w:t>传真：/</w:t>
            </w:r>
          </w:p>
          <w:p>
            <w:pPr>
              <w:pStyle w:val="100"/>
              <w:spacing w:afterLines="0" w:line="440" w:lineRule="exact"/>
              <w:ind w:firstLine="480"/>
              <w:rPr>
                <w:rFonts w:hint="eastAsia" w:ascii="仿宋_GB2312" w:hAnsi="新宋体" w:eastAsia="仿宋_GB2312"/>
                <w:color w:val="0000FF"/>
                <w:szCs w:val="24"/>
                <w:lang w:eastAsia="zh-CN"/>
              </w:rPr>
            </w:pPr>
            <w:r>
              <w:rPr>
                <w:rFonts w:hint="eastAsia" w:ascii="仿宋_GB2312" w:hAnsi="新宋体" w:eastAsia="仿宋_GB2312"/>
                <w:color w:val="0000FF"/>
                <w:szCs w:val="24"/>
              </w:rPr>
              <w:t>项目联系人（询问）：黄</w:t>
            </w:r>
            <w:r>
              <w:rPr>
                <w:rFonts w:hint="eastAsia" w:ascii="仿宋_GB2312" w:hAnsi="新宋体" w:eastAsia="仿宋_GB2312"/>
                <w:color w:val="0000FF"/>
                <w:szCs w:val="24"/>
                <w:lang w:eastAsia="zh-CN"/>
              </w:rPr>
              <w:t>江</w:t>
            </w:r>
          </w:p>
          <w:p>
            <w:pPr>
              <w:pStyle w:val="100"/>
              <w:spacing w:afterLines="0" w:line="440" w:lineRule="exact"/>
              <w:ind w:firstLine="480"/>
              <w:rPr>
                <w:rFonts w:hint="default" w:ascii="仿宋_GB2312" w:hAnsi="新宋体" w:eastAsia="仿宋_GB2312"/>
                <w:color w:val="0000FF"/>
                <w:szCs w:val="24"/>
                <w:lang w:val="en-US" w:eastAsia="zh-CN"/>
              </w:rPr>
            </w:pPr>
            <w:r>
              <w:rPr>
                <w:rFonts w:hint="eastAsia" w:ascii="仿宋_GB2312" w:hAnsi="新宋体" w:eastAsia="仿宋_GB2312"/>
                <w:color w:val="0000FF"/>
                <w:szCs w:val="24"/>
              </w:rPr>
              <w:t>项目联系方式（询问）：</w:t>
            </w:r>
            <w:r>
              <w:rPr>
                <w:rFonts w:hint="eastAsia" w:ascii="仿宋_GB2312" w:hAnsi="新宋体" w:eastAsia="仿宋_GB2312"/>
                <w:color w:val="0000FF"/>
                <w:szCs w:val="24"/>
                <w:lang w:val="en-US" w:eastAsia="zh-CN"/>
              </w:rPr>
              <w:t>0575-88051583</w:t>
            </w:r>
          </w:p>
          <w:p>
            <w:pPr>
              <w:pStyle w:val="100"/>
              <w:spacing w:afterLines="0" w:line="440" w:lineRule="exact"/>
              <w:ind w:firstLine="480"/>
              <w:rPr>
                <w:rFonts w:hint="eastAsia" w:ascii="仿宋_GB2312" w:hAnsi="新宋体" w:eastAsia="仿宋_GB2312"/>
                <w:color w:val="0000FF"/>
                <w:szCs w:val="24"/>
                <w:lang w:eastAsia="zh-CN"/>
              </w:rPr>
            </w:pPr>
            <w:r>
              <w:rPr>
                <w:rFonts w:hint="eastAsia" w:ascii="仿宋_GB2312" w:hAnsi="新宋体" w:eastAsia="仿宋_GB2312"/>
                <w:color w:val="0000FF"/>
                <w:szCs w:val="24"/>
              </w:rPr>
              <w:t>质疑联系人：</w:t>
            </w:r>
            <w:r>
              <w:rPr>
                <w:rFonts w:hint="eastAsia" w:ascii="仿宋_GB2312" w:hAnsi="新宋体" w:eastAsia="仿宋_GB2312"/>
                <w:color w:val="0000FF"/>
                <w:szCs w:val="24"/>
                <w:lang w:eastAsia="zh-CN"/>
              </w:rPr>
              <w:t>裘国浩</w:t>
            </w:r>
          </w:p>
          <w:p>
            <w:pPr>
              <w:pStyle w:val="100"/>
              <w:spacing w:afterLines="0" w:line="440" w:lineRule="exact"/>
              <w:ind w:firstLine="480"/>
              <w:rPr>
                <w:rFonts w:hint="default" w:ascii="仿宋_GB2312" w:hAnsi="新宋体" w:eastAsia="仿宋_GB2312"/>
                <w:color w:val="0000FF"/>
                <w:szCs w:val="24"/>
                <w:lang w:val="en-US"/>
              </w:rPr>
            </w:pPr>
            <w:r>
              <w:rPr>
                <w:rFonts w:hint="eastAsia" w:ascii="仿宋_GB2312" w:hAnsi="新宋体" w:eastAsia="仿宋_GB2312"/>
                <w:color w:val="0000FF"/>
                <w:szCs w:val="24"/>
              </w:rPr>
              <w:t>质疑联系方式：</w:t>
            </w:r>
            <w:r>
              <w:rPr>
                <w:rFonts w:hint="eastAsia" w:ascii="仿宋_GB2312" w:hAnsi="新宋体" w:eastAsia="仿宋_GB2312"/>
                <w:color w:val="0000FF"/>
                <w:szCs w:val="24"/>
                <w:lang w:val="en-US" w:eastAsia="zh-CN"/>
              </w:rPr>
              <w:t>0575-85112606</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名称：浙江华诚工程管理有限公司</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地址：绍兴市越城区罗东公寓22幢2楼203室</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项目联系人（询问）：黄雅萍</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项目联系方式（询问）：13735205277</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质疑联系人：徐进</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质疑联系方式：13675759208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1"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仿宋" w:eastAsia="仿宋_GB2312" w:cs="Arial"/>
                <w:kern w:val="0"/>
                <w:sz w:val="24"/>
              </w:rPr>
              <w:sym w:font="Wingdings" w:char="00A8"/>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仿宋"/>
                <w:sz w:val="24"/>
              </w:rPr>
              <w:t xml:space="preserve"> A无方案讲解演示。</w:t>
            </w:r>
          </w:p>
          <w:p>
            <w:pPr>
              <w:spacing w:line="440" w:lineRule="exact"/>
              <w:rPr>
                <w:rFonts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rPr>
              <w:t xml:space="preserve">   </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57581989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56535193"/>
                    <w:showingPlcHdr/>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rPr>
                <w:rFonts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信息传输业  </w:t>
            </w:r>
            <w:r>
              <w:rPr>
                <w:rFonts w:hint="eastAsia" w:ascii="仿宋_GB2312" w:hAnsi="仿宋" w:eastAsia="仿宋_GB2312" w:cs="Arial"/>
                <w:kern w:val="0"/>
                <w:sz w:val="24"/>
              </w:rPr>
              <w:t>行业；</w:t>
            </w:r>
          </w:p>
          <w:p>
            <w:pPr>
              <w:snapToGrid w:val="0"/>
              <w:spacing w:line="360" w:lineRule="auto"/>
            </w:pPr>
            <w:r>
              <w:rPr>
                <w:rFonts w:hint="eastAsia" w:ascii="仿宋_GB2312" w:hAnsi="仿宋" w:eastAsia="仿宋_GB2312" w:cs="Arial"/>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19</w:t>
            </w:r>
          </w:p>
        </w:tc>
        <w:tc>
          <w:tcPr>
            <w:tcW w:w="8370" w:type="dxa"/>
            <w:gridSpan w:val="2"/>
            <w:vAlign w:val="center"/>
          </w:tcPr>
          <w:p>
            <w:pPr>
              <w:spacing w:line="440" w:lineRule="exact"/>
              <w:rPr>
                <w:rFonts w:ascii="仿宋_GB2312" w:hAnsi="宋体" w:eastAsia="仿宋_GB2312" w:cs="宋体"/>
                <w:snapToGrid w:val="0"/>
                <w:kern w:val="28"/>
                <w:sz w:val="24"/>
              </w:rPr>
            </w:pPr>
            <w:r>
              <w:rPr>
                <w:rFonts w:hint="eastAsia" w:ascii="仿宋_GB2312" w:hAnsi="宋体" w:eastAsia="仿宋_GB2312"/>
                <w:b/>
                <w:sz w:val="24"/>
              </w:rPr>
              <w:t>采购代理服务费：</w:t>
            </w:r>
            <w:r>
              <w:rPr>
                <w:rFonts w:hint="eastAsia" w:ascii="仿宋_GB2312" w:hAnsi="宋体" w:eastAsia="仿宋_GB2312" w:cs="宋体"/>
                <w:snapToGrid w:val="0"/>
                <w:kern w:val="28"/>
                <w:sz w:val="24"/>
              </w:rPr>
              <w:t>中标人须向招标代理机构按如下标准和规定交纳代理服务费：</w:t>
            </w:r>
          </w:p>
          <w:p>
            <w:pPr>
              <w:spacing w:line="440" w:lineRule="exact"/>
              <w:rPr>
                <w:rFonts w:ascii="仿宋_GB2312" w:hAnsi="宋体" w:eastAsia="仿宋_GB2312" w:cs="宋体"/>
                <w:snapToGrid w:val="0"/>
                <w:color w:val="0000FF"/>
                <w:kern w:val="28"/>
                <w:sz w:val="24"/>
              </w:rPr>
            </w:pPr>
            <w:r>
              <w:rPr>
                <w:rFonts w:hint="eastAsia" w:ascii="仿宋_GB2312" w:hAnsi="宋体" w:eastAsia="仿宋_GB2312" w:cs="宋体"/>
                <w:snapToGrid w:val="0"/>
                <w:color w:val="0000FF"/>
                <w:kern w:val="28"/>
                <w:sz w:val="24"/>
              </w:rPr>
              <w:t>（1）以中标通知中确定的中标总金额作为服务费的计算基数，收费标准参考《招标代理服务收费管理暂行办法》（计价格[2002]1980号），预算价在500万元及以上项目0-500万元区间按单个项目中标价计算代理收费基数×（1-中标下浮率30% ）收取。</w:t>
            </w:r>
          </w:p>
          <w:p>
            <w:pPr>
              <w:spacing w:line="440" w:lineRule="exact"/>
              <w:rPr>
                <w:rFonts w:ascii="仿宋_GB2312" w:hAnsi="仿宋" w:eastAsia="仿宋_GB2312" w:cs="仿宋"/>
                <w:b/>
                <w:kern w:val="0"/>
                <w:sz w:val="24"/>
                <w:szCs w:val="21"/>
              </w:rPr>
            </w:pPr>
            <w:r>
              <w:rPr>
                <w:rFonts w:hint="eastAsia" w:ascii="仿宋_GB2312" w:hAnsi="宋体" w:eastAsia="仿宋_GB2312" w:cs="宋体"/>
                <w:snapToGrid w:val="0"/>
                <w:kern w:val="28"/>
                <w:sz w:val="24"/>
              </w:rPr>
              <w:t xml:space="preserve">（2）以上费用在领取中标通知书前交纳。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sz w:val="36"/>
          <w:szCs w:val="36"/>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2" w:name="_Toc81372776"/>
      <w:bookmarkStart w:id="3" w:name="_Toc84325929"/>
      <w:bookmarkStart w:id="4" w:name="_Toc81372953"/>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2.2.17</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2.2.18投标人需要说明的其他文件和说明（格式自拟）。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4"/>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4"/>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4"/>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w:t>
      </w:r>
      <w:bookmarkStart w:id="236" w:name="_GoBack"/>
      <w:r>
        <w:rPr>
          <w:rFonts w:hint="eastAsia" w:ascii="仿宋_GB2312" w:hAnsi="仿宋" w:eastAsia="仿宋_GB2312" w:cs="仿宋"/>
          <w:b/>
          <w:sz w:val="24"/>
        </w:rPr>
        <w:t>社保</w:t>
      </w:r>
      <w:bookmarkEnd w:id="236"/>
      <w:r>
        <w:rPr>
          <w:rFonts w:hint="eastAsia" w:ascii="仿宋_GB2312" w:hAnsi="仿宋" w:eastAsia="仿宋_GB2312" w:cs="仿宋"/>
          <w:b/>
          <w:sz w:val="24"/>
        </w:rPr>
        <w:t>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sz w:val="32"/>
          <w:szCs w:val="32"/>
        </w:rPr>
      </w:pPr>
    </w:p>
    <w:p>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2"/>
    <w:bookmarkEnd w:id="3"/>
    <w:bookmarkEnd w:id="4"/>
    <w:p>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bCs/>
          <w:sz w:val="24"/>
          <w:szCs w:val="20"/>
        </w:rPr>
      </w:pPr>
      <w:r>
        <w:rPr>
          <w:rFonts w:hint="eastAsia" w:ascii="仿宋_GB2312" w:hAnsi="仿宋" w:eastAsia="仿宋_GB2312" w:cs="仿宋"/>
          <w:b/>
          <w:bCs/>
          <w:sz w:val="24"/>
          <w:szCs w:val="20"/>
        </w:rPr>
        <w:t>投诉书范本及制作说明详见附件2。</w:t>
      </w:r>
    </w:p>
    <w:p>
      <w:pPr>
        <w:snapToGrid w:val="0"/>
        <w:spacing w:line="360" w:lineRule="auto"/>
        <w:outlineLvl w:val="0"/>
        <w:rPr>
          <w:rFonts w:ascii="仿宋_GB2312" w:hAnsi="仿宋" w:eastAsia="仿宋_GB2312" w:cs="仿宋"/>
          <w:b/>
          <w:bCs/>
          <w:sz w:val="24"/>
          <w:szCs w:val="20"/>
        </w:rPr>
      </w:pPr>
    </w:p>
    <w:p>
      <w:pPr>
        <w:snapToGrid w:val="0"/>
        <w:spacing w:line="360" w:lineRule="auto"/>
        <w:ind w:firstLine="1807" w:firstLineChars="500"/>
        <w:outlineLvl w:val="0"/>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bookmarkStart w:id="5" w:name="_Toc151354173"/>
      <w:bookmarkStart w:id="6" w:name="_Toc81372787"/>
      <w:bookmarkStart w:id="7" w:name="_Toc80157775"/>
      <w:bookmarkStart w:id="8" w:name="_Toc81372964"/>
      <w:bookmarkStart w:id="9" w:name="_Toc84325981"/>
      <w:r>
        <w:rPr>
          <w:rFonts w:hint="eastAsia" w:ascii="仿宋" w:hAnsi="仿宋" w:eastAsia="仿宋" w:cs="仿宋"/>
          <w:color w:val="000000" w:themeColor="text1"/>
          <w:sz w:val="24"/>
          <w:szCs w:val="24"/>
          <w14:textFill>
            <w14:solidFill>
              <w14:schemeClr w14:val="tx1"/>
            </w14:solidFill>
          </w14:textFill>
        </w:rPr>
        <w:t>一、项目范围</w:t>
      </w:r>
    </w:p>
    <w:p>
      <w:pPr>
        <w:spacing w:line="360" w:lineRule="auto"/>
        <w:ind w:firstLine="480" w:firstLineChars="200"/>
        <w:rPr>
          <w:rFonts w:ascii="仿宋" w:hAnsi="仿宋" w:eastAsia="仿宋" w:cs="仿宋"/>
          <w:sz w:val="24"/>
        </w:rPr>
      </w:pPr>
      <w:r>
        <w:rPr>
          <w:rFonts w:hint="eastAsia" w:ascii="仿宋" w:hAnsi="仿宋" w:eastAsia="仿宋" w:cs="仿宋"/>
          <w:sz w:val="24"/>
        </w:rPr>
        <w:t>绍兴市。</w:t>
      </w: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二、项目内容</w:t>
      </w:r>
    </w:p>
    <w:p>
      <w:pPr>
        <w:spacing w:line="360" w:lineRule="auto"/>
        <w:ind w:firstLine="480" w:firstLineChars="200"/>
        <w:rPr>
          <w:rFonts w:ascii="仿宋" w:hAnsi="仿宋" w:eastAsia="仿宋" w:cs="仿宋"/>
          <w:sz w:val="24"/>
        </w:rPr>
      </w:pPr>
      <w:r>
        <w:rPr>
          <w:rFonts w:hint="eastAsia" w:ascii="仿宋" w:hAnsi="仿宋" w:eastAsia="仿宋" w:cs="仿宋"/>
          <w:sz w:val="24"/>
        </w:rPr>
        <w:t>1.归集各区、县（市）汇交的2023年度地下市政基础设施测绘成果数据，进行数据库质量检查、成果规整及数据入库。</w:t>
      </w:r>
    </w:p>
    <w:p>
      <w:pPr>
        <w:spacing w:line="360" w:lineRule="auto"/>
        <w:ind w:firstLine="480" w:firstLineChars="200"/>
        <w:rPr>
          <w:rFonts w:ascii="仿宋" w:hAnsi="仿宋" w:eastAsia="仿宋" w:cs="仿宋"/>
          <w:sz w:val="24"/>
        </w:rPr>
      </w:pPr>
      <w:r>
        <w:rPr>
          <w:rFonts w:hint="eastAsia" w:ascii="仿宋" w:hAnsi="仿宋" w:eastAsia="仿宋" w:cs="仿宋"/>
          <w:sz w:val="24"/>
        </w:rPr>
        <w:t>2.对建设等主管部门年度地下市政基础设施更新测绘成果进行数据处理、数据库检查，融合整理及数据入库。</w:t>
      </w:r>
    </w:p>
    <w:p>
      <w:pPr>
        <w:spacing w:line="360" w:lineRule="auto"/>
        <w:ind w:firstLine="480" w:firstLineChars="200"/>
        <w:rPr>
          <w:rFonts w:ascii="仿宋" w:hAnsi="仿宋" w:eastAsia="仿宋" w:cs="仿宋"/>
          <w:sz w:val="24"/>
        </w:rPr>
      </w:pPr>
      <w:r>
        <w:rPr>
          <w:rFonts w:hint="eastAsia" w:ascii="仿宋" w:hAnsi="仿宋" w:eastAsia="仿宋" w:cs="仿宋"/>
          <w:sz w:val="24"/>
        </w:rPr>
        <w:t>3. 绍兴市内跨县（市、区）的长输管线等重要管线工程巡查补测及各区、县（市）地下管线数据接边处理。</w:t>
      </w:r>
    </w:p>
    <w:p>
      <w:pPr>
        <w:spacing w:line="360" w:lineRule="auto"/>
        <w:ind w:firstLine="480" w:firstLineChars="200"/>
        <w:rPr>
          <w:rFonts w:ascii="仿宋" w:hAnsi="仿宋" w:eastAsia="仿宋" w:cs="仿宋"/>
          <w:sz w:val="24"/>
        </w:rPr>
      </w:pPr>
      <w:r>
        <w:rPr>
          <w:rFonts w:hint="eastAsia" w:ascii="仿宋" w:hAnsi="仿宋" w:eastAsia="仿宋" w:cs="仿宋"/>
          <w:sz w:val="24"/>
        </w:rPr>
        <w:t>4.越城区迪荡新城约2平方千米范围内基于普查数据进行地下管线三维模型建设，以及环城东路隧道、胜利东路地下通道的三维模型建设。</w:t>
      </w:r>
    </w:p>
    <w:p>
      <w:pPr>
        <w:spacing w:line="360" w:lineRule="auto"/>
        <w:ind w:firstLine="480" w:firstLineChars="200"/>
        <w:rPr>
          <w:rFonts w:ascii="仿宋" w:hAnsi="仿宋" w:eastAsia="仿宋" w:cs="仿宋"/>
          <w:sz w:val="24"/>
        </w:rPr>
      </w:pPr>
      <w:r>
        <w:rPr>
          <w:rFonts w:hint="eastAsia" w:ascii="仿宋" w:hAnsi="仿宋" w:eastAsia="仿宋" w:cs="仿宋"/>
          <w:sz w:val="24"/>
        </w:rPr>
        <w:t>5. 在绍兴市城市地下市政基础设施普查基础上对各区、县（市）原普查区外重要道路地下管线进行普查与接边。</w:t>
      </w: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三、技术要求</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3.1作业依据（主要包括但不限于）</w:t>
      </w:r>
    </w:p>
    <w:p>
      <w:pPr>
        <w:spacing w:line="360" w:lineRule="auto"/>
        <w:ind w:firstLine="480" w:firstLineChars="200"/>
        <w:rPr>
          <w:rFonts w:ascii="仿宋" w:hAnsi="仿宋" w:eastAsia="仿宋" w:cs="仿宋"/>
          <w:sz w:val="24"/>
        </w:rPr>
      </w:pPr>
      <w:r>
        <w:rPr>
          <w:rFonts w:hint="eastAsia" w:ascii="仿宋" w:hAnsi="仿宋" w:eastAsia="仿宋" w:cs="仿宋"/>
          <w:sz w:val="24"/>
        </w:rPr>
        <w:t>（1）《中华人民共和国测绘法》；</w:t>
      </w:r>
    </w:p>
    <w:p>
      <w:pPr>
        <w:spacing w:line="360" w:lineRule="auto"/>
        <w:ind w:firstLine="480" w:firstLineChars="200"/>
        <w:rPr>
          <w:rFonts w:ascii="仿宋" w:hAnsi="仿宋" w:eastAsia="仿宋" w:cs="仿宋"/>
          <w:sz w:val="24"/>
        </w:rPr>
      </w:pPr>
      <w:r>
        <w:rPr>
          <w:rFonts w:hint="eastAsia" w:ascii="仿宋" w:hAnsi="仿宋" w:eastAsia="仿宋" w:cs="仿宋"/>
          <w:sz w:val="24"/>
        </w:rPr>
        <w:t>（2）《测绘作业人员安全规范》（CH 1016-2008）；</w:t>
      </w:r>
    </w:p>
    <w:p>
      <w:pPr>
        <w:spacing w:line="360" w:lineRule="auto"/>
        <w:ind w:firstLine="480" w:firstLineChars="200"/>
        <w:rPr>
          <w:rFonts w:ascii="仿宋" w:hAnsi="仿宋" w:eastAsia="仿宋" w:cs="仿宋"/>
          <w:sz w:val="24"/>
        </w:rPr>
      </w:pPr>
      <w:r>
        <w:rPr>
          <w:rFonts w:hint="eastAsia" w:ascii="仿宋" w:hAnsi="仿宋" w:eastAsia="仿宋" w:cs="仿宋"/>
          <w:sz w:val="24"/>
        </w:rPr>
        <w:t>（3）《中华人民共和国保守国家秘密法》；</w:t>
      </w:r>
    </w:p>
    <w:p>
      <w:pPr>
        <w:spacing w:line="360" w:lineRule="auto"/>
        <w:ind w:firstLine="480" w:firstLineChars="200"/>
        <w:rPr>
          <w:rFonts w:ascii="仿宋" w:hAnsi="仿宋" w:eastAsia="仿宋" w:cs="仿宋"/>
          <w:sz w:val="24"/>
        </w:rPr>
      </w:pPr>
      <w:r>
        <w:rPr>
          <w:rFonts w:hint="eastAsia" w:ascii="仿宋" w:hAnsi="仿宋" w:eastAsia="仿宋" w:cs="仿宋"/>
          <w:sz w:val="24"/>
        </w:rPr>
        <w:t>（4）《中华人民共和国保守国家秘密法实施条例》；</w:t>
      </w:r>
    </w:p>
    <w:p>
      <w:pPr>
        <w:spacing w:line="360" w:lineRule="auto"/>
        <w:ind w:firstLine="480" w:firstLineChars="200"/>
        <w:rPr>
          <w:rFonts w:ascii="仿宋" w:hAnsi="仿宋" w:eastAsia="仿宋" w:cs="仿宋"/>
          <w:sz w:val="24"/>
        </w:rPr>
      </w:pPr>
      <w:r>
        <w:rPr>
          <w:rFonts w:hint="eastAsia" w:ascii="仿宋" w:hAnsi="仿宋" w:eastAsia="仿宋" w:cs="仿宋"/>
          <w:sz w:val="24"/>
        </w:rPr>
        <w:t>（5）《中华人民共和国数据安全法》；</w:t>
      </w:r>
    </w:p>
    <w:p>
      <w:pPr>
        <w:spacing w:line="360" w:lineRule="auto"/>
        <w:ind w:firstLine="480" w:firstLineChars="200"/>
        <w:rPr>
          <w:rFonts w:ascii="仿宋" w:hAnsi="仿宋" w:eastAsia="仿宋" w:cs="仿宋"/>
          <w:sz w:val="24"/>
        </w:rPr>
      </w:pPr>
      <w:r>
        <w:rPr>
          <w:rFonts w:hint="eastAsia" w:ascii="仿宋" w:hAnsi="仿宋" w:eastAsia="仿宋" w:cs="仿宋"/>
          <w:sz w:val="24"/>
        </w:rPr>
        <w:t>（6）《浙江省测绘地理信息条例》（浙江省第十三届人民代表大会常务委员会公告第10号）；</w:t>
      </w:r>
    </w:p>
    <w:p>
      <w:pPr>
        <w:spacing w:line="360" w:lineRule="auto"/>
        <w:ind w:firstLine="480" w:firstLineChars="200"/>
        <w:rPr>
          <w:rFonts w:ascii="仿宋" w:hAnsi="仿宋" w:eastAsia="仿宋" w:cs="仿宋"/>
          <w:sz w:val="24"/>
        </w:rPr>
      </w:pPr>
      <w:r>
        <w:rPr>
          <w:rFonts w:hint="eastAsia" w:ascii="仿宋" w:hAnsi="仿宋" w:eastAsia="仿宋" w:cs="仿宋"/>
          <w:sz w:val="24"/>
        </w:rPr>
        <w:t>（7）《浙江省测绘成果管理办法》；</w:t>
      </w:r>
    </w:p>
    <w:p>
      <w:pPr>
        <w:spacing w:line="360" w:lineRule="auto"/>
        <w:ind w:firstLine="480" w:firstLineChars="200"/>
        <w:rPr>
          <w:rFonts w:ascii="仿宋" w:hAnsi="仿宋" w:eastAsia="仿宋" w:cs="仿宋"/>
          <w:sz w:val="24"/>
        </w:rPr>
      </w:pPr>
      <w:r>
        <w:rPr>
          <w:rFonts w:hint="eastAsia" w:ascii="仿宋" w:hAnsi="仿宋" w:eastAsia="仿宋" w:cs="仿宋"/>
          <w:sz w:val="24"/>
        </w:rPr>
        <w:t>（8）《测绘地理信息管理工作国家秘密范围的规定》（自然资发2020〔95〕号）；</w:t>
      </w:r>
    </w:p>
    <w:p>
      <w:pPr>
        <w:spacing w:line="360" w:lineRule="auto"/>
        <w:ind w:firstLine="480" w:firstLineChars="200"/>
        <w:rPr>
          <w:rFonts w:ascii="仿宋" w:hAnsi="仿宋" w:eastAsia="仿宋" w:cs="仿宋"/>
          <w:sz w:val="24"/>
        </w:rPr>
      </w:pPr>
      <w:r>
        <w:rPr>
          <w:rFonts w:hint="eastAsia" w:ascii="仿宋" w:hAnsi="仿宋" w:eastAsia="仿宋" w:cs="仿宋"/>
          <w:sz w:val="24"/>
        </w:rPr>
        <w:t>（9）《城市地下空间测绘规范》（GB/T 35636-2017）；</w:t>
      </w:r>
    </w:p>
    <w:p>
      <w:pPr>
        <w:spacing w:line="360" w:lineRule="auto"/>
        <w:ind w:firstLine="480" w:firstLineChars="200"/>
        <w:rPr>
          <w:rFonts w:ascii="仿宋" w:hAnsi="仿宋" w:eastAsia="仿宋" w:cs="仿宋"/>
          <w:sz w:val="24"/>
        </w:rPr>
      </w:pPr>
      <w:r>
        <w:rPr>
          <w:rFonts w:hint="eastAsia" w:ascii="仿宋" w:hAnsi="仿宋" w:eastAsia="仿宋" w:cs="仿宋"/>
          <w:sz w:val="24"/>
        </w:rPr>
        <w:t>（10）《国家基本比例尺地图图式第1部分：1∶500 1∶1 000 1∶2 000地形图图式》（GB/T 20257.1-2017）；</w:t>
      </w:r>
    </w:p>
    <w:p>
      <w:pPr>
        <w:spacing w:line="360" w:lineRule="auto"/>
        <w:ind w:firstLine="480" w:firstLineChars="200"/>
        <w:rPr>
          <w:rFonts w:ascii="仿宋" w:hAnsi="仿宋" w:eastAsia="仿宋" w:cs="仿宋"/>
          <w:sz w:val="24"/>
        </w:rPr>
      </w:pPr>
      <w:bookmarkStart w:id="10" w:name="_Toc19136"/>
      <w:bookmarkStart w:id="11" w:name="_Toc29213"/>
      <w:bookmarkStart w:id="12" w:name="_Toc19677"/>
      <w:bookmarkStart w:id="13" w:name="_Toc25464"/>
      <w:bookmarkStart w:id="14" w:name="_Toc1815"/>
      <w:bookmarkStart w:id="15" w:name="_Toc15663"/>
      <w:bookmarkStart w:id="16" w:name="_Toc30295"/>
      <w:bookmarkStart w:id="17" w:name="_Toc1253"/>
      <w:bookmarkStart w:id="18" w:name="_Toc19291"/>
      <w:r>
        <w:rPr>
          <w:rFonts w:hint="eastAsia" w:ascii="仿宋" w:hAnsi="仿宋" w:eastAsia="仿宋" w:cs="仿宋"/>
          <w:sz w:val="24"/>
        </w:rPr>
        <w:t>（11）《工程测量标准》（GB 50026-2020）；</w:t>
      </w:r>
      <w:bookmarkEnd w:id="10"/>
      <w:bookmarkEnd w:id="11"/>
      <w:bookmarkEnd w:id="12"/>
      <w:bookmarkEnd w:id="13"/>
      <w:bookmarkEnd w:id="14"/>
      <w:bookmarkEnd w:id="15"/>
      <w:bookmarkEnd w:id="16"/>
      <w:bookmarkEnd w:id="17"/>
      <w:bookmarkEnd w:id="18"/>
    </w:p>
    <w:p>
      <w:pPr>
        <w:spacing w:line="360" w:lineRule="auto"/>
        <w:ind w:firstLine="480" w:firstLineChars="200"/>
        <w:rPr>
          <w:rFonts w:ascii="仿宋" w:hAnsi="仿宋" w:eastAsia="仿宋" w:cs="仿宋"/>
          <w:sz w:val="24"/>
        </w:rPr>
      </w:pPr>
      <w:r>
        <w:rPr>
          <w:rFonts w:hint="eastAsia" w:ascii="仿宋" w:hAnsi="仿宋" w:eastAsia="仿宋" w:cs="仿宋"/>
          <w:sz w:val="24"/>
        </w:rPr>
        <w:t>（12）《基础地理信息要素分类与代码》（GB/T 13923-2006）；</w:t>
      </w:r>
    </w:p>
    <w:p>
      <w:pPr>
        <w:spacing w:line="360" w:lineRule="auto"/>
        <w:ind w:firstLine="480" w:firstLineChars="200"/>
        <w:rPr>
          <w:rFonts w:ascii="仿宋" w:hAnsi="仿宋" w:eastAsia="仿宋" w:cs="仿宋"/>
          <w:sz w:val="24"/>
        </w:rPr>
      </w:pPr>
      <w:r>
        <w:rPr>
          <w:rFonts w:hint="eastAsia" w:ascii="仿宋" w:hAnsi="仿宋" w:eastAsia="仿宋" w:cs="仿宋"/>
          <w:sz w:val="24"/>
        </w:rPr>
        <w:t>（13）《基础地理信息城市数据库建设规范》（GB/T 21740-2008）；</w:t>
      </w:r>
    </w:p>
    <w:p>
      <w:pPr>
        <w:spacing w:line="360" w:lineRule="auto"/>
        <w:ind w:firstLine="480" w:firstLineChars="200"/>
        <w:rPr>
          <w:rFonts w:ascii="仿宋" w:hAnsi="仿宋" w:eastAsia="仿宋" w:cs="仿宋"/>
          <w:sz w:val="24"/>
        </w:rPr>
      </w:pPr>
      <w:bookmarkStart w:id="19" w:name="_Toc3570"/>
      <w:bookmarkStart w:id="20" w:name="_Toc24244"/>
      <w:bookmarkStart w:id="21" w:name="_Toc30662"/>
      <w:bookmarkStart w:id="22" w:name="_Toc19357"/>
      <w:bookmarkStart w:id="23" w:name="_Toc28222"/>
      <w:bookmarkStart w:id="24" w:name="_Toc14517"/>
      <w:bookmarkStart w:id="25" w:name="_Toc31199"/>
      <w:bookmarkStart w:id="26" w:name="_Toc17281"/>
      <w:bookmarkStart w:id="27" w:name="_Toc30669"/>
      <w:bookmarkStart w:id="28" w:name="_Toc27600"/>
      <w:r>
        <w:rPr>
          <w:rFonts w:hint="eastAsia" w:ascii="仿宋" w:hAnsi="仿宋" w:eastAsia="仿宋" w:cs="仿宋"/>
          <w:sz w:val="24"/>
        </w:rPr>
        <w:t>（14）《地理信息元数据》（GB/T 19710-2005）；</w:t>
      </w:r>
      <w:bookmarkEnd w:id="19"/>
      <w:bookmarkEnd w:id="20"/>
      <w:bookmarkEnd w:id="21"/>
      <w:bookmarkEnd w:id="22"/>
      <w:bookmarkEnd w:id="23"/>
      <w:bookmarkEnd w:id="24"/>
      <w:bookmarkEnd w:id="25"/>
      <w:bookmarkEnd w:id="26"/>
      <w:bookmarkEnd w:id="27"/>
      <w:bookmarkEnd w:id="28"/>
    </w:p>
    <w:p>
      <w:pPr>
        <w:spacing w:line="360" w:lineRule="auto"/>
        <w:ind w:firstLine="480" w:firstLineChars="200"/>
        <w:rPr>
          <w:rFonts w:ascii="仿宋" w:hAnsi="仿宋" w:eastAsia="仿宋" w:cs="仿宋"/>
          <w:sz w:val="24"/>
        </w:rPr>
      </w:pPr>
      <w:r>
        <w:rPr>
          <w:rFonts w:hint="eastAsia" w:ascii="仿宋" w:hAnsi="仿宋" w:eastAsia="仿宋" w:cs="仿宋"/>
          <w:sz w:val="24"/>
        </w:rPr>
        <w:t>（15）《数字测绘成果质量检查与验收》（GB/T 18316-2008）；</w:t>
      </w:r>
    </w:p>
    <w:p>
      <w:pPr>
        <w:spacing w:line="360" w:lineRule="auto"/>
        <w:ind w:firstLine="480" w:firstLineChars="200"/>
        <w:rPr>
          <w:rFonts w:ascii="仿宋" w:hAnsi="仿宋" w:eastAsia="仿宋" w:cs="仿宋"/>
          <w:sz w:val="24"/>
        </w:rPr>
      </w:pPr>
      <w:r>
        <w:rPr>
          <w:rFonts w:hint="eastAsia" w:ascii="仿宋" w:hAnsi="仿宋" w:eastAsia="仿宋" w:cs="仿宋"/>
          <w:sz w:val="24"/>
        </w:rPr>
        <w:t>（16）《测绘成果质量检查与验收》（GB/T 24356-2023）；</w:t>
      </w:r>
    </w:p>
    <w:p>
      <w:pPr>
        <w:spacing w:line="360" w:lineRule="auto"/>
        <w:ind w:firstLine="480" w:firstLineChars="200"/>
        <w:rPr>
          <w:rFonts w:ascii="仿宋" w:hAnsi="仿宋" w:eastAsia="仿宋" w:cs="仿宋"/>
          <w:sz w:val="24"/>
        </w:rPr>
      </w:pPr>
      <w:r>
        <w:rPr>
          <w:rFonts w:hint="eastAsia" w:ascii="仿宋" w:hAnsi="仿宋" w:eastAsia="仿宋" w:cs="仿宋"/>
          <w:sz w:val="24"/>
        </w:rPr>
        <w:t>（17）《地下管线数据获取规程》（GB/T 35644-2017）；</w:t>
      </w:r>
    </w:p>
    <w:p>
      <w:pPr>
        <w:spacing w:line="360" w:lineRule="auto"/>
        <w:ind w:firstLine="480" w:firstLineChars="200"/>
        <w:rPr>
          <w:rFonts w:ascii="仿宋" w:hAnsi="仿宋" w:eastAsia="仿宋" w:cs="仿宋"/>
          <w:sz w:val="24"/>
        </w:rPr>
      </w:pPr>
      <w:r>
        <w:rPr>
          <w:rFonts w:hint="eastAsia" w:ascii="仿宋" w:hAnsi="仿宋" w:eastAsia="仿宋" w:cs="仿宋"/>
          <w:sz w:val="24"/>
        </w:rPr>
        <w:t>（18）《卫星导航定位基准站网络实时动态测量（RTK）规范》（GB/T 39616-2020）；</w:t>
      </w:r>
    </w:p>
    <w:p>
      <w:pPr>
        <w:spacing w:line="360" w:lineRule="auto"/>
        <w:ind w:firstLine="480" w:firstLineChars="200"/>
        <w:rPr>
          <w:rFonts w:ascii="仿宋" w:hAnsi="仿宋" w:eastAsia="仿宋" w:cs="仿宋"/>
          <w:sz w:val="24"/>
        </w:rPr>
      </w:pPr>
      <w:r>
        <w:rPr>
          <w:rFonts w:hint="eastAsia" w:ascii="仿宋" w:hAnsi="仿宋" w:eastAsia="仿宋" w:cs="仿宋"/>
          <w:sz w:val="24"/>
        </w:rPr>
        <w:t>（19）《城市地下道路工程设计规范》（CJJ/T 221-2015）；</w:t>
      </w:r>
    </w:p>
    <w:p>
      <w:pPr>
        <w:spacing w:line="360" w:lineRule="auto"/>
        <w:ind w:firstLine="480" w:firstLineChars="200"/>
        <w:rPr>
          <w:rFonts w:ascii="仿宋" w:hAnsi="仿宋" w:eastAsia="仿宋" w:cs="仿宋"/>
          <w:sz w:val="24"/>
        </w:rPr>
      </w:pPr>
      <w:bookmarkStart w:id="29" w:name="_Toc19878"/>
      <w:bookmarkStart w:id="30" w:name="_Toc20815"/>
      <w:bookmarkStart w:id="31" w:name="_Toc23714"/>
      <w:bookmarkStart w:id="32" w:name="_Toc26830"/>
      <w:bookmarkStart w:id="33" w:name="_Toc2843"/>
      <w:bookmarkStart w:id="34" w:name="_Toc3725"/>
      <w:bookmarkStart w:id="35" w:name="_Toc28383"/>
      <w:bookmarkStart w:id="36" w:name="_Toc1918"/>
      <w:bookmarkStart w:id="37" w:name="_Toc30792"/>
      <w:bookmarkStart w:id="38" w:name="_Toc27371"/>
      <w:r>
        <w:rPr>
          <w:rFonts w:hint="eastAsia" w:ascii="仿宋" w:hAnsi="仿宋" w:eastAsia="仿宋" w:cs="仿宋"/>
          <w:sz w:val="24"/>
        </w:rPr>
        <w:t>（20）《城市测量规范》（CJJ/T 8-2011）；</w:t>
      </w:r>
      <w:bookmarkEnd w:id="29"/>
      <w:bookmarkEnd w:id="30"/>
      <w:bookmarkEnd w:id="31"/>
      <w:bookmarkEnd w:id="32"/>
      <w:bookmarkEnd w:id="33"/>
      <w:bookmarkEnd w:id="34"/>
      <w:bookmarkEnd w:id="35"/>
      <w:bookmarkEnd w:id="36"/>
      <w:bookmarkEnd w:id="37"/>
      <w:bookmarkEnd w:id="38"/>
    </w:p>
    <w:p>
      <w:pPr>
        <w:spacing w:line="360" w:lineRule="auto"/>
        <w:ind w:firstLine="480" w:firstLineChars="200"/>
        <w:rPr>
          <w:rFonts w:ascii="仿宋" w:hAnsi="仿宋" w:eastAsia="仿宋" w:cs="仿宋"/>
          <w:sz w:val="24"/>
        </w:rPr>
      </w:pPr>
      <w:r>
        <w:rPr>
          <w:rFonts w:hint="eastAsia" w:ascii="仿宋" w:hAnsi="仿宋" w:eastAsia="仿宋" w:cs="仿宋"/>
          <w:sz w:val="24"/>
        </w:rPr>
        <w:t>（21）《城市工程地球物理探测标准》（CJJ/T 7-2017）；</w:t>
      </w:r>
    </w:p>
    <w:p>
      <w:pPr>
        <w:spacing w:line="360" w:lineRule="auto"/>
        <w:ind w:firstLine="480" w:firstLineChars="200"/>
        <w:rPr>
          <w:rFonts w:ascii="仿宋" w:hAnsi="仿宋" w:eastAsia="仿宋" w:cs="仿宋"/>
          <w:sz w:val="24"/>
        </w:rPr>
      </w:pPr>
      <w:r>
        <w:rPr>
          <w:rFonts w:hint="eastAsia" w:ascii="仿宋" w:hAnsi="仿宋" w:eastAsia="仿宋" w:cs="仿宋"/>
          <w:sz w:val="24"/>
        </w:rPr>
        <w:t>（22）《城市地下管线探测技术规程》（CJJ 61-2017）；</w:t>
      </w:r>
    </w:p>
    <w:p>
      <w:pPr>
        <w:spacing w:line="360" w:lineRule="auto"/>
        <w:ind w:firstLine="480" w:firstLineChars="200"/>
        <w:rPr>
          <w:rFonts w:ascii="仿宋" w:hAnsi="仿宋" w:eastAsia="仿宋" w:cs="仿宋"/>
          <w:sz w:val="24"/>
        </w:rPr>
      </w:pPr>
      <w:r>
        <w:rPr>
          <w:rFonts w:hint="eastAsia" w:ascii="仿宋" w:hAnsi="仿宋" w:eastAsia="仿宋" w:cs="仿宋"/>
          <w:sz w:val="24"/>
        </w:rPr>
        <w:t>（23）《管线测绘技术规程》（CH/T 6002-2015）；</w:t>
      </w:r>
    </w:p>
    <w:p>
      <w:pPr>
        <w:spacing w:line="360" w:lineRule="auto"/>
        <w:ind w:firstLine="480" w:firstLineChars="200"/>
        <w:rPr>
          <w:rFonts w:ascii="仿宋" w:hAnsi="仿宋" w:eastAsia="仿宋" w:cs="仿宋"/>
          <w:sz w:val="24"/>
        </w:rPr>
      </w:pPr>
      <w:r>
        <w:rPr>
          <w:rFonts w:hint="eastAsia" w:ascii="仿宋" w:hAnsi="仿宋" w:eastAsia="仿宋" w:cs="仿宋"/>
          <w:sz w:val="24"/>
        </w:rPr>
        <w:t>（24）《管线要素分类代码与符号表达》（CH/T 1036-2015）；</w:t>
      </w:r>
    </w:p>
    <w:p>
      <w:pPr>
        <w:spacing w:line="360" w:lineRule="auto"/>
        <w:ind w:firstLine="480" w:firstLineChars="200"/>
        <w:rPr>
          <w:rFonts w:ascii="仿宋" w:hAnsi="仿宋" w:eastAsia="仿宋" w:cs="仿宋"/>
          <w:sz w:val="24"/>
        </w:rPr>
      </w:pPr>
      <w:r>
        <w:rPr>
          <w:rFonts w:hint="eastAsia" w:ascii="仿宋" w:hAnsi="仿宋" w:eastAsia="仿宋" w:cs="仿宋"/>
          <w:sz w:val="24"/>
        </w:rPr>
        <w:t>（25）《实景三维地理信息数据激光雷达测量技术规程》（CH/T 3020-2018）；</w:t>
      </w:r>
    </w:p>
    <w:p>
      <w:pPr>
        <w:spacing w:line="360" w:lineRule="auto"/>
        <w:ind w:firstLine="480" w:firstLineChars="200"/>
        <w:rPr>
          <w:rFonts w:ascii="仿宋" w:hAnsi="仿宋" w:eastAsia="仿宋" w:cs="仿宋"/>
          <w:sz w:val="24"/>
        </w:rPr>
      </w:pPr>
      <w:r>
        <w:rPr>
          <w:rFonts w:hint="eastAsia" w:ascii="仿宋" w:hAnsi="仿宋" w:eastAsia="仿宋" w:cs="仿宋"/>
          <w:sz w:val="24"/>
        </w:rPr>
        <w:t>（26）《基础地理信息要素分类与图形表达代码》（DB33/T 817-2010）；</w:t>
      </w:r>
    </w:p>
    <w:p>
      <w:pPr>
        <w:spacing w:line="360" w:lineRule="auto"/>
        <w:ind w:firstLine="480" w:firstLineChars="200"/>
        <w:rPr>
          <w:rFonts w:ascii="仿宋" w:hAnsi="仿宋" w:eastAsia="仿宋" w:cs="仿宋"/>
          <w:sz w:val="24"/>
        </w:rPr>
      </w:pPr>
      <w:r>
        <w:rPr>
          <w:rFonts w:hint="eastAsia" w:ascii="仿宋" w:hAnsi="仿宋" w:eastAsia="仿宋" w:cs="仿宋"/>
          <w:sz w:val="24"/>
        </w:rPr>
        <w:t>（27）《1∶500 1∶1000 1∶2000基础地理信息要素数据库技术规范》（DB33/T 2122-2018）；</w:t>
      </w:r>
    </w:p>
    <w:p>
      <w:pPr>
        <w:spacing w:line="360" w:lineRule="auto"/>
        <w:ind w:firstLine="480" w:firstLineChars="200"/>
        <w:rPr>
          <w:rFonts w:ascii="仿宋" w:hAnsi="仿宋" w:eastAsia="仿宋" w:cs="仿宋"/>
          <w:sz w:val="24"/>
        </w:rPr>
      </w:pPr>
      <w:r>
        <w:rPr>
          <w:rFonts w:hint="eastAsia" w:ascii="仿宋" w:hAnsi="仿宋" w:eastAsia="仿宋" w:cs="仿宋"/>
          <w:sz w:val="24"/>
        </w:rPr>
        <w:t>（28）《浙江省城市地下市政基础设施普查技术规程》（浙自然资发[2021]4号）；</w:t>
      </w:r>
    </w:p>
    <w:p>
      <w:pPr>
        <w:spacing w:line="360" w:lineRule="auto"/>
        <w:ind w:firstLine="480" w:firstLineChars="200"/>
        <w:rPr>
          <w:rFonts w:ascii="仿宋" w:hAnsi="仿宋" w:eastAsia="仿宋" w:cs="仿宋"/>
          <w:sz w:val="24"/>
        </w:rPr>
      </w:pPr>
      <w:r>
        <w:rPr>
          <w:rFonts w:hint="eastAsia" w:ascii="仿宋" w:hAnsi="仿宋" w:eastAsia="仿宋" w:cs="仿宋"/>
          <w:sz w:val="24"/>
        </w:rPr>
        <w:t>（29）《浙江省城市地下市政基础设施数据库建设规范》（浙自然资发[2021]4号）；</w:t>
      </w:r>
    </w:p>
    <w:p>
      <w:pPr>
        <w:spacing w:line="360" w:lineRule="auto"/>
        <w:ind w:firstLine="480" w:firstLineChars="200"/>
        <w:rPr>
          <w:rFonts w:ascii="仿宋" w:hAnsi="仿宋" w:eastAsia="仿宋" w:cs="仿宋"/>
          <w:sz w:val="24"/>
        </w:rPr>
      </w:pPr>
      <w:r>
        <w:rPr>
          <w:rFonts w:hint="eastAsia" w:ascii="仿宋" w:hAnsi="仿宋" w:eastAsia="仿宋" w:cs="仿宋"/>
          <w:sz w:val="24"/>
        </w:rPr>
        <w:t>（30）《浙江省城市地下市政基础设施普查质量检查检验规范》（浙自然资发[2021]4号）；</w:t>
      </w:r>
    </w:p>
    <w:p>
      <w:pPr>
        <w:spacing w:line="360" w:lineRule="auto"/>
        <w:ind w:firstLine="480" w:firstLineChars="200"/>
        <w:rPr>
          <w:rFonts w:ascii="仿宋" w:hAnsi="仿宋" w:eastAsia="仿宋" w:cs="仿宋"/>
          <w:sz w:val="24"/>
        </w:rPr>
      </w:pPr>
      <w:r>
        <w:rPr>
          <w:rFonts w:hint="eastAsia" w:ascii="仿宋" w:hAnsi="仿宋" w:eastAsia="仿宋" w:cs="仿宋"/>
          <w:sz w:val="24"/>
        </w:rPr>
        <w:t>（31）《浙江省城市地下市政基础设施普查技术文件补充规定》（浙自然资厅函〔2022〕137号）；</w:t>
      </w:r>
    </w:p>
    <w:p>
      <w:pPr>
        <w:spacing w:line="360" w:lineRule="auto"/>
        <w:ind w:firstLine="480" w:firstLineChars="200"/>
        <w:rPr>
          <w:rFonts w:ascii="仿宋" w:hAnsi="仿宋" w:eastAsia="仿宋" w:cs="仿宋"/>
          <w:sz w:val="24"/>
        </w:rPr>
      </w:pPr>
      <w:r>
        <w:rPr>
          <w:rFonts w:hint="eastAsia" w:ascii="仿宋" w:hAnsi="仿宋" w:eastAsia="仿宋" w:cs="仿宋"/>
          <w:sz w:val="24"/>
        </w:rPr>
        <w:t>（32）《浙江省城市地下市政基础设施普查技术文件补充规定（二）》（浙自然资厅函〔2022〕899号）。</w:t>
      </w:r>
    </w:p>
    <w:p>
      <w:pPr>
        <w:spacing w:line="360" w:lineRule="auto"/>
        <w:ind w:firstLine="480" w:firstLineChars="200"/>
        <w:rPr>
          <w:rFonts w:ascii="仿宋" w:hAnsi="仿宋" w:eastAsia="仿宋" w:cs="仿宋"/>
          <w:sz w:val="24"/>
        </w:rPr>
      </w:pPr>
      <w:r>
        <w:rPr>
          <w:rFonts w:hint="eastAsia" w:ascii="仿宋" w:hAnsi="仿宋" w:eastAsia="仿宋" w:cs="仿宋"/>
          <w:sz w:val="24"/>
        </w:rPr>
        <w:t>（33）《浙江省城市地下市政基础设施普查常见问题解答》（浙江省自然资源厅国土测绘处2022年1月19日）；</w:t>
      </w:r>
    </w:p>
    <w:p>
      <w:pPr>
        <w:spacing w:line="360" w:lineRule="auto"/>
        <w:ind w:firstLine="480" w:firstLineChars="200"/>
        <w:rPr>
          <w:rFonts w:ascii="仿宋" w:hAnsi="仿宋" w:eastAsia="仿宋" w:cs="仿宋"/>
          <w:sz w:val="24"/>
        </w:rPr>
      </w:pPr>
      <w:bookmarkStart w:id="39" w:name="_Toc25386"/>
      <w:bookmarkStart w:id="40" w:name="_Toc22135"/>
      <w:bookmarkStart w:id="41" w:name="_Toc8894"/>
      <w:bookmarkStart w:id="42" w:name="_Toc21594"/>
      <w:bookmarkStart w:id="43" w:name="_Toc23622"/>
      <w:bookmarkStart w:id="44" w:name="_Toc6868"/>
      <w:bookmarkStart w:id="45" w:name="_Toc19111"/>
      <w:bookmarkStart w:id="46" w:name="_Toc24500"/>
      <w:bookmarkStart w:id="47" w:name="_Toc7081"/>
      <w:bookmarkStart w:id="48" w:name="_Toc26583"/>
      <w:r>
        <w:rPr>
          <w:rFonts w:hint="eastAsia" w:ascii="仿宋" w:hAnsi="仿宋" w:eastAsia="仿宋" w:cs="仿宋"/>
          <w:sz w:val="24"/>
        </w:rPr>
        <w:t>（34）</w:t>
      </w:r>
      <w:bookmarkEnd w:id="39"/>
      <w:bookmarkEnd w:id="40"/>
      <w:bookmarkEnd w:id="41"/>
      <w:bookmarkEnd w:id="42"/>
      <w:bookmarkEnd w:id="43"/>
      <w:bookmarkEnd w:id="44"/>
      <w:bookmarkEnd w:id="45"/>
      <w:bookmarkEnd w:id="46"/>
      <w:bookmarkEnd w:id="47"/>
      <w:bookmarkEnd w:id="48"/>
      <w:r>
        <w:rPr>
          <w:rFonts w:hint="eastAsia" w:ascii="仿宋" w:hAnsi="仿宋" w:eastAsia="仿宋" w:cs="仿宋"/>
          <w:sz w:val="24"/>
        </w:rPr>
        <w:t>《绍兴市地下市政基础信息平台地下设施数据组织与存储规范》。</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3.</w:t>
      </w:r>
      <w:bookmarkStart w:id="49" w:name="_Toc1304"/>
      <w:bookmarkStart w:id="50" w:name="_Toc402265843"/>
      <w:r>
        <w:rPr>
          <w:rFonts w:hint="eastAsia" w:ascii="仿宋" w:hAnsi="仿宋" w:eastAsia="仿宋" w:cs="仿宋"/>
          <w:b/>
          <w:bCs/>
          <w:sz w:val="24"/>
        </w:rPr>
        <w:t>2空间参考系统</w:t>
      </w:r>
      <w:bookmarkEnd w:id="49"/>
    </w:p>
    <w:bookmarkEnd w:id="50"/>
    <w:p>
      <w:pPr>
        <w:spacing w:line="360" w:lineRule="auto"/>
        <w:ind w:firstLine="480" w:firstLineChars="200"/>
        <w:rPr>
          <w:rFonts w:ascii="仿宋" w:hAnsi="仿宋" w:eastAsia="仿宋" w:cs="仿宋"/>
          <w:sz w:val="24"/>
        </w:rPr>
      </w:pPr>
      <w:r>
        <w:rPr>
          <w:rFonts w:hint="eastAsia" w:ascii="仿宋" w:hAnsi="仿宋" w:eastAsia="仿宋" w:cs="仿宋"/>
          <w:sz w:val="24"/>
        </w:rPr>
        <w:t>（1）坐标系：2000国家大地坐标系（CGCS2000）。</w:t>
      </w:r>
    </w:p>
    <w:p>
      <w:pPr>
        <w:spacing w:line="360" w:lineRule="auto"/>
        <w:ind w:firstLine="480" w:firstLineChars="200"/>
        <w:rPr>
          <w:rFonts w:ascii="仿宋" w:hAnsi="仿宋" w:eastAsia="仿宋" w:cs="仿宋"/>
          <w:sz w:val="24"/>
        </w:rPr>
      </w:pPr>
      <w:r>
        <w:rPr>
          <w:rFonts w:hint="eastAsia" w:ascii="仿宋" w:hAnsi="仿宋" w:eastAsia="仿宋" w:cs="仿宋"/>
          <w:sz w:val="24"/>
        </w:rPr>
        <w:t>（2）高程基准：1985国家高程基准（二期）。</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3.3精度要求</w:t>
      </w:r>
    </w:p>
    <w:p>
      <w:pPr>
        <w:spacing w:line="360" w:lineRule="auto"/>
        <w:ind w:firstLine="480" w:firstLineChars="200"/>
        <w:rPr>
          <w:rFonts w:ascii="仿宋" w:hAnsi="仿宋" w:eastAsia="仿宋" w:cs="仿宋"/>
          <w:sz w:val="24"/>
        </w:rPr>
      </w:pPr>
      <w:bookmarkStart w:id="51" w:name="_Toc23406"/>
      <w:bookmarkStart w:id="52" w:name="_Toc30515"/>
      <w:bookmarkStart w:id="53" w:name="_Toc489"/>
      <w:bookmarkStart w:id="54" w:name="_Toc16636"/>
      <w:bookmarkStart w:id="55" w:name="_Toc27422"/>
      <w:bookmarkStart w:id="56" w:name="_Toc23720"/>
      <w:bookmarkStart w:id="57" w:name="_Toc10029"/>
      <w:bookmarkStart w:id="58" w:name="_Toc11480"/>
      <w:bookmarkStart w:id="59" w:name="_Toc7518"/>
      <w:bookmarkStart w:id="60" w:name="_Toc11101"/>
      <w:r>
        <w:rPr>
          <w:rFonts w:hint="eastAsia" w:ascii="仿宋" w:hAnsi="仿宋" w:eastAsia="仿宋" w:cs="仿宋"/>
          <w:sz w:val="24"/>
        </w:rPr>
        <w:t>（1）管线点探查精度</w:t>
      </w:r>
      <w:bookmarkEnd w:id="51"/>
      <w:bookmarkEnd w:id="52"/>
      <w:bookmarkEnd w:id="53"/>
      <w:bookmarkEnd w:id="54"/>
      <w:bookmarkEnd w:id="55"/>
      <w:bookmarkEnd w:id="56"/>
      <w:bookmarkEnd w:id="57"/>
      <w:bookmarkEnd w:id="58"/>
      <w:bookmarkEnd w:id="59"/>
      <w:bookmarkEnd w:id="60"/>
    </w:p>
    <w:p>
      <w:pPr>
        <w:spacing w:line="360" w:lineRule="auto"/>
        <w:ind w:firstLine="480" w:firstLineChars="200"/>
        <w:rPr>
          <w:rFonts w:ascii="仿宋" w:hAnsi="仿宋" w:eastAsia="仿宋" w:cs="仿宋"/>
          <w:sz w:val="24"/>
        </w:rPr>
      </w:pPr>
      <w:r>
        <w:rPr>
          <w:rFonts w:hint="eastAsia" w:ascii="仿宋" w:hAnsi="仿宋" w:eastAsia="仿宋" w:cs="仿宋"/>
          <w:sz w:val="24"/>
        </w:rPr>
        <w:t>明显管线点埋深量测中误差不大于25mm；隐蔽管线点探查平面位置中误差不大于0.05h，埋深中误差不大于0.075h，其中h为管线中心埋深，单位为mm，当h＜1000mm时以1000mm代入计算。</w:t>
      </w:r>
    </w:p>
    <w:p>
      <w:pPr>
        <w:spacing w:line="360" w:lineRule="auto"/>
        <w:ind w:firstLine="480" w:firstLineChars="200"/>
        <w:rPr>
          <w:rFonts w:ascii="仿宋" w:hAnsi="仿宋" w:eastAsia="仿宋" w:cs="仿宋"/>
          <w:sz w:val="24"/>
        </w:rPr>
      </w:pPr>
      <w:bookmarkStart w:id="61" w:name="_Toc22196"/>
      <w:bookmarkStart w:id="62" w:name="_Toc24767"/>
      <w:bookmarkStart w:id="63" w:name="_Toc5009"/>
      <w:bookmarkStart w:id="64" w:name="_Toc7057"/>
      <w:bookmarkStart w:id="65" w:name="_Toc8346"/>
      <w:bookmarkStart w:id="66" w:name="_Toc31213"/>
      <w:bookmarkStart w:id="67" w:name="_Toc5284"/>
      <w:bookmarkStart w:id="68" w:name="_Toc12196"/>
      <w:bookmarkStart w:id="69" w:name="_Toc5616"/>
      <w:bookmarkStart w:id="70" w:name="_Toc20270"/>
      <w:r>
        <w:rPr>
          <w:rFonts w:hint="eastAsia" w:ascii="仿宋" w:hAnsi="仿宋" w:eastAsia="仿宋" w:cs="仿宋"/>
          <w:sz w:val="24"/>
        </w:rPr>
        <w:t>（2）管线点测量精度</w:t>
      </w:r>
      <w:bookmarkEnd w:id="61"/>
      <w:bookmarkEnd w:id="62"/>
      <w:bookmarkEnd w:id="63"/>
      <w:bookmarkEnd w:id="64"/>
      <w:bookmarkEnd w:id="65"/>
      <w:bookmarkEnd w:id="66"/>
      <w:bookmarkEnd w:id="67"/>
      <w:bookmarkEnd w:id="68"/>
      <w:bookmarkEnd w:id="69"/>
      <w:bookmarkEnd w:id="70"/>
    </w:p>
    <w:p>
      <w:pPr>
        <w:spacing w:line="360" w:lineRule="auto"/>
        <w:ind w:firstLine="480" w:firstLineChars="200"/>
        <w:rPr>
          <w:rFonts w:ascii="仿宋" w:hAnsi="仿宋" w:eastAsia="仿宋" w:cs="仿宋"/>
          <w:sz w:val="24"/>
        </w:rPr>
      </w:pPr>
      <w:r>
        <w:rPr>
          <w:rFonts w:hint="eastAsia" w:ascii="仿宋" w:hAnsi="仿宋" w:eastAsia="仿宋" w:cs="仿宋"/>
          <w:sz w:val="24"/>
        </w:rPr>
        <w:t>管线点平面位置测量中误差不大于±50mm；高程测量中误差不大于±30mm。</w:t>
      </w:r>
    </w:p>
    <w:p>
      <w:pPr>
        <w:spacing w:line="360" w:lineRule="auto"/>
        <w:ind w:firstLine="480" w:firstLineChars="200"/>
        <w:rPr>
          <w:rFonts w:ascii="仿宋" w:hAnsi="仿宋" w:eastAsia="仿宋" w:cs="仿宋"/>
          <w:sz w:val="24"/>
        </w:rPr>
      </w:pPr>
      <w:bookmarkStart w:id="71" w:name="_Toc18521"/>
      <w:bookmarkStart w:id="72" w:name="_Toc5855"/>
      <w:bookmarkStart w:id="73" w:name="_Toc9652"/>
      <w:bookmarkStart w:id="74" w:name="_Toc29380"/>
      <w:bookmarkStart w:id="75" w:name="_Toc18092"/>
      <w:bookmarkStart w:id="76" w:name="_Toc1396"/>
      <w:bookmarkStart w:id="77" w:name="_Toc7709"/>
      <w:bookmarkStart w:id="78" w:name="_Toc26106"/>
      <w:bookmarkStart w:id="79" w:name="_Toc8838"/>
      <w:bookmarkStart w:id="80" w:name="_Toc22817"/>
      <w:r>
        <w:rPr>
          <w:rFonts w:hint="eastAsia" w:ascii="仿宋" w:hAnsi="仿宋" w:eastAsia="仿宋" w:cs="仿宋"/>
          <w:sz w:val="24"/>
        </w:rPr>
        <w:t>（3）其他地下市政设施测量精度</w:t>
      </w:r>
      <w:bookmarkEnd w:id="71"/>
      <w:bookmarkEnd w:id="72"/>
      <w:bookmarkEnd w:id="73"/>
      <w:bookmarkEnd w:id="74"/>
      <w:bookmarkEnd w:id="75"/>
      <w:bookmarkEnd w:id="76"/>
      <w:bookmarkEnd w:id="77"/>
      <w:bookmarkEnd w:id="78"/>
      <w:bookmarkEnd w:id="79"/>
      <w:bookmarkEnd w:id="80"/>
    </w:p>
    <w:p>
      <w:pPr>
        <w:spacing w:line="360" w:lineRule="auto"/>
        <w:ind w:firstLine="480" w:firstLineChars="200"/>
        <w:rPr>
          <w:rFonts w:ascii="仿宋" w:hAnsi="仿宋" w:eastAsia="仿宋" w:cs="仿宋"/>
          <w:sz w:val="24"/>
        </w:rPr>
      </w:pPr>
      <w:r>
        <w:rPr>
          <w:rFonts w:hint="eastAsia" w:ascii="仿宋" w:hAnsi="仿宋" w:eastAsia="仿宋" w:cs="仿宋"/>
          <w:sz w:val="24"/>
        </w:rPr>
        <w:t>其他市政设施明显构筑物点平面位置测量中误差不大于50mm，隐蔽构筑物点平面位置测量中误差不大于250mm；设施地面高程测量中误差不大于150mm；地下建筑物结构净高量测中误差不大于25mm。</w:t>
      </w: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四、验收要求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原普查区外重要道路地下管线普查及其他新测地下管线数据须</w:t>
      </w:r>
      <w:r>
        <w:rPr>
          <w:rFonts w:hint="eastAsia" w:ascii="仿宋" w:hAnsi="仿宋" w:eastAsia="仿宋" w:cs="仿宋"/>
          <w:color w:val="000000" w:themeColor="text1"/>
          <w:kern w:val="0"/>
          <w:sz w:val="24"/>
          <w14:textFill>
            <w14:solidFill>
              <w14:schemeClr w14:val="tx1"/>
            </w14:solidFill>
          </w14:textFill>
        </w:rPr>
        <w:t>经省级或省级以上法定测绘质量监督检验机构质检合格，项目整体通过采购人组织的专家验收。</w:t>
      </w: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五、成果资料及交付要求</w:t>
      </w:r>
    </w:p>
    <w:tbl>
      <w:tblPr>
        <w:tblStyle w:val="63"/>
        <w:tblW w:w="5000"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831"/>
        <w:gridCol w:w="1290"/>
        <w:gridCol w:w="2681"/>
        <w:gridCol w:w="987"/>
        <w:gridCol w:w="949"/>
        <w:gridCol w:w="1725"/>
        <w:gridCol w:w="71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blHeader/>
          <w:jc w:val="center"/>
        </w:trPr>
        <w:tc>
          <w:tcPr>
            <w:tcW w:w="453" w:type="pct"/>
            <w:tcBorders>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序号</w:t>
            </w:r>
          </w:p>
        </w:tc>
        <w:tc>
          <w:tcPr>
            <w:tcW w:w="703" w:type="pct"/>
            <w:tcBorders>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成果类型</w:t>
            </w:r>
          </w:p>
        </w:tc>
        <w:tc>
          <w:tcPr>
            <w:tcW w:w="1461" w:type="pct"/>
            <w:tcBorders>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成果名称</w:t>
            </w:r>
          </w:p>
        </w:tc>
        <w:tc>
          <w:tcPr>
            <w:tcW w:w="538" w:type="pct"/>
            <w:tcBorders>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格式</w:t>
            </w:r>
          </w:p>
        </w:tc>
        <w:tc>
          <w:tcPr>
            <w:tcW w:w="517" w:type="pct"/>
            <w:tcBorders>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数量</w:t>
            </w:r>
          </w:p>
        </w:tc>
        <w:tc>
          <w:tcPr>
            <w:tcW w:w="940" w:type="pct"/>
            <w:tcBorders>
              <w:left w:val="single" w:color="auto" w:sz="4" w:space="0"/>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介质</w:t>
            </w:r>
          </w:p>
        </w:tc>
        <w:tc>
          <w:tcPr>
            <w:tcW w:w="388" w:type="pct"/>
            <w:tcBorders>
              <w:left w:val="single" w:color="auto" w:sz="4" w:space="0"/>
              <w:bottom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1</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数据成果</w:t>
            </w: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kern w:val="0"/>
                <w:sz w:val="24"/>
              </w:rPr>
              <w:t>地下管线数据库</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GDB</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453" w:type="pct"/>
            <w:vMerge w:val="continue"/>
            <w:tcBorders>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kern w:val="0"/>
                <w:sz w:val="24"/>
              </w:rPr>
              <w:t>地下管线</w:t>
            </w:r>
            <w:r>
              <w:rPr>
                <w:rFonts w:hint="eastAsia" w:ascii="仿宋" w:hAnsi="仿宋" w:eastAsia="仿宋" w:cs="仿宋"/>
                <w:sz w:val="24"/>
              </w:rPr>
              <w:t>元数据</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SHP</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光盘</w:t>
            </w:r>
          </w:p>
        </w:tc>
        <w:tc>
          <w:tcPr>
            <w:tcW w:w="388" w:type="pct"/>
            <w:tcBorders>
              <w:top w:val="single" w:color="auto" w:sz="4" w:space="0"/>
              <w:lef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16" w:hRule="atLeast"/>
          <w:jc w:val="center"/>
        </w:trPr>
        <w:tc>
          <w:tcPr>
            <w:tcW w:w="453" w:type="pct"/>
            <w:vMerge w:val="continue"/>
            <w:tcBorders>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kern w:val="0"/>
                <w:sz w:val="24"/>
              </w:rPr>
            </w:pPr>
            <w:r>
              <w:rPr>
                <w:rFonts w:hint="eastAsia" w:ascii="仿宋" w:hAnsi="仿宋" w:eastAsia="仿宋" w:cs="仿宋"/>
                <w:kern w:val="0"/>
                <w:sz w:val="24"/>
              </w:rPr>
              <w:t>三维模型数据</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OBJ</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光盘</w:t>
            </w:r>
          </w:p>
        </w:tc>
        <w:tc>
          <w:tcPr>
            <w:tcW w:w="388" w:type="pct"/>
            <w:tcBorders>
              <w:top w:val="single" w:color="auto" w:sz="4" w:space="0"/>
              <w:lef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07"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2</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图件成果</w:t>
            </w: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rPr>
              <w:t>普查单元分布图</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DWG</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27" w:hRule="atLeast"/>
          <w:jc w:val="center"/>
        </w:trPr>
        <w:tc>
          <w:tcPr>
            <w:tcW w:w="453" w:type="pct"/>
            <w:vMerge w:val="continue"/>
            <w:tcBorders>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rPr>
              <w:t>地下管线分布图</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DWG</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44"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3</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文档成果</w:t>
            </w: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sz w:val="24"/>
              </w:rPr>
            </w:pPr>
            <w:r>
              <w:rPr>
                <w:rFonts w:hint="eastAsia" w:ascii="仿宋" w:hAnsi="仿宋" w:eastAsia="仿宋" w:cs="仿宋"/>
                <w:sz w:val="24"/>
              </w:rPr>
              <w:t>技术设计书</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81" w:hRule="atLeast"/>
          <w:jc w:val="center"/>
        </w:trPr>
        <w:tc>
          <w:tcPr>
            <w:tcW w:w="453" w:type="pct"/>
            <w:vMerge w:val="continue"/>
            <w:tcBorders>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sz w:val="24"/>
              </w:rPr>
            </w:pPr>
            <w:r>
              <w:rPr>
                <w:rFonts w:hint="eastAsia" w:ascii="仿宋" w:hAnsi="仿宋" w:eastAsia="仿宋" w:cs="仿宋"/>
                <w:sz w:val="24"/>
              </w:rPr>
              <w:t>技术总结</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453" w:type="pct"/>
            <w:vMerge w:val="continue"/>
            <w:tcBorders>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sz w:val="24"/>
              </w:rPr>
            </w:pPr>
            <w:r>
              <w:rPr>
                <w:rFonts w:hint="eastAsia" w:ascii="仿宋" w:hAnsi="仿宋" w:eastAsia="仿宋" w:cs="仿宋"/>
                <w:sz w:val="24"/>
              </w:rPr>
              <w:t>质量检验报告</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20" w:hRule="atLeast"/>
          <w:jc w:val="center"/>
        </w:trPr>
        <w:tc>
          <w:tcPr>
            <w:tcW w:w="453" w:type="pct"/>
            <w:vMerge w:val="continue"/>
            <w:tcBorders>
              <w:bottom w:val="single" w:color="auto" w:sz="4" w:space="0"/>
              <w:right w:val="single" w:color="auto" w:sz="4" w:space="0"/>
            </w:tcBorders>
            <w:vAlign w:val="center"/>
          </w:tcPr>
          <w:p>
            <w:pPr>
              <w:jc w:val="center"/>
              <w:rPr>
                <w:rFonts w:ascii="仿宋" w:hAnsi="仿宋" w:eastAsia="仿宋" w:cs="仿宋"/>
                <w:sz w:val="24"/>
                <w:lang w:val="en-GB"/>
              </w:rPr>
            </w:pPr>
          </w:p>
        </w:tc>
        <w:tc>
          <w:tcPr>
            <w:tcW w:w="703"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sz w:val="24"/>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sz w:val="24"/>
              </w:rPr>
            </w:pPr>
            <w:r>
              <w:rPr>
                <w:rFonts w:hint="eastAsia" w:ascii="仿宋" w:hAnsi="仿宋" w:eastAsia="仿宋" w:cs="仿宋"/>
                <w:sz w:val="24"/>
              </w:rPr>
              <w:t>验收意见</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851" w:hRule="atLeast"/>
          <w:jc w:val="center"/>
        </w:trPr>
        <w:tc>
          <w:tcPr>
            <w:tcW w:w="453" w:type="pct"/>
            <w:tcBorders>
              <w:top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5</w:t>
            </w:r>
          </w:p>
        </w:tc>
        <w:tc>
          <w:tcPr>
            <w:tcW w:w="703"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lang w:val="en-GB"/>
              </w:rPr>
            </w:pPr>
            <w:r>
              <w:rPr>
                <w:rFonts w:hint="eastAsia" w:ascii="仿宋" w:hAnsi="仿宋" w:eastAsia="仿宋" w:cs="仿宋"/>
                <w:sz w:val="24"/>
                <w:lang w:val="en-GB"/>
              </w:rPr>
              <w:t>其他材料</w:t>
            </w: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rPr>
              <w:t>资料移交清单及其它必要资料的电子文档</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PDF</w:t>
            </w:r>
          </w:p>
          <w:p>
            <w:pPr>
              <w:jc w:val="center"/>
              <w:rPr>
                <w:rFonts w:ascii="仿宋" w:hAnsi="仿宋" w:eastAsia="仿宋" w:cs="仿宋"/>
                <w:sz w:val="24"/>
              </w:rPr>
            </w:pPr>
            <w:r>
              <w:rPr>
                <w:rFonts w:hint="eastAsia" w:ascii="仿宋" w:hAnsi="仿宋" w:eastAsia="仿宋" w:cs="仿宋"/>
                <w:sz w:val="24"/>
              </w:rPr>
              <w:t>/JPG等</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纸质/光盘</w:t>
            </w:r>
          </w:p>
        </w:tc>
        <w:tc>
          <w:tcPr>
            <w:tcW w:w="388" w:type="pct"/>
            <w:tcBorders>
              <w:top w:val="single" w:color="auto" w:sz="4" w:space="0"/>
              <w:left w:val="single" w:color="auto" w:sz="4" w:space="0"/>
            </w:tcBorders>
            <w:vAlign w:val="center"/>
          </w:tcPr>
          <w:p>
            <w:pPr>
              <w:jc w:val="center"/>
              <w:rPr>
                <w:rFonts w:ascii="仿宋" w:hAnsi="仿宋" w:eastAsia="仿宋" w:cs="仿宋"/>
                <w:sz w:val="24"/>
              </w:rPr>
            </w:pPr>
          </w:p>
        </w:tc>
      </w:tr>
    </w:tbl>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五、安全要求</w:t>
      </w:r>
    </w:p>
    <w:p>
      <w:pPr>
        <w:spacing w:line="360" w:lineRule="auto"/>
        <w:ind w:firstLine="480" w:firstLineChars="200"/>
        <w:rPr>
          <w:rFonts w:ascii="仿宋" w:hAnsi="仿宋" w:eastAsia="仿宋" w:cs="仿宋"/>
          <w:sz w:val="24"/>
        </w:rPr>
      </w:pPr>
      <w:r>
        <w:rPr>
          <w:rFonts w:hint="eastAsia" w:ascii="仿宋" w:hAnsi="仿宋" w:eastAsia="仿宋" w:cs="仿宋"/>
          <w:sz w:val="24"/>
        </w:rPr>
        <w:t>中标供应商必须按规定程序和安全文明服务有关要求进行实施，承担服务过程中的各种意外其责任由中标供应商承担采购人不承担任何责任。</w:t>
      </w:r>
    </w:p>
    <w:p>
      <w:pPr>
        <w:rPr>
          <w:rFonts w:ascii="仿宋" w:hAnsi="仿宋" w:eastAsia="仿宋" w:cs="仿宋"/>
          <w:sz w:val="24"/>
        </w:rPr>
      </w:pPr>
    </w:p>
    <w:p>
      <w:pPr>
        <w:pStyle w:val="59"/>
        <w:spacing w:before="0" w:after="0" w:line="360" w:lineRule="auto"/>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六、商务要求</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1、服务期限</w:t>
      </w:r>
    </w:p>
    <w:p>
      <w:pPr>
        <w:spacing w:line="360" w:lineRule="auto"/>
        <w:ind w:firstLine="480" w:firstLineChars="200"/>
        <w:rPr>
          <w:rFonts w:ascii="仿宋" w:hAnsi="仿宋" w:eastAsia="仿宋" w:cs="仿宋"/>
          <w:sz w:val="24"/>
        </w:rPr>
      </w:pPr>
      <w:r>
        <w:rPr>
          <w:rFonts w:hint="eastAsia" w:ascii="仿宋" w:hAnsi="仿宋" w:eastAsia="仿宋" w:cs="仿宋"/>
          <w:sz w:val="24"/>
        </w:rPr>
        <w:t>自合同签订之日起至项目完成验收、提交成果等工作。</w:t>
      </w:r>
    </w:p>
    <w:p>
      <w:pPr>
        <w:spacing w:line="360" w:lineRule="auto"/>
        <w:ind w:firstLine="480" w:firstLineChars="200"/>
        <w:rPr>
          <w:rFonts w:ascii="仿宋" w:hAnsi="仿宋" w:eastAsia="仿宋" w:cs="仿宋"/>
          <w:sz w:val="24"/>
        </w:rPr>
      </w:pPr>
      <w:r>
        <w:rPr>
          <w:rFonts w:hint="eastAsia" w:ascii="仿宋" w:hAnsi="仿宋" w:eastAsia="仿宋" w:cs="仿宋"/>
          <w:sz w:val="24"/>
        </w:rPr>
        <w:t>2024年9月</w:t>
      </w:r>
      <w:r>
        <w:rPr>
          <w:rFonts w:hint="eastAsia" w:ascii="仿宋" w:hAnsi="仿宋" w:eastAsia="仿宋" w:cs="仿宋"/>
          <w:sz w:val="24"/>
          <w:lang w:val="en-US" w:eastAsia="zh-CN"/>
        </w:rPr>
        <w:t>20日</w:t>
      </w:r>
      <w:r>
        <w:rPr>
          <w:rFonts w:hint="eastAsia" w:ascii="仿宋" w:hAnsi="仿宋" w:eastAsia="仿宋" w:cs="仿宋"/>
          <w:sz w:val="24"/>
        </w:rPr>
        <w:t>前完成项目地下管线、地下通道三维建模及普查区外地下管线普查与接边；2024年11月底前完成质检及采购人组织的项目整体验收并完成成果汇交工作。</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2、数量调整</w:t>
      </w:r>
    </w:p>
    <w:p>
      <w:pPr>
        <w:pStyle w:val="184"/>
        <w:tabs>
          <w:tab w:val="left" w:pos="0"/>
        </w:tabs>
        <w:spacing w:before="0" w:line="460" w:lineRule="exact"/>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szCs w:val="24"/>
        </w:rPr>
        <w:t>采购人保留在签约时微调部分服务的权力，</w:t>
      </w:r>
      <w:r>
        <w:rPr>
          <w:rFonts w:hint="eastAsia" w:ascii="仿宋" w:hAnsi="仿宋" w:eastAsia="仿宋" w:cs="仿宋"/>
          <w:color w:val="000000" w:themeColor="text1"/>
          <w:kern w:val="0"/>
          <w:szCs w:val="24"/>
          <w14:textFill>
            <w14:solidFill>
              <w14:schemeClr w14:val="tx1"/>
            </w14:solidFill>
          </w14:textFill>
        </w:rPr>
        <w:t>中标价一次性包死，结算时不再调整。</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3、售后服务</w:t>
      </w:r>
    </w:p>
    <w:p>
      <w:pPr>
        <w:pStyle w:val="184"/>
        <w:tabs>
          <w:tab w:val="left" w:pos="0"/>
        </w:tabs>
        <w:spacing w:before="0" w:line="460" w:lineRule="exact"/>
        <w:ind w:firstLine="480"/>
        <w:rPr>
          <w:rFonts w:ascii="仿宋" w:hAnsi="仿宋" w:eastAsia="仿宋" w:cs="仿宋"/>
          <w:szCs w:val="24"/>
        </w:rPr>
      </w:pPr>
      <w:r>
        <w:rPr>
          <w:rFonts w:hint="eastAsia" w:ascii="仿宋" w:hAnsi="仿宋" w:eastAsia="仿宋" w:cs="仿宋"/>
          <w:szCs w:val="24"/>
        </w:rPr>
        <w:t>本项目验收完成后，中标人还需提供完整可行的售后服务，售后服务内容包括做好数据汇交，协助采购人进行数据更新维护，用户在使用过程中疑难问题的及时响应。</w:t>
      </w:r>
      <w:r>
        <w:rPr>
          <w:rFonts w:hint="eastAsia" w:ascii="仿宋" w:hAnsi="仿宋" w:eastAsia="仿宋" w:cs="仿宋"/>
          <w:color w:val="000000" w:themeColor="text1"/>
          <w:kern w:val="0"/>
          <w:szCs w:val="24"/>
          <w14:textFill>
            <w14:solidFill>
              <w14:schemeClr w14:val="tx1"/>
            </w14:solidFill>
          </w14:textFill>
        </w:rPr>
        <w:t>提供5*8小时的维护，提供7*24小时应急处理。</w:t>
      </w:r>
    </w:p>
    <w:p>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4、支付方式</w:t>
      </w:r>
    </w:p>
    <w:p>
      <w:pPr>
        <w:pStyle w:val="184"/>
        <w:tabs>
          <w:tab w:val="left" w:pos="0"/>
        </w:tabs>
        <w:spacing w:before="0" w:line="460" w:lineRule="exact"/>
        <w:ind w:firstLine="480"/>
        <w:rPr>
          <w:rFonts w:ascii="仿宋" w:hAnsi="仿宋" w:eastAsia="仿宋" w:cs="仿宋"/>
          <w:szCs w:val="24"/>
        </w:rPr>
      </w:pPr>
      <w:r>
        <w:rPr>
          <w:rFonts w:hint="eastAsia" w:ascii="仿宋" w:hAnsi="仿宋" w:eastAsia="仿宋" w:cs="仿宋"/>
          <w:szCs w:val="24"/>
        </w:rPr>
        <w:t>合同签订后支付合同总价的30%；完成项目地下管线、地下通道三维建模及普查区外地下管线普查与接边后支付合同总价的40%；项目通过质检和验收并提交所有成果后支付合同总价的30%。</w:t>
      </w:r>
    </w:p>
    <w:p>
      <w:pPr>
        <w:tabs>
          <w:tab w:val="left" w:pos="3870"/>
          <w:tab w:val="left" w:pos="4085"/>
        </w:tabs>
        <w:autoSpaceDE w:val="0"/>
        <w:autoSpaceDN w:val="0"/>
        <w:adjustRightInd w:val="0"/>
        <w:spacing w:line="440" w:lineRule="exact"/>
        <w:ind w:left="180" w:hanging="180" w:hangingChars="75"/>
        <w:jc w:val="left"/>
        <w:rPr>
          <w:rFonts w:ascii="仿宋" w:hAnsi="仿宋" w:eastAsia="仿宋" w:cs="仿宋"/>
          <w:sz w:val="24"/>
        </w:rPr>
      </w:pPr>
    </w:p>
    <w:bookmarkEnd w:id="5"/>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3"/>
        <w:ind w:left="0" w:leftChars="0" w:firstLine="0" w:firstLineChars="0"/>
        <w:rPr>
          <w:rFonts w:ascii="仿宋_GB2312" w:hAnsi="仿宋" w:eastAsia="仿宋_GB2312" w:cs="仿宋"/>
          <w:szCs w:val="24"/>
        </w:rPr>
      </w:pPr>
    </w:p>
    <w:p>
      <w:pPr>
        <w:pStyle w:val="313"/>
        <w:jc w:val="center"/>
        <w:rPr>
          <w:rFonts w:ascii="仿宋_GB2312" w:hAnsi="仿宋" w:eastAsia="仿宋_GB2312" w:cs="仿宋"/>
          <w:szCs w:val="24"/>
        </w:rPr>
      </w:pPr>
    </w:p>
    <w:p>
      <w:pPr>
        <w:pStyle w:val="313"/>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3"/>
        <w:rPr>
          <w:rFonts w:ascii="仿宋_GB2312" w:hAnsi="仿宋" w:eastAsia="仿宋_GB2312" w:cs="仿宋"/>
          <w:szCs w:val="24"/>
        </w:rPr>
      </w:pPr>
    </w:p>
    <w:p>
      <w:pPr>
        <w:pStyle w:val="313"/>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12"/>
        <w:spacing w:before="120" w:line="22" w:lineRule="atLeast"/>
        <w:rPr>
          <w:rFonts w:hAnsi="仿宋" w:cs="仿宋"/>
          <w:szCs w:val="24"/>
        </w:rPr>
      </w:pPr>
    </w:p>
    <w:p>
      <w:pPr>
        <w:pStyle w:val="312"/>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4" w:type="default"/>
          <w:footerReference r:id="rId5"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81" w:name="_Toc3029"/>
      <w:bookmarkStart w:id="82" w:name="_Toc2232"/>
      <w:bookmarkStart w:id="83" w:name="_Toc24059"/>
      <w:r>
        <w:rPr>
          <w:rFonts w:hint="eastAsia" w:ascii="仿宋_GB2312" w:hAnsi="仿宋" w:eastAsia="仿宋_GB2312" w:cs="仿宋"/>
          <w:b/>
          <w:sz w:val="24"/>
        </w:rPr>
        <w:t>1.1 合同组成部分</w:t>
      </w:r>
      <w:bookmarkEnd w:id="81"/>
      <w:bookmarkEnd w:id="82"/>
      <w:bookmarkEnd w:id="8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84" w:name="_Toc21295"/>
      <w:bookmarkStart w:id="85" w:name="_Toc24300"/>
      <w:bookmarkStart w:id="86" w:name="_Toc27126"/>
      <w:r>
        <w:rPr>
          <w:rFonts w:hint="eastAsia" w:ascii="仿宋_GB2312" w:hAnsi="仿宋" w:eastAsia="仿宋_GB2312" w:cs="仿宋"/>
          <w:b/>
          <w:sz w:val="24"/>
        </w:rPr>
        <w:t>1.2 货物</w:t>
      </w:r>
      <w:bookmarkEnd w:id="84"/>
      <w:bookmarkEnd w:id="85"/>
      <w:bookmarkEnd w:id="86"/>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87" w:name="_Toc23292"/>
      <w:bookmarkStart w:id="88" w:name="_Toc21631"/>
      <w:bookmarkStart w:id="89" w:name="_Toc21551"/>
      <w:r>
        <w:rPr>
          <w:rFonts w:hint="eastAsia" w:ascii="仿宋_GB2312" w:hAnsi="仿宋" w:eastAsia="仿宋_GB2312" w:cs="仿宋"/>
          <w:b/>
          <w:sz w:val="24"/>
        </w:rPr>
        <w:t>1.3 价款</w:t>
      </w:r>
      <w:bookmarkEnd w:id="87"/>
      <w:bookmarkEnd w:id="88"/>
      <w:bookmarkEnd w:id="8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1"/>
              <w:spacing w:line="560" w:lineRule="exact"/>
              <w:ind w:firstLine="200"/>
              <w:jc w:val="center"/>
              <w:rPr>
                <w:rFonts w:ascii="仿宋_GB2312" w:hAnsi="仿宋" w:eastAsia="仿宋_GB2312" w:cs="仿宋"/>
                <w:sz w:val="24"/>
                <w:szCs w:val="24"/>
              </w:rPr>
            </w:pPr>
          </w:p>
        </w:tc>
      </w:tr>
    </w:tbl>
    <w:p>
      <w:pPr>
        <w:pStyle w:val="314"/>
        <w:spacing w:before="0" w:beforeAutospacing="0" w:after="0" w:afterAutospacing="0" w:line="360" w:lineRule="auto"/>
        <w:ind w:firstLine="480"/>
        <w:rPr>
          <w:rFonts w:ascii="仿宋_GB2312" w:hAnsi="仿宋" w:eastAsia="仿宋_GB2312" w:cs="仿宋"/>
          <w:b/>
        </w:rPr>
      </w:pPr>
      <w:bookmarkStart w:id="90" w:name="_Toc1814"/>
      <w:bookmarkStart w:id="91" w:name="_Toc10340"/>
      <w:bookmarkStart w:id="92" w:name="_Toc22618"/>
      <w:r>
        <w:rPr>
          <w:rFonts w:hint="eastAsia" w:ascii="仿宋_GB2312" w:hAnsi="仿宋" w:eastAsia="仿宋_GB2312" w:cs="仿宋"/>
          <w:b/>
        </w:rPr>
        <w:t>1.4履约保证金</w:t>
      </w:r>
    </w:p>
    <w:p>
      <w:pPr>
        <w:pStyle w:val="314"/>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90"/>
      <w:bookmarkEnd w:id="91"/>
      <w:bookmarkEnd w:id="92"/>
      <w:r>
        <w:rPr>
          <w:rFonts w:hint="eastAsia" w:ascii="仿宋_GB2312" w:hAnsi="仿宋" w:eastAsia="仿宋_GB2312" w:cs="仿宋"/>
          <w:b/>
          <w:sz w:val="24"/>
        </w:rPr>
        <w:t>预付款</w:t>
      </w:r>
    </w:p>
    <w:p>
      <w:pPr>
        <w:pStyle w:val="314"/>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4"/>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4"/>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4"/>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4"/>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93" w:name="_Toc19304"/>
      <w:bookmarkStart w:id="94" w:name="_Toc2846"/>
      <w:bookmarkStart w:id="95" w:name="_Toc32071"/>
      <w:r>
        <w:rPr>
          <w:rFonts w:hint="eastAsia" w:ascii="仿宋_GB2312" w:hAnsi="仿宋" w:eastAsia="仿宋_GB2312" w:cs="仿宋"/>
          <w:b/>
          <w:sz w:val="24"/>
        </w:rPr>
        <w:t>1.7货物交付期限、地点和方式</w:t>
      </w:r>
      <w:bookmarkEnd w:id="93"/>
      <w:bookmarkEnd w:id="94"/>
      <w:bookmarkEnd w:id="95"/>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96" w:name="_Toc21423"/>
      <w:bookmarkStart w:id="97" w:name="_Toc19554"/>
      <w:bookmarkStart w:id="98" w:name="_Toc27250"/>
      <w:r>
        <w:rPr>
          <w:rFonts w:hint="eastAsia" w:ascii="仿宋_GB2312" w:hAnsi="仿宋" w:eastAsia="仿宋_GB2312" w:cs="仿宋"/>
          <w:b/>
          <w:sz w:val="24"/>
        </w:rPr>
        <w:t>1.8违约责任</w:t>
      </w:r>
      <w:bookmarkEnd w:id="96"/>
      <w:bookmarkEnd w:id="97"/>
      <w:bookmarkEnd w:id="9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99" w:name="_Toc28375"/>
      <w:bookmarkStart w:id="100" w:name="_Toc15583"/>
      <w:bookmarkStart w:id="101" w:name="_Toc16021"/>
      <w:r>
        <w:rPr>
          <w:rFonts w:hint="eastAsia" w:ascii="仿宋_GB2312" w:hAnsi="仿宋" w:eastAsia="仿宋_GB2312" w:cs="仿宋"/>
          <w:b/>
          <w:sz w:val="24"/>
        </w:rPr>
        <w:t>1.9合同争议的解决</w:t>
      </w:r>
      <w:bookmarkEnd w:id="99"/>
      <w:bookmarkEnd w:id="100"/>
      <w:bookmarkEnd w:id="101"/>
    </w:p>
    <w:p>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560" w:lineRule="exact"/>
        <w:ind w:firstLine="482" w:firstLineChars="200"/>
        <w:outlineLvl w:val="0"/>
        <w:rPr>
          <w:rFonts w:ascii="仿宋_GB2312" w:hAnsi="仿宋" w:eastAsia="仿宋_GB2312" w:cs="仿宋"/>
          <w:b/>
          <w:sz w:val="24"/>
        </w:rPr>
      </w:pPr>
      <w:bookmarkStart w:id="102" w:name="_Toc15322"/>
      <w:bookmarkStart w:id="103" w:name="_Toc7245"/>
      <w:bookmarkStart w:id="104" w:name="_Toc11173"/>
      <w:r>
        <w:rPr>
          <w:rFonts w:hint="eastAsia" w:ascii="仿宋_GB2312" w:hAnsi="仿宋" w:eastAsia="仿宋_GB2312" w:cs="仿宋"/>
          <w:b/>
          <w:sz w:val="24"/>
        </w:rPr>
        <w:t>2.0 合同生效</w:t>
      </w:r>
      <w:bookmarkEnd w:id="102"/>
      <w:bookmarkEnd w:id="103"/>
      <w:bookmarkEnd w:id="104"/>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3"/>
        <w:spacing w:line="560" w:lineRule="exact"/>
        <w:ind w:firstLine="482"/>
        <w:jc w:val="center"/>
        <w:rPr>
          <w:rFonts w:ascii="仿宋_GB2312" w:hAnsi="仿宋" w:eastAsia="仿宋_GB2312" w:cs="仿宋"/>
          <w:b/>
          <w:szCs w:val="24"/>
        </w:rPr>
      </w:pPr>
    </w:p>
    <w:p>
      <w:pPr>
        <w:pStyle w:val="313"/>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105" w:name="_Toc28763"/>
      <w:bookmarkStart w:id="106" w:name="_Toc16917"/>
      <w:bookmarkStart w:id="107" w:name="_Ref467378404"/>
      <w:bookmarkStart w:id="108" w:name="_Ref467378499"/>
      <w:bookmarkStart w:id="109" w:name="_Ref467379225"/>
      <w:bookmarkStart w:id="110" w:name="_Toc279701240"/>
      <w:bookmarkStart w:id="111" w:name="_Ref467379205"/>
      <w:bookmarkStart w:id="112" w:name="_Ref467379195"/>
      <w:bookmarkStart w:id="113" w:name="_Ref467379094"/>
      <w:bookmarkStart w:id="114" w:name="_Toc19614"/>
      <w:bookmarkStart w:id="115" w:name="_Ref467379214"/>
      <w:bookmarkStart w:id="116" w:name="_Ref467379109"/>
      <w:bookmarkStart w:id="117" w:name="_Ref467378463"/>
      <w:bookmarkStart w:id="118" w:name="_Toc487900349"/>
      <w:bookmarkStart w:id="119" w:name="_Toc259093669"/>
      <w:bookmarkStart w:id="120" w:name="_Ref467379101"/>
      <w:r>
        <w:rPr>
          <w:rFonts w:hint="eastAsia" w:ascii="仿宋_GB2312" w:hAnsi="仿宋" w:eastAsia="仿宋_GB2312" w:cs="仿宋"/>
          <w:b/>
          <w:sz w:val="24"/>
        </w:rPr>
        <w:t>2.1 定义</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121" w:name="_Ref467378840"/>
      <w:r>
        <w:rPr>
          <w:rFonts w:hint="eastAsia" w:ascii="仿宋_GB2312" w:hAnsi="仿宋" w:eastAsia="仿宋_GB2312" w:cs="仿宋"/>
          <w:sz w:val="24"/>
        </w:rPr>
        <w:t>2.1.4 “甲方”系指与中标或成交供应商签署合同的采购人</w:t>
      </w:r>
      <w:bookmarkEnd w:id="121"/>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122" w:name="_Ref467379400"/>
      <w:r>
        <w:rPr>
          <w:rFonts w:hint="eastAsia" w:ascii="仿宋_GB2312" w:hAnsi="仿宋" w:eastAsia="仿宋_GB2312" w:cs="仿宋"/>
          <w:sz w:val="24"/>
        </w:rPr>
        <w:t>2.1.5 “乙方”系指根据合同约定交付货物的中标或成交供应商</w:t>
      </w:r>
      <w:bookmarkEnd w:id="122"/>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123" w:name="_Ref467379436"/>
      <w:r>
        <w:rPr>
          <w:rFonts w:hint="eastAsia" w:ascii="仿宋_GB2312" w:hAnsi="仿宋" w:eastAsia="仿宋_GB2312" w:cs="仿宋"/>
          <w:sz w:val="24"/>
        </w:rPr>
        <w:t>2.1.6 “现场”系指合同约定货物将要运至或者安装的地点。</w:t>
      </w:r>
      <w:bookmarkEnd w:id="123"/>
    </w:p>
    <w:p>
      <w:pPr>
        <w:spacing w:line="560" w:lineRule="exact"/>
        <w:ind w:firstLine="482" w:firstLineChars="200"/>
        <w:outlineLvl w:val="0"/>
        <w:rPr>
          <w:rFonts w:ascii="仿宋_GB2312" w:hAnsi="仿宋" w:eastAsia="仿宋_GB2312" w:cs="仿宋"/>
          <w:b/>
          <w:sz w:val="24"/>
        </w:rPr>
      </w:pPr>
      <w:bookmarkStart w:id="124" w:name="_Toc27635"/>
      <w:bookmarkStart w:id="125" w:name="_Toc13336"/>
      <w:bookmarkStart w:id="126" w:name="_Toc32504"/>
      <w:bookmarkStart w:id="127" w:name="_Toc279701241"/>
      <w:bookmarkStart w:id="128" w:name="_Toc259093670"/>
      <w:bookmarkStart w:id="129" w:name="_Toc487900350"/>
      <w:r>
        <w:rPr>
          <w:rFonts w:hint="eastAsia" w:ascii="仿宋_GB2312" w:hAnsi="仿宋" w:eastAsia="仿宋_GB2312" w:cs="仿宋"/>
          <w:b/>
          <w:sz w:val="24"/>
        </w:rPr>
        <w:t>2.2 技术规范</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130" w:name="_Toc9829"/>
      <w:bookmarkStart w:id="131" w:name="_Toc31634"/>
      <w:bookmarkStart w:id="132" w:name="_Toc279701242"/>
      <w:bookmarkStart w:id="133" w:name="_Toc487900351"/>
      <w:bookmarkStart w:id="134" w:name="_Toc27853"/>
      <w:bookmarkStart w:id="135" w:name="_Toc259093671"/>
      <w:r>
        <w:rPr>
          <w:rFonts w:hint="eastAsia" w:ascii="仿宋_GB2312" w:hAnsi="仿宋" w:eastAsia="仿宋_GB2312" w:cs="仿宋"/>
          <w:b/>
          <w:sz w:val="24"/>
        </w:rPr>
        <w:t>2.3 知识产权</w:t>
      </w:r>
      <w:bookmarkEnd w:id="130"/>
      <w:bookmarkEnd w:id="131"/>
      <w:bookmarkEnd w:id="132"/>
      <w:bookmarkEnd w:id="133"/>
      <w:bookmarkEnd w:id="134"/>
      <w:bookmarkEnd w:id="13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36" w:name="_Toc29149"/>
      <w:bookmarkStart w:id="137" w:name="_Toc4194"/>
      <w:bookmarkStart w:id="138" w:name="_Toc11932"/>
      <w:r>
        <w:rPr>
          <w:rFonts w:hint="eastAsia" w:ascii="仿宋_GB2312" w:hAnsi="仿宋" w:eastAsia="仿宋_GB2312" w:cs="仿宋"/>
          <w:b/>
          <w:sz w:val="24"/>
        </w:rPr>
        <w:t>2.4 包装和装运</w:t>
      </w:r>
      <w:bookmarkEnd w:id="136"/>
      <w:bookmarkEnd w:id="137"/>
      <w:bookmarkEnd w:id="13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39" w:name="_Ref467379527"/>
      <w:bookmarkStart w:id="140" w:name="_Ref467378591"/>
      <w:bookmarkStart w:id="141" w:name="_Toc487900354"/>
      <w:bookmarkStart w:id="142" w:name="_Ref467378541"/>
      <w:bookmarkStart w:id="143" w:name="_Ref467379542"/>
      <w:bookmarkStart w:id="144" w:name="_Ref467379536"/>
      <w:bookmarkStart w:id="145" w:name="_Toc279701245"/>
      <w:bookmarkStart w:id="146" w:name="_Toc259093674"/>
      <w:bookmarkStart w:id="147" w:name="_Toc19074"/>
      <w:bookmarkStart w:id="148" w:name="_Toc26182"/>
      <w:bookmarkStart w:id="149" w:name="_Toc30272"/>
      <w:r>
        <w:rPr>
          <w:rFonts w:hint="eastAsia" w:ascii="仿宋_GB2312" w:hAnsi="仿宋" w:eastAsia="仿宋_GB2312" w:cs="仿宋"/>
          <w:b/>
          <w:sz w:val="24"/>
        </w:rPr>
        <w:t>2.</w:t>
      </w:r>
      <w:bookmarkEnd w:id="139"/>
      <w:bookmarkEnd w:id="140"/>
      <w:bookmarkEnd w:id="141"/>
      <w:bookmarkEnd w:id="142"/>
      <w:bookmarkEnd w:id="143"/>
      <w:bookmarkEnd w:id="144"/>
      <w:bookmarkEnd w:id="145"/>
      <w:bookmarkEnd w:id="146"/>
      <w:r>
        <w:rPr>
          <w:rFonts w:hint="eastAsia" w:ascii="仿宋_GB2312" w:hAnsi="仿宋" w:eastAsia="仿宋_GB2312" w:cs="仿宋"/>
          <w:b/>
          <w:sz w:val="24"/>
        </w:rPr>
        <w:t>5 履约检查和问题反馈</w:t>
      </w:r>
      <w:bookmarkEnd w:id="147"/>
      <w:bookmarkEnd w:id="148"/>
      <w:bookmarkEnd w:id="149"/>
    </w:p>
    <w:p>
      <w:pPr>
        <w:spacing w:line="560" w:lineRule="exact"/>
        <w:ind w:firstLine="480" w:firstLineChars="200"/>
        <w:rPr>
          <w:rFonts w:ascii="仿宋_GB2312" w:hAnsi="仿宋" w:eastAsia="仿宋_GB2312" w:cs="仿宋"/>
          <w:sz w:val="24"/>
        </w:rPr>
      </w:pPr>
      <w:bookmarkStart w:id="150" w:name="_Ref467379657"/>
      <w:r>
        <w:rPr>
          <w:rFonts w:hint="eastAsia" w:ascii="仿宋_GB2312" w:hAnsi="仿宋" w:eastAsia="仿宋_GB2312" w:cs="仿宋"/>
          <w:sz w:val="24"/>
        </w:rPr>
        <w:t>2.5.1</w:t>
      </w:r>
      <w:bookmarkEnd w:id="150"/>
      <w:bookmarkStart w:id="151" w:name="_Toc186431854"/>
      <w:bookmarkStart w:id="152" w:name="_Ref467379807"/>
      <w:bookmarkStart w:id="153" w:name="_Toc279701247"/>
      <w:bookmarkStart w:id="154" w:name="_Toc259093676"/>
      <w:bookmarkStart w:id="155" w:name="_Ref467379793"/>
      <w:bookmarkStart w:id="156"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151"/>
      <w:bookmarkStart w:id="157" w:name="_Toc186431855"/>
      <w:r>
        <w:rPr>
          <w:rFonts w:hint="eastAsia" w:ascii="仿宋_GB2312" w:hAnsi="仿宋" w:eastAsia="仿宋_GB2312" w:cs="仿宋"/>
          <w:sz w:val="24"/>
        </w:rPr>
        <w:t>。</w:t>
      </w:r>
    </w:p>
    <w:bookmarkEnd w:id="152"/>
    <w:bookmarkEnd w:id="153"/>
    <w:bookmarkEnd w:id="154"/>
    <w:bookmarkEnd w:id="155"/>
    <w:bookmarkEnd w:id="156"/>
    <w:bookmarkEnd w:id="157"/>
    <w:p>
      <w:pPr>
        <w:spacing w:line="560" w:lineRule="exact"/>
        <w:ind w:firstLine="482" w:firstLineChars="200"/>
        <w:outlineLvl w:val="0"/>
        <w:rPr>
          <w:rFonts w:ascii="仿宋_GB2312" w:hAnsi="仿宋" w:eastAsia="仿宋_GB2312" w:cs="仿宋"/>
          <w:b/>
          <w:sz w:val="24"/>
        </w:rPr>
      </w:pPr>
      <w:bookmarkStart w:id="158" w:name="_Ref467379852"/>
      <w:bookmarkStart w:id="159" w:name="_Toc487900358"/>
      <w:bookmarkStart w:id="160" w:name="_Ref467379863"/>
      <w:bookmarkStart w:id="161" w:name="_Toc279701248"/>
      <w:bookmarkStart w:id="162" w:name="_Ref467379923"/>
      <w:bookmarkStart w:id="163" w:name="_Toc259093677"/>
      <w:bookmarkStart w:id="164" w:name="_Toc16110"/>
      <w:bookmarkStart w:id="165" w:name="_Toc774"/>
      <w:bookmarkStart w:id="166" w:name="_Toc3225"/>
      <w:r>
        <w:rPr>
          <w:rFonts w:hint="eastAsia" w:ascii="仿宋_GB2312" w:hAnsi="仿宋" w:eastAsia="仿宋_GB2312" w:cs="仿宋"/>
          <w:b/>
          <w:sz w:val="24"/>
        </w:rPr>
        <w:t>2.6 技术资料</w:t>
      </w:r>
      <w:bookmarkEnd w:id="158"/>
      <w:bookmarkEnd w:id="159"/>
      <w:bookmarkEnd w:id="160"/>
      <w:bookmarkEnd w:id="161"/>
      <w:bookmarkEnd w:id="162"/>
      <w:bookmarkEnd w:id="163"/>
      <w:r>
        <w:rPr>
          <w:rFonts w:hint="eastAsia" w:ascii="仿宋_GB2312" w:hAnsi="仿宋" w:eastAsia="仿宋_GB2312" w:cs="仿宋"/>
          <w:b/>
          <w:sz w:val="24"/>
        </w:rPr>
        <w:t>和保密义务</w:t>
      </w:r>
      <w:bookmarkEnd w:id="164"/>
      <w:bookmarkEnd w:id="165"/>
      <w:bookmarkEnd w:id="16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167" w:name="_Toc7860"/>
      <w:r>
        <w:rPr>
          <w:rFonts w:hint="eastAsia" w:ascii="仿宋_GB2312" w:hAnsi="仿宋" w:eastAsia="仿宋_GB2312" w:cs="仿宋"/>
          <w:b/>
          <w:sz w:val="24"/>
        </w:rPr>
        <w:t>2.7 质量保证</w:t>
      </w:r>
      <w:bookmarkEnd w:id="16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168" w:name="_Toc17244"/>
      <w:bookmarkStart w:id="169" w:name="_Toc279701252"/>
      <w:bookmarkStart w:id="170" w:name="_Toc259093681"/>
      <w:bookmarkStart w:id="171" w:name="_Toc487900362"/>
      <w:r>
        <w:rPr>
          <w:rFonts w:hint="eastAsia" w:ascii="仿宋_GB2312" w:hAnsi="仿宋" w:eastAsia="仿宋_GB2312" w:cs="仿宋"/>
          <w:b/>
          <w:sz w:val="24"/>
        </w:rPr>
        <w:t>2.8 货物的风险负担</w:t>
      </w:r>
      <w:bookmarkEnd w:id="168"/>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72" w:name="_Toc14055"/>
      <w:r>
        <w:rPr>
          <w:rFonts w:hint="eastAsia" w:ascii="仿宋_GB2312" w:hAnsi="仿宋" w:eastAsia="仿宋_GB2312" w:cs="仿宋"/>
          <w:b/>
          <w:sz w:val="24"/>
        </w:rPr>
        <w:t>2.9 延迟交货</w:t>
      </w:r>
      <w:bookmarkEnd w:id="169"/>
      <w:bookmarkEnd w:id="170"/>
      <w:bookmarkEnd w:id="171"/>
      <w:bookmarkEnd w:id="17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73" w:name="_Toc7502"/>
      <w:bookmarkStart w:id="174" w:name="_Toc279701254"/>
      <w:bookmarkStart w:id="175" w:name="_Toc487900364"/>
      <w:bookmarkStart w:id="176" w:name="_Toc259093683"/>
      <w:bookmarkStart w:id="177" w:name="_Ref467378121"/>
      <w:r>
        <w:rPr>
          <w:rFonts w:hint="eastAsia" w:ascii="仿宋_GB2312" w:hAnsi="仿宋" w:eastAsia="仿宋_GB2312" w:cs="仿宋"/>
          <w:b/>
          <w:sz w:val="24"/>
        </w:rPr>
        <w:t>2.10 合同变更</w:t>
      </w:r>
      <w:bookmarkEnd w:id="17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78" w:name="_Toc487900369"/>
      <w:bookmarkStart w:id="179" w:name="_Toc259093688"/>
      <w:bookmarkStart w:id="180" w:name="_Toc279701259"/>
    </w:p>
    <w:p>
      <w:pPr>
        <w:spacing w:line="560" w:lineRule="exact"/>
        <w:ind w:firstLine="482" w:firstLineChars="200"/>
        <w:outlineLvl w:val="0"/>
        <w:rPr>
          <w:rFonts w:ascii="仿宋_GB2312" w:hAnsi="仿宋" w:eastAsia="仿宋_GB2312" w:cs="仿宋"/>
          <w:b/>
          <w:sz w:val="24"/>
        </w:rPr>
      </w:pPr>
      <w:bookmarkStart w:id="181" w:name="_Toc10366"/>
      <w:bookmarkStart w:id="182" w:name="_Toc15237"/>
      <w:bookmarkStart w:id="183" w:name="_Toc22955"/>
      <w:r>
        <w:rPr>
          <w:rFonts w:hint="eastAsia" w:ascii="仿宋_GB2312" w:hAnsi="仿宋" w:eastAsia="仿宋_GB2312" w:cs="仿宋"/>
          <w:b/>
          <w:sz w:val="24"/>
        </w:rPr>
        <w:t>2.11 合同转让</w:t>
      </w:r>
      <w:bookmarkEnd w:id="178"/>
      <w:bookmarkEnd w:id="179"/>
      <w:bookmarkEnd w:id="180"/>
      <w:r>
        <w:rPr>
          <w:rFonts w:hint="eastAsia" w:ascii="仿宋_GB2312" w:hAnsi="仿宋" w:eastAsia="仿宋_GB2312" w:cs="仿宋"/>
          <w:b/>
          <w:sz w:val="24"/>
        </w:rPr>
        <w:t>和分包</w:t>
      </w:r>
      <w:bookmarkEnd w:id="181"/>
      <w:bookmarkEnd w:id="182"/>
      <w:bookmarkEnd w:id="18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84" w:name="_Toc13566"/>
      <w:bookmarkStart w:id="185" w:name="_Toc16508"/>
      <w:bookmarkStart w:id="186" w:name="_Toc14066"/>
      <w:r>
        <w:rPr>
          <w:rFonts w:hint="eastAsia" w:ascii="仿宋_GB2312" w:hAnsi="仿宋" w:eastAsia="仿宋_GB2312" w:cs="仿宋"/>
          <w:b/>
          <w:sz w:val="24"/>
        </w:rPr>
        <w:t>2.12 不可抗力</w:t>
      </w:r>
      <w:bookmarkEnd w:id="184"/>
      <w:bookmarkEnd w:id="185"/>
      <w:bookmarkEnd w:id="18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87" w:name="_Toc6969"/>
      <w:bookmarkStart w:id="188" w:name="_Toc689"/>
      <w:bookmarkStart w:id="189" w:name="_Toc279701255"/>
      <w:bookmarkStart w:id="190" w:name="_Toc487900365"/>
      <w:bookmarkStart w:id="191" w:name="_Toc30676"/>
      <w:bookmarkStart w:id="192" w:name="_Toc259093684"/>
      <w:r>
        <w:rPr>
          <w:rFonts w:hint="eastAsia" w:ascii="仿宋_GB2312" w:hAnsi="仿宋" w:eastAsia="仿宋_GB2312" w:cs="仿宋"/>
          <w:b/>
          <w:sz w:val="24"/>
        </w:rPr>
        <w:t>2.13 税费</w:t>
      </w:r>
      <w:bookmarkEnd w:id="187"/>
      <w:bookmarkEnd w:id="188"/>
      <w:bookmarkEnd w:id="189"/>
      <w:bookmarkEnd w:id="190"/>
      <w:bookmarkEnd w:id="191"/>
      <w:bookmarkEnd w:id="19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93" w:name="_Toc7102"/>
      <w:bookmarkStart w:id="194" w:name="_Toc16959"/>
      <w:bookmarkStart w:id="195" w:name="_Toc259093687"/>
      <w:bookmarkStart w:id="196" w:name="_Toc487900368"/>
      <w:bookmarkStart w:id="197" w:name="_Toc279701258"/>
      <w:bookmarkStart w:id="198" w:name="_Toc8298"/>
      <w:r>
        <w:rPr>
          <w:rFonts w:hint="eastAsia" w:ascii="仿宋_GB2312" w:hAnsi="仿宋" w:eastAsia="仿宋_GB2312" w:cs="仿宋"/>
          <w:b/>
          <w:sz w:val="24"/>
        </w:rPr>
        <w:t>2.14乙方破产</w:t>
      </w:r>
      <w:bookmarkEnd w:id="193"/>
      <w:bookmarkEnd w:id="194"/>
      <w:bookmarkEnd w:id="195"/>
      <w:bookmarkEnd w:id="196"/>
      <w:bookmarkEnd w:id="197"/>
      <w:bookmarkEnd w:id="19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99" w:name="_Toc29333"/>
      <w:bookmarkStart w:id="200" w:name="_Toc15387"/>
      <w:bookmarkStart w:id="201" w:name="_Toc6134"/>
      <w:r>
        <w:rPr>
          <w:rFonts w:hint="eastAsia" w:ascii="仿宋_GB2312" w:hAnsi="仿宋" w:eastAsia="仿宋_GB2312" w:cs="仿宋"/>
          <w:b/>
          <w:sz w:val="24"/>
        </w:rPr>
        <w:t>2.15 合同中止、终止</w:t>
      </w:r>
      <w:bookmarkEnd w:id="199"/>
      <w:bookmarkEnd w:id="200"/>
      <w:bookmarkEnd w:id="20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202" w:name="_Toc14563"/>
      <w:bookmarkStart w:id="203" w:name="_Toc6596"/>
      <w:bookmarkStart w:id="204" w:name="_Toc1125"/>
      <w:r>
        <w:rPr>
          <w:rFonts w:hint="eastAsia" w:ascii="仿宋_GB2312" w:hAnsi="仿宋" w:eastAsia="仿宋_GB2312" w:cs="仿宋"/>
          <w:b/>
          <w:sz w:val="24"/>
        </w:rPr>
        <w:t>2.16检验和验收</w:t>
      </w:r>
      <w:bookmarkEnd w:id="202"/>
      <w:bookmarkEnd w:id="203"/>
      <w:bookmarkEnd w:id="204"/>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74"/>
    <w:bookmarkEnd w:id="175"/>
    <w:bookmarkEnd w:id="176"/>
    <w:bookmarkEnd w:id="177"/>
    <w:p>
      <w:pPr>
        <w:spacing w:line="560" w:lineRule="exact"/>
        <w:ind w:firstLine="482" w:firstLineChars="200"/>
        <w:outlineLvl w:val="0"/>
        <w:rPr>
          <w:rFonts w:ascii="仿宋_GB2312" w:hAnsi="仿宋" w:eastAsia="仿宋_GB2312" w:cs="仿宋"/>
          <w:b/>
          <w:sz w:val="24"/>
        </w:rPr>
      </w:pPr>
      <w:bookmarkStart w:id="205" w:name="_Toc487900371"/>
      <w:bookmarkStart w:id="206" w:name="_Toc259093690"/>
      <w:bookmarkStart w:id="207" w:name="_Toc279701261"/>
      <w:bookmarkStart w:id="208" w:name="_Toc25182"/>
      <w:bookmarkStart w:id="209" w:name="_Toc19604"/>
      <w:bookmarkStart w:id="210" w:name="_Toc11284"/>
      <w:r>
        <w:rPr>
          <w:rFonts w:hint="eastAsia" w:ascii="仿宋_GB2312" w:hAnsi="仿宋" w:eastAsia="仿宋_GB2312" w:cs="仿宋"/>
          <w:b/>
          <w:sz w:val="24"/>
        </w:rPr>
        <w:t>2.17 通知</w:t>
      </w:r>
      <w:bookmarkEnd w:id="205"/>
      <w:bookmarkEnd w:id="206"/>
      <w:bookmarkEnd w:id="207"/>
      <w:r>
        <w:rPr>
          <w:rFonts w:hint="eastAsia" w:ascii="仿宋_GB2312" w:hAnsi="仿宋" w:eastAsia="仿宋_GB2312" w:cs="仿宋"/>
          <w:b/>
          <w:sz w:val="24"/>
        </w:rPr>
        <w:t>和送达</w:t>
      </w:r>
      <w:bookmarkEnd w:id="208"/>
      <w:bookmarkEnd w:id="209"/>
      <w:bookmarkEnd w:id="210"/>
    </w:p>
    <w:p>
      <w:pPr>
        <w:spacing w:line="560" w:lineRule="exact"/>
        <w:ind w:firstLine="480" w:firstLineChars="200"/>
        <w:rPr>
          <w:rFonts w:ascii="仿宋_GB2312" w:hAnsi="仿宋" w:eastAsia="仿宋_GB2312" w:cs="仿宋"/>
          <w:sz w:val="24"/>
        </w:rPr>
      </w:pPr>
      <w:bookmarkStart w:id="211" w:name="_Toc3135"/>
      <w:bookmarkStart w:id="212" w:name="_Toc6698"/>
      <w:bookmarkStart w:id="213" w:name="_Toc487900372"/>
      <w:bookmarkStart w:id="214" w:name="_Toc279701262"/>
      <w:bookmarkStart w:id="215"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211"/>
      <w:bookmarkEnd w:id="212"/>
    </w:p>
    <w:p>
      <w:pPr>
        <w:spacing w:line="560" w:lineRule="exact"/>
        <w:ind w:firstLine="480" w:firstLineChars="200"/>
        <w:rPr>
          <w:rFonts w:ascii="仿宋_GB2312" w:hAnsi="仿宋" w:eastAsia="仿宋_GB2312" w:cs="仿宋"/>
          <w:sz w:val="24"/>
        </w:rPr>
      </w:pPr>
      <w:bookmarkStart w:id="216" w:name="_Toc23128"/>
      <w:bookmarkStart w:id="217"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16"/>
      <w:bookmarkEnd w:id="217"/>
    </w:p>
    <w:p>
      <w:pPr>
        <w:spacing w:line="560" w:lineRule="exact"/>
        <w:ind w:firstLine="482" w:firstLineChars="200"/>
        <w:outlineLvl w:val="0"/>
        <w:rPr>
          <w:rFonts w:ascii="仿宋_GB2312" w:hAnsi="仿宋" w:eastAsia="仿宋_GB2312" w:cs="仿宋"/>
          <w:b/>
          <w:sz w:val="24"/>
        </w:rPr>
      </w:pPr>
      <w:bookmarkStart w:id="218" w:name="_Toc30599"/>
      <w:bookmarkStart w:id="219" w:name="_Toc18540"/>
      <w:bookmarkStart w:id="220" w:name="_Toc4355"/>
      <w:r>
        <w:rPr>
          <w:rFonts w:hint="eastAsia" w:ascii="仿宋_GB2312" w:hAnsi="仿宋" w:eastAsia="仿宋_GB2312" w:cs="仿宋"/>
          <w:b/>
          <w:sz w:val="24"/>
        </w:rPr>
        <w:t>2.18 计量单位</w:t>
      </w:r>
      <w:bookmarkEnd w:id="213"/>
      <w:bookmarkEnd w:id="214"/>
      <w:bookmarkEnd w:id="215"/>
      <w:bookmarkEnd w:id="218"/>
      <w:bookmarkEnd w:id="219"/>
      <w:bookmarkEnd w:id="22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221" w:name="_Toc12773"/>
      <w:bookmarkStart w:id="222" w:name="_Toc259093692"/>
      <w:bookmarkStart w:id="223" w:name="_Toc487900373"/>
      <w:bookmarkStart w:id="224" w:name="_Toc18567"/>
      <w:bookmarkStart w:id="225" w:name="_Toc10330"/>
      <w:bookmarkStart w:id="226" w:name="_Toc279701263"/>
      <w:r>
        <w:rPr>
          <w:rFonts w:hint="eastAsia" w:ascii="仿宋_GB2312" w:hAnsi="仿宋" w:eastAsia="仿宋_GB2312" w:cs="仿宋"/>
          <w:b/>
          <w:sz w:val="24"/>
        </w:rPr>
        <w:t>2.19 合同使用的文字和适用的法律</w:t>
      </w:r>
      <w:bookmarkEnd w:id="221"/>
      <w:bookmarkEnd w:id="222"/>
      <w:bookmarkEnd w:id="223"/>
      <w:bookmarkEnd w:id="224"/>
      <w:bookmarkEnd w:id="225"/>
      <w:bookmarkEnd w:id="22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227" w:name="_Toc6885"/>
      <w:bookmarkStart w:id="228" w:name="_Toc19890"/>
      <w:bookmarkStart w:id="229" w:name="_Toc14001"/>
      <w:r>
        <w:rPr>
          <w:rFonts w:hint="eastAsia" w:ascii="仿宋_GB2312" w:hAnsi="仿宋" w:eastAsia="仿宋_GB2312" w:cs="仿宋"/>
          <w:b/>
          <w:sz w:val="24"/>
        </w:rPr>
        <w:t>2.20 合同份数</w:t>
      </w:r>
      <w:bookmarkEnd w:id="227"/>
      <w:bookmarkEnd w:id="228"/>
      <w:bookmarkEnd w:id="22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bookmarkEnd w:id="6"/>
    <w:bookmarkEnd w:id="7"/>
    <w:bookmarkEnd w:id="8"/>
    <w:bookmarkEnd w:id="9"/>
    <w:p>
      <w:pPr>
        <w:spacing w:line="440" w:lineRule="exact"/>
        <w:jc w:val="left"/>
        <w:rPr>
          <w:rFonts w:ascii="仿宋" w:hAnsi="仿宋" w:eastAsia="仿宋"/>
          <w:b/>
          <w:sz w:val="24"/>
        </w:rPr>
      </w:pPr>
      <w:r>
        <w:rPr>
          <w:rFonts w:hint="eastAsia" w:ascii="仿宋" w:hAnsi="仿宋" w:eastAsia="仿宋"/>
          <w:b/>
          <w:sz w:val="24"/>
        </w:rPr>
        <w:t>1、评标方法：</w:t>
      </w:r>
    </w:p>
    <w:p>
      <w:pPr>
        <w:spacing w:line="40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hAnsi="仿宋" w:eastAsia="仿宋"/>
          <w:b/>
          <w:sz w:val="24"/>
        </w:rPr>
        <w:tab/>
      </w:r>
      <w:r>
        <w:rPr>
          <w:rFonts w:hint="eastAsia" w:ascii="仿宋" w:hAnsi="仿宋" w:eastAsia="仿宋"/>
          <w:b/>
          <w:sz w:val="24"/>
        </w:rPr>
        <w:t>定一个投标人获得中标人推荐资格，招标文件未规定的采取随机抽取方式确定，其他同品牌投标人不作为中标候选人。</w:t>
      </w:r>
    </w:p>
    <w:p>
      <w:pPr>
        <w:spacing w:line="40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ascii="仿宋" w:hAnsi="仿宋" w:eastAsia="仿宋"/>
          <w:color w:val="000000"/>
          <w:sz w:val="24"/>
        </w:rPr>
      </w:pPr>
      <w:r>
        <w:rPr>
          <w:rFonts w:hint="eastAsia" w:ascii="仿宋" w:hAnsi="仿宋" w:eastAsia="仿宋"/>
          <w:b/>
          <w:sz w:val="24"/>
        </w:rPr>
        <w:t>2.评分标准：</w:t>
      </w:r>
      <w:r>
        <w:rPr>
          <w:rFonts w:hint="eastAsia" w:ascii="仿宋" w:hAnsi="仿宋" w:eastAsia="仿宋"/>
          <w:sz w:val="24"/>
        </w:rPr>
        <w:t>共100分，其中商务技术分</w:t>
      </w:r>
      <w:r>
        <w:rPr>
          <w:rFonts w:ascii="仿宋" w:hAnsi="仿宋" w:eastAsia="仿宋"/>
          <w:sz w:val="24"/>
        </w:rPr>
        <w:t>90</w:t>
      </w:r>
      <w:r>
        <w:rPr>
          <w:rFonts w:hint="eastAsia" w:ascii="仿宋" w:hAnsi="仿宋" w:eastAsia="仿宋"/>
          <w:sz w:val="24"/>
        </w:rPr>
        <w:t>分，价格分</w:t>
      </w:r>
      <w:r>
        <w:rPr>
          <w:rFonts w:ascii="仿宋" w:hAnsi="仿宋" w:eastAsia="仿宋"/>
          <w:sz w:val="24"/>
        </w:rPr>
        <w:t>10</w:t>
      </w:r>
      <w:r>
        <w:rPr>
          <w:rFonts w:hint="eastAsia" w:ascii="仿宋" w:hAnsi="仿宋" w:eastAsia="仿宋"/>
          <w:sz w:val="24"/>
        </w:rPr>
        <w:t>分。评分依下述所列为评标打分依据</w:t>
      </w:r>
      <w:r>
        <w:rPr>
          <w:rFonts w:hint="eastAsia" w:ascii="仿宋" w:hAnsi="仿宋" w:eastAsia="仿宋"/>
          <w:color w:val="000000"/>
          <w:sz w:val="24"/>
        </w:rPr>
        <w:t>，分值如下（计算分值时，按其算术平均值保留小数2位）。</w:t>
      </w:r>
    </w:p>
    <w:p>
      <w:pPr>
        <w:spacing w:line="440" w:lineRule="exact"/>
        <w:rPr>
          <w:rFonts w:ascii="仿宋" w:hAnsi="仿宋" w:eastAsia="仿宋"/>
          <w:b/>
          <w:bCs/>
          <w:iCs/>
          <w:color w:val="000000"/>
          <w:sz w:val="24"/>
        </w:rPr>
      </w:pPr>
      <w:r>
        <w:rPr>
          <w:rFonts w:hint="eastAsia" w:ascii="仿宋" w:hAnsi="仿宋" w:eastAsia="仿宋"/>
          <w:b/>
          <w:bCs/>
          <w:iCs/>
          <w:color w:val="000000"/>
          <w:sz w:val="24"/>
        </w:rPr>
        <w:t>2.1商务技术分（</w:t>
      </w:r>
      <w:r>
        <w:rPr>
          <w:rFonts w:ascii="仿宋" w:hAnsi="仿宋" w:eastAsia="仿宋"/>
          <w:b/>
          <w:bCs/>
          <w:iCs/>
          <w:color w:val="000000"/>
          <w:sz w:val="24"/>
        </w:rPr>
        <w:t>9</w:t>
      </w:r>
      <w:r>
        <w:rPr>
          <w:rFonts w:hint="eastAsia" w:ascii="仿宋" w:hAnsi="仿宋" w:eastAsia="仿宋"/>
          <w:b/>
          <w:bCs/>
          <w:iCs/>
          <w:color w:val="000000"/>
          <w:sz w:val="24"/>
        </w:rPr>
        <w:t>0分）</w:t>
      </w:r>
    </w:p>
    <w:tbl>
      <w:tblPr>
        <w:tblStyle w:val="63"/>
        <w:tblW w:w="91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255"/>
        <w:gridCol w:w="7072"/>
        <w:gridCol w:w="8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6" w:hRule="atLeast"/>
          <w:tblHeader/>
          <w:jc w:val="center"/>
        </w:trPr>
        <w:tc>
          <w:tcPr>
            <w:tcW w:w="1255" w:type="dxa"/>
            <w:vAlign w:val="center"/>
          </w:tcPr>
          <w:p>
            <w:pPr>
              <w:spacing w:line="360" w:lineRule="exact"/>
              <w:jc w:val="center"/>
              <w:rPr>
                <w:rFonts w:ascii="仿宋" w:hAnsi="仿宋" w:eastAsia="仿宋" w:cs="仿宋"/>
                <w:b/>
                <w:sz w:val="24"/>
              </w:rPr>
            </w:pPr>
            <w:r>
              <w:rPr>
                <w:rFonts w:hint="eastAsia" w:ascii="仿宋" w:hAnsi="仿宋" w:eastAsia="仿宋" w:cs="仿宋"/>
                <w:b/>
                <w:sz w:val="24"/>
              </w:rPr>
              <w:t>评分项目</w:t>
            </w:r>
          </w:p>
        </w:tc>
        <w:tc>
          <w:tcPr>
            <w:tcW w:w="7072" w:type="dxa"/>
            <w:vAlign w:val="center"/>
          </w:tcPr>
          <w:p>
            <w:pPr>
              <w:spacing w:line="360" w:lineRule="exact"/>
              <w:jc w:val="center"/>
              <w:rPr>
                <w:rFonts w:ascii="仿宋" w:hAnsi="仿宋" w:eastAsia="仿宋" w:cs="仿宋"/>
                <w:b/>
                <w:sz w:val="24"/>
              </w:rPr>
            </w:pPr>
            <w:r>
              <w:rPr>
                <w:rFonts w:hint="eastAsia" w:ascii="仿宋" w:hAnsi="仿宋" w:eastAsia="仿宋" w:cs="仿宋"/>
                <w:b/>
                <w:sz w:val="24"/>
              </w:rPr>
              <w:t>评分细则</w:t>
            </w:r>
          </w:p>
        </w:tc>
        <w:tc>
          <w:tcPr>
            <w:tcW w:w="805" w:type="dxa"/>
            <w:vAlign w:val="center"/>
          </w:tcPr>
          <w:p>
            <w:pPr>
              <w:spacing w:line="360" w:lineRule="exact"/>
              <w:jc w:val="center"/>
              <w:rPr>
                <w:rFonts w:ascii="仿宋" w:hAnsi="仿宋" w:eastAsia="仿宋" w:cs="仿宋"/>
                <w:b/>
                <w:sz w:val="24"/>
              </w:rPr>
            </w:pPr>
            <w:r>
              <w:rPr>
                <w:rFonts w:hint="eastAsia" w:ascii="仿宋" w:hAnsi="仿宋" w:eastAsia="仿宋" w:cs="仿宋"/>
                <w:b/>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40" w:hRule="atLeast"/>
          <w:jc w:val="center"/>
        </w:trPr>
        <w:tc>
          <w:tcPr>
            <w:tcW w:w="1255" w:type="dxa"/>
            <w:vMerge w:val="restart"/>
            <w:vAlign w:val="center"/>
          </w:tcPr>
          <w:p>
            <w:pPr>
              <w:spacing w:line="360" w:lineRule="exact"/>
              <w:jc w:val="center"/>
              <w:rPr>
                <w:rFonts w:ascii="仿宋" w:hAnsi="仿宋" w:eastAsia="仿宋" w:cs="仿宋"/>
                <w:bCs/>
                <w:sz w:val="24"/>
              </w:rPr>
            </w:pPr>
            <w:r>
              <w:rPr>
                <w:rFonts w:hint="eastAsia" w:ascii="仿宋" w:hAnsi="仿宋" w:eastAsia="仿宋" w:cs="仿宋"/>
                <w:bCs/>
                <w:sz w:val="24"/>
              </w:rPr>
              <w:t>资信及履约能力（11分）</w:t>
            </w:r>
          </w:p>
        </w:tc>
        <w:tc>
          <w:tcPr>
            <w:tcW w:w="7072" w:type="dxa"/>
            <w:vAlign w:val="center"/>
          </w:tcPr>
          <w:p>
            <w:pPr>
              <w:spacing w:line="360" w:lineRule="exact"/>
              <w:rPr>
                <w:rFonts w:ascii="仿宋" w:hAnsi="仿宋" w:eastAsia="仿宋" w:cs="仿宋"/>
                <w:bCs/>
                <w:iCs/>
                <w:sz w:val="24"/>
              </w:rPr>
            </w:pPr>
            <w:r>
              <w:rPr>
                <w:rFonts w:hint="eastAsia" w:ascii="仿宋" w:hAnsi="仿宋" w:eastAsia="仿宋" w:cs="仿宋"/>
                <w:bCs/>
                <w:iCs/>
                <w:sz w:val="24"/>
              </w:rPr>
              <w:t>2021年度以来（以颁发时间为准），</w:t>
            </w:r>
            <w:r>
              <w:rPr>
                <w:rFonts w:hint="eastAsia" w:ascii="仿宋" w:hAnsi="仿宋" w:eastAsia="仿宋" w:cs="仿宋"/>
                <w:bCs/>
                <w:iCs/>
                <w:color w:val="FF0000"/>
                <w:sz w:val="24"/>
              </w:rPr>
              <w:t>投标人获省</w:t>
            </w:r>
            <w:r>
              <w:rPr>
                <w:rFonts w:hint="eastAsia" w:ascii="仿宋" w:hAnsi="仿宋" w:eastAsia="仿宋" w:cs="仿宋"/>
                <w:bCs/>
                <w:iCs/>
                <w:color w:val="FF0000"/>
                <w:sz w:val="24"/>
                <w:lang w:eastAsia="zh-CN"/>
              </w:rPr>
              <w:t>级测绘地理信息行业主管部门评定的</w:t>
            </w:r>
            <w:r>
              <w:rPr>
                <w:rFonts w:hint="eastAsia" w:ascii="仿宋" w:hAnsi="仿宋" w:eastAsia="仿宋" w:cs="仿宋"/>
                <w:bCs/>
                <w:iCs/>
                <w:color w:val="FF0000"/>
                <w:sz w:val="24"/>
              </w:rPr>
              <w:t>A级信用测绘资质单位的</w:t>
            </w:r>
            <w:r>
              <w:rPr>
                <w:rFonts w:hint="eastAsia" w:ascii="仿宋" w:hAnsi="仿宋" w:eastAsia="仿宋" w:cs="仿宋"/>
                <w:bCs/>
                <w:iCs/>
                <w:color w:val="FF0000"/>
                <w:sz w:val="24"/>
                <w:lang w:eastAsia="zh-CN"/>
              </w:rPr>
              <w:t>每个年度</w:t>
            </w:r>
            <w:r>
              <w:rPr>
                <w:rFonts w:hint="eastAsia" w:ascii="仿宋" w:hAnsi="仿宋" w:eastAsia="仿宋" w:cs="仿宋"/>
                <w:bCs/>
                <w:iCs/>
                <w:color w:val="FF0000"/>
                <w:sz w:val="24"/>
              </w:rPr>
              <w:t>得</w:t>
            </w:r>
            <w:r>
              <w:rPr>
                <w:rFonts w:ascii="仿宋" w:hAnsi="仿宋" w:eastAsia="仿宋" w:cs="仿宋"/>
                <w:bCs/>
                <w:iCs/>
                <w:color w:val="FF0000"/>
                <w:sz w:val="24"/>
              </w:rPr>
              <w:t>1</w:t>
            </w:r>
            <w:r>
              <w:rPr>
                <w:rFonts w:hint="eastAsia" w:ascii="仿宋" w:hAnsi="仿宋" w:eastAsia="仿宋" w:cs="仿宋"/>
                <w:bCs/>
                <w:iCs/>
                <w:color w:val="FF0000"/>
                <w:sz w:val="24"/>
              </w:rPr>
              <w:t>分，</w:t>
            </w:r>
            <w:r>
              <w:rPr>
                <w:rFonts w:hint="eastAsia" w:ascii="仿宋" w:hAnsi="仿宋" w:eastAsia="仿宋" w:cs="仿宋"/>
                <w:bCs/>
                <w:iCs/>
                <w:color w:val="FF0000"/>
                <w:sz w:val="24"/>
                <w:lang w:eastAsia="zh-CN"/>
              </w:rPr>
              <w:t>最高得</w:t>
            </w:r>
            <w:r>
              <w:rPr>
                <w:rFonts w:hint="eastAsia" w:ascii="仿宋" w:hAnsi="仿宋" w:eastAsia="仿宋" w:cs="仿宋"/>
                <w:bCs/>
                <w:iCs/>
                <w:color w:val="FF0000"/>
                <w:sz w:val="24"/>
                <w:lang w:val="en-US" w:eastAsia="zh-CN"/>
              </w:rPr>
              <w:t>3分</w:t>
            </w:r>
            <w:r>
              <w:rPr>
                <w:rFonts w:hint="eastAsia" w:ascii="仿宋" w:hAnsi="仿宋" w:eastAsia="仿宋" w:cs="仿宋"/>
                <w:bCs/>
                <w:iCs/>
                <w:color w:val="FF0000"/>
                <w:sz w:val="24"/>
              </w:rPr>
              <w:t>。</w:t>
            </w:r>
            <w:r>
              <w:rPr>
                <w:rFonts w:hint="eastAsia" w:ascii="仿宋" w:hAnsi="仿宋" w:eastAsia="仿宋" w:cs="仿宋"/>
                <w:b/>
                <w:sz w:val="24"/>
              </w:rPr>
              <w:t>【投标文件中需提供相关证明材料扫描件或图片并加盖投标人公章，不提供的不得分。】</w:t>
            </w:r>
          </w:p>
        </w:tc>
        <w:tc>
          <w:tcPr>
            <w:tcW w:w="805" w:type="dxa"/>
            <w:vAlign w:val="center"/>
          </w:tcPr>
          <w:p>
            <w:pPr>
              <w:spacing w:line="360" w:lineRule="exact"/>
              <w:jc w:val="center"/>
              <w:rPr>
                <w:rFonts w:hint="eastAsia" w:ascii="仿宋" w:hAnsi="仿宋" w:eastAsia="仿宋" w:cs="仿宋"/>
                <w:bCs/>
                <w:iCs/>
                <w:sz w:val="24"/>
                <w:lang w:eastAsia="zh-CN"/>
              </w:rPr>
            </w:pPr>
            <w:r>
              <w:rPr>
                <w:rFonts w:hint="eastAsia" w:ascii="仿宋" w:hAnsi="仿宋" w:eastAsia="仿宋" w:cs="仿宋"/>
                <w:bCs/>
                <w:iCs/>
                <w:sz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90"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iCs/>
                <w:sz w:val="24"/>
              </w:rPr>
            </w:pPr>
            <w:r>
              <w:rPr>
                <w:rFonts w:hint="eastAsia" w:ascii="仿宋" w:hAnsi="仿宋" w:eastAsia="仿宋" w:cs="仿宋"/>
                <w:bCs/>
                <w:iCs/>
                <w:sz w:val="24"/>
              </w:rPr>
              <w:t>投标人同时具有质量管理体系认证证书、环境管理体系认证证书、职业健康安全管理体系认证证书，且认证范围同时涵盖工程测量、地理信息系统工程的得2分，缺一项不得分。（证书必须在国家市场监督管理总局的全国认证认可信息公共服务平台上可以查询，否则不得分。）</w:t>
            </w:r>
          </w:p>
          <w:p>
            <w:pPr>
              <w:spacing w:line="360" w:lineRule="exact"/>
              <w:rPr>
                <w:rFonts w:ascii="仿宋" w:hAnsi="仿宋" w:eastAsia="仿宋" w:cs="仿宋"/>
                <w:bCs/>
                <w:iCs/>
                <w:sz w:val="24"/>
              </w:rPr>
            </w:pPr>
            <w:r>
              <w:rPr>
                <w:rFonts w:hint="eastAsia" w:ascii="仿宋" w:hAnsi="仿宋" w:eastAsia="仿宋" w:cs="仿宋"/>
                <w:b/>
                <w:sz w:val="24"/>
              </w:rPr>
              <w:t>【投标文件中需提供相关证书扫描件或图片并加盖投标人公章，不提供的不得分。】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54"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tcBorders>
              <w:bottom w:val="single" w:color="auto" w:sz="4" w:space="0"/>
            </w:tcBorders>
            <w:vAlign w:val="center"/>
          </w:tcPr>
          <w:p>
            <w:pPr>
              <w:spacing w:line="360" w:lineRule="exact"/>
              <w:rPr>
                <w:rFonts w:ascii="仿宋" w:hAnsi="仿宋" w:eastAsia="仿宋" w:cs="仿宋"/>
                <w:bCs/>
                <w:iCs/>
                <w:sz w:val="24"/>
              </w:rPr>
            </w:pPr>
            <w:bookmarkStart w:id="230" w:name="OLE_LINK6"/>
            <w:bookmarkEnd w:id="230"/>
            <w:r>
              <w:rPr>
                <w:rFonts w:hint="eastAsia" w:ascii="仿宋" w:hAnsi="仿宋" w:eastAsia="仿宋" w:cs="仿宋"/>
                <w:bCs/>
                <w:iCs/>
                <w:sz w:val="24"/>
              </w:rPr>
              <w:t>2021年度以来作为第一完成人（即证书上排名第一的）获得过测绘项目省级及以上（包含学会、协会）测绘科学技术奖的，得3分，获得过测绘项目省级及以上（包含学会、协会）优秀测绘与地理信息工程奖的，得1.5分；同一类型奖项的内容仅就高奖项计取1次，本项最高得3分。</w:t>
            </w:r>
          </w:p>
          <w:p>
            <w:pPr>
              <w:spacing w:line="360" w:lineRule="exact"/>
              <w:rPr>
                <w:rFonts w:ascii="仿宋" w:hAnsi="仿宋" w:eastAsia="仿宋" w:cs="仿宋"/>
                <w:bCs/>
                <w:iCs/>
                <w:sz w:val="24"/>
              </w:rPr>
            </w:pPr>
            <w:r>
              <w:rPr>
                <w:rFonts w:hint="eastAsia" w:ascii="仿宋" w:hAnsi="仿宋" w:eastAsia="仿宋" w:cs="仿宋"/>
                <w:b/>
                <w:sz w:val="24"/>
              </w:rPr>
              <w:t>【投标文件中需提供相关证书扫描件或图片并加盖投标人电子公章，不提供的不得分。】</w:t>
            </w:r>
          </w:p>
        </w:tc>
        <w:tc>
          <w:tcPr>
            <w:tcW w:w="805" w:type="dxa"/>
            <w:tcBorders>
              <w:bottom w:val="single" w:color="auto" w:sz="4" w:space="0"/>
            </w:tcBorders>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3"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tcBorders>
              <w:top w:val="single" w:color="auto" w:sz="4" w:space="0"/>
            </w:tcBorders>
            <w:vAlign w:val="center"/>
          </w:tcPr>
          <w:p>
            <w:pPr>
              <w:spacing w:line="360" w:lineRule="exact"/>
              <w:rPr>
                <w:rFonts w:ascii="仿宋" w:hAnsi="仿宋" w:eastAsia="仿宋" w:cs="仿宋"/>
                <w:bCs/>
                <w:iCs/>
                <w:sz w:val="24"/>
              </w:rPr>
            </w:pPr>
            <w:r>
              <w:rPr>
                <w:rFonts w:hint="eastAsia" w:ascii="仿宋" w:hAnsi="仿宋" w:eastAsia="仿宋" w:cs="仿宋"/>
                <w:sz w:val="24"/>
              </w:rPr>
              <w:t>投标人主编过地方实景三维建设技术规范的得3分；参编过测绘相关地方标准规范的得1分。</w:t>
            </w:r>
            <w:r>
              <w:rPr>
                <w:rFonts w:hint="eastAsia" w:ascii="仿宋" w:hAnsi="仿宋" w:eastAsia="仿宋" w:cs="仿宋"/>
                <w:bCs/>
                <w:iCs/>
                <w:sz w:val="24"/>
              </w:rPr>
              <w:t>同一类型仅就高计取1次，本项最多</w:t>
            </w:r>
            <w:r>
              <w:rPr>
                <w:rFonts w:hint="eastAsia" w:ascii="仿宋" w:hAnsi="仿宋" w:eastAsia="仿宋" w:cs="仿宋"/>
                <w:bCs/>
                <w:sz w:val="24"/>
              </w:rPr>
              <w:t>得3分。</w:t>
            </w:r>
          </w:p>
          <w:p>
            <w:pPr>
              <w:spacing w:line="360" w:lineRule="exact"/>
              <w:rPr>
                <w:rFonts w:ascii="仿宋" w:hAnsi="仿宋" w:eastAsia="仿宋" w:cs="仿宋"/>
                <w:bCs/>
                <w:iCs/>
                <w:sz w:val="24"/>
              </w:rPr>
            </w:pPr>
            <w:r>
              <w:rPr>
                <w:rFonts w:hint="eastAsia" w:ascii="仿宋" w:hAnsi="仿宋" w:eastAsia="仿宋" w:cs="仿宋"/>
                <w:b/>
                <w:sz w:val="24"/>
              </w:rPr>
              <w:t>【投标文件中需提供相关证明材料扫描件或图片并加盖投标人电子公章，不提供的不得分。】</w:t>
            </w:r>
          </w:p>
        </w:tc>
        <w:tc>
          <w:tcPr>
            <w:tcW w:w="805" w:type="dxa"/>
            <w:tcBorders>
              <w:top w:val="single" w:color="auto" w:sz="4" w:space="0"/>
            </w:tcBorders>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90" w:hRule="atLeast"/>
          <w:jc w:val="center"/>
        </w:trPr>
        <w:tc>
          <w:tcPr>
            <w:tcW w:w="1255" w:type="dxa"/>
            <w:vAlign w:val="center"/>
          </w:tcPr>
          <w:p>
            <w:pPr>
              <w:spacing w:line="360" w:lineRule="exact"/>
              <w:jc w:val="center"/>
              <w:rPr>
                <w:rFonts w:ascii="仿宋" w:hAnsi="仿宋" w:eastAsia="仿宋" w:cs="仿宋"/>
                <w:bCs/>
                <w:sz w:val="24"/>
              </w:rPr>
            </w:pPr>
            <w:r>
              <w:rPr>
                <w:rFonts w:hint="eastAsia" w:ascii="仿宋" w:hAnsi="仿宋" w:eastAsia="仿宋" w:cs="仿宋"/>
                <w:sz w:val="24"/>
              </w:rPr>
              <w:t>项目业绩（1分）</w:t>
            </w:r>
          </w:p>
        </w:tc>
        <w:tc>
          <w:tcPr>
            <w:tcW w:w="7072" w:type="dxa"/>
            <w:vAlign w:val="center"/>
          </w:tcPr>
          <w:p>
            <w:pPr>
              <w:spacing w:line="360" w:lineRule="exact"/>
              <w:rPr>
                <w:rFonts w:ascii="仿宋" w:hAnsi="仿宋" w:eastAsia="仿宋" w:cs="仿宋"/>
                <w:bCs/>
                <w:iCs/>
                <w:sz w:val="24"/>
              </w:rPr>
            </w:pPr>
            <w:r>
              <w:rPr>
                <w:rFonts w:hint="eastAsia" w:ascii="仿宋" w:hAnsi="仿宋" w:eastAsia="仿宋" w:cs="仿宋"/>
                <w:sz w:val="24"/>
              </w:rPr>
              <w:t>2021年度以来（以合同签订时间为准），投标人</w:t>
            </w:r>
            <w:r>
              <w:rPr>
                <w:rFonts w:hint="eastAsia" w:ascii="仿宋" w:hAnsi="仿宋" w:eastAsia="仿宋" w:cs="仿宋"/>
                <w:sz w:val="24"/>
                <w:lang w:eastAsia="zh-CN"/>
              </w:rPr>
              <w:t>承担过</w:t>
            </w:r>
            <w:r>
              <w:rPr>
                <w:rFonts w:hint="eastAsia" w:ascii="仿宋" w:hAnsi="仿宋" w:eastAsia="仿宋" w:cs="仿宋"/>
                <w:sz w:val="24"/>
              </w:rPr>
              <w:t>地市级及以上城市地下市政基础设施普查数据整合</w:t>
            </w:r>
            <w:r>
              <w:rPr>
                <w:rFonts w:hint="eastAsia" w:ascii="仿宋" w:hAnsi="仿宋" w:eastAsia="仿宋" w:cs="仿宋"/>
                <w:sz w:val="24"/>
                <w:lang w:eastAsia="zh-CN"/>
              </w:rPr>
              <w:t>同类</w:t>
            </w:r>
            <w:r>
              <w:rPr>
                <w:rFonts w:hint="eastAsia" w:ascii="仿宋" w:hAnsi="仿宋" w:eastAsia="仿宋" w:cs="仿宋"/>
                <w:sz w:val="24"/>
              </w:rPr>
              <w:t>项目的，每个合同得0.5分，本项最多得1分。</w:t>
            </w:r>
          </w:p>
          <w:p>
            <w:pPr>
              <w:spacing w:line="360" w:lineRule="exact"/>
              <w:rPr>
                <w:rFonts w:ascii="仿宋" w:hAnsi="仿宋" w:eastAsia="仿宋" w:cs="仿宋"/>
                <w:bCs/>
                <w:iCs/>
                <w:sz w:val="24"/>
              </w:rPr>
            </w:pPr>
            <w:r>
              <w:rPr>
                <w:rFonts w:hint="eastAsia" w:ascii="仿宋" w:hAnsi="仿宋" w:eastAsia="仿宋" w:cs="仿宋"/>
                <w:b/>
                <w:sz w:val="24"/>
              </w:rPr>
              <w:t>【投标文件中需提供相关合同扫描件或图片并加盖投标人公章，不提供的不得分。】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717" w:hRule="atLeast"/>
          <w:jc w:val="center"/>
        </w:trPr>
        <w:tc>
          <w:tcPr>
            <w:tcW w:w="1255" w:type="dxa"/>
            <w:tcBorders>
              <w:top w:val="single" w:color="auto" w:sz="4" w:space="0"/>
              <w:bottom w:val="single" w:color="auto" w:sz="4" w:space="0"/>
            </w:tcBorders>
            <w:vAlign w:val="center"/>
          </w:tcPr>
          <w:p>
            <w:pPr>
              <w:spacing w:line="360" w:lineRule="exact"/>
              <w:jc w:val="center"/>
              <w:rPr>
                <w:rFonts w:ascii="仿宋" w:hAnsi="仿宋" w:eastAsia="仿宋" w:cs="仿宋"/>
                <w:bCs/>
                <w:sz w:val="24"/>
              </w:rPr>
            </w:pPr>
            <w:r>
              <w:rPr>
                <w:rFonts w:hint="eastAsia" w:ascii="仿宋" w:hAnsi="仿宋" w:eastAsia="仿宋" w:cs="仿宋"/>
                <w:bCs/>
                <w:sz w:val="24"/>
              </w:rPr>
              <w:t>项目人员配备</w:t>
            </w:r>
          </w:p>
          <w:p>
            <w:pPr>
              <w:spacing w:line="360" w:lineRule="exact"/>
              <w:jc w:val="center"/>
              <w:rPr>
                <w:rFonts w:ascii="仿宋" w:hAnsi="仿宋" w:eastAsia="仿宋" w:cs="仿宋"/>
                <w:bCs/>
                <w:sz w:val="24"/>
              </w:rPr>
            </w:pPr>
            <w:r>
              <w:rPr>
                <w:rFonts w:hint="eastAsia" w:ascii="仿宋" w:hAnsi="仿宋" w:eastAsia="仿宋" w:cs="仿宋"/>
                <w:bCs/>
                <w:sz w:val="24"/>
              </w:rPr>
              <w:t>（10分）</w:t>
            </w:r>
          </w:p>
        </w:tc>
        <w:tc>
          <w:tcPr>
            <w:tcW w:w="7072" w:type="dxa"/>
            <w:vAlign w:val="center"/>
          </w:tcPr>
          <w:p>
            <w:pPr>
              <w:spacing w:line="360" w:lineRule="exact"/>
              <w:rPr>
                <w:rFonts w:ascii="仿宋" w:hAnsi="仿宋" w:eastAsia="仿宋" w:cs="仿宋"/>
                <w:bCs/>
                <w:iCs/>
                <w:sz w:val="24"/>
              </w:rPr>
            </w:pPr>
            <w:r>
              <w:rPr>
                <w:rFonts w:hint="eastAsia" w:ascii="仿宋" w:hAnsi="仿宋" w:eastAsia="仿宋" w:cs="仿宋"/>
                <w:bCs/>
                <w:iCs/>
                <w:sz w:val="24"/>
              </w:rPr>
              <w:t>1.拟派本项目团队的项目负责人同时具备注册测绘师资格和测绘类正高级工程师职称的得2分；同时具备注册测绘师资格和测绘类高级工程师职称的得1分，最多得2分。</w:t>
            </w:r>
          </w:p>
          <w:p>
            <w:pPr>
              <w:spacing w:line="360" w:lineRule="exact"/>
              <w:rPr>
                <w:rFonts w:ascii="仿宋" w:hAnsi="仿宋" w:eastAsia="仿宋" w:cs="仿宋"/>
                <w:bCs/>
                <w:iCs/>
                <w:sz w:val="24"/>
              </w:rPr>
            </w:pPr>
            <w:r>
              <w:rPr>
                <w:rFonts w:hint="eastAsia" w:ascii="仿宋" w:hAnsi="仿宋" w:eastAsia="仿宋" w:cs="仿宋"/>
                <w:bCs/>
                <w:iCs/>
                <w:sz w:val="24"/>
              </w:rPr>
              <w:t>2.拟派本项目团队成员中（除项目负责人外），具有注册测绘师职称的，每人得0.5分，最多得3分。</w:t>
            </w:r>
          </w:p>
          <w:p>
            <w:pPr>
              <w:spacing w:line="360" w:lineRule="exact"/>
              <w:rPr>
                <w:rFonts w:ascii="仿宋" w:hAnsi="仿宋" w:eastAsia="仿宋" w:cs="仿宋"/>
                <w:bCs/>
                <w:iCs/>
                <w:sz w:val="24"/>
              </w:rPr>
            </w:pPr>
            <w:r>
              <w:rPr>
                <w:rFonts w:hint="eastAsia" w:ascii="仿宋" w:hAnsi="仿宋" w:eastAsia="仿宋" w:cs="仿宋"/>
                <w:bCs/>
                <w:iCs/>
                <w:sz w:val="24"/>
              </w:rPr>
              <w:t>3.拟派本项目团队成员中（除项目负责人外），具有测绘类高级工程师及以上职称的，每人得0.5分，最多得3分。</w:t>
            </w:r>
          </w:p>
          <w:p>
            <w:pPr>
              <w:spacing w:line="360" w:lineRule="exact"/>
              <w:rPr>
                <w:rFonts w:ascii="仿宋" w:hAnsi="仿宋" w:eastAsia="仿宋" w:cs="仿宋"/>
                <w:bCs/>
                <w:iCs/>
                <w:sz w:val="24"/>
              </w:rPr>
            </w:pPr>
            <w:r>
              <w:rPr>
                <w:rFonts w:hint="eastAsia" w:ascii="仿宋" w:hAnsi="仿宋" w:eastAsia="仿宋" w:cs="仿宋"/>
                <w:bCs/>
                <w:iCs/>
                <w:sz w:val="24"/>
              </w:rPr>
              <w:t>4.</w:t>
            </w:r>
            <w:r>
              <w:rPr>
                <w:rFonts w:hint="eastAsia" w:ascii="仿宋" w:hAnsi="仿宋" w:eastAsia="仿宋" w:cs="仿宋"/>
                <w:bCs/>
                <w:iCs/>
                <w:color w:val="FF0000"/>
                <w:sz w:val="24"/>
              </w:rPr>
              <w:t>项目组成员中具有涉密测绘成果管理人员岗位培训证书(有效期内)的，每有一人得0.5分，最多得1分；具有地理信息安全保密培训证书的，每有一人得0.5分，最多得1分。本项最多得2分。</w:t>
            </w:r>
          </w:p>
          <w:p>
            <w:pPr>
              <w:spacing w:line="360" w:lineRule="exact"/>
              <w:rPr>
                <w:rFonts w:ascii="仿宋" w:hAnsi="仿宋" w:eastAsia="仿宋" w:cs="仿宋"/>
                <w:bCs/>
                <w:iCs/>
                <w:sz w:val="24"/>
                <w:lang w:val="zh-CN"/>
              </w:rPr>
            </w:pPr>
            <w:r>
              <w:rPr>
                <w:rFonts w:hint="eastAsia" w:ascii="仿宋" w:hAnsi="仿宋" w:eastAsia="仿宋" w:cs="仿宋"/>
                <w:b/>
                <w:sz w:val="24"/>
              </w:rPr>
              <w:t>【投标文件中需提供以上人员的资格证书等相关证明资料和在本单位的缴纳社保证明，以上证明材料需加盖投标人公章，不提供不得分。】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27" w:hRule="atLeast"/>
          <w:jc w:val="center"/>
        </w:trPr>
        <w:tc>
          <w:tcPr>
            <w:tcW w:w="1255" w:type="dxa"/>
            <w:tcBorders>
              <w:top w:val="single" w:color="auto" w:sz="4" w:space="0"/>
            </w:tcBorders>
            <w:vAlign w:val="center"/>
          </w:tcPr>
          <w:p>
            <w:pPr>
              <w:spacing w:line="360" w:lineRule="exact"/>
              <w:jc w:val="center"/>
              <w:rPr>
                <w:rFonts w:ascii="仿宋" w:hAnsi="仿宋" w:eastAsia="仿宋" w:cs="仿宋"/>
                <w:bCs/>
                <w:sz w:val="24"/>
              </w:rPr>
            </w:pPr>
            <w:r>
              <w:rPr>
                <w:rFonts w:hint="eastAsia" w:ascii="仿宋" w:hAnsi="仿宋" w:eastAsia="仿宋" w:cs="仿宋"/>
                <w:bCs/>
                <w:sz w:val="24"/>
              </w:rPr>
              <w:t>软硬件设备配备</w:t>
            </w:r>
          </w:p>
          <w:p>
            <w:pPr>
              <w:spacing w:line="360" w:lineRule="exact"/>
              <w:jc w:val="center"/>
              <w:rPr>
                <w:rFonts w:ascii="仿宋" w:hAnsi="仿宋" w:eastAsia="仿宋" w:cs="仿宋"/>
                <w:bCs/>
                <w:sz w:val="24"/>
              </w:rPr>
            </w:pPr>
            <w:r>
              <w:rPr>
                <w:rFonts w:hint="eastAsia" w:ascii="仿宋" w:hAnsi="仿宋" w:eastAsia="仿宋" w:cs="仿宋"/>
                <w:bCs/>
                <w:sz w:val="24"/>
              </w:rPr>
              <w:t>（10分）</w:t>
            </w:r>
          </w:p>
        </w:tc>
        <w:tc>
          <w:tcPr>
            <w:tcW w:w="7072" w:type="dxa"/>
            <w:vAlign w:val="center"/>
          </w:tcPr>
          <w:p>
            <w:pPr>
              <w:spacing w:line="360" w:lineRule="exact"/>
              <w:rPr>
                <w:rFonts w:ascii="仿宋" w:hAnsi="仿宋" w:eastAsia="仿宋" w:cs="仿宋"/>
                <w:bCs/>
                <w:iCs/>
                <w:sz w:val="24"/>
              </w:rPr>
            </w:pPr>
            <w:r>
              <w:rPr>
                <w:rFonts w:hint="eastAsia" w:ascii="仿宋" w:hAnsi="仿宋" w:eastAsia="仿宋" w:cs="仿宋"/>
                <w:bCs/>
                <w:iCs/>
                <w:sz w:val="24"/>
              </w:rPr>
              <w:t>1.投标人须自有地质雷达，每提供一台得2分，最高得2分。</w:t>
            </w:r>
          </w:p>
          <w:p>
            <w:pPr>
              <w:spacing w:line="360" w:lineRule="exact"/>
              <w:rPr>
                <w:rFonts w:ascii="仿宋" w:hAnsi="仿宋" w:eastAsia="仿宋" w:cs="仿宋"/>
                <w:bCs/>
                <w:iCs/>
                <w:sz w:val="24"/>
              </w:rPr>
            </w:pPr>
            <w:r>
              <w:rPr>
                <w:rFonts w:hint="eastAsia" w:ascii="仿宋" w:hAnsi="仿宋" w:eastAsia="仿宋" w:cs="仿宋"/>
                <w:bCs/>
                <w:iCs/>
                <w:sz w:val="24"/>
              </w:rPr>
              <w:t>2.投标人须自有管道惯性定位陀螺仪，每提供一台得2分，最高得2分。</w:t>
            </w:r>
          </w:p>
          <w:p>
            <w:pPr>
              <w:spacing w:line="360" w:lineRule="exact"/>
              <w:rPr>
                <w:rFonts w:ascii="仿宋" w:hAnsi="仿宋" w:eastAsia="仿宋" w:cs="仿宋"/>
                <w:bCs/>
                <w:iCs/>
                <w:sz w:val="24"/>
              </w:rPr>
            </w:pPr>
            <w:r>
              <w:rPr>
                <w:rFonts w:hint="eastAsia" w:ascii="仿宋" w:hAnsi="仿宋" w:eastAsia="仿宋" w:cs="仿宋"/>
                <w:bCs/>
                <w:iCs/>
                <w:sz w:val="24"/>
              </w:rPr>
              <w:t>3.投标人须自有导向仪，每提供一台得2分，最高得2分。</w:t>
            </w:r>
          </w:p>
          <w:p>
            <w:pPr>
              <w:spacing w:line="360" w:lineRule="exact"/>
              <w:rPr>
                <w:rFonts w:ascii="仿宋" w:hAnsi="仿宋" w:eastAsia="仿宋" w:cs="仿宋"/>
                <w:bCs/>
                <w:iCs/>
                <w:sz w:val="24"/>
              </w:rPr>
            </w:pPr>
            <w:r>
              <w:rPr>
                <w:rFonts w:hint="eastAsia" w:ascii="仿宋" w:hAnsi="仿宋" w:eastAsia="仿宋" w:cs="仿宋"/>
                <w:bCs/>
                <w:iCs/>
                <w:sz w:val="24"/>
              </w:rPr>
              <w:t>4.投标人须自有超高密度电法仪，每提供一台得2分，最高得2分。</w:t>
            </w:r>
          </w:p>
          <w:p>
            <w:pPr>
              <w:spacing w:line="360" w:lineRule="exact"/>
              <w:rPr>
                <w:rFonts w:ascii="仿宋" w:hAnsi="仿宋" w:eastAsia="仿宋" w:cs="仿宋"/>
                <w:bCs/>
                <w:iCs/>
                <w:sz w:val="24"/>
              </w:rPr>
            </w:pPr>
            <w:r>
              <w:rPr>
                <w:rFonts w:hint="eastAsia" w:ascii="仿宋" w:hAnsi="仿宋" w:eastAsia="仿宋" w:cs="仿宋"/>
                <w:bCs/>
                <w:iCs/>
                <w:sz w:val="24"/>
              </w:rPr>
              <w:t>5.投标人须自有三维激光扫描仪，每提供一台得2分，最高得2分。</w:t>
            </w:r>
          </w:p>
          <w:p>
            <w:pPr>
              <w:spacing w:line="360" w:lineRule="exact"/>
              <w:rPr>
                <w:rFonts w:ascii="仿宋" w:hAnsi="仿宋" w:eastAsia="仿宋" w:cs="仿宋"/>
                <w:bCs/>
                <w:iCs/>
                <w:sz w:val="24"/>
                <w:lang w:val="zh-CN"/>
              </w:rPr>
            </w:pPr>
            <w:r>
              <w:rPr>
                <w:rFonts w:hint="eastAsia" w:ascii="仿宋" w:hAnsi="仿宋" w:eastAsia="仿宋" w:cs="仿宋"/>
                <w:b/>
                <w:sz w:val="24"/>
              </w:rPr>
              <w:t>【自有仪器以购置发票为准，须提供相关设备购置发票原件彩色扫描件或图片并加盖投标人公章，不提供不得分。】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68" w:hRule="atLeast"/>
          <w:jc w:val="center"/>
        </w:trPr>
        <w:tc>
          <w:tcPr>
            <w:tcW w:w="1255" w:type="dxa"/>
            <w:vMerge w:val="restart"/>
            <w:vAlign w:val="center"/>
          </w:tcPr>
          <w:p>
            <w:pPr>
              <w:spacing w:line="360" w:lineRule="exact"/>
              <w:jc w:val="center"/>
              <w:rPr>
                <w:rFonts w:ascii="仿宋" w:hAnsi="仿宋" w:eastAsia="仿宋" w:cs="仿宋"/>
                <w:bCs/>
                <w:sz w:val="24"/>
              </w:rPr>
            </w:pPr>
            <w:r>
              <w:rPr>
                <w:rFonts w:hint="eastAsia" w:ascii="仿宋" w:hAnsi="仿宋" w:eastAsia="仿宋" w:cs="仿宋"/>
                <w:bCs/>
                <w:sz w:val="24"/>
              </w:rPr>
              <w:t>技术实施方案</w:t>
            </w:r>
          </w:p>
          <w:p>
            <w:pPr>
              <w:spacing w:line="360" w:lineRule="exact"/>
              <w:jc w:val="center"/>
              <w:rPr>
                <w:rFonts w:ascii="仿宋" w:hAnsi="仿宋" w:eastAsia="仿宋" w:cs="仿宋"/>
                <w:bCs/>
                <w:sz w:val="24"/>
              </w:rPr>
            </w:pPr>
            <w:r>
              <w:rPr>
                <w:rFonts w:hint="eastAsia" w:ascii="仿宋" w:hAnsi="仿宋" w:eastAsia="仿宋" w:cs="仿宋"/>
                <w:bCs/>
                <w:sz w:val="24"/>
              </w:rPr>
              <w:t>（30）</w:t>
            </w:r>
          </w:p>
        </w:tc>
        <w:tc>
          <w:tcPr>
            <w:tcW w:w="7072" w:type="dxa"/>
            <w:vAlign w:val="center"/>
          </w:tcPr>
          <w:p>
            <w:pPr>
              <w:spacing w:line="360" w:lineRule="exact"/>
              <w:rPr>
                <w:rFonts w:ascii="仿宋" w:hAnsi="仿宋" w:eastAsia="仿宋" w:cs="仿宋"/>
                <w:bCs/>
                <w:sz w:val="24"/>
              </w:rPr>
            </w:pPr>
            <w:r>
              <w:rPr>
                <w:rFonts w:hint="eastAsia" w:ascii="仿宋" w:hAnsi="仿宋" w:eastAsia="仿宋" w:cs="仿宋"/>
                <w:bCs/>
                <w:sz w:val="24"/>
              </w:rPr>
              <w:t>根据投标人对本项目政策及需求的理解、资料收集及利用情况由评委横向比较，理解到位、分析完整的为优4.1-6分，理解、分析一般为良2.1-4分，一般0.1-2分，不提供不得分。本项最高得6分。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iCs/>
                <w:sz w:val="24"/>
                <w:lang w:val="zh-CN"/>
              </w:rPr>
            </w:pPr>
            <w:r>
              <w:rPr>
                <w:rFonts w:hint="eastAsia" w:ascii="仿宋" w:hAnsi="仿宋" w:eastAsia="仿宋" w:cs="仿宋"/>
                <w:bCs/>
                <w:sz w:val="24"/>
              </w:rPr>
              <w:t>根据投标人技术方案整体的先进性、完整性、科学性、针对性等由评委横向比较打分。优4.1-6分，良2.1-4分，一般0.1-2分，不提供不得分。本项最高得6分。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14"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iCs/>
                <w:sz w:val="24"/>
                <w:lang w:val="zh-CN"/>
              </w:rPr>
            </w:pPr>
            <w:r>
              <w:rPr>
                <w:rFonts w:hint="eastAsia" w:ascii="仿宋" w:hAnsi="仿宋" w:eastAsia="仿宋" w:cs="仿宋"/>
                <w:bCs/>
                <w:sz w:val="24"/>
              </w:rPr>
              <w:t>根据投标人针对本项目的实施工序、技术方法等，由评委横向比较打分。优4.1-6分，良2.1-4分，一般0.1-2分，不提供不得分。本项最高得6分。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sz w:val="24"/>
              </w:rPr>
            </w:pPr>
            <w:r>
              <w:rPr>
                <w:rFonts w:hint="eastAsia" w:ascii="仿宋" w:hAnsi="仿宋" w:eastAsia="仿宋" w:cs="仿宋"/>
                <w:bCs/>
                <w:sz w:val="24"/>
              </w:rPr>
              <w:t>根据投标人对本项目重难点工作的理解分析、应对举措合理有效、符合实际等方案，由评委横向比较综合评分。优4.1-6分，良2.1-4分，一般0.1-2分，不提供不得分。本项最高得6分。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sz w:val="24"/>
              </w:rPr>
            </w:pPr>
            <w:r>
              <w:rPr>
                <w:rFonts w:hint="eastAsia" w:ascii="仿宋" w:hAnsi="仿宋" w:eastAsia="仿宋" w:cs="仿宋"/>
                <w:bCs/>
                <w:sz w:val="24"/>
              </w:rPr>
              <w:t>投标人针对本项目的项目管理制度、应急事件措施等，由评委横向比较打分。优4.1-6分，良2.1-4分，一般0.1-2分，不提供不得分。本项最高得6分。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73" w:hRule="atLeast"/>
          <w:jc w:val="center"/>
        </w:trPr>
        <w:tc>
          <w:tcPr>
            <w:tcW w:w="1255" w:type="dxa"/>
            <w:vMerge w:val="restart"/>
            <w:vAlign w:val="center"/>
          </w:tcPr>
          <w:p>
            <w:pPr>
              <w:spacing w:line="360" w:lineRule="exact"/>
              <w:jc w:val="center"/>
              <w:rPr>
                <w:rFonts w:ascii="仿宋" w:hAnsi="仿宋" w:eastAsia="仿宋" w:cs="仿宋"/>
                <w:bCs/>
                <w:sz w:val="24"/>
              </w:rPr>
            </w:pPr>
            <w:r>
              <w:rPr>
                <w:rFonts w:hint="eastAsia" w:ascii="仿宋" w:hAnsi="仿宋" w:eastAsia="仿宋" w:cs="仿宋"/>
                <w:bCs/>
                <w:sz w:val="24"/>
              </w:rPr>
              <w:t>质量及进度保障</w:t>
            </w:r>
          </w:p>
          <w:p>
            <w:pPr>
              <w:spacing w:line="360" w:lineRule="exact"/>
              <w:jc w:val="center"/>
              <w:rPr>
                <w:rFonts w:ascii="仿宋" w:hAnsi="仿宋" w:eastAsia="仿宋" w:cs="仿宋"/>
                <w:bCs/>
                <w:sz w:val="24"/>
              </w:rPr>
            </w:pPr>
            <w:r>
              <w:rPr>
                <w:rFonts w:hint="eastAsia" w:ascii="仿宋" w:hAnsi="仿宋" w:eastAsia="仿宋" w:cs="仿宋"/>
                <w:bCs/>
                <w:sz w:val="24"/>
              </w:rPr>
              <w:t>（10分）</w:t>
            </w:r>
          </w:p>
        </w:tc>
        <w:tc>
          <w:tcPr>
            <w:tcW w:w="7072" w:type="dxa"/>
            <w:vAlign w:val="center"/>
          </w:tcPr>
          <w:p>
            <w:pPr>
              <w:spacing w:line="360" w:lineRule="exact"/>
              <w:rPr>
                <w:rFonts w:ascii="仿宋" w:hAnsi="仿宋" w:eastAsia="仿宋" w:cs="仿宋"/>
                <w:sz w:val="24"/>
              </w:rPr>
            </w:pPr>
            <w:r>
              <w:rPr>
                <w:rFonts w:hint="eastAsia" w:ascii="仿宋" w:hAnsi="仿宋" w:eastAsia="仿宋" w:cs="仿宋"/>
                <w:bCs/>
                <w:sz w:val="24"/>
              </w:rPr>
              <w:t>根据投标人对本项目质量控制措施等方案的合理性、科学性、针对性，由评委横向比较打分。优4.1-5分，良2.1-4分，一般0.1-2分，不提供不得分。本项最高得5分。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01"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iCs/>
                <w:sz w:val="24"/>
                <w:lang w:val="zh-CN"/>
              </w:rPr>
            </w:pPr>
            <w:r>
              <w:rPr>
                <w:rFonts w:hint="eastAsia" w:ascii="仿宋" w:hAnsi="仿宋" w:eastAsia="仿宋" w:cs="仿宋"/>
                <w:bCs/>
                <w:sz w:val="24"/>
              </w:rPr>
              <w:t>根据投标人对本项目工期进度计划、施工中进度编排、工期保障措施等方案的合理性、科学性、针对性，由评委横向比较。优4.1-5分，方案描述一般为良2.1-4分，一般0.1-2分，不提供不得分。本项最高得5分。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9" w:hRule="atLeast"/>
          <w:jc w:val="center"/>
        </w:trPr>
        <w:tc>
          <w:tcPr>
            <w:tcW w:w="1255" w:type="dxa"/>
            <w:vMerge w:val="restart"/>
            <w:vAlign w:val="center"/>
          </w:tcPr>
          <w:p>
            <w:pPr>
              <w:spacing w:line="360" w:lineRule="exact"/>
              <w:jc w:val="center"/>
              <w:rPr>
                <w:rFonts w:ascii="仿宋" w:hAnsi="仿宋" w:eastAsia="仿宋" w:cs="仿宋"/>
                <w:bCs/>
                <w:sz w:val="24"/>
              </w:rPr>
            </w:pPr>
            <w:r>
              <w:rPr>
                <w:rFonts w:hint="eastAsia" w:ascii="仿宋" w:hAnsi="仿宋" w:eastAsia="仿宋" w:cs="仿宋"/>
                <w:bCs/>
                <w:sz w:val="24"/>
              </w:rPr>
              <w:t>安全及保密措施</w:t>
            </w:r>
          </w:p>
          <w:p>
            <w:pPr>
              <w:spacing w:line="360" w:lineRule="exact"/>
              <w:jc w:val="center"/>
              <w:rPr>
                <w:rFonts w:ascii="仿宋" w:hAnsi="仿宋" w:eastAsia="仿宋" w:cs="仿宋"/>
                <w:bCs/>
                <w:sz w:val="24"/>
              </w:rPr>
            </w:pPr>
            <w:r>
              <w:rPr>
                <w:rFonts w:hint="eastAsia" w:ascii="仿宋" w:hAnsi="仿宋" w:eastAsia="仿宋" w:cs="仿宋"/>
                <w:bCs/>
                <w:sz w:val="24"/>
              </w:rPr>
              <w:t>（10分）</w:t>
            </w:r>
          </w:p>
        </w:tc>
        <w:tc>
          <w:tcPr>
            <w:tcW w:w="7072" w:type="dxa"/>
            <w:vAlign w:val="center"/>
          </w:tcPr>
          <w:p>
            <w:pPr>
              <w:spacing w:line="360" w:lineRule="exact"/>
              <w:rPr>
                <w:rFonts w:ascii="仿宋" w:hAnsi="仿宋" w:eastAsia="仿宋" w:cs="仿宋"/>
                <w:bCs/>
                <w:sz w:val="24"/>
              </w:rPr>
            </w:pPr>
            <w:r>
              <w:rPr>
                <w:rFonts w:hint="eastAsia" w:ascii="仿宋" w:hAnsi="仿宋" w:eastAsia="仿宋" w:cs="仿宋"/>
                <w:bCs/>
                <w:sz w:val="24"/>
              </w:rPr>
              <w:t>针对本项目的安全管理措施、文明施工措施等，由评委横向比较打分。优4.1-5分，方案描述一般为良2.1-4分，一般0.1-2分，不提供不得分。本项最高得5分。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9" w:hRule="atLeast"/>
          <w:jc w:val="center"/>
        </w:trPr>
        <w:tc>
          <w:tcPr>
            <w:tcW w:w="1255" w:type="dxa"/>
            <w:vMerge w:val="continue"/>
            <w:vAlign w:val="center"/>
          </w:tcPr>
          <w:p>
            <w:pPr>
              <w:spacing w:line="360" w:lineRule="exact"/>
              <w:jc w:val="center"/>
              <w:rPr>
                <w:rFonts w:ascii="仿宋" w:hAnsi="仿宋" w:eastAsia="仿宋" w:cs="仿宋"/>
                <w:bCs/>
                <w:sz w:val="24"/>
              </w:rPr>
            </w:pPr>
          </w:p>
        </w:tc>
        <w:tc>
          <w:tcPr>
            <w:tcW w:w="7072" w:type="dxa"/>
            <w:vAlign w:val="center"/>
          </w:tcPr>
          <w:p>
            <w:pPr>
              <w:spacing w:line="360" w:lineRule="exact"/>
              <w:rPr>
                <w:rFonts w:ascii="仿宋" w:hAnsi="仿宋" w:eastAsia="仿宋" w:cs="仿宋"/>
                <w:bCs/>
                <w:sz w:val="24"/>
              </w:rPr>
            </w:pPr>
            <w:r>
              <w:rPr>
                <w:rFonts w:hint="eastAsia" w:ascii="仿宋" w:hAnsi="仿宋" w:eastAsia="仿宋" w:cs="仿宋"/>
                <w:bCs/>
                <w:sz w:val="24"/>
              </w:rPr>
              <w:t>针对本项目的保密措施、保密投入等，由评委横向比较打分。优4.1-5分，方案描述一般为良2.1-4分，一般0.1-2分，不提供不得分。本项最高得5分。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restart"/>
            <w:vAlign w:val="center"/>
          </w:tcPr>
          <w:p>
            <w:pPr>
              <w:spacing w:line="360" w:lineRule="exact"/>
              <w:jc w:val="center"/>
              <w:rPr>
                <w:rFonts w:ascii="仿宋" w:hAnsi="仿宋" w:eastAsia="仿宋" w:cs="仿宋"/>
                <w:bCs/>
                <w:sz w:val="24"/>
              </w:rPr>
            </w:pPr>
            <w:r>
              <w:rPr>
                <w:rFonts w:hint="eastAsia" w:ascii="仿宋" w:hAnsi="仿宋" w:eastAsia="仿宋" w:cs="仿宋"/>
                <w:bCs/>
                <w:sz w:val="24"/>
              </w:rPr>
              <w:t>售后服务（8分）</w:t>
            </w:r>
          </w:p>
        </w:tc>
        <w:tc>
          <w:tcPr>
            <w:tcW w:w="7072" w:type="dxa"/>
            <w:vAlign w:val="center"/>
          </w:tcPr>
          <w:p>
            <w:pPr>
              <w:spacing w:line="360" w:lineRule="exact"/>
              <w:rPr>
                <w:rFonts w:ascii="仿宋" w:hAnsi="仿宋" w:eastAsia="仿宋" w:cs="仿宋"/>
                <w:sz w:val="24"/>
              </w:rPr>
            </w:pPr>
            <w:r>
              <w:rPr>
                <w:rFonts w:hint="eastAsia" w:ascii="仿宋" w:hAnsi="仿宋" w:eastAsia="仿宋" w:cs="仿宋"/>
                <w:bCs/>
                <w:sz w:val="24"/>
              </w:rPr>
              <w:t>投标人需提供完整可行的售后服务方案，从实际服务考虑由评委横向比较，服务方案完整、可行性强的为优4.1-6分，方案描述一般为良2.1-4分，一般0.1-2分，不提供不得分。本项最高得6分。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67" w:hRule="atLeast"/>
          <w:jc w:val="center"/>
        </w:trPr>
        <w:tc>
          <w:tcPr>
            <w:tcW w:w="1255" w:type="dxa"/>
            <w:vMerge w:val="continue"/>
            <w:vAlign w:val="center"/>
          </w:tcPr>
          <w:p>
            <w:pPr>
              <w:spacing w:line="360" w:lineRule="exact"/>
              <w:jc w:val="center"/>
              <w:rPr>
                <w:rFonts w:ascii="仿宋" w:hAnsi="仿宋" w:eastAsia="仿宋" w:cs="仿宋"/>
                <w:sz w:val="24"/>
              </w:rPr>
            </w:pPr>
          </w:p>
        </w:tc>
        <w:tc>
          <w:tcPr>
            <w:tcW w:w="7072" w:type="dxa"/>
            <w:vAlign w:val="center"/>
          </w:tcPr>
          <w:p>
            <w:pPr>
              <w:spacing w:line="360" w:lineRule="exact"/>
              <w:rPr>
                <w:rFonts w:ascii="仿宋" w:hAnsi="仿宋" w:eastAsia="仿宋" w:cs="仿宋"/>
                <w:sz w:val="24"/>
              </w:rPr>
            </w:pPr>
            <w:r>
              <w:rPr>
                <w:rFonts w:hint="eastAsia" w:ascii="仿宋" w:hAnsi="仿宋" w:eastAsia="仿宋" w:cs="仿宋"/>
                <w:bCs/>
                <w:sz w:val="24"/>
              </w:rPr>
              <w:t>投标单位针对本项目设立的服务网点与采购人远近距离及响应时间，专家根据情况酌情打分。本项最高得2分。</w:t>
            </w:r>
          </w:p>
        </w:tc>
        <w:tc>
          <w:tcPr>
            <w:tcW w:w="805" w:type="dxa"/>
            <w:vAlign w:val="center"/>
          </w:tcPr>
          <w:p>
            <w:pPr>
              <w:spacing w:line="360" w:lineRule="exact"/>
              <w:jc w:val="center"/>
              <w:rPr>
                <w:rFonts w:ascii="仿宋" w:hAnsi="仿宋" w:eastAsia="仿宋" w:cs="仿宋"/>
                <w:bCs/>
                <w:iCs/>
                <w:sz w:val="24"/>
              </w:rPr>
            </w:pPr>
            <w:r>
              <w:rPr>
                <w:rFonts w:hint="eastAsia" w:ascii="仿宋" w:hAnsi="仿宋" w:eastAsia="仿宋" w:cs="仿宋"/>
                <w:bCs/>
                <w:iCs/>
                <w:sz w:val="24"/>
              </w:rPr>
              <w:t>2</w:t>
            </w:r>
          </w:p>
        </w:tc>
      </w:tr>
    </w:tbl>
    <w:p>
      <w:pPr>
        <w:spacing w:line="360" w:lineRule="exact"/>
        <w:jc w:val="left"/>
        <w:rPr>
          <w:rFonts w:ascii="仿宋" w:hAnsi="仿宋" w:eastAsia="仿宋"/>
          <w:sz w:val="24"/>
        </w:rPr>
      </w:pPr>
      <w:r>
        <w:rPr>
          <w:rFonts w:hint="eastAsia" w:ascii="仿宋" w:hAnsi="仿宋" w:eastAsia="仿宋"/>
          <w:sz w:val="24"/>
        </w:rPr>
        <w:t xml:space="preserve">▲ </w:t>
      </w:r>
      <w:r>
        <w:rPr>
          <w:rFonts w:hint="eastAsia" w:ascii="仿宋" w:hAnsi="仿宋" w:eastAsia="仿宋"/>
          <w:b/>
          <w:bCs/>
          <w:sz w:val="24"/>
        </w:rPr>
        <w:t>减分：投标人的信誉情况：</w:t>
      </w:r>
      <w:r>
        <w:rPr>
          <w:rFonts w:hint="eastAsia" w:ascii="仿宋" w:hAnsi="仿宋" w:eastAsia="仿宋"/>
          <w:sz w:val="24"/>
        </w:rPr>
        <w:t>政府采购领域中投标人在项目招标、投标和合同履约期间是否存在不良行为记录。</w:t>
      </w:r>
    </w:p>
    <w:p>
      <w:pPr>
        <w:spacing w:line="360" w:lineRule="exact"/>
        <w:jc w:val="left"/>
        <w:rPr>
          <w:rFonts w:ascii="仿宋" w:hAnsi="仿宋" w:eastAsia="仿宋"/>
          <w:sz w:val="24"/>
        </w:rPr>
      </w:pPr>
      <w:r>
        <w:rPr>
          <w:rFonts w:hint="eastAsia" w:ascii="仿宋" w:hAnsi="仿宋" w:eastAsia="仿宋"/>
          <w:sz w:val="24"/>
        </w:rPr>
        <w:t>● 投标人参加本次政府采购活动前三年内在浙江省范围内政府采购领域中受到不良行为记录处罚的每次扣1分。</w:t>
      </w:r>
    </w:p>
    <w:p>
      <w:pPr>
        <w:spacing w:line="360" w:lineRule="exact"/>
        <w:jc w:val="left"/>
        <w:rPr>
          <w:rFonts w:ascii="仿宋" w:hAnsi="仿宋" w:eastAsia="仿宋"/>
          <w:b/>
          <w:bCs/>
          <w:sz w:val="24"/>
        </w:rPr>
      </w:pPr>
      <w:r>
        <w:rPr>
          <w:rFonts w:hint="eastAsia" w:ascii="仿宋" w:hAnsi="仿宋" w:eastAsia="仿宋"/>
          <w:b/>
          <w:bCs/>
          <w:sz w:val="24"/>
        </w:rPr>
        <w:t>2.2价格分（</w:t>
      </w:r>
      <w:r>
        <w:rPr>
          <w:rFonts w:ascii="仿宋" w:hAnsi="仿宋" w:eastAsia="仿宋"/>
          <w:b/>
          <w:bCs/>
          <w:sz w:val="24"/>
        </w:rPr>
        <w:t>10</w:t>
      </w:r>
      <w:r>
        <w:rPr>
          <w:rFonts w:hint="eastAsia" w:ascii="仿宋" w:hAnsi="仿宋" w:eastAsia="仿宋"/>
          <w:b/>
          <w:bCs/>
          <w:sz w:val="24"/>
        </w:rPr>
        <w:t>分）</w:t>
      </w:r>
    </w:p>
    <w:p>
      <w:pPr>
        <w:spacing w:line="360" w:lineRule="exact"/>
        <w:jc w:val="left"/>
        <w:rPr>
          <w:rFonts w:ascii="仿宋" w:hAnsi="仿宋" w:eastAsia="仿宋"/>
          <w:sz w:val="24"/>
        </w:rPr>
      </w:pPr>
      <w:r>
        <w:rPr>
          <w:rFonts w:hint="eastAsia" w:ascii="仿宋" w:hAnsi="仿宋" w:eastAsia="仿宋"/>
          <w:sz w:val="24"/>
        </w:rPr>
        <w:t>2.2.1评标基准价：即满足招标文件要求且投标报价最低的报价为评标基准价，其价格分为满分。</w:t>
      </w:r>
    </w:p>
    <w:p>
      <w:pPr>
        <w:spacing w:line="360" w:lineRule="exact"/>
        <w:jc w:val="left"/>
        <w:rPr>
          <w:rFonts w:ascii="仿宋" w:hAnsi="仿宋" w:eastAsia="仿宋"/>
          <w:sz w:val="24"/>
        </w:rPr>
      </w:pPr>
      <w:r>
        <w:rPr>
          <w:rFonts w:hint="eastAsia" w:ascii="仿宋" w:hAnsi="仿宋" w:eastAsia="仿宋"/>
          <w:sz w:val="24"/>
        </w:rPr>
        <w:t>2.2.2其他投标人的价格分统一按照下列公式计算：</w:t>
      </w:r>
    </w:p>
    <w:p>
      <w:pPr>
        <w:spacing w:line="360" w:lineRule="exact"/>
        <w:jc w:val="left"/>
        <w:rPr>
          <w:rFonts w:ascii="仿宋" w:hAnsi="仿宋" w:eastAsia="仿宋"/>
          <w:sz w:val="24"/>
        </w:rPr>
      </w:pPr>
      <w:r>
        <w:rPr>
          <w:rFonts w:hint="eastAsia" w:ascii="仿宋" w:hAnsi="仿宋" w:eastAsia="仿宋"/>
          <w:sz w:val="24"/>
        </w:rPr>
        <w:t>投标报价得分=(评标基准价／投标报价)×价格权值×100</w:t>
      </w:r>
    </w:p>
    <w:p>
      <w:pPr>
        <w:spacing w:line="360" w:lineRule="exact"/>
        <w:jc w:val="left"/>
        <w:rPr>
          <w:sz w:val="24"/>
        </w:rPr>
      </w:pPr>
      <w:r>
        <w:rPr>
          <w:rFonts w:hint="eastAsia" w:ascii="仿宋" w:hAnsi="仿宋" w:eastAsia="仿宋"/>
          <w:sz w:val="24"/>
        </w:rPr>
        <w:t>即：投标报价得分=(评标基准价／投标报价)×</w:t>
      </w:r>
      <w:r>
        <w:rPr>
          <w:rFonts w:ascii="仿宋" w:hAnsi="仿宋" w:eastAsia="仿宋"/>
          <w:sz w:val="24"/>
        </w:rPr>
        <w:t>1</w:t>
      </w:r>
      <w:r>
        <w:rPr>
          <w:rFonts w:hint="eastAsia" w:ascii="仿宋" w:hAnsi="仿宋" w:eastAsia="仿宋"/>
          <w:sz w:val="24"/>
        </w:rPr>
        <w:t>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绍兴市自然资源和规划局、浙江华诚工程管理有限公司：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u w:val="single"/>
        </w:rPr>
        <w:t>绍兴市城市地下市政基础设施普查数据整合入库与建模</w:t>
      </w:r>
      <w:r>
        <w:rPr>
          <w:rFonts w:hint="eastAsia" w:ascii="仿宋_GB2312" w:hAnsi="仿宋" w:eastAsia="仿宋_GB2312" w:cs="仿宋"/>
          <w:sz w:val="24"/>
        </w:rPr>
        <w:t>（招标编号: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3"/>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ascii="仿宋_GB2312" w:hAnsi="仿宋" w:eastAsia="仿宋_GB2312" w:cs="仿宋"/>
          <w:sz w:val="24"/>
        </w:rPr>
      </w:pPr>
    </w:p>
    <w:p>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4"/>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4"/>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4"/>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4"/>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4"/>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4"/>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4"/>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534" w:firstLineChars="11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绍兴市自然资源和规划局、浙江华诚工程管理有限公司</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100"/>
        <w:spacing w:after="120" w:line="336" w:lineRule="auto"/>
        <w:ind w:firstLine="480"/>
        <w:rPr>
          <w:rFonts w:ascii="仿宋_GB2312" w:hAnsi="仿宋" w:eastAsia="仿宋_GB2312" w:cs="仿宋"/>
          <w:szCs w:val="24"/>
        </w:rPr>
      </w:pP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绍兴市自然资源和规划局、浙江华诚工程管理有限公司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绍兴市城市地下市政基础设施普查数据整合入库与建模（招标编号: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绍兴市自然资源和规划局、浙江华诚工程管理有限公司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绍兴市城市地下市政基础设施普查数据整合入库与建模（招标编号: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绍兴市自然资源和规划局、浙江华诚工程管理有限公司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5"/>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3"/>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3"/>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3"/>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3"/>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8"/>
        <w:rPr>
          <w:rFonts w:ascii="仿宋_GB2312" w:eastAsia="仿宋_GB2312"/>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绍兴市自然资源和规划局、浙江华诚工程管理有限公司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绍兴市城市地下市政基础设施普查数据整合入库与建模（招标编号: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sz w:val="24"/>
        </w:rPr>
      </w:pPr>
      <w:bookmarkStart w:id="231"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3"/>
        <w:rPr>
          <w:rFonts w:hAnsi="仿宋" w:cs="仿宋"/>
          <w:b/>
          <w:color w:val="auto"/>
        </w:rPr>
      </w:pPr>
    </w:p>
    <w:p>
      <w:pPr>
        <w:pStyle w:val="318"/>
        <w:rPr>
          <w:rFonts w:ascii="仿宋_GB2312" w:hAnsi="仿宋" w:eastAsia="仿宋_GB2312" w:cs="仿宋"/>
          <w:b/>
          <w:sz w:val="24"/>
        </w:rPr>
      </w:pPr>
    </w:p>
    <w:p>
      <w:pPr>
        <w:rPr>
          <w:rFonts w:ascii="仿宋_GB2312" w:hAnsi="仿宋" w:eastAsia="仿宋_GB2312" w:cs="仿宋"/>
          <w:b/>
          <w:sz w:val="24"/>
        </w:rPr>
      </w:pPr>
    </w:p>
    <w:p>
      <w:pPr>
        <w:pStyle w:val="143"/>
        <w:rPr>
          <w:rFonts w:hAnsi="仿宋" w:cs="仿宋"/>
          <w:b/>
          <w:color w:val="auto"/>
        </w:rPr>
      </w:pPr>
    </w:p>
    <w:p>
      <w:pPr>
        <w:pStyle w:val="318"/>
        <w:rPr>
          <w:rFonts w:ascii="仿宋_GB2312" w:eastAsia="仿宋_GB2312"/>
        </w:rPr>
      </w:pPr>
    </w:p>
    <w:p>
      <w:pPr>
        <w:pStyle w:val="318"/>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r>
        <w:rPr>
          <w:rFonts w:hint="eastAsia" w:ascii="仿宋_GB2312" w:hAnsi="仿宋" w:cs="仿宋"/>
        </w:rPr>
        <w:t>附件</w:t>
      </w:r>
      <w:bookmarkEnd w:id="231"/>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3"/>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232"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232"/>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233"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233"/>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3"/>
        <w:rPr>
          <w:rFonts w:hAnsi="仿宋" w:cs="仿宋"/>
          <w:b/>
          <w:color w:val="auto"/>
          <w:spacing w:val="6"/>
          <w:sz w:val="32"/>
          <w:szCs w:val="32"/>
        </w:rPr>
      </w:pPr>
    </w:p>
    <w:p>
      <w:pPr>
        <w:pStyle w:val="318"/>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3"/>
        <w:rPr>
          <w:rFonts w:hAnsi="仿宋" w:cs="仿宋"/>
          <w:b/>
          <w:color w:val="auto"/>
          <w:spacing w:val="6"/>
          <w:sz w:val="32"/>
          <w:szCs w:val="32"/>
        </w:rPr>
      </w:pPr>
    </w:p>
    <w:p>
      <w:pPr>
        <w:pStyle w:val="318"/>
        <w:rPr>
          <w:rFonts w:ascii="仿宋_GB2312" w:eastAsia="仿宋_GB2312"/>
        </w:rPr>
      </w:pPr>
    </w:p>
    <w:p>
      <w:pPr>
        <w:spacing w:line="360" w:lineRule="auto"/>
        <w:rPr>
          <w:rFonts w:ascii="仿宋_GB2312" w:hAnsi="仿宋" w:eastAsia="仿宋_GB2312" w:cs="仿宋"/>
          <w:b/>
          <w:spacing w:val="6"/>
          <w:sz w:val="32"/>
          <w:szCs w:val="32"/>
        </w:rPr>
      </w:pPr>
      <w:bookmarkStart w:id="234" w:name="OLE_LINK13"/>
      <w:bookmarkStart w:id="235" w:name="OLE_LINK14"/>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234"/>
    <w:bookmarkEnd w:id="235"/>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Sitka Tex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49"/>
        <w:snapToGrid w:val="0"/>
      </w:pPr>
      <w:r>
        <w:rPr>
          <w:rStyle w:val="80"/>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eastAsia="隶书"/>
      </w:rPr>
    </w:pPr>
    <w:r>
      <w:rPr>
        <w:rFonts w:hint="eastAsia"/>
      </w:rPr>
      <w:t>浙江华诚工程管理有限公司                                      招标文件招标编号:</w:t>
    </w:r>
    <w:r>
      <w:rPr>
        <w:rFonts w:hint="eastAsia" w:ascii="隶书" w:hAnsi="Arial" w:eastAsia="隶书" w:cs="Arial"/>
        <w:b/>
        <w:color w:val="000000" w:themeColor="text1"/>
        <w:spacing w:val="-12"/>
        <w:sz w:val="36"/>
        <w:szCs w:val="36"/>
        <w14:textFill>
          <w14:solidFill>
            <w14:schemeClr w14:val="tx1"/>
          </w14:solidFill>
        </w14:textFill>
      </w:rPr>
      <w:t xml:space="preserve"> </w:t>
    </w:r>
    <w:r>
      <w:rPr>
        <w:rFonts w:hint="eastAsia" w:eastAsia="隶书"/>
      </w:rPr>
      <w:t>HC2024-03-21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NzQzMWRkNmU5MTVlZmRlZGM5ZjhjZjlkOGNhYW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381349D"/>
    <w:rsid w:val="05625D32"/>
    <w:rsid w:val="12DB0BB8"/>
    <w:rsid w:val="14A74173"/>
    <w:rsid w:val="166C0651"/>
    <w:rsid w:val="18D413E4"/>
    <w:rsid w:val="194A001A"/>
    <w:rsid w:val="196B62E3"/>
    <w:rsid w:val="1EA8187B"/>
    <w:rsid w:val="216A31AD"/>
    <w:rsid w:val="23D02B29"/>
    <w:rsid w:val="27C34368"/>
    <w:rsid w:val="2CA945A8"/>
    <w:rsid w:val="2EBC20B2"/>
    <w:rsid w:val="317F45BE"/>
    <w:rsid w:val="33145890"/>
    <w:rsid w:val="33A75022"/>
    <w:rsid w:val="342358B1"/>
    <w:rsid w:val="3AA363AF"/>
    <w:rsid w:val="3AD21334"/>
    <w:rsid w:val="3DE82D0D"/>
    <w:rsid w:val="3FE30F81"/>
    <w:rsid w:val="41395FB1"/>
    <w:rsid w:val="4282762B"/>
    <w:rsid w:val="44C33C6E"/>
    <w:rsid w:val="46C3245C"/>
    <w:rsid w:val="47121716"/>
    <w:rsid w:val="47E63F6F"/>
    <w:rsid w:val="494B4088"/>
    <w:rsid w:val="4BBF7AB0"/>
    <w:rsid w:val="4C3B28AD"/>
    <w:rsid w:val="4C613EDC"/>
    <w:rsid w:val="4F034732"/>
    <w:rsid w:val="51482C1F"/>
    <w:rsid w:val="527F273C"/>
    <w:rsid w:val="52DC4E82"/>
    <w:rsid w:val="536B37E7"/>
    <w:rsid w:val="554752F7"/>
    <w:rsid w:val="556F4EF0"/>
    <w:rsid w:val="615648BD"/>
    <w:rsid w:val="64D95BE5"/>
    <w:rsid w:val="6BEB120D"/>
    <w:rsid w:val="6EDB63E4"/>
    <w:rsid w:val="6EF70F71"/>
    <w:rsid w:val="70102148"/>
    <w:rsid w:val="71630796"/>
    <w:rsid w:val="72B512E8"/>
    <w:rsid w:val="72E87C49"/>
    <w:rsid w:val="79940557"/>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9"/>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4"/>
    <w:autoRedefine/>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1"/>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0"/>
    <w:autoRedefine/>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9"/>
    <w:qFormat/>
    <w:uiPriority w:val="0"/>
    <w:pPr>
      <w:adjustRightInd w:val="0"/>
    </w:pPr>
    <w:rPr>
      <w:rFonts w:ascii="仿宋_GB2312" w:eastAsia="仿宋_GB2312"/>
      <w:sz w:val="28"/>
      <w:szCs w:val="20"/>
    </w:rPr>
  </w:style>
  <w:style w:type="paragraph" w:styleId="21">
    <w:name w:val="Body Text 3"/>
    <w:basedOn w:val="1"/>
    <w:link w:val="320"/>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5"/>
    <w:autoRedefine/>
    <w:qFormat/>
    <w:uiPriority w:val="0"/>
    <w:pPr>
      <w:spacing w:line="360" w:lineRule="auto"/>
    </w:pPr>
    <w:rPr>
      <w:rFonts w:eastAsia="仿宋_GB2312"/>
      <w:sz w:val="28"/>
    </w:rPr>
  </w:style>
  <w:style w:type="paragraph" w:styleId="24">
    <w:name w:val="Body Text Indent"/>
    <w:basedOn w:val="1"/>
    <w:link w:val="96"/>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1"/>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4"/>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7"/>
    <w:qFormat/>
    <w:uiPriority w:val="0"/>
    <w:rPr>
      <w:rFonts w:ascii="楷体_GB2312" w:eastAsia="楷体_GB2312"/>
      <w:b/>
      <w:sz w:val="28"/>
      <w:szCs w:val="20"/>
    </w:rPr>
  </w:style>
  <w:style w:type="paragraph" w:styleId="36">
    <w:name w:val="Body Text Indent 2"/>
    <w:basedOn w:val="1"/>
    <w:link w:val="111"/>
    <w:qFormat/>
    <w:uiPriority w:val="0"/>
    <w:pPr>
      <w:spacing w:after="120" w:line="480" w:lineRule="auto"/>
      <w:ind w:left="420" w:leftChars="200"/>
    </w:pPr>
  </w:style>
  <w:style w:type="paragraph" w:styleId="37">
    <w:name w:val="endnote text"/>
    <w:basedOn w:val="1"/>
    <w:link w:val="322"/>
    <w:autoRedefine/>
    <w:qFormat/>
    <w:uiPriority w:val="0"/>
    <w:pPr>
      <w:adjustRightInd w:val="0"/>
    </w:pPr>
    <w:rPr>
      <w:lang w:val="zh-CN"/>
    </w:rPr>
  </w:style>
  <w:style w:type="paragraph" w:styleId="38">
    <w:name w:val="Balloon Text"/>
    <w:basedOn w:val="1"/>
    <w:link w:val="229"/>
    <w:qFormat/>
    <w:uiPriority w:val="0"/>
    <w:rPr>
      <w:sz w:val="18"/>
      <w:szCs w:val="18"/>
    </w:rPr>
  </w:style>
  <w:style w:type="paragraph" w:styleId="39">
    <w:name w:val="footer"/>
    <w:basedOn w:val="1"/>
    <w:link w:val="99"/>
    <w:qFormat/>
    <w:uiPriority w:val="99"/>
    <w:pPr>
      <w:tabs>
        <w:tab w:val="center" w:pos="4153"/>
        <w:tab w:val="right" w:pos="8306"/>
      </w:tabs>
      <w:snapToGrid w:val="0"/>
      <w:jc w:val="left"/>
    </w:pPr>
    <w:rPr>
      <w:sz w:val="18"/>
      <w:szCs w:val="18"/>
    </w:rPr>
  </w:style>
  <w:style w:type="paragraph" w:styleId="40">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5"/>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30"/>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5"/>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2"/>
    <w:qFormat/>
    <w:uiPriority w:val="0"/>
    <w:pPr>
      <w:widowControl/>
      <w:spacing w:afterLines="50"/>
    </w:pPr>
    <w:rPr>
      <w:b/>
      <w:bCs/>
      <w:kern w:val="0"/>
      <w:sz w:val="24"/>
      <w:szCs w:val="20"/>
    </w:rPr>
  </w:style>
  <w:style w:type="paragraph" w:styleId="61">
    <w:name w:val="Body Text First Indent"/>
    <w:basedOn w:val="23"/>
    <w:link w:val="233"/>
    <w:qFormat/>
    <w:uiPriority w:val="0"/>
    <w:pPr>
      <w:spacing w:after="120" w:line="240" w:lineRule="auto"/>
      <w:ind w:firstLine="420" w:firstLineChars="100"/>
    </w:pPr>
    <w:rPr>
      <w:rFonts w:eastAsia="宋体"/>
      <w:sz w:val="21"/>
    </w:rPr>
  </w:style>
  <w:style w:type="paragraph" w:styleId="62">
    <w:name w:val="Body Text First Indent 2"/>
    <w:basedOn w:val="24"/>
    <w:link w:val="234"/>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autoRedefine/>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footnote reference"/>
    <w:basedOn w:val="70"/>
    <w:semiHidden/>
    <w:unhideWhenUsed/>
    <w:qFormat/>
    <w:uiPriority w:val="0"/>
    <w:rPr>
      <w:vertAlign w:val="superscript"/>
    </w:rPr>
  </w:style>
  <w:style w:type="character" w:customStyle="1" w:styleId="81">
    <w:name w:val="标题 3 字符"/>
    <w:qFormat/>
    <w:uiPriority w:val="9"/>
    <w:rPr>
      <w:b/>
      <w:bCs/>
      <w:kern w:val="2"/>
      <w:sz w:val="32"/>
      <w:szCs w:val="32"/>
    </w:rPr>
  </w:style>
  <w:style w:type="character" w:customStyle="1" w:styleId="82">
    <w:name w:val="标题 2 字符"/>
    <w:autoRedefine/>
    <w:qFormat/>
    <w:uiPriority w:val="1"/>
    <w:rPr>
      <w:rFonts w:ascii="仿宋_GB2312" w:hAnsi="Times New Roman" w:eastAsia="仿宋_GB2312" w:cs="Times New Roman"/>
      <w:b/>
      <w:kern w:val="2"/>
      <w:sz w:val="24"/>
      <w:lang w:val="zh-CN"/>
    </w:rPr>
  </w:style>
  <w:style w:type="character" w:customStyle="1" w:styleId="83">
    <w:name w:val="标题 1 Char"/>
    <w:link w:val="2"/>
    <w:qFormat/>
    <w:uiPriority w:val="9"/>
    <w:rPr>
      <w:rFonts w:eastAsia="仿宋_GB2312"/>
      <w:b/>
      <w:kern w:val="44"/>
      <w:sz w:val="44"/>
      <w:lang w:val="en-US" w:eastAsia="zh-CN" w:bidi="ar-SA"/>
    </w:rPr>
  </w:style>
  <w:style w:type="character" w:customStyle="1" w:styleId="84">
    <w:name w:val="正文缩进 Char"/>
    <w:link w:val="5"/>
    <w:autoRedefine/>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3"/>
    <w:qFormat/>
    <w:uiPriority w:val="0"/>
    <w:rPr>
      <w:rFonts w:ascii="Arial" w:hAnsi="Arial" w:eastAsia="黑体"/>
      <w:b/>
      <w:kern w:val="2"/>
      <w:sz w:val="32"/>
      <w:lang w:val="en-US" w:eastAsia="zh-CN" w:bidi="ar-SA"/>
    </w:rPr>
  </w:style>
  <w:style w:type="character" w:customStyle="1" w:styleId="87">
    <w:name w:val="标题 3 Char"/>
    <w:link w:val="4"/>
    <w:qFormat/>
    <w:uiPriority w:val="0"/>
    <w:rPr>
      <w:rFonts w:eastAsia="仿宋_GB2312"/>
      <w:b/>
      <w:kern w:val="2"/>
      <w:sz w:val="32"/>
      <w:lang w:val="en-US" w:eastAsia="zh-CN" w:bidi="ar-SA"/>
    </w:rPr>
  </w:style>
  <w:style w:type="character" w:customStyle="1" w:styleId="88">
    <w:name w:val="标题 4 Char1"/>
    <w:link w:val="6"/>
    <w:qFormat/>
    <w:uiPriority w:val="9"/>
    <w:rPr>
      <w:rFonts w:ascii="Arial" w:hAnsi="Arial" w:eastAsia="黑体"/>
      <w:b/>
      <w:kern w:val="2"/>
      <w:sz w:val="28"/>
      <w:lang w:val="en-US" w:eastAsia="zh-CN" w:bidi="ar-SA"/>
    </w:rPr>
  </w:style>
  <w:style w:type="character" w:customStyle="1" w:styleId="89">
    <w:name w:val="标题 5 Char1"/>
    <w:link w:val="7"/>
    <w:autoRedefine/>
    <w:qFormat/>
    <w:uiPriority w:val="0"/>
    <w:rPr>
      <w:rFonts w:eastAsia="宋体"/>
      <w:sz w:val="24"/>
      <w:lang w:val="en-US" w:eastAsia="zh-CN" w:bidi="ar-SA"/>
    </w:rPr>
  </w:style>
  <w:style w:type="character" w:customStyle="1" w:styleId="90">
    <w:name w:val="标题 6 Char1"/>
    <w:link w:val="8"/>
    <w:qFormat/>
    <w:uiPriority w:val="0"/>
    <w:rPr>
      <w:rFonts w:ascii="宋体" w:hAnsi="Arial" w:eastAsia="宋体"/>
      <w:sz w:val="24"/>
      <w:lang w:val="en-US" w:eastAsia="zh-CN" w:bidi="ar-SA"/>
    </w:rPr>
  </w:style>
  <w:style w:type="character" w:customStyle="1" w:styleId="91">
    <w:name w:val="标题 7 Char1"/>
    <w:link w:val="9"/>
    <w:qFormat/>
    <w:uiPriority w:val="0"/>
    <w:rPr>
      <w:rFonts w:ascii="宋体" w:hAnsi="Arial" w:eastAsia="宋体"/>
      <w:b/>
      <w:sz w:val="24"/>
      <w:lang w:val="en-US" w:eastAsia="zh-CN" w:bidi="ar-SA"/>
    </w:rPr>
  </w:style>
  <w:style w:type="character" w:customStyle="1" w:styleId="92">
    <w:name w:val="标题 8 Char1"/>
    <w:link w:val="10"/>
    <w:autoRedefine/>
    <w:qFormat/>
    <w:uiPriority w:val="0"/>
    <w:rPr>
      <w:rFonts w:ascii="Arial" w:hAnsi="Arial" w:eastAsia="黑体"/>
      <w:sz w:val="24"/>
      <w:lang w:val="en-US" w:eastAsia="zh-CN" w:bidi="ar-SA"/>
    </w:rPr>
  </w:style>
  <w:style w:type="character" w:customStyle="1" w:styleId="93">
    <w:name w:val="标题 9 Char1"/>
    <w:link w:val="11"/>
    <w:qFormat/>
    <w:uiPriority w:val="0"/>
    <w:rPr>
      <w:rFonts w:ascii="Arial" w:hAnsi="Arial" w:eastAsia="黑体"/>
      <w:sz w:val="24"/>
      <w:lang w:val="en-US" w:eastAsia="zh-CN" w:bidi="ar-SA"/>
    </w:rPr>
  </w:style>
  <w:style w:type="character" w:customStyle="1" w:styleId="94">
    <w:name w:val="纯文本 Char"/>
    <w:link w:val="32"/>
    <w:qFormat/>
    <w:uiPriority w:val="0"/>
    <w:rPr>
      <w:rFonts w:ascii="宋体" w:hAnsi="Courier New" w:eastAsia="宋体"/>
      <w:kern w:val="2"/>
      <w:sz w:val="21"/>
      <w:lang w:val="en-US" w:eastAsia="zh-CN" w:bidi="ar-SA"/>
    </w:rPr>
  </w:style>
  <w:style w:type="paragraph" w:customStyle="1" w:styleId="95">
    <w:name w:val="表正文"/>
    <w:basedOn w:val="1"/>
    <w:next w:val="32"/>
    <w:qFormat/>
    <w:uiPriority w:val="0"/>
    <w:rPr>
      <w:rFonts w:ascii="宋体" w:hAnsi="Courier New"/>
      <w:szCs w:val="20"/>
    </w:rPr>
  </w:style>
  <w:style w:type="character" w:customStyle="1" w:styleId="96">
    <w:name w:val="正文文本缩进 Char"/>
    <w:link w:val="24"/>
    <w:qFormat/>
    <w:uiPriority w:val="0"/>
    <w:rPr>
      <w:rFonts w:eastAsia="宋体"/>
      <w:kern w:val="2"/>
      <w:sz w:val="21"/>
      <w:szCs w:val="24"/>
      <w:lang w:val="en-US" w:eastAsia="zh-CN" w:bidi="ar-SA"/>
    </w:rPr>
  </w:style>
  <w:style w:type="character" w:customStyle="1" w:styleId="97">
    <w:name w:val="日期 Char2"/>
    <w:link w:val="35"/>
    <w:qFormat/>
    <w:uiPriority w:val="0"/>
    <w:rPr>
      <w:rFonts w:ascii="楷体_GB2312" w:eastAsia="楷体_GB2312"/>
      <w:b/>
      <w:kern w:val="2"/>
      <w:sz w:val="28"/>
      <w:lang w:val="en-US" w:eastAsia="zh-CN" w:bidi="ar-SA"/>
    </w:rPr>
  </w:style>
  <w:style w:type="character" w:customStyle="1" w:styleId="98">
    <w:name w:val="页眉 Char1"/>
    <w:link w:val="40"/>
    <w:qFormat/>
    <w:uiPriority w:val="0"/>
    <w:rPr>
      <w:rFonts w:eastAsia="宋体"/>
      <w:kern w:val="2"/>
      <w:sz w:val="18"/>
      <w:szCs w:val="18"/>
      <w:lang w:val="en-US" w:eastAsia="zh-CN" w:bidi="ar-SA"/>
    </w:rPr>
  </w:style>
  <w:style w:type="character" w:customStyle="1" w:styleId="99">
    <w:name w:val="页脚 Char"/>
    <w:link w:val="39"/>
    <w:autoRedefine/>
    <w:qFormat/>
    <w:locked/>
    <w:uiPriority w:val="0"/>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19"/>
    <w:qFormat/>
    <w:uiPriority w:val="0"/>
    <w:rPr>
      <w:rFonts w:eastAsia="宋体"/>
      <w:kern w:val="2"/>
      <w:sz w:val="21"/>
      <w:szCs w:val="24"/>
      <w:lang w:val="en-US" w:eastAsia="zh-CN" w:bidi="ar-SA"/>
    </w:rPr>
  </w:style>
  <w:style w:type="character" w:customStyle="1" w:styleId="103">
    <w:name w:val="正文文本 2 Char1"/>
    <w:link w:val="55"/>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3"/>
    <w:autoRedefine/>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autoRedefine/>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Default"/>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Char"/>
    <w:link w:val="18"/>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autoRedefine/>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autoRedefine/>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18"/>
    <w:qFormat/>
    <w:uiPriority w:val="0"/>
    <w:rPr>
      <w:rFonts w:ascii="Tahoma" w:hAnsi="Tahoma"/>
      <w:sz w:val="24"/>
    </w:rPr>
  </w:style>
  <w:style w:type="paragraph" w:customStyle="1" w:styleId="170">
    <w:name w:val="Char Char Char"/>
    <w:basedOn w:val="18"/>
    <w:qFormat/>
    <w:uiPriority w:val="0"/>
    <w:rPr>
      <w:rFonts w:ascii="Tahoma" w:hAnsi="Tahoma"/>
      <w:sz w:val="24"/>
    </w:rPr>
  </w:style>
  <w:style w:type="paragraph" w:customStyle="1" w:styleId="171">
    <w:name w:val="正文缩进 New"/>
    <w:basedOn w:val="1"/>
    <w:autoRedefine/>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0"/>
    <w:qFormat/>
    <w:uiPriority w:val="0"/>
  </w:style>
  <w:style w:type="paragraph" w:customStyle="1" w:styleId="182">
    <w:name w:val="样式 正文缩进 + 首行缩进:  2 字符"/>
    <w:basedOn w:val="5"/>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0"/>
    <w:qFormat/>
    <w:uiPriority w:val="99"/>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autoRedefine/>
    <w:qFormat/>
    <w:uiPriority w:val="0"/>
    <w:rPr>
      <w:rFonts w:ascii="宋体" w:hAnsi="Arial" w:eastAsia="宋体"/>
      <w:sz w:val="24"/>
      <w:lang w:val="en-US" w:eastAsia="zh-CN" w:bidi="ar-SA"/>
    </w:rPr>
  </w:style>
  <w:style w:type="character" w:customStyle="1" w:styleId="191">
    <w:name w:val="标题 8 Char"/>
    <w:autoRedefine/>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autoRedefine/>
    <w:qFormat/>
    <w:uiPriority w:val="9"/>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autoRedefine/>
    <w:qFormat/>
    <w:uiPriority w:val="0"/>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autoRedefine/>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5"/>
    <w:qFormat/>
    <w:uiPriority w:val="2"/>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99"/>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autoRedefine/>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autoRedefine/>
    <w:qFormat/>
    <w:uiPriority w:val="0"/>
    <w:rPr>
      <w:rFonts w:ascii="Times New Roman" w:hAnsi="Times New Roman" w:eastAsia="宋体" w:cs="Times New Roman"/>
      <w:szCs w:val="24"/>
    </w:rPr>
  </w:style>
  <w:style w:type="character" w:customStyle="1" w:styleId="229">
    <w:name w:val="批注框文本 Char"/>
    <w:basedOn w:val="70"/>
    <w:link w:val="38"/>
    <w:autoRedefine/>
    <w:qFormat/>
    <w:uiPriority w:val="0"/>
    <w:rPr>
      <w:kern w:val="2"/>
      <w:sz w:val="18"/>
      <w:szCs w:val="18"/>
    </w:rPr>
  </w:style>
  <w:style w:type="character" w:customStyle="1" w:styleId="230">
    <w:name w:val="正文文本缩进 3 Char"/>
    <w:basedOn w:val="70"/>
    <w:link w:val="52"/>
    <w:autoRedefine/>
    <w:qFormat/>
    <w:uiPriority w:val="0"/>
    <w:rPr>
      <w:kern w:val="2"/>
      <w:sz w:val="16"/>
      <w:szCs w:val="16"/>
    </w:rPr>
  </w:style>
  <w:style w:type="character" w:customStyle="1" w:styleId="231">
    <w:name w:val="HTML 预设格式 Char"/>
    <w:basedOn w:val="70"/>
    <w:link w:val="57"/>
    <w:qFormat/>
    <w:uiPriority w:val="0"/>
    <w:rPr>
      <w:rFonts w:ascii="黑体" w:hAnsi="Courier New" w:eastAsia="黑体" w:cs="Courier New"/>
    </w:rPr>
  </w:style>
  <w:style w:type="character" w:customStyle="1" w:styleId="232">
    <w:name w:val="批注主题 Char"/>
    <w:basedOn w:val="199"/>
    <w:link w:val="60"/>
    <w:qFormat/>
    <w:uiPriority w:val="0"/>
    <w:rPr>
      <w:rFonts w:eastAsia="宋体"/>
      <w:b/>
      <w:bCs/>
      <w:kern w:val="2"/>
      <w:sz w:val="24"/>
      <w:szCs w:val="24"/>
      <w:lang w:val="en-US" w:eastAsia="zh-CN" w:bidi="ar-SA"/>
    </w:rPr>
  </w:style>
  <w:style w:type="character" w:customStyle="1" w:styleId="233">
    <w:name w:val="正文首行缩进 Char"/>
    <w:basedOn w:val="194"/>
    <w:link w:val="61"/>
    <w:qFormat/>
    <w:uiPriority w:val="0"/>
    <w:rPr>
      <w:rFonts w:eastAsia="仿宋_GB2312"/>
      <w:kern w:val="2"/>
      <w:sz w:val="21"/>
      <w:szCs w:val="24"/>
      <w:lang w:val="en-US" w:eastAsia="zh-CN" w:bidi="ar-SA"/>
    </w:rPr>
  </w:style>
  <w:style w:type="character" w:customStyle="1" w:styleId="234">
    <w:name w:val="正文首行缩进 2 Char"/>
    <w:basedOn w:val="96"/>
    <w:link w:val="62"/>
    <w:autoRedefine/>
    <w:qFormat/>
    <w:uiPriority w:val="0"/>
    <w:rPr>
      <w:rFonts w:eastAsia="宋体"/>
      <w:kern w:val="2"/>
      <w:sz w:val="21"/>
      <w:szCs w:val="24"/>
      <w:lang w:val="en-US" w:eastAsia="zh-CN" w:bidi="ar-SA"/>
    </w:rPr>
  </w:style>
  <w:style w:type="paragraph" w:customStyle="1" w:styleId="235">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autoRedefine/>
    <w:qFormat/>
    <w:uiPriority w:val="0"/>
    <w:rPr>
      <w:rFonts w:eastAsia="楷体_GB2312" w:cs="Lucida Sans"/>
      <w:kern w:val="2"/>
      <w:sz w:val="24"/>
      <w:szCs w:val="24"/>
    </w:rPr>
  </w:style>
  <w:style w:type="paragraph" w:customStyle="1" w:styleId="238">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autoRedefine/>
    <w:qFormat/>
    <w:uiPriority w:val="0"/>
    <w:rPr>
      <w:rFonts w:ascii="仿宋_GB2312" w:hAnsi="宋体" w:eastAsia="仿宋_GB2312"/>
      <w:sz w:val="31"/>
    </w:rPr>
  </w:style>
  <w:style w:type="paragraph" w:customStyle="1" w:styleId="244">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autoRedefine/>
    <w:qFormat/>
    <w:uiPriority w:val="0"/>
    <w:rPr>
      <w:bCs/>
      <w:kern w:val="44"/>
      <w:sz w:val="24"/>
      <w:szCs w:val="44"/>
    </w:rPr>
  </w:style>
  <w:style w:type="character" w:customStyle="1" w:styleId="284">
    <w:name w:val="Char Char1"/>
    <w:autoRedefine/>
    <w:qFormat/>
    <w:uiPriority w:val="0"/>
    <w:rPr>
      <w:rFonts w:ascii="宋体" w:hAnsi="Courier New" w:eastAsia="宋体"/>
      <w:kern w:val="2"/>
      <w:sz w:val="21"/>
      <w:lang w:val="en-US" w:eastAsia="zh-CN" w:bidi="ar-SA"/>
    </w:rPr>
  </w:style>
  <w:style w:type="paragraph" w:customStyle="1" w:styleId="285">
    <w:name w:val="列出段落2"/>
    <w:basedOn w:val="1"/>
    <w:qFormat/>
    <w:uiPriority w:val="0"/>
    <w:pPr>
      <w:spacing w:line="440" w:lineRule="exact"/>
      <w:ind w:firstLine="420" w:firstLineChars="200"/>
    </w:pPr>
    <w:rPr>
      <w:rFonts w:eastAsia="仿宋_GB2312"/>
      <w:sz w:val="24"/>
    </w:rPr>
  </w:style>
  <w:style w:type="paragraph" w:customStyle="1" w:styleId="286">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autoRedefine/>
    <w:qFormat/>
    <w:uiPriority w:val="0"/>
    <w:pPr>
      <w:ind w:firstLine="420" w:firstLineChars="200"/>
    </w:pPr>
    <w:rPr>
      <w:rFonts w:ascii="Calibri" w:hAnsi="Calibri"/>
      <w:szCs w:val="22"/>
    </w:rPr>
  </w:style>
  <w:style w:type="paragraph" w:customStyle="1" w:styleId="289">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0"/>
    <w:qFormat/>
    <w:uiPriority w:val="0"/>
    <w:rPr>
      <w:rFonts w:hint="eastAsia" w:ascii="宋体" w:hAnsi="宋体" w:eastAsia="宋体" w:cs="宋体"/>
      <w:color w:val="000000"/>
      <w:sz w:val="22"/>
      <w:szCs w:val="22"/>
      <w:u w:val="none"/>
    </w:rPr>
  </w:style>
  <w:style w:type="character" w:customStyle="1" w:styleId="297">
    <w:name w:val="font11"/>
    <w:basedOn w:val="70"/>
    <w:qFormat/>
    <w:uiPriority w:val="0"/>
    <w:rPr>
      <w:rFonts w:hint="eastAsia" w:ascii="宋体" w:hAnsi="宋体" w:eastAsia="宋体" w:cs="宋体"/>
      <w:color w:val="FF0000"/>
      <w:sz w:val="22"/>
      <w:szCs w:val="22"/>
      <w:u w:val="none"/>
    </w:rPr>
  </w:style>
  <w:style w:type="character" w:customStyle="1" w:styleId="298">
    <w:name w:val="font41"/>
    <w:basedOn w:val="70"/>
    <w:qFormat/>
    <w:uiPriority w:val="0"/>
    <w:rPr>
      <w:rFonts w:hint="default" w:ascii="等线" w:hAnsi="等线" w:eastAsia="等线" w:cs="等线"/>
      <w:color w:val="FF0000"/>
      <w:sz w:val="22"/>
      <w:szCs w:val="22"/>
      <w:u w:val="none"/>
    </w:rPr>
  </w:style>
  <w:style w:type="character" w:customStyle="1" w:styleId="299">
    <w:name w:val="font21"/>
    <w:basedOn w:val="70"/>
    <w:autoRedefine/>
    <w:qFormat/>
    <w:uiPriority w:val="0"/>
    <w:rPr>
      <w:rFonts w:hint="default" w:ascii="等线" w:hAnsi="等线" w:eastAsia="等线" w:cs="等线"/>
      <w:color w:val="000000"/>
      <w:sz w:val="22"/>
      <w:szCs w:val="22"/>
      <w:u w:val="none"/>
    </w:rPr>
  </w:style>
  <w:style w:type="character" w:customStyle="1" w:styleId="300">
    <w:name w:val="font51"/>
    <w:basedOn w:val="70"/>
    <w:qFormat/>
    <w:uiPriority w:val="0"/>
    <w:rPr>
      <w:rFonts w:hint="default" w:ascii="等线" w:hAnsi="等线" w:eastAsia="等线" w:cs="等线"/>
      <w:color w:val="FF0000"/>
      <w:sz w:val="22"/>
      <w:szCs w:val="22"/>
      <w:u w:val="none"/>
    </w:rPr>
  </w:style>
  <w:style w:type="character" w:customStyle="1" w:styleId="301">
    <w:name w:val="font61"/>
    <w:basedOn w:val="70"/>
    <w:autoRedefine/>
    <w:qFormat/>
    <w:uiPriority w:val="0"/>
    <w:rPr>
      <w:rFonts w:hint="default" w:ascii="等线" w:hAnsi="等线" w:eastAsia="等线" w:cs="等线"/>
      <w:color w:val="000000"/>
      <w:sz w:val="22"/>
      <w:szCs w:val="22"/>
      <w:u w:val="none"/>
    </w:rPr>
  </w:style>
  <w:style w:type="paragraph" w:customStyle="1" w:styleId="302">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0"/>
    <w:autoRedefine/>
    <w:unhideWhenUsed/>
    <w:qFormat/>
    <w:uiPriority w:val="0"/>
    <w:rPr>
      <w:color w:val="605E5C"/>
      <w:shd w:val="clear" w:color="auto" w:fill="E1DFDD"/>
    </w:rPr>
  </w:style>
  <w:style w:type="paragraph" w:customStyle="1" w:styleId="308">
    <w:name w:val="p15"/>
    <w:basedOn w:val="1"/>
    <w:autoRedefine/>
    <w:qFormat/>
    <w:uiPriority w:val="0"/>
    <w:pPr>
      <w:widowControl/>
      <w:adjustRightInd w:val="0"/>
    </w:pPr>
    <w:rPr>
      <w:rFonts w:ascii="宋体" w:hAnsi="宋体" w:cs="宋体"/>
      <w:kern w:val="0"/>
      <w:sz w:val="20"/>
      <w:szCs w:val="20"/>
    </w:rPr>
  </w:style>
  <w:style w:type="character" w:customStyle="1" w:styleId="309">
    <w:name w:val="bookmark-item"/>
    <w:basedOn w:val="70"/>
    <w:autoRedefine/>
    <w:qFormat/>
    <w:uiPriority w:val="0"/>
  </w:style>
  <w:style w:type="paragraph" w:customStyle="1" w:styleId="310">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Char"/>
    <w:link w:val="16"/>
    <w:autoRedefine/>
    <w:qFormat/>
    <w:uiPriority w:val="0"/>
    <w:rPr>
      <w:rFonts w:ascii="Calibri" w:hAnsi="Calibri"/>
      <w:kern w:val="2"/>
    </w:rPr>
  </w:style>
  <w:style w:type="paragraph" w:customStyle="1" w:styleId="312">
    <w:name w:val="索引 11"/>
    <w:basedOn w:val="1"/>
    <w:next w:val="1"/>
    <w:autoRedefine/>
    <w:qFormat/>
    <w:uiPriority w:val="99"/>
    <w:pPr>
      <w:spacing w:line="360" w:lineRule="auto"/>
    </w:pPr>
    <w:rPr>
      <w:rFonts w:ascii="仿宋_GB2312" w:eastAsia="仿宋_GB2312"/>
      <w:sz w:val="24"/>
      <w:szCs w:val="20"/>
    </w:rPr>
  </w:style>
  <w:style w:type="paragraph" w:customStyle="1" w:styleId="313">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autoRedefine/>
    <w:qFormat/>
    <w:locked/>
    <w:uiPriority w:val="99"/>
    <w:rPr>
      <w:kern w:val="2"/>
      <w:sz w:val="18"/>
      <w:szCs w:val="18"/>
    </w:rPr>
  </w:style>
  <w:style w:type="character" w:customStyle="1" w:styleId="316">
    <w:name w:val="页眉 Char2"/>
    <w:autoRedefine/>
    <w:qFormat/>
    <w:uiPriority w:val="99"/>
    <w:rPr>
      <w:kern w:val="2"/>
      <w:sz w:val="18"/>
      <w:szCs w:val="18"/>
    </w:rPr>
  </w:style>
  <w:style w:type="character" w:customStyle="1" w:styleId="317">
    <w:name w:val="Default Char"/>
    <w:link w:val="143"/>
    <w:autoRedefine/>
    <w:qFormat/>
    <w:uiPriority w:val="0"/>
    <w:rPr>
      <w:color w:val="000000"/>
      <w:sz w:val="24"/>
      <w:szCs w:val="24"/>
    </w:rPr>
  </w:style>
  <w:style w:type="paragraph" w:customStyle="1" w:styleId="31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Char"/>
    <w:basedOn w:val="70"/>
    <w:link w:val="20"/>
    <w:autoRedefine/>
    <w:qFormat/>
    <w:uiPriority w:val="0"/>
    <w:rPr>
      <w:rFonts w:ascii="仿宋_GB2312" w:eastAsia="仿宋_GB2312"/>
      <w:kern w:val="2"/>
      <w:sz w:val="28"/>
    </w:rPr>
  </w:style>
  <w:style w:type="character" w:customStyle="1" w:styleId="320">
    <w:name w:val="正文文本 3 Char"/>
    <w:basedOn w:val="70"/>
    <w:link w:val="21"/>
    <w:autoRedefine/>
    <w:qFormat/>
    <w:uiPriority w:val="0"/>
    <w:rPr>
      <w:kern w:val="2"/>
      <w:sz w:val="21"/>
    </w:rPr>
  </w:style>
  <w:style w:type="character" w:customStyle="1" w:styleId="321">
    <w:name w:val="HTML 地址 Char"/>
    <w:basedOn w:val="70"/>
    <w:link w:val="29"/>
    <w:autoRedefine/>
    <w:qFormat/>
    <w:uiPriority w:val="0"/>
    <w:rPr>
      <w:rFonts w:ascii="宋体" w:hAnsi="宋体"/>
      <w:i/>
      <w:iCs/>
      <w:sz w:val="24"/>
      <w:szCs w:val="24"/>
    </w:rPr>
  </w:style>
  <w:style w:type="character" w:customStyle="1" w:styleId="322">
    <w:name w:val="尾注文本 Char"/>
    <w:basedOn w:val="70"/>
    <w:link w:val="37"/>
    <w:qFormat/>
    <w:uiPriority w:val="0"/>
    <w:rPr>
      <w:kern w:val="2"/>
      <w:sz w:val="21"/>
      <w:szCs w:val="24"/>
      <w:lang w:val="zh-CN"/>
    </w:rPr>
  </w:style>
  <w:style w:type="character" w:customStyle="1" w:styleId="323">
    <w:name w:val="签名 Char"/>
    <w:basedOn w:val="70"/>
    <w:link w:val="41"/>
    <w:autoRedefine/>
    <w:qFormat/>
    <w:uiPriority w:val="0"/>
    <w:rPr>
      <w:rFonts w:eastAsia="仿宋_GB2312"/>
      <w:sz w:val="24"/>
    </w:rPr>
  </w:style>
  <w:style w:type="character" w:customStyle="1" w:styleId="324">
    <w:name w:val="副标题 Char"/>
    <w:basedOn w:val="70"/>
    <w:link w:val="46"/>
    <w:qFormat/>
    <w:uiPriority w:val="0"/>
    <w:rPr>
      <w:rFonts w:ascii="Arial" w:hAnsi="Arial" w:eastAsia="隶书"/>
      <w:b/>
      <w:bCs/>
      <w:kern w:val="28"/>
      <w:sz w:val="44"/>
      <w:szCs w:val="32"/>
    </w:rPr>
  </w:style>
  <w:style w:type="character" w:customStyle="1" w:styleId="325">
    <w:name w:val="脚注文本 Char"/>
    <w:basedOn w:val="70"/>
    <w:link w:val="49"/>
    <w:autoRedefine/>
    <w:qFormat/>
    <w:uiPriority w:val="0"/>
    <w:rPr>
      <w:rFonts w:ascii="Calibri"/>
      <w:color w:val="0000FF"/>
      <w:sz w:val="21"/>
    </w:rPr>
  </w:style>
  <w:style w:type="character" w:customStyle="1" w:styleId="326">
    <w:name w:val="表格非标题文字 Char"/>
    <w:link w:val="327"/>
    <w:autoRedefine/>
    <w:qFormat/>
    <w:uiPriority w:val="0"/>
    <w:rPr>
      <w:rFonts w:ascii="Futura Bk" w:hAnsi="Futura Bk"/>
      <w:kern w:val="2"/>
      <w:sz w:val="18"/>
      <w:szCs w:val="21"/>
    </w:rPr>
  </w:style>
  <w:style w:type="paragraph" w:customStyle="1" w:styleId="327">
    <w:name w:val="表格非标题文字"/>
    <w:link w:val="32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autoRedefine/>
    <w:qFormat/>
    <w:uiPriority w:val="0"/>
    <w:rPr>
      <w:rFonts w:ascii="宋体" w:hAnsi="宋体"/>
      <w:sz w:val="24"/>
    </w:rPr>
  </w:style>
  <w:style w:type="paragraph" w:customStyle="1" w:styleId="329">
    <w:name w:val="*正文"/>
    <w:basedOn w:val="1"/>
    <w:link w:val="328"/>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autoRedefine/>
    <w:qFormat/>
    <w:uiPriority w:val="0"/>
    <w:rPr>
      <w:rFonts w:eastAsia="宋体"/>
      <w:kern w:val="2"/>
      <w:sz w:val="21"/>
      <w:szCs w:val="24"/>
      <w:lang w:val="en-US" w:eastAsia="zh-CN" w:bidi="ar-SA"/>
    </w:rPr>
  </w:style>
  <w:style w:type="character" w:customStyle="1" w:styleId="331">
    <w:name w:val="Char Char6"/>
    <w:autoRedefine/>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6">
    <w:name w:val="U_正文 Char"/>
    <w:link w:val="337"/>
    <w:autoRedefine/>
    <w:qFormat/>
    <w:uiPriority w:val="0"/>
    <w:rPr>
      <w:sz w:val="24"/>
      <w:szCs w:val="24"/>
    </w:rPr>
  </w:style>
  <w:style w:type="paragraph" w:customStyle="1" w:styleId="337">
    <w:name w:val="U_正文"/>
    <w:basedOn w:val="1"/>
    <w:link w:val="336"/>
    <w:autoRedefine/>
    <w:qFormat/>
    <w:uiPriority w:val="0"/>
    <w:pPr>
      <w:spacing w:beforeLines="20" w:afterLines="20" w:line="300" w:lineRule="auto"/>
      <w:ind w:firstLine="200" w:firstLineChars="200"/>
    </w:pPr>
    <w:rPr>
      <w:kern w:val="0"/>
      <w:sz w:val="24"/>
    </w:rPr>
  </w:style>
  <w:style w:type="character" w:customStyle="1" w:styleId="338">
    <w:name w:val="HTML 地址 Char1"/>
    <w:autoRedefine/>
    <w:qFormat/>
    <w:uiPriority w:val="0"/>
    <w:rPr>
      <w:rFonts w:ascii="Times New Roman" w:hAnsi="Times New Roman" w:eastAsia="宋体" w:cs="Times New Roman"/>
      <w:i/>
      <w:iCs/>
      <w:szCs w:val="24"/>
    </w:rPr>
  </w:style>
  <w:style w:type="character" w:customStyle="1" w:styleId="339">
    <w:name w:val="批注主题 Char1"/>
    <w:autoRedefine/>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autoRedefine/>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autoRedefine/>
    <w:qFormat/>
    <w:uiPriority w:val="0"/>
    <w:rPr>
      <w:rFonts w:ascii="仿宋_GB2312" w:eastAsia="微软雅黑"/>
      <w:b/>
      <w:kern w:val="2"/>
      <w:sz w:val="32"/>
      <w:szCs w:val="32"/>
      <w:lang w:val="en-US" w:eastAsia="zh-CN" w:bidi="ar-SA"/>
    </w:rPr>
  </w:style>
  <w:style w:type="character" w:customStyle="1" w:styleId="34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autoRedefine/>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autoRedefine/>
    <w:qFormat/>
    <w:uiPriority w:val="0"/>
    <w:rPr>
      <w:rFonts w:eastAsia="宋体"/>
      <w:kern w:val="2"/>
      <w:sz w:val="18"/>
      <w:lang w:val="en-US" w:eastAsia="zh-CN" w:bidi="ar-SA"/>
    </w:rPr>
  </w:style>
  <w:style w:type="character" w:customStyle="1" w:styleId="351">
    <w:name w:val="普通文字 Char Char1"/>
    <w:autoRedefine/>
    <w:qFormat/>
    <w:uiPriority w:val="0"/>
    <w:rPr>
      <w:rFonts w:ascii="宋体" w:hAnsi="Courier New"/>
      <w:kern w:val="2"/>
      <w:sz w:val="21"/>
    </w:rPr>
  </w:style>
  <w:style w:type="character" w:customStyle="1" w:styleId="352">
    <w:name w:val="Char Char101"/>
    <w:autoRedefine/>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样式6 Char"/>
    <w:autoRedefine/>
    <w:qFormat/>
    <w:uiPriority w:val="0"/>
    <w:rPr>
      <w:rFonts w:ascii="仿宋_GB2312" w:hAnsi="宋体" w:eastAsia="仿宋_GB2312"/>
      <w:b/>
      <w:bCs/>
      <w:kern w:val="2"/>
      <w:sz w:val="24"/>
      <w:szCs w:val="24"/>
      <w:lang w:val="en-US" w:eastAsia="zh-CN" w:bidi="ar-SA"/>
    </w:rPr>
  </w:style>
  <w:style w:type="character" w:customStyle="1" w:styleId="358">
    <w:name w:val="Char Char14"/>
    <w:autoRedefine/>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0"/>
    <w:autoRedefine/>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autoRedefine/>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autoRedefine/>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autoRedefine/>
    <w:qFormat/>
    <w:uiPriority w:val="0"/>
    <w:rPr>
      <w:rFonts w:ascii="宋体" w:hAnsi="Courier New" w:eastAsia="宋体"/>
      <w:kern w:val="2"/>
      <w:sz w:val="21"/>
      <w:szCs w:val="24"/>
      <w:lang w:val="en-US" w:eastAsia="zh-CN" w:bidi="ar-SA"/>
    </w:rPr>
  </w:style>
  <w:style w:type="character" w:customStyle="1" w:styleId="368">
    <w:name w:val="h3 Char1"/>
    <w:autoRedefine/>
    <w:qFormat/>
    <w:uiPriority w:val="0"/>
    <w:rPr>
      <w:rFonts w:eastAsia="宋体"/>
      <w:b/>
      <w:bCs/>
      <w:kern w:val="2"/>
      <w:sz w:val="32"/>
      <w:szCs w:val="32"/>
      <w:lang w:bidi="ar-SA"/>
    </w:rPr>
  </w:style>
  <w:style w:type="character" w:customStyle="1" w:styleId="369">
    <w:name w:val="标题 Char1"/>
    <w:autoRedefine/>
    <w:qFormat/>
    <w:uiPriority w:val="0"/>
    <w:rPr>
      <w:rFonts w:ascii="Cambria" w:hAnsi="Cambria" w:eastAsia="宋体" w:cs="Times New Roman"/>
      <w:b/>
      <w:bCs/>
      <w:sz w:val="32"/>
      <w:szCs w:val="32"/>
      <w:lang w:bidi="ar-SA"/>
    </w:rPr>
  </w:style>
  <w:style w:type="character" w:customStyle="1" w:styleId="370">
    <w:name w:val="gf正文1 Char"/>
    <w:autoRedefine/>
    <w:qFormat/>
    <w:uiPriority w:val="0"/>
    <w:rPr>
      <w:rFonts w:ascii="宋体" w:hAnsi="宋体" w:eastAsia="宋体" w:cs="宋体"/>
      <w:kern w:val="2"/>
      <w:sz w:val="24"/>
      <w:szCs w:val="24"/>
      <w:lang w:val="en-US" w:eastAsia="zh-CN" w:bidi="ar-SA"/>
    </w:rPr>
  </w:style>
  <w:style w:type="character" w:customStyle="1" w:styleId="371">
    <w:name w:val="正文文本缩进 Char1"/>
    <w:autoRedefine/>
    <w:qFormat/>
    <w:uiPriority w:val="0"/>
    <w:rPr>
      <w:rFonts w:ascii="Calibri" w:hAnsi="Calibri"/>
      <w:sz w:val="28"/>
    </w:rPr>
  </w:style>
  <w:style w:type="character" w:customStyle="1" w:styleId="372">
    <w:name w:val="No Spacing Char"/>
    <w:link w:val="373"/>
    <w:autoRedefine/>
    <w:qFormat/>
    <w:uiPriority w:val="1"/>
    <w:rPr>
      <w:sz w:val="22"/>
      <w:szCs w:val="22"/>
    </w:rPr>
  </w:style>
  <w:style w:type="paragraph" w:customStyle="1" w:styleId="373">
    <w:name w:val="无间隔1"/>
    <w:link w:val="372"/>
    <w:autoRedefine/>
    <w:qFormat/>
    <w:uiPriority w:val="1"/>
    <w:rPr>
      <w:rFonts w:ascii="Times New Roman" w:hAnsi="Times New Roman" w:eastAsia="宋体" w:cs="Times New Roman"/>
      <w:sz w:val="22"/>
      <w:szCs w:val="22"/>
      <w:lang w:val="en-US" w:eastAsia="zh-CN" w:bidi="ar-SA"/>
    </w:rPr>
  </w:style>
  <w:style w:type="character" w:customStyle="1" w:styleId="374">
    <w:name w:val="样式7 Char"/>
    <w:autoRedefine/>
    <w:qFormat/>
    <w:uiPriority w:val="0"/>
    <w:rPr>
      <w:rFonts w:ascii="仿宋_GB2312" w:hAnsi="仿宋" w:eastAsia="仿宋_GB2312"/>
      <w:b/>
      <w:kern w:val="2"/>
      <w:sz w:val="24"/>
      <w:szCs w:val="24"/>
    </w:rPr>
  </w:style>
  <w:style w:type="character" w:customStyle="1" w:styleId="375">
    <w:name w:val="font12gray1"/>
    <w:autoRedefine/>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autoRedefine/>
    <w:qFormat/>
    <w:uiPriority w:val="0"/>
    <w:rPr>
      <w:rFonts w:ascii="宋体" w:hAnsi="Courier New"/>
      <w:kern w:val="2"/>
      <w:sz w:val="21"/>
      <w:szCs w:val="21"/>
    </w:rPr>
  </w:style>
  <w:style w:type="paragraph" w:customStyle="1" w:styleId="379">
    <w:name w:val="纯文本_0_0"/>
    <w:basedOn w:val="380"/>
    <w:link w:val="378"/>
    <w:autoRedefine/>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autoRedefine/>
    <w:qFormat/>
    <w:uiPriority w:val="0"/>
    <w:rPr>
      <w:rFonts w:eastAsia="宋体"/>
      <w:kern w:val="2"/>
      <w:sz w:val="18"/>
      <w:szCs w:val="18"/>
      <w:lang w:val="en-US" w:eastAsia="zh-CN" w:bidi="ar-SA"/>
    </w:rPr>
  </w:style>
  <w:style w:type="character" w:customStyle="1" w:styleId="382">
    <w:name w:val="正文 项目2 Char"/>
    <w:basedOn w:val="383"/>
    <w:autoRedefine/>
    <w:qFormat/>
    <w:uiPriority w:val="0"/>
    <w:rPr>
      <w:rFonts w:ascii="仿宋_GB2312" w:hAnsi="仿宋_GB2312" w:eastAsia="仿宋_GB2312"/>
      <w:kern w:val="2"/>
      <w:sz w:val="24"/>
      <w:lang w:bidi="ar-SA"/>
    </w:rPr>
  </w:style>
  <w:style w:type="character" w:customStyle="1" w:styleId="383">
    <w:name w:val="正文 项目 Char"/>
    <w:autoRedefine/>
    <w:qFormat/>
    <w:uiPriority w:val="0"/>
    <w:rPr>
      <w:rFonts w:ascii="仿宋_GB2312" w:hAnsi="仿宋_GB2312" w:eastAsia="仿宋_GB2312"/>
      <w:kern w:val="2"/>
      <w:sz w:val="24"/>
      <w:lang w:bidi="ar-SA"/>
    </w:rPr>
  </w:style>
  <w:style w:type="character" w:customStyle="1" w:styleId="384">
    <w:name w:val="h Char Char1"/>
    <w:autoRedefine/>
    <w:qFormat/>
    <w:uiPriority w:val="0"/>
    <w:rPr>
      <w:rFonts w:eastAsia="宋体"/>
      <w:kern w:val="2"/>
      <w:sz w:val="18"/>
      <w:szCs w:val="18"/>
      <w:lang w:val="en-US" w:eastAsia="zh-CN" w:bidi="ar-SA"/>
    </w:rPr>
  </w:style>
  <w:style w:type="character" w:customStyle="1" w:styleId="385">
    <w:name w:val="px14"/>
    <w:autoRedefine/>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autoRedefine/>
    <w:qFormat/>
    <w:uiPriority w:val="0"/>
    <w:rPr>
      <w:rFonts w:hint="default" w:ascii="Arial" w:hAnsi="Arial" w:cs="Arial"/>
      <w:b/>
      <w:bCs/>
      <w:color w:val="000000"/>
      <w:sz w:val="24"/>
      <w:szCs w:val="24"/>
    </w:rPr>
  </w:style>
  <w:style w:type="character" w:customStyle="1" w:styleId="389">
    <w:name w:val="正文（绿盟科技） Char"/>
    <w:link w:val="390"/>
    <w:autoRedefine/>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autoRedefine/>
    <w:qFormat/>
    <w:uiPriority w:val="6"/>
    <w:rPr>
      <w:rFonts w:ascii="宋体" w:hAnsi="宋体"/>
      <w:i/>
      <w:sz w:val="24"/>
      <w:szCs w:val="24"/>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autoRedefine/>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autoRedefine/>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autoRedefine/>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0">
    <w:name w:val="Char Char37"/>
    <w:autoRedefine/>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autoRedefine/>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5"/>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3"/>
    <w:next w:val="143"/>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3"/>
    <w:next w:val="143"/>
    <w:autoRedefine/>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5"/>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4"/>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4"/>
    <w:qFormat/>
    <w:uiPriority w:val="0"/>
    <w:pPr>
      <w:tabs>
        <w:tab w:val="left" w:pos="1260"/>
        <w:tab w:val="left" w:pos="1680"/>
        <w:tab w:val="left" w:pos="2100"/>
      </w:tabs>
      <w:ind w:left="0"/>
      <w:outlineLvl w:val="3"/>
    </w:pPr>
  </w:style>
  <w:style w:type="paragraph" w:customStyle="1" w:styleId="786">
    <w:name w:val="一级条标题"/>
    <w:basedOn w:val="787"/>
    <w:next w:val="164"/>
    <w:qFormat/>
    <w:uiPriority w:val="0"/>
    <w:pPr>
      <w:tabs>
        <w:tab w:val="left" w:pos="1260"/>
        <w:tab w:val="left" w:pos="1680"/>
      </w:tabs>
      <w:ind w:left="1680"/>
      <w:outlineLvl w:val="2"/>
    </w:pPr>
  </w:style>
  <w:style w:type="paragraph" w:customStyle="1" w:styleId="787">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59"/>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4"/>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4"/>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0"/>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45012</Words>
  <Characters>13038</Characters>
  <Lines>108</Lines>
  <Paragraphs>115</Paragraphs>
  <TotalTime>6</TotalTime>
  <ScaleCrop>false</ScaleCrop>
  <LinksUpToDate>false</LinksUpToDate>
  <CharactersWithSpaces>57935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想想...</cp:lastModifiedBy>
  <cp:lastPrinted>2024-01-18T16:18:00Z</cp:lastPrinted>
  <dcterms:modified xsi:type="dcterms:W3CDTF">2024-04-16T09:54:55Z</dcterms:modified>
  <dc:title>绍兴文理学院计算机机房设备及录播系统供货项目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