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000000" w:themeColor="text1"/>
          <w:spacing w:val="-12"/>
          <w:sz w:val="48"/>
          <w:szCs w:val="48"/>
          <w14:textFill>
            <w14:solidFill>
              <w14:schemeClr w14:val="tx1"/>
            </w14:solidFill>
          </w14:textFill>
        </w:rPr>
      </w:pPr>
    </w:p>
    <w:p>
      <w:pPr>
        <w:jc w:val="center"/>
        <w:outlineLvl w:val="0"/>
        <w:rPr>
          <w:color w:val="000000" w:themeColor="text1"/>
          <w14:textFill>
            <w14:solidFill>
              <w14:schemeClr w14:val="tx1"/>
            </w14:solidFill>
          </w14:textFill>
        </w:rPr>
      </w:pPr>
      <w:r>
        <w:rPr>
          <w:rFonts w:hint="eastAsia" w:ascii="仿宋_GB2312" w:hAnsi="仿宋_GB2312" w:eastAsia="仿宋_GB2312" w:cs="仿宋_GB2312"/>
          <w:b/>
          <w:color w:val="000000" w:themeColor="text1"/>
          <w:spacing w:val="-12"/>
          <w:sz w:val="48"/>
          <w:szCs w:val="48"/>
          <w:lang w:eastAsia="zh-CN"/>
          <w14:textFill>
            <w14:solidFill>
              <w14:schemeClr w14:val="tx1"/>
            </w14:solidFill>
          </w14:textFill>
        </w:rPr>
        <w:t>绍兴市1：2000数字线划图（DLG）生产制作更新项目</w:t>
      </w:r>
    </w:p>
    <w:p>
      <w:pPr>
        <w:outlineLvl w:val="0"/>
        <w:rPr>
          <w:rFonts w:ascii="仿宋_GB2312" w:hAnsi="仿宋_GB2312" w:eastAsia="仿宋_GB2312" w:cs="仿宋_GB2312"/>
          <w:b/>
          <w:color w:val="000000" w:themeColor="text1"/>
          <w:sz w:val="72"/>
          <w:szCs w:val="72"/>
          <w14:textFill>
            <w14:solidFill>
              <w14:schemeClr w14:val="tx1"/>
            </w14:solidFill>
          </w14:textFill>
        </w:rPr>
      </w:pPr>
    </w:p>
    <w:p>
      <w:pPr>
        <w:jc w:val="center"/>
        <w:outlineLvl w:val="0"/>
        <w:rPr>
          <w:rFonts w:ascii="仿宋_GB2312" w:hAnsi="仿宋_GB2312" w:eastAsia="仿宋_GB2312" w:cs="仿宋_GB2312"/>
          <w:b/>
          <w:color w:val="000000" w:themeColor="text1"/>
          <w:sz w:val="72"/>
          <w:szCs w:val="72"/>
          <w14:textFill>
            <w14:solidFill>
              <w14:schemeClr w14:val="tx1"/>
            </w14:solidFill>
          </w14:textFill>
        </w:rPr>
      </w:pPr>
      <w:r>
        <w:rPr>
          <w:rFonts w:hint="eastAsia" w:ascii="仿宋_GB2312" w:hAnsi="仿宋_GB2312" w:eastAsia="仿宋_GB2312" w:cs="仿宋_GB2312"/>
          <w:b/>
          <w:color w:val="000000" w:themeColor="text1"/>
          <w:sz w:val="72"/>
          <w:szCs w:val="72"/>
          <w14:textFill>
            <w14:solidFill>
              <w14:schemeClr w14:val="tx1"/>
            </w14:solidFill>
          </w14:textFill>
        </w:rPr>
        <w:t>公</w:t>
      </w:r>
    </w:p>
    <w:p>
      <w:pPr>
        <w:jc w:val="center"/>
        <w:outlineLvl w:val="0"/>
        <w:rPr>
          <w:rFonts w:ascii="仿宋_GB2312" w:hAnsi="仿宋_GB2312" w:eastAsia="仿宋_GB2312" w:cs="仿宋_GB2312"/>
          <w:b/>
          <w:color w:val="000000" w:themeColor="text1"/>
          <w:sz w:val="72"/>
          <w:szCs w:val="72"/>
          <w14:textFill>
            <w14:solidFill>
              <w14:schemeClr w14:val="tx1"/>
            </w14:solidFill>
          </w14:textFill>
        </w:rPr>
      </w:pPr>
      <w:r>
        <w:rPr>
          <w:rFonts w:hint="eastAsia" w:ascii="仿宋_GB2312" w:hAnsi="仿宋_GB2312" w:eastAsia="仿宋_GB2312" w:cs="仿宋_GB2312"/>
          <w:b/>
          <w:color w:val="000000" w:themeColor="text1"/>
          <w:sz w:val="72"/>
          <w:szCs w:val="72"/>
          <w14:textFill>
            <w14:solidFill>
              <w14:schemeClr w14:val="tx1"/>
            </w14:solidFill>
          </w14:textFill>
        </w:rPr>
        <w:t>开</w:t>
      </w:r>
    </w:p>
    <w:p>
      <w:pPr>
        <w:jc w:val="center"/>
        <w:outlineLvl w:val="0"/>
        <w:rPr>
          <w:rFonts w:ascii="仿宋_GB2312" w:hAnsi="仿宋_GB2312" w:eastAsia="仿宋_GB2312" w:cs="仿宋_GB2312"/>
          <w:b/>
          <w:color w:val="000000" w:themeColor="text1"/>
          <w:sz w:val="72"/>
          <w:szCs w:val="72"/>
          <w14:textFill>
            <w14:solidFill>
              <w14:schemeClr w14:val="tx1"/>
            </w14:solidFill>
          </w14:textFill>
        </w:rPr>
      </w:pPr>
      <w:r>
        <w:rPr>
          <w:rFonts w:hint="eastAsia" w:ascii="仿宋_GB2312" w:hAnsi="仿宋_GB2312" w:eastAsia="仿宋_GB2312" w:cs="仿宋_GB2312"/>
          <w:b/>
          <w:color w:val="000000" w:themeColor="text1"/>
          <w:sz w:val="72"/>
          <w:szCs w:val="72"/>
          <w14:textFill>
            <w14:solidFill>
              <w14:schemeClr w14:val="tx1"/>
            </w14:solidFill>
          </w14:textFill>
        </w:rPr>
        <w:t>招</w:t>
      </w:r>
    </w:p>
    <w:p>
      <w:pPr>
        <w:jc w:val="center"/>
        <w:outlineLvl w:val="0"/>
        <w:rPr>
          <w:rFonts w:ascii="仿宋_GB2312" w:hAnsi="仿宋_GB2312" w:eastAsia="仿宋_GB2312" w:cs="仿宋_GB2312"/>
          <w:b/>
          <w:color w:val="000000" w:themeColor="text1"/>
          <w:sz w:val="72"/>
          <w:szCs w:val="72"/>
          <w14:textFill>
            <w14:solidFill>
              <w14:schemeClr w14:val="tx1"/>
            </w14:solidFill>
          </w14:textFill>
        </w:rPr>
      </w:pPr>
      <w:r>
        <w:rPr>
          <w:rFonts w:hint="eastAsia" w:ascii="仿宋_GB2312" w:hAnsi="仿宋_GB2312" w:eastAsia="仿宋_GB2312" w:cs="仿宋_GB2312"/>
          <w:b/>
          <w:color w:val="000000" w:themeColor="text1"/>
          <w:sz w:val="72"/>
          <w:szCs w:val="72"/>
          <w14:textFill>
            <w14:solidFill>
              <w14:schemeClr w14:val="tx1"/>
            </w14:solidFill>
          </w14:textFill>
        </w:rPr>
        <w:t>标</w:t>
      </w:r>
    </w:p>
    <w:p>
      <w:pPr>
        <w:jc w:val="center"/>
        <w:outlineLvl w:val="0"/>
        <w:rPr>
          <w:rFonts w:ascii="仿宋_GB2312" w:hAnsi="仿宋_GB2312" w:eastAsia="仿宋_GB2312" w:cs="仿宋_GB2312"/>
          <w:b/>
          <w:color w:val="000000" w:themeColor="text1"/>
          <w:sz w:val="72"/>
          <w:szCs w:val="72"/>
          <w14:textFill>
            <w14:solidFill>
              <w14:schemeClr w14:val="tx1"/>
            </w14:solidFill>
          </w14:textFill>
        </w:rPr>
      </w:pPr>
      <w:r>
        <w:rPr>
          <w:rFonts w:hint="eastAsia" w:ascii="仿宋_GB2312" w:hAnsi="仿宋_GB2312" w:eastAsia="仿宋_GB2312" w:cs="仿宋_GB2312"/>
          <w:b/>
          <w:color w:val="000000" w:themeColor="text1"/>
          <w:sz w:val="72"/>
          <w:szCs w:val="72"/>
          <w14:textFill>
            <w14:solidFill>
              <w14:schemeClr w14:val="tx1"/>
            </w14:solidFill>
          </w14:textFill>
        </w:rPr>
        <w:t>文</w:t>
      </w:r>
    </w:p>
    <w:p>
      <w:pPr>
        <w:jc w:val="center"/>
        <w:outlineLvl w:val="0"/>
        <w:rPr>
          <w:rFonts w:ascii="仿宋_GB2312" w:hAnsi="仿宋_GB2312" w:eastAsia="仿宋_GB2312" w:cs="仿宋_GB2312"/>
          <w:color w:val="000000" w:themeColor="text1"/>
          <w:sz w:val="44"/>
          <w14:textFill>
            <w14:solidFill>
              <w14:schemeClr w14:val="tx1"/>
            </w14:solidFill>
          </w14:textFill>
        </w:rPr>
      </w:pPr>
      <w:r>
        <w:rPr>
          <w:rFonts w:hint="eastAsia" w:ascii="仿宋_GB2312" w:hAnsi="仿宋_GB2312" w:eastAsia="仿宋_GB2312" w:cs="仿宋_GB2312"/>
          <w:b/>
          <w:color w:val="000000" w:themeColor="text1"/>
          <w:sz w:val="72"/>
          <w:szCs w:val="72"/>
          <w14:textFill>
            <w14:solidFill>
              <w14:schemeClr w14:val="tx1"/>
            </w14:solidFill>
          </w14:textFill>
        </w:rPr>
        <w:t>件</w:t>
      </w:r>
    </w:p>
    <w:p>
      <w:pPr>
        <w:jc w:val="center"/>
        <w:outlineLvl w:val="0"/>
        <w:rPr>
          <w:rFonts w:ascii="仿宋_GB2312" w:hAnsi="仿宋_GB2312" w:eastAsia="仿宋_GB2312" w:cs="仿宋_GB2312"/>
          <w:color w:val="000000" w:themeColor="text1"/>
          <w:sz w:val="44"/>
          <w14:textFill>
            <w14:solidFill>
              <w14:schemeClr w14:val="tx1"/>
            </w14:solidFill>
          </w14:textFill>
        </w:rPr>
      </w:pPr>
      <w:r>
        <w:rPr>
          <w:rFonts w:hint="eastAsia" w:ascii="仿宋_GB2312" w:hAnsi="仿宋_GB2312" w:eastAsia="仿宋_GB2312" w:cs="仿宋_GB2312"/>
          <w:color w:val="000000" w:themeColor="text1"/>
          <w:sz w:val="44"/>
          <w14:textFill>
            <w14:solidFill>
              <w14:schemeClr w14:val="tx1"/>
            </w14:solidFill>
          </w14:textFill>
        </w:rPr>
        <w:t>（电子招投标）</w:t>
      </w:r>
    </w:p>
    <w:p>
      <w:pPr>
        <w:jc w:val="center"/>
        <w:outlineLvl w:val="0"/>
        <w:rPr>
          <w:rFonts w:ascii="仿宋_GB2312" w:hAnsi="仿宋_GB2312" w:eastAsia="仿宋_GB2312" w:cs="仿宋_GB2312"/>
          <w:color w:val="000000" w:themeColor="text1"/>
          <w:sz w:val="44"/>
          <w14:textFill>
            <w14:solidFill>
              <w14:schemeClr w14:val="tx1"/>
            </w14:solidFill>
          </w14:textFill>
        </w:rPr>
      </w:pPr>
    </w:p>
    <w:p>
      <w:pPr>
        <w:jc w:val="center"/>
        <w:outlineLvl w:val="0"/>
        <w:rPr>
          <w:rFonts w:ascii="仿宋_GB2312" w:hAnsi="仿宋_GB2312" w:eastAsia="仿宋_GB2312" w:cs="仿宋_GB2312"/>
          <w:color w:val="000000" w:themeColor="text1"/>
          <w:sz w:val="44"/>
          <w14:textFill>
            <w14:solidFill>
              <w14:schemeClr w14:val="tx1"/>
            </w14:solidFill>
          </w14:textFill>
        </w:rPr>
      </w:pPr>
    </w:p>
    <w:p>
      <w:pPr>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 xml:space="preserve">招标编号:CGSHZJ-2024-N000975-1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3"/>
                <w:kern w:val="0"/>
                <w:sz w:val="28"/>
                <w:szCs w:val="28"/>
                <w14:textFill>
                  <w14:solidFill>
                    <w14:schemeClr w14:val="tx1"/>
                  </w14:solidFill>
                </w14:textFill>
              </w:rPr>
              <w:t>采购单</w:t>
            </w:r>
            <w:r>
              <w:rPr>
                <w:rFonts w:hint="eastAsia" w:ascii="仿宋_GB2312" w:hAnsi="仿宋_GB2312" w:eastAsia="仿宋_GB2312" w:cs="仿宋_GB2312"/>
                <w:color w:val="000000" w:themeColor="text1"/>
                <w:spacing w:val="1"/>
                <w:kern w:val="0"/>
                <w:sz w:val="28"/>
                <w:szCs w:val="28"/>
                <w14:textFill>
                  <w14:solidFill>
                    <w14:schemeClr w14:val="tx1"/>
                  </w14:solidFill>
                </w14:textFill>
              </w:rPr>
              <w:t>位</w:t>
            </w:r>
            <w:r>
              <w:rPr>
                <w:rFonts w:hint="eastAsia" w:ascii="仿宋_GB2312" w:hAnsi="仿宋_GB2312" w:eastAsia="仿宋_GB2312" w:cs="仿宋_GB2312"/>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0"/>
                <w:w w:val="100"/>
                <w:kern w:val="0"/>
                <w:sz w:val="28"/>
                <w:szCs w:val="28"/>
                <w:fitText w:val="1680" w:id="189407328"/>
                <w14:textFill>
                  <w14:solidFill>
                    <w14:schemeClr w14:val="tx1"/>
                  </w14:solidFill>
                </w14:textFill>
              </w:rPr>
              <w:t>采购代理机构</w:t>
            </w:r>
            <w:r>
              <w:rPr>
                <w:rFonts w:hint="eastAsia" w:ascii="仿宋_GB2312" w:hAnsi="仿宋_GB2312" w:eastAsia="仿宋_GB2312" w:cs="仿宋_GB2312"/>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3"/>
                <w:kern w:val="0"/>
                <w:sz w:val="28"/>
                <w:szCs w:val="28"/>
                <w:fitText w:val="1680" w:id="1"/>
                <w14:textFill>
                  <w14:solidFill>
                    <w14:schemeClr w14:val="tx1"/>
                  </w14:solidFill>
                </w14:textFill>
              </w:rPr>
              <w:t>监督单</w:t>
            </w:r>
            <w:r>
              <w:rPr>
                <w:rFonts w:hint="eastAsia" w:ascii="仿宋_GB2312" w:hAnsi="仿宋_GB2312" w:eastAsia="仿宋_GB2312" w:cs="仿宋_GB2312"/>
                <w:color w:val="000000" w:themeColor="text1"/>
                <w:spacing w:val="1"/>
                <w:kern w:val="0"/>
                <w:sz w:val="28"/>
                <w:szCs w:val="28"/>
                <w:fitText w:val="1680" w:id="1"/>
                <w14:textFill>
                  <w14:solidFill>
                    <w14:schemeClr w14:val="tx1"/>
                  </w14:solidFill>
                </w14:textFill>
              </w:rPr>
              <w:t>位</w:t>
            </w:r>
            <w:r>
              <w:rPr>
                <w:rFonts w:hint="eastAsia" w:ascii="仿宋_GB2312" w:hAnsi="仿宋_GB2312" w:eastAsia="仿宋_GB2312" w:cs="仿宋_GB2312"/>
                <w:color w:val="000000" w:themeColor="text1"/>
                <w:sz w:val="28"/>
                <w:szCs w:val="28"/>
                <w14:textFill>
                  <w14:solidFill>
                    <w14:schemeClr w14:val="tx1"/>
                  </w14:solidFill>
                </w14:textFill>
              </w:rPr>
              <w:t>：</w:t>
            </w:r>
          </w:p>
        </w:tc>
        <w:tc>
          <w:tcPr>
            <w:tcW w:w="5445" w:type="dxa"/>
          </w:tcPr>
          <w:p>
            <w:pPr>
              <w:spacing w:after="100" w:afterAutospacing="1" w:line="440" w:lineRule="exac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ascii="仿宋_GB2312" w:hAnsi="仿宋_GB2312" w:eastAsia="仿宋_GB2312" w:cs="仿宋_GB2312"/>
                <w:color w:val="000000" w:themeColor="text1"/>
                <w:sz w:val="28"/>
                <w:szCs w:val="28"/>
                <w14:textFill>
                  <w14:solidFill>
                    <w14:schemeClr w14:val="tx1"/>
                  </w14:solidFill>
                </w14:textFill>
              </w:rPr>
            </w:pPr>
          </w:p>
        </w:tc>
        <w:tc>
          <w:tcPr>
            <w:tcW w:w="5445" w:type="dxa"/>
          </w:tcPr>
          <w:p>
            <w:pPr>
              <w:spacing w:after="100" w:afterAutospacing="1" w:line="440" w:lineRule="exac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二○二四年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14:textFill>
                  <w14:solidFill>
                    <w14:schemeClr w14:val="tx1"/>
                  </w14:solidFill>
                </w14:textFill>
              </w:rPr>
              <w:t>月</w:t>
            </w:r>
          </w:p>
        </w:tc>
      </w:tr>
    </w:tbl>
    <w:p>
      <w:pPr>
        <w:pageBreakBefore/>
        <w:jc w:val="center"/>
        <w:rPr>
          <w:rFonts w:ascii="隶书" w:eastAsia="隶书"/>
          <w:b/>
          <w:color w:val="000000" w:themeColor="text1"/>
          <w:sz w:val="44"/>
          <w:szCs w:val="44"/>
          <w14:textFill>
            <w14:solidFill>
              <w14:schemeClr w14:val="tx1"/>
            </w14:solidFill>
          </w14:textFill>
        </w:rPr>
      </w:pPr>
      <w:r>
        <w:rPr>
          <w:rFonts w:hint="eastAsia" w:ascii="隶书" w:eastAsia="隶书"/>
          <w:b/>
          <w:color w:val="000000" w:themeColor="text1"/>
          <w:sz w:val="44"/>
          <w:szCs w:val="44"/>
          <w14:textFill>
            <w14:solidFill>
              <w14:schemeClr w14:val="tx1"/>
            </w14:solidFill>
          </w14:textFill>
        </w:rPr>
        <w:t xml:space="preserve">  </w:t>
      </w:r>
    </w:p>
    <w:p>
      <w:pPr>
        <w:jc w:val="center"/>
        <w:rPr>
          <w:rFonts w:ascii="隶书" w:eastAsia="隶书"/>
          <w:b/>
          <w:color w:val="000000" w:themeColor="text1"/>
          <w:sz w:val="44"/>
          <w:szCs w:val="44"/>
          <w14:textFill>
            <w14:solidFill>
              <w14:schemeClr w14:val="tx1"/>
            </w14:solidFill>
          </w14:textFill>
        </w:rPr>
      </w:pPr>
    </w:p>
    <w:p>
      <w:pPr>
        <w:jc w:val="center"/>
        <w:rPr>
          <w:rFonts w:ascii="仿宋_GB2312" w:eastAsia="仿宋_GB2312"/>
          <w:b/>
          <w:color w:val="000000" w:themeColor="text1"/>
          <w:sz w:val="44"/>
          <w:szCs w:val="44"/>
          <w14:textFill>
            <w14:solidFill>
              <w14:schemeClr w14:val="tx1"/>
            </w14:solidFill>
          </w14:textFill>
        </w:rPr>
      </w:pPr>
      <w:r>
        <w:rPr>
          <w:rFonts w:hint="eastAsia" w:ascii="仿宋_GB2312" w:eastAsia="仿宋_GB2312"/>
          <w:b/>
          <w:color w:val="000000" w:themeColor="text1"/>
          <w:sz w:val="44"/>
          <w:szCs w:val="44"/>
          <w14:textFill>
            <w14:solidFill>
              <w14:schemeClr w14:val="tx1"/>
            </w14:solidFill>
          </w14:textFill>
        </w:rPr>
        <w:t>目录</w:t>
      </w:r>
    </w:p>
    <w:p>
      <w:pPr>
        <w:jc w:val="center"/>
        <w:rPr>
          <w:rFonts w:ascii="隶书" w:eastAsia="隶书"/>
          <w:b/>
          <w:color w:val="000000" w:themeColor="text1"/>
          <w:sz w:val="44"/>
          <w:szCs w:val="44"/>
          <w14:textFill>
            <w14:solidFill>
              <w14:schemeClr w14:val="tx1"/>
            </w14:solidFill>
          </w14:textFill>
        </w:rPr>
      </w:pPr>
    </w:p>
    <w:p>
      <w:pPr>
        <w:jc w:val="center"/>
        <w:rPr>
          <w:rFonts w:ascii="隶书" w:eastAsia="隶书"/>
          <w:color w:val="000000" w:themeColor="text1"/>
          <w14:textFill>
            <w14:solidFill>
              <w14:schemeClr w14:val="tx1"/>
            </w14:solidFill>
          </w14:textFill>
        </w:rPr>
      </w:pPr>
    </w:p>
    <w:p>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 分   投标须知</w:t>
      </w:r>
    </w:p>
    <w:p>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第六部分    投标文件及其附件格式</w:t>
      </w:r>
    </w:p>
    <w:p>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pPr>
        <w:pageBreakBefore/>
        <w:widowControl/>
        <w:jc w:val="center"/>
        <w:rPr>
          <w:rFonts w:ascii="仿宋_GB2312" w:eastAsia="仿宋_GB2312"/>
          <w:b/>
          <w:color w:val="000000" w:themeColor="text1"/>
          <w:sz w:val="36"/>
          <w:szCs w:val="36"/>
          <w14:textFill>
            <w14:solidFill>
              <w14:schemeClr w14:val="tx1"/>
            </w14:solidFill>
          </w14:textFill>
        </w:rPr>
      </w:pPr>
      <w:r>
        <w:rPr>
          <w:rFonts w:hint="eastAsia" w:ascii="仿宋_GB2312" w:eastAsia="仿宋_GB2312"/>
          <w:b/>
          <w:color w:val="000000" w:themeColor="text1"/>
          <w:sz w:val="36"/>
          <w:szCs w:val="36"/>
          <w14:textFill>
            <w14:solidFill>
              <w14:schemeClr w14:val="tx1"/>
            </w14:solidFill>
          </w14:textFill>
        </w:rPr>
        <w:t>第一部分 招标公告</w:t>
      </w:r>
    </w:p>
    <w:tbl>
      <w:tblPr>
        <w:tblStyle w:val="64"/>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color w:val="000000" w:themeColor="text1"/>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tbl>
            <w:tblPr>
              <w:tblStyle w:val="64"/>
              <w:tblW w:w="937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378" w:type="dxa"/>
                </w:tcPr>
                <w:p>
                  <w:pPr>
                    <w:pStyle w:val="98"/>
                    <w:spacing w:after="12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98"/>
                    <w:wordWrap w:val="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u w:val="single"/>
                      <w:lang w:eastAsia="zh-CN"/>
                    </w:rPr>
                    <w:t>绍兴市1：2000数字线划图（DLG）生产制作更新</w:t>
                  </w:r>
                  <w:r>
                    <w:rPr>
                      <w:rFonts w:hint="eastAsia" w:ascii="仿宋_GB2312" w:hAnsi="新宋体" w:eastAsia="仿宋_GB2312"/>
                      <w:color w:val="auto"/>
                      <w:szCs w:val="24"/>
                    </w:rPr>
                    <w:t>招标项目的潜在投标人应在政采云平台（https://www.zcygov.cn/）获取（下载）招标文件，并于2024年 月 日 点 分00秒（北京时间）前递交（上传）投标文件。</w:t>
                  </w:r>
                </w:p>
              </w:tc>
            </w:tr>
          </w:tbl>
          <w:p>
            <w:pPr>
              <w:pStyle w:val="98"/>
              <w:spacing w:afterLines="0" w:line="440" w:lineRule="exact"/>
              <w:ind w:firstLine="482"/>
              <w:jc w:val="left"/>
              <w:rPr>
                <w:rFonts w:ascii="仿宋_GB2312" w:hAnsi="新宋体" w:eastAsia="仿宋_GB2312"/>
                <w:b/>
                <w:color w:val="auto"/>
                <w:szCs w:val="24"/>
              </w:rPr>
            </w:pPr>
            <w:r>
              <w:rPr>
                <w:rFonts w:hint="eastAsia" w:ascii="仿宋_GB2312" w:hAnsi="新宋体" w:eastAsia="仿宋_GB2312"/>
                <w:b/>
                <w:color w:val="auto"/>
                <w:szCs w:val="24"/>
              </w:rPr>
              <w:t>一、项目基本情况</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 xml:space="preserve">项目编号：CGSHZJ-2024-N000975-1 </w:t>
            </w:r>
          </w:p>
          <w:p>
            <w:pPr>
              <w:pStyle w:val="98"/>
              <w:spacing w:afterLines="0" w:line="440" w:lineRule="exact"/>
              <w:ind w:right="-508" w:rightChars="-242" w:firstLine="482"/>
              <w:rPr>
                <w:rFonts w:ascii="仿宋_GB2312" w:hAnsi="新宋体" w:eastAsia="仿宋_GB2312"/>
                <w:color w:val="auto"/>
                <w:szCs w:val="24"/>
              </w:rPr>
            </w:pPr>
            <w:r>
              <w:rPr>
                <w:rFonts w:hint="eastAsia" w:ascii="仿宋_GB2312" w:hAnsi="新宋体" w:eastAsia="仿宋_GB2312"/>
                <w:b/>
                <w:color w:val="auto"/>
                <w:szCs w:val="24"/>
              </w:rPr>
              <w:t>项目名称：</w:t>
            </w:r>
            <w:r>
              <w:rPr>
                <w:rFonts w:hint="eastAsia" w:ascii="仿宋_GB2312" w:hAnsi="新宋体" w:eastAsia="仿宋_GB2312"/>
                <w:color w:val="auto"/>
                <w:szCs w:val="24"/>
                <w:lang w:eastAsia="zh-CN"/>
              </w:rPr>
              <w:t>绍兴市1：2000数字线划图（DLG）生产制作更新</w:t>
            </w:r>
            <w:r>
              <w:rPr>
                <w:rFonts w:hint="eastAsia" w:ascii="仿宋_GB2312" w:hAnsi="新宋体" w:eastAsia="仿宋_GB2312"/>
                <w:color w:val="auto"/>
                <w:szCs w:val="24"/>
              </w:rPr>
              <w:t>项目</w:t>
            </w:r>
          </w:p>
          <w:p>
            <w:pPr>
              <w:pStyle w:val="98"/>
              <w:spacing w:afterLines="0"/>
              <w:ind w:firstLine="482"/>
              <w:rPr>
                <w:rFonts w:hint="default" w:ascii="仿宋_GB2312" w:hAnsi="新宋体" w:eastAsia="仿宋_GB2312"/>
                <w:color w:val="auto"/>
                <w:szCs w:val="24"/>
                <w:lang w:val="en-US"/>
              </w:rPr>
            </w:pPr>
            <w:r>
              <w:rPr>
                <w:rFonts w:hint="eastAsia" w:ascii="仿宋_GB2312" w:hAnsi="新宋体" w:eastAsia="仿宋_GB2312"/>
                <w:b/>
                <w:color w:val="auto"/>
                <w:szCs w:val="24"/>
              </w:rPr>
              <w:t>预算金额（元）：</w:t>
            </w:r>
            <w:r>
              <w:rPr>
                <w:rFonts w:hint="eastAsia" w:ascii="仿宋_GB2312" w:hAnsi="新宋体" w:eastAsia="仿宋_GB2312"/>
                <w:bCs/>
                <w:color w:val="auto"/>
                <w:szCs w:val="24"/>
                <w:lang w:val="en-US" w:eastAsia="zh-CN"/>
              </w:rPr>
              <w:t>15395000</w:t>
            </w:r>
          </w:p>
          <w:p>
            <w:pPr>
              <w:pStyle w:val="98"/>
              <w:spacing w:afterLines="0" w:line="440" w:lineRule="exact"/>
              <w:ind w:firstLine="482"/>
              <w:rPr>
                <w:rFonts w:hint="eastAsia" w:ascii="仿宋_GB2312" w:hAnsi="新宋体" w:eastAsia="仿宋_GB2312"/>
                <w:bCs/>
                <w:color w:val="auto"/>
                <w:szCs w:val="24"/>
                <w:lang w:val="en-US" w:eastAsia="zh-CN"/>
              </w:rPr>
            </w:pPr>
            <w:r>
              <w:rPr>
                <w:rFonts w:hint="eastAsia" w:ascii="仿宋_GB2312" w:hAnsi="新宋体" w:eastAsia="仿宋_GB2312"/>
                <w:b/>
                <w:color w:val="auto"/>
                <w:szCs w:val="24"/>
              </w:rPr>
              <w:t>最高限价（元）：</w:t>
            </w:r>
            <w:r>
              <w:rPr>
                <w:rFonts w:hint="eastAsia" w:ascii="仿宋_GB2312" w:hAnsi="新宋体" w:eastAsia="仿宋_GB2312"/>
                <w:bCs/>
                <w:color w:val="auto"/>
                <w:szCs w:val="24"/>
                <w:lang w:val="en-US" w:eastAsia="zh-CN"/>
              </w:rPr>
              <w:t>15395000</w:t>
            </w:r>
          </w:p>
          <w:p>
            <w:pPr>
              <w:pStyle w:val="98"/>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采购需求：</w:t>
            </w:r>
          </w:p>
          <w:p>
            <w:pPr>
              <w:pStyle w:val="98"/>
              <w:spacing w:afterLines="0" w:line="440" w:lineRule="exact"/>
              <w:ind w:right="-508" w:rightChars="-242" w:firstLine="480"/>
              <w:rPr>
                <w:rFonts w:hint="eastAsia" w:ascii="仿宋_GB2312" w:hAnsi="新宋体" w:eastAsia="仿宋_GB2312"/>
                <w:color w:val="auto"/>
                <w:szCs w:val="24"/>
              </w:rPr>
            </w:pPr>
            <w:r>
              <w:rPr>
                <w:rFonts w:hint="eastAsia" w:ascii="仿宋_GB2312" w:hAnsi="新宋体" w:eastAsia="仿宋_GB2312"/>
                <w:color w:val="auto"/>
                <w:szCs w:val="24"/>
              </w:rPr>
              <w:t>标项一:</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标项名称:绍兴市1：2000数字线划图（DLG）生产制作更新项目</w:t>
            </w:r>
          </w:p>
          <w:p>
            <w:pPr>
              <w:pStyle w:val="98"/>
              <w:spacing w:afterLines="0" w:line="440" w:lineRule="exact"/>
              <w:ind w:firstLine="482"/>
              <w:rPr>
                <w:rFonts w:hint="eastAsia" w:ascii="仿宋_GB2312" w:hAnsi="新宋体" w:eastAsia="仿宋_GB2312"/>
                <w:bCs/>
                <w:color w:val="auto"/>
                <w:szCs w:val="24"/>
                <w:lang w:val="en-US" w:eastAsia="zh-CN"/>
              </w:rPr>
            </w:pPr>
            <w:r>
              <w:rPr>
                <w:rFonts w:hint="eastAsia" w:ascii="仿宋_GB2312" w:hAnsi="新宋体" w:eastAsia="仿宋_GB2312"/>
                <w:color w:val="auto"/>
                <w:szCs w:val="24"/>
              </w:rPr>
              <w:t>数量:1</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hint="eastAsia" w:ascii="仿宋_GB2312" w:hAnsi="新宋体" w:eastAsia="仿宋_GB2312"/>
                <w:bCs/>
                <w:color w:val="auto"/>
                <w:szCs w:val="24"/>
                <w:lang w:val="en-US" w:eastAsia="zh-CN"/>
              </w:rPr>
              <w:t>15395000</w:t>
            </w:r>
          </w:p>
          <w:p>
            <w:pPr>
              <w:pStyle w:val="98"/>
              <w:spacing w:afterLines="0" w:line="440" w:lineRule="exact"/>
              <w:ind w:right="-508" w:rightChars="-242"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主要内容：简要规格描述、项目基本概况介绍、用途详见采购文件。</w:t>
            </w:r>
            <w:r>
              <w:rPr>
                <w:rFonts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b/>
                <w:color w:val="auto"/>
                <w:szCs w:val="24"/>
              </w:rPr>
              <w:t>合同履约期限：</w:t>
            </w:r>
            <w:r>
              <w:rPr>
                <w:rFonts w:hint="eastAsia" w:ascii="仿宋_GB2312" w:hAnsi="新宋体" w:eastAsia="仿宋_GB2312"/>
                <w:color w:val="auto"/>
                <w:szCs w:val="24"/>
              </w:rPr>
              <w:t>按双方合同约定条款执行。</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本项目接受联合体投标：</w:t>
            </w:r>
            <w:sdt>
              <w:sdtPr>
                <w:rPr>
                  <w:rFonts w:hint="eastAsia" w:ascii="仿宋_GB2312" w:hAnsi="仿宋" w:eastAsia="仿宋_GB2312" w:cs="Arial"/>
                  <w:color w:val="auto"/>
                </w:rPr>
                <w:id w:val="337506595"/>
              </w:sdtPr>
              <w:sdtEndPr>
                <w:rPr>
                  <w:rFonts w:hint="eastAsia" w:ascii="仿宋_GB2312" w:hAnsi="仿宋" w:eastAsia="仿宋_GB2312" w:cs="Arial"/>
                  <w:color w:val="auto"/>
                </w:rPr>
              </w:sdtEndPr>
              <w:sdtContent>
                <w:r>
                  <w:rPr>
                    <w:rFonts w:ascii="仿宋_GB2312" w:hAnsi="仿宋" w:eastAsia="仿宋_GB2312" w:cs="Arial"/>
                    <w:color w:val="auto"/>
                  </w:rPr>
                  <w:sym w:font="Wingdings" w:char="F0FE"/>
                </w:r>
              </w:sdtContent>
            </w:sdt>
            <w:r>
              <w:rPr>
                <w:rFonts w:hint="eastAsia" w:ascii="仿宋_GB2312" w:hAnsi="新宋体" w:eastAsia="仿宋_GB2312"/>
                <w:color w:val="auto"/>
                <w:szCs w:val="24"/>
              </w:rPr>
              <w:t>是，</w:t>
            </w:r>
            <w:r>
              <w:rPr>
                <w:rFonts w:hint="eastAsia" w:ascii="MS Mincho" w:hAnsi="MS Mincho" w:eastAsia="MS Mincho" w:cs="MS Mincho"/>
                <w:color w:val="auto"/>
                <w:szCs w:val="24"/>
              </w:rPr>
              <w:t>☐</w:t>
            </w:r>
            <w:r>
              <w:rPr>
                <w:rFonts w:hint="eastAsia" w:ascii="仿宋_GB2312" w:hAnsi="新宋体" w:eastAsia="仿宋_GB2312"/>
                <w:color w:val="auto"/>
                <w:szCs w:val="24"/>
              </w:rPr>
              <w:t>否。</w:t>
            </w:r>
          </w:p>
          <w:p>
            <w:pPr>
              <w:pStyle w:val="98"/>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二、申请人的资格要求：</w:t>
            </w:r>
          </w:p>
          <w:p>
            <w:pPr>
              <w:pStyle w:val="98"/>
              <w:spacing w:after="120" w:line="440" w:lineRule="exact"/>
              <w:ind w:right="101" w:rightChars="48"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9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98"/>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725337177"/>
              </w:sdtPr>
              <w:sdtEndPr>
                <w:rPr>
                  <w:rFonts w:hint="eastAsia" w:ascii="仿宋_GB2312" w:hAnsi="新宋体" w:eastAsia="仿宋_GB2312" w:cs="Times New Roman"/>
                  <w:color w:val="auto"/>
                  <w:sz w:val="24"/>
                  <w:szCs w:val="24"/>
                </w:rPr>
              </w:sdtEndPr>
              <w:sdtContent>
                <w:r>
                  <w:rPr>
                    <w:rFonts w:ascii="仿宋_GB2312" w:hAnsi="仿宋" w:eastAsia="仿宋_GB2312" w:cs="Arial"/>
                    <w:color w:val="auto"/>
                  </w:rPr>
                  <w:sym w:font="Wingdings" w:char="00FE"/>
                </w:r>
              </w:sdtContent>
            </w:sdt>
            <w:r>
              <w:rPr>
                <w:rFonts w:hint="eastAsia" w:ascii="仿宋_GB2312" w:hAnsi="新宋体" w:eastAsia="仿宋_GB2312"/>
                <w:color w:val="auto"/>
                <w:szCs w:val="24"/>
              </w:rPr>
              <w:t>无；</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253497049"/>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00A8"/>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897" w:firstLineChars="374"/>
              <w:rPr>
                <w:rFonts w:ascii="仿宋_GB2312" w:hAnsi="仿宋" w:eastAsia="仿宋_GB2312"/>
                <w:color w:val="auto"/>
                <w:sz w:val="24"/>
              </w:rPr>
            </w:pPr>
            <w:r>
              <w:rPr>
                <w:rFonts w:ascii="MS Gothic" w:hAnsi="MS Gothic" w:eastAsia="MS Gothic" w:cs="Arial"/>
                <w:color w:val="auto"/>
                <w:kern w:val="0"/>
                <w:sz w:val="24"/>
              </w:rPr>
              <w:t>☐</w:t>
            </w:r>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auto"/>
                  <w:kern w:val="0"/>
                  <w:sz w:val="24"/>
                </w:rPr>
                <w:id w:val="9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06902902"/>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5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00A8"/>
                        </w:r>
                      </w:sdtContent>
                    </w:sdt>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服务全部由符合政策要求的中小企业承接，提供中小企业声明函；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3"/>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服务全部由符合政策要求的小微企业承接，提供中小企业声明函；</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60369722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14:textFill>
                  <w14:solidFill>
                    <w14:schemeClr w14:val="tx1"/>
                  </w14:solidFill>
                </w14:textFill>
              </w:rPr>
              <w:t>；</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4630645"/>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14:textFill>
                  <w14:solidFill>
                    <w14:schemeClr w14:val="tx1"/>
                  </w14:solidFill>
                </w14:textFill>
              </w:rPr>
              <w:t>；</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4.本项目的特定资格要求：具有乙级或以上测绘资质（专业范围需同时包括测绘航空摄影、摄影测量与遥感、地理信息系统工程、工程测量）的企事业单位。组成联合体单位不超过3家，要求联合体成员都具备乙级及以上测绘资质（专业范围需同时包括测绘航空摄影、摄影测量与遥感、地理信息系统工程、工程测量）；</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000000" w:themeColor="text1"/>
                <w:szCs w:val="24"/>
                <w14:textFill>
                  <w14:solidFill>
                    <w14:schemeClr w14:val="tx1"/>
                  </w14:solidFill>
                </w14:textFill>
              </w:rPr>
              <w:t>三、</w:t>
            </w:r>
            <w:r>
              <w:rPr>
                <w:rFonts w:hint="eastAsia" w:ascii="仿宋_GB2312" w:hAnsi="新宋体" w:eastAsia="仿宋_GB2312"/>
                <w:b/>
                <w:color w:val="auto"/>
                <w:szCs w:val="24"/>
              </w:rPr>
              <w:t>获取招标文件</w:t>
            </w:r>
            <w:r>
              <w:rPr>
                <w:rFonts w:ascii="仿宋_GB2312" w:hAnsi="新宋体" w:eastAsia="仿宋_GB2312"/>
                <w:b/>
                <w:color w:val="auto"/>
                <w:szCs w:val="24"/>
              </w:rPr>
              <w:t> </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时间：</w:t>
            </w:r>
            <w:r>
              <w:rPr>
                <w:rFonts w:hint="eastAsia" w:ascii="仿宋_GB2312" w:hAnsi="新宋体" w:eastAsia="仿宋_GB2312"/>
                <w:color w:val="auto"/>
                <w:szCs w:val="24"/>
              </w:rPr>
              <w:t>/至</w:t>
            </w:r>
            <w:r>
              <w:rPr>
                <w:rFonts w:hint="eastAsia" w:ascii="仿宋_GB2312" w:hAnsi="新宋体" w:eastAsia="仿宋_GB2312"/>
                <w:color w:val="auto"/>
                <w:szCs w:val="24"/>
                <w:u w:val="single"/>
              </w:rPr>
              <w:t>2024年  月  日</w:t>
            </w:r>
            <w:r>
              <w:rPr>
                <w:rFonts w:hint="eastAsia" w:ascii="仿宋_GB2312" w:hAnsi="新宋体" w:eastAsia="仿宋_GB2312"/>
                <w:color w:val="auto"/>
                <w:szCs w:val="24"/>
              </w:rPr>
              <w:t>，每天上午00:00至12:00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地点（网址）：</w:t>
            </w:r>
            <w:r>
              <w:rPr>
                <w:rFonts w:hint="eastAsia" w:ascii="仿宋_GB2312" w:hAnsi="新宋体" w:eastAsia="仿宋_GB2312" w:cs="Arial"/>
                <w:bCs/>
                <w:color w:val="auto"/>
              </w:rPr>
              <w:t>政采云平台（https://www.zcygov.cn/）</w:t>
            </w:r>
            <w:r>
              <w:rPr>
                <w:rFonts w:ascii="仿宋_GB2312" w:hAnsi="新宋体" w:eastAsia="仿宋_GB2312"/>
                <w:color w:val="auto"/>
                <w:szCs w:val="24"/>
              </w:rPr>
              <w:t> </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方式：</w:t>
            </w:r>
            <w:r>
              <w:rPr>
                <w:rFonts w:hint="eastAsia" w:ascii="仿宋_GB2312" w:hAnsi="新宋体" w:eastAsia="仿宋_GB2312" w:cs="Arial"/>
                <w:bCs/>
                <w:color w:val="auto"/>
              </w:rPr>
              <w:t>供应商登陆政采云平台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s="Arial"/>
                <w:bCs/>
                <w:color w:val="auto"/>
              </w:rPr>
              <w:t>，在线申请获取采购文件（进入“项目采购”应用，在获取采购文件菜单中选择项目，申请获取采购文件）</w:t>
            </w:r>
            <w:r>
              <w:rPr>
                <w:rFonts w:ascii="仿宋_GB2312" w:hAnsi="新宋体" w:eastAsia="仿宋_GB2312" w:cs="Arial"/>
                <w:bCs/>
                <w:color w:val="auto"/>
              </w:rPr>
              <w:t>。</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售价（元）：</w:t>
            </w:r>
            <w:r>
              <w:rPr>
                <w:rFonts w:hint="eastAsia" w:ascii="仿宋_GB2312" w:hAnsi="新宋体" w:eastAsia="仿宋_GB2312"/>
                <w:color w:val="auto"/>
                <w:szCs w:val="24"/>
              </w:rPr>
              <w:t>0</w:t>
            </w:r>
            <w:r>
              <w:rPr>
                <w:rFonts w:ascii="仿宋_GB2312" w:hAnsi="新宋体" w:eastAsia="仿宋_GB2312"/>
                <w:color w:val="auto"/>
                <w:szCs w:val="24"/>
              </w:rPr>
              <w:t> </w:t>
            </w:r>
          </w:p>
          <w:p>
            <w:pPr>
              <w:pStyle w:val="98"/>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四、提交投标文件截止时间、开标时间和地点</w:t>
            </w:r>
          </w:p>
          <w:p>
            <w:pPr>
              <w:pStyle w:val="98"/>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提交投标文件截止时间：</w:t>
            </w:r>
            <w:r>
              <w:rPr>
                <w:rFonts w:hint="eastAsia" w:ascii="仿宋_GB2312" w:hAnsi="新宋体" w:eastAsia="仿宋_GB2312"/>
                <w:color w:val="auto"/>
                <w:szCs w:val="24"/>
                <w:u w:val="single"/>
              </w:rPr>
              <w:t>2024年 月</w:t>
            </w:r>
            <w:r>
              <w:rPr>
                <w:rFonts w:hint="eastAsia" w:ascii="仿宋_GB2312" w:hAnsi="新宋体" w:eastAsia="仿宋_GB2312"/>
                <w:color w:val="auto"/>
                <w:szCs w:val="24"/>
                <w:u w:val="single"/>
                <w:lang w:val="en-US" w:eastAsia="zh-CN"/>
              </w:rPr>
              <w:t xml:space="preserve">  </w:t>
            </w:r>
            <w:r>
              <w:rPr>
                <w:rFonts w:hint="eastAsia" w:ascii="仿宋_GB2312" w:hAnsi="新宋体" w:eastAsia="仿宋_GB2312"/>
                <w:color w:val="auto"/>
                <w:szCs w:val="24"/>
                <w:u w:val="single"/>
              </w:rPr>
              <w:t>日点</w:t>
            </w:r>
            <w:r>
              <w:rPr>
                <w:rFonts w:hint="eastAsia" w:ascii="仿宋_GB2312" w:hAnsi="新宋体" w:eastAsia="仿宋_GB2312"/>
                <w:color w:val="auto"/>
                <w:szCs w:val="24"/>
                <w:u w:val="single"/>
                <w:lang w:val="en-US" w:eastAsia="zh-CN"/>
              </w:rPr>
              <w:t xml:space="preserve"> </w:t>
            </w:r>
            <w:r>
              <w:rPr>
                <w:rFonts w:hint="eastAsia" w:ascii="仿宋_GB2312" w:hAnsi="新宋体" w:eastAsia="仿宋_GB2312"/>
                <w:color w:val="auto"/>
                <w:szCs w:val="24"/>
                <w:u w:val="single"/>
              </w:rPr>
              <w:t>分00秒</w:t>
            </w:r>
            <w:r>
              <w:rPr>
                <w:rFonts w:hint="eastAsia" w:ascii="仿宋_GB2312" w:hAnsi="新宋体" w:eastAsia="仿宋_GB2312"/>
                <w:color w:val="auto"/>
                <w:szCs w:val="24"/>
              </w:rPr>
              <w:t>（北京时间）</w:t>
            </w:r>
          </w:p>
          <w:p>
            <w:pPr>
              <w:pStyle w:val="9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olor w:val="auto"/>
                <w:szCs w:val="24"/>
              </w:rPr>
              <w:t>）</w:t>
            </w:r>
          </w:p>
          <w:p>
            <w:pPr>
              <w:pStyle w:val="9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开标时间：</w:t>
            </w:r>
            <w:r>
              <w:rPr>
                <w:rFonts w:hint="eastAsia" w:ascii="仿宋_GB2312" w:hAnsi="新宋体" w:eastAsia="仿宋_GB2312"/>
                <w:color w:val="auto"/>
                <w:szCs w:val="24"/>
                <w:u w:val="single"/>
              </w:rPr>
              <w:t>2024年 月 日点</w:t>
            </w:r>
            <w:r>
              <w:rPr>
                <w:rFonts w:hint="eastAsia" w:ascii="仿宋_GB2312" w:hAnsi="新宋体" w:eastAsia="仿宋_GB2312"/>
                <w:color w:val="auto"/>
                <w:szCs w:val="24"/>
                <w:u w:val="single"/>
                <w:lang w:val="en-US" w:eastAsia="zh-CN"/>
              </w:rPr>
              <w:t xml:space="preserve"> </w:t>
            </w:r>
            <w:r>
              <w:rPr>
                <w:rFonts w:hint="eastAsia" w:ascii="仿宋_GB2312" w:hAnsi="新宋体" w:eastAsia="仿宋_GB2312"/>
                <w:color w:val="auto"/>
                <w:szCs w:val="24"/>
                <w:u w:val="single"/>
              </w:rPr>
              <w:t>分00秒</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开标地点（网址）：政采云平台（https://www.zcygov.cn/）。</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五、公告期限</w:t>
            </w:r>
            <w:r>
              <w:rPr>
                <w:rFonts w:ascii="仿宋_GB2312" w:hAnsi="新宋体" w:eastAsia="仿宋_GB2312"/>
                <w:b/>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自本公告发布之日起5个工作日。</w:t>
            </w:r>
          </w:p>
          <w:p>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六、其他补充事宜</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ascii="仿宋_GB2312" w:hAnsi="新宋体" w:eastAsia="仿宋_GB2312"/>
                <w:color w:val="000000" w:themeColor="text1"/>
                <w:szCs w:val="24"/>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2.其他事项：（1）需要落实的政府采购政策：包括节约资源、保护环境、支持创新、促进中小企业发展等。详见招标文件的第二部分总则。（2）</w:t>
            </w:r>
            <w:r>
              <w:rPr>
                <w:rFonts w:ascii="仿宋_GB2312" w:hAnsi="仿宋" w:eastAsia="仿宋_GB2312"/>
                <w:color w:val="000000" w:themeColor="text1"/>
                <w14:textFill>
                  <w14:solidFill>
                    <w14:schemeClr w14:val="tx1"/>
                  </w14:solidFill>
                </w14:textFill>
              </w:rPr>
              <w:t>电子招投标的说明：</w:t>
            </w:r>
            <w:r>
              <w:rPr>
                <w:rFonts w:hint="eastAsia" w:ascii="仿宋_GB2312" w:hAnsi="仿宋" w:eastAsia="仿宋_GB2312" w:cs="仿宋_GB2312"/>
                <w:color w:val="000000" w:themeColor="text1"/>
                <w14:textFill>
                  <w14:solidFill>
                    <w14:schemeClr w14:val="tx1"/>
                  </w14:solidFill>
                </w14:textFill>
              </w:rPr>
              <w:t>①</w:t>
            </w:r>
            <w:r>
              <w:rPr>
                <w:rFonts w:ascii="仿宋_GB2312" w:hAnsi="仿宋" w:eastAsia="仿宋_GB2312" w:cs="仿宋_GB2312"/>
                <w:color w:val="000000" w:themeColor="text1"/>
                <w14:textFill>
                  <w14:solidFill>
                    <w14:schemeClr w14:val="tx1"/>
                  </w14:solidFill>
                </w14:textFill>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14:textFill>
                  <w14:solidFill>
                    <w14:schemeClr w14:val="tx1"/>
                  </w14:solidFill>
                </w14:textFill>
              </w:rPr>
              <w:t>；②</w:t>
            </w:r>
            <w:r>
              <w:rPr>
                <w:rFonts w:ascii="仿宋_GB2312" w:hAnsi="仿宋" w:eastAsia="仿宋_GB2312" w:cs="仿宋_GB2312"/>
                <w:color w:val="000000" w:themeColor="text1"/>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14:textFill>
                  <w14:solidFill>
                    <w14:schemeClr w14:val="tx1"/>
                  </w14:solidFill>
                </w14:textFill>
              </w:rPr>
              <w:t>采云电子交易客户端”</w:t>
            </w:r>
            <w:r>
              <w:rPr>
                <w:rFonts w:ascii="仿宋_GB2312" w:hAnsi="仿宋" w:eastAsia="仿宋_GB2312" w:cs="仿宋_GB2312"/>
                <w:color w:val="000000" w:themeColor="text1"/>
                <w14:textFill>
                  <w14:solidFill>
                    <w14:schemeClr w14:val="tx1"/>
                  </w14:solidFill>
                </w14:textFill>
              </w:rPr>
              <w:t>----前往“浙江政府采购网-下载专区-电子交易客户端”进行下载并安装</w:t>
            </w:r>
            <w:r>
              <w:rPr>
                <w:rFonts w:hint="eastAsia" w:ascii="仿宋_GB2312" w:hAnsi="仿宋" w:eastAsia="仿宋_GB2312" w:cs="仿宋_GB2312"/>
                <w:color w:val="000000" w:themeColor="text1"/>
                <w14:textFill>
                  <w14:solidFill>
                    <w14:schemeClr w14:val="tx1"/>
                  </w14:solidFill>
                </w14:textFill>
              </w:rPr>
              <w:t>；③</w:t>
            </w:r>
            <w:r>
              <w:rPr>
                <w:rFonts w:ascii="仿宋_GB2312" w:hAnsi="仿宋" w:eastAsia="仿宋_GB2312" w:cs="仿宋_GB2312"/>
                <w:color w:val="000000" w:themeColor="text1"/>
                <w14:textFill>
                  <w14:solidFill>
                    <w14:schemeClr w14:val="tx1"/>
                  </w14:solidFill>
                </w14:textFill>
              </w:rPr>
              <w:t>招标文件的获取：使用账号登录或者使用CA登录政</w:t>
            </w:r>
            <w:r>
              <w:rPr>
                <w:rFonts w:hint="eastAsia" w:ascii="仿宋_GB2312" w:hAnsi="仿宋" w:eastAsia="仿宋_GB2312" w:cs="仿宋_GB2312"/>
                <w:color w:val="000000" w:themeColor="text1"/>
                <w14:textFill>
                  <w14:solidFill>
                    <w14:schemeClr w14:val="tx1"/>
                  </w14:solidFill>
                </w14:textFill>
              </w:rPr>
              <w:t>采云平台；进入“项目采购”应用，在获取采购文件菜单中选择项目，获取招标文件；④</w:t>
            </w:r>
            <w:r>
              <w:rPr>
                <w:rFonts w:ascii="仿宋_GB2312" w:hAnsi="仿宋" w:eastAsia="仿宋_GB2312" w:cs="仿宋_GB2312"/>
                <w:color w:val="000000" w:themeColor="text1"/>
                <w14:textFill>
                  <w14:solidFill>
                    <w14:schemeClr w14:val="tx1"/>
                  </w14:solidFill>
                </w14:textFill>
              </w:rPr>
              <w:t>投标文件的制作：在“政</w:t>
            </w:r>
            <w:r>
              <w:rPr>
                <w:rFonts w:hint="eastAsia" w:ascii="仿宋_GB2312" w:hAnsi="仿宋" w:eastAsia="仿宋_GB2312" w:cs="仿宋_GB2312"/>
                <w:color w:val="000000" w:themeColor="text1"/>
                <w14:textFill>
                  <w14:solidFill>
                    <w14:schemeClr w14:val="tx1"/>
                  </w14:solidFill>
                </w14:textFill>
              </w:rPr>
              <w:t>采云电子交易客户端”中完成“填写基本信息”、“导入投标文件”、“标书关联”、“标书检查”、“电子签名”、“生成电子标书”等操作；</w:t>
            </w:r>
            <w:r>
              <w:rPr>
                <w:rFonts w:hint="eastAsia" w:ascii="仿宋_GB2312" w:hAnsi="仿宋" w:eastAsia="仿宋_GB2312"/>
                <w:color w:val="000000" w:themeColor="text1"/>
                <w14:textFill>
                  <w14:solidFill>
                    <w14:schemeClr w14:val="tx1"/>
                  </w14:solidFill>
                </w14:textFill>
              </w:rPr>
              <w:t>⑤</w:t>
            </w:r>
            <w:r>
              <w:rPr>
                <w:rFonts w:ascii="仿宋_GB2312" w:hAnsi="仿宋" w:eastAsia="仿宋_GB2312"/>
                <w:color w:val="000000" w:themeColor="text1"/>
                <w14:textFill>
                  <w14:solidFill>
                    <w14:schemeClr w14:val="tx1"/>
                  </w14:solidFill>
                </w14:textFill>
              </w:rPr>
              <w:t>采购人、采购机构将依托政</w:t>
            </w:r>
            <w:r>
              <w:rPr>
                <w:rFonts w:hint="eastAsia" w:ascii="仿宋_GB2312" w:hAnsi="仿宋" w:eastAsia="仿宋_GB2312"/>
                <w:color w:val="000000" w:themeColor="text1"/>
                <w14:textFill>
                  <w14:solidFill>
                    <w14:schemeClr w14:val="tx1"/>
                  </w14:solidFill>
                </w14:textFill>
              </w:rPr>
              <w:t>采云平台完成本项目的电子交易活动，平台不接受未按上述方式获取招标文件的供应商进行投标活动；</w:t>
            </w:r>
            <w:r>
              <w:rPr>
                <w:rFonts w:ascii="仿宋_GB2312" w:hAnsi="仿宋" w:eastAsia="仿宋_GB2312"/>
                <w:color w:val="000000" w:themeColor="text1"/>
                <w14:textFill>
                  <w14:solidFill>
                    <w14:schemeClr w14:val="tx1"/>
                  </w14:solidFill>
                </w14:textFill>
              </w:rPr>
              <w:t xml:space="preserve"> </w:t>
            </w:r>
            <w:r>
              <w:rPr>
                <w:rFonts w:hint="eastAsia" w:ascii="仿宋_GB2312" w:hAnsi="仿宋" w:eastAsia="仿宋_GB2312"/>
                <w:color w:val="000000" w:themeColor="text1"/>
                <w14:textFill>
                  <w14:solidFill>
                    <w14:schemeClr w14:val="tx1"/>
                  </w14:solidFill>
                </w14:textFill>
              </w:rPr>
              <w:t>⑥</w:t>
            </w:r>
            <w:r>
              <w:rPr>
                <w:rFonts w:ascii="仿宋_GB2312" w:hAnsi="仿宋" w:eastAsia="仿宋_GB2312"/>
                <w:color w:val="000000" w:themeColor="text1"/>
                <w14:textFill>
                  <w14:solidFill>
                    <w14:schemeClr w14:val="tx1"/>
                  </w14:solidFill>
                </w14:textFill>
              </w:rPr>
              <w:t>对未按上述方式获取招标文件的供应商对该文件提出的质疑，采购人或采购代理机构将</w:t>
            </w:r>
            <w:r>
              <w:rPr>
                <w:rFonts w:hint="eastAsia" w:ascii="仿宋_GB2312" w:hAnsi="仿宋" w:eastAsia="仿宋_GB2312"/>
                <w:color w:val="000000" w:themeColor="text1"/>
                <w14:textFill>
                  <w14:solidFill>
                    <w14:schemeClr w14:val="tx1"/>
                  </w14:solidFill>
                </w14:textFill>
              </w:rPr>
              <w:t>不予处理；⑦</w:t>
            </w:r>
            <w:r>
              <w:rPr>
                <w:rFonts w:ascii="仿宋_GB2312" w:hAnsi="仿宋" w:eastAsia="仿宋_GB2312"/>
                <w:color w:val="000000" w:themeColor="text1"/>
                <w14:textFill>
                  <w14:solidFill>
                    <w14:schemeClr w14:val="tx1"/>
                  </w14:solidFill>
                </w14:textFill>
              </w:rPr>
              <w:t>不提供招标文件纸质版</w:t>
            </w:r>
            <w:r>
              <w:rPr>
                <w:rFonts w:hint="eastAsia" w:ascii="仿宋_GB2312" w:hAnsi="仿宋" w:eastAsia="仿宋_GB2312"/>
                <w:color w:val="000000" w:themeColor="text1"/>
                <w14:textFill>
                  <w14:solidFill>
                    <w14:schemeClr w14:val="tx1"/>
                  </w14:solidFill>
                </w14:textFill>
              </w:rPr>
              <w:t>；</w:t>
            </w:r>
            <w:r>
              <w:rPr>
                <w:rFonts w:hint="eastAsia" w:ascii="仿宋_GB2312" w:hAnsi="仿宋" w:eastAsia="仿宋_GB2312" w:cs="仿宋_GB2312"/>
                <w:color w:val="000000" w:themeColor="text1"/>
                <w14:textFill>
                  <w14:solidFill>
                    <w14:schemeClr w14:val="tx1"/>
                  </w14:solidFill>
                </w14:textFill>
              </w:rPr>
              <w:t>⑧</w:t>
            </w:r>
            <w:r>
              <w:rPr>
                <w:rFonts w:ascii="仿宋_GB2312" w:hAnsi="仿宋" w:eastAsia="仿宋_GB2312" w:cs="仿宋_GB2312"/>
                <w:color w:val="000000" w:themeColor="text1"/>
                <w14:textFill>
                  <w14:solidFill>
                    <w14:schemeClr w14:val="tx1"/>
                  </w14:solidFill>
                </w14:textFill>
              </w:rPr>
              <w:t>投标文件的传输递交：投标人在投标截止时间前将加密的投标文件上传至政府采购云平台</w:t>
            </w:r>
            <w:r>
              <w:rPr>
                <w:rFonts w:hint="eastAsia" w:ascii="仿宋_GB2312" w:hAnsi="仿宋" w:eastAsia="仿宋_GB2312" w:cs="仿宋_GB2312"/>
                <w:color w:val="000000" w:themeColor="text1"/>
                <w14:textFill>
                  <w14:solidFill>
                    <w14:schemeClr w14:val="tx1"/>
                  </w14:solidFill>
                </w14:textFill>
              </w:rPr>
              <w:t>；</w:t>
            </w:r>
            <w:r>
              <w:rPr>
                <w:rFonts w:hint="eastAsia" w:ascii="仿宋_GB2312" w:hAnsi="仿宋" w:eastAsia="仿宋_GB2312"/>
                <w:color w:val="000000" w:themeColor="text1"/>
                <w14:textFill>
                  <w14:solidFill>
                    <w14:schemeClr w14:val="tx1"/>
                  </w14:solidFill>
                </w14:textFill>
              </w:rPr>
              <w:t>⑨</w:t>
            </w:r>
            <w:r>
              <w:rPr>
                <w:rFonts w:hint="eastAsia" w:ascii="仿宋_GB2312" w:hAnsi="仿宋" w:eastAsia="仿宋_GB2312" w:cs="仿宋_GB2312"/>
                <w:color w:val="000000" w:themeColor="text1"/>
                <w14:textFill>
                  <w14:solidFill>
                    <w14:schemeClr w14:val="tx1"/>
                  </w14:solidFill>
                </w14:textFill>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000000" w:themeColor="text1"/>
                <w14:textFill>
                  <w14:solidFill>
                    <w14:schemeClr w14:val="tx1"/>
                  </w14:solidFill>
                </w14:textFill>
              </w:rPr>
              <w:t>具体操作指南：详见政</w:t>
            </w:r>
            <w:r>
              <w:rPr>
                <w:rFonts w:hint="eastAsia" w:ascii="仿宋_GB2312" w:hAnsi="仿宋" w:eastAsia="仿宋_GB2312" w:cs="仿宋_GB2312"/>
                <w:color w:val="000000" w:themeColor="text1"/>
                <w14:textFill>
                  <w14:solidFill>
                    <w14:schemeClr w14:val="tx1"/>
                  </w14:solidFill>
                </w14:textFill>
              </w:rPr>
              <w:t>采云平台“服务中心</w:t>
            </w:r>
            <w:r>
              <w:rPr>
                <w:rFonts w:ascii="仿宋_GB2312" w:hAnsi="仿宋" w:eastAsia="仿宋_GB2312" w:cs="仿宋_GB2312"/>
                <w:color w:val="000000" w:themeColor="text1"/>
                <w14:textFill>
                  <w14:solidFill>
                    <w14:schemeClr w14:val="tx1"/>
                  </w14:solidFill>
                </w14:textFill>
              </w:rPr>
              <w:t>-帮助文档-项目采购-操作流程-电子招投标-政府采购项目电子交易管理操作指南-供应商”。</w:t>
            </w:r>
            <w:r>
              <w:rPr>
                <w:rFonts w:hint="eastAsia" w:ascii="仿宋_GB2312" w:hAnsi="新宋体" w:eastAsia="仿宋_GB2312"/>
                <w:color w:val="000000" w:themeColor="text1"/>
                <w:szCs w:val="24"/>
                <w14:textFill>
                  <w14:solidFill>
                    <w14:schemeClr w14:val="tx1"/>
                  </w14:solidFill>
                </w14:textFill>
              </w:rPr>
              <w:t>（3）招标文件公告期限与招标公告的公告期限一致。</w:t>
            </w:r>
          </w:p>
          <w:p>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七、对本次采购提出询问、质疑、投诉，请按以下方式联系</w:t>
            </w:r>
          </w:p>
          <w:p>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1.采购人信息：</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w:t>
            </w:r>
            <w:r>
              <w:rPr>
                <w:rFonts w:hint="eastAsia" w:ascii="仿宋_GB2312" w:hAnsi="新宋体" w:eastAsia="仿宋_GB2312"/>
                <w:color w:val="000000" w:themeColor="text1"/>
                <w:szCs w:val="24"/>
                <w:lang w:eastAsia="zh-CN"/>
                <w14:textFill>
                  <w14:solidFill>
                    <w14:schemeClr w14:val="tx1"/>
                  </w14:solidFill>
                </w14:textFill>
              </w:rPr>
              <w:t>绍兴市自然资源和规划局</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000000" w:themeColor="text1"/>
                <w:szCs w:val="24"/>
                <w14:textFill>
                  <w14:solidFill>
                    <w14:schemeClr w14:val="tx1"/>
                  </w14:solidFill>
                </w14:textFill>
              </w:rPr>
              <w:t>地</w:t>
            </w:r>
            <w:r>
              <w:rPr>
                <w:rFonts w:hint="eastAsia" w:ascii="仿宋_GB2312" w:hAnsi="新宋体" w:eastAsia="仿宋_GB2312"/>
                <w:color w:val="auto"/>
                <w:szCs w:val="24"/>
              </w:rPr>
              <w:t>址：绍兴市越城区解放大道99号</w:t>
            </w:r>
          </w:p>
          <w:p>
            <w:pPr>
              <w:pStyle w:val="98"/>
              <w:spacing w:afterLines="0" w:line="440" w:lineRule="exact"/>
              <w:ind w:firstLine="480"/>
              <w:rPr>
                <w:rFonts w:hint="eastAsia" w:ascii="仿宋_GB2312" w:hAnsi="新宋体" w:eastAsia="仿宋_GB2312"/>
                <w:color w:val="auto"/>
                <w:szCs w:val="24"/>
                <w:lang w:val="en-US" w:eastAsia="zh-CN"/>
              </w:rPr>
            </w:pPr>
            <w:r>
              <w:rPr>
                <w:rFonts w:hint="eastAsia" w:ascii="仿宋_GB2312" w:hAnsi="新宋体" w:eastAsia="仿宋_GB2312"/>
                <w:color w:val="auto"/>
                <w:szCs w:val="24"/>
              </w:rPr>
              <w:t>传真：</w:t>
            </w:r>
            <w:r>
              <w:rPr>
                <w:rFonts w:hint="eastAsia" w:ascii="仿宋_GB2312" w:hAnsi="新宋体" w:eastAsia="仿宋_GB2312"/>
                <w:color w:val="auto"/>
                <w:szCs w:val="24"/>
                <w:lang w:val="en-US" w:eastAsia="zh-CN"/>
              </w:rPr>
              <w:t>/</w:t>
            </w:r>
          </w:p>
          <w:p>
            <w:pPr>
              <w:pStyle w:val="98"/>
              <w:spacing w:afterLines="0" w:line="440" w:lineRule="exact"/>
              <w:ind w:firstLine="480"/>
              <w:rPr>
                <w:rFonts w:hint="eastAsia" w:ascii="仿宋_GB2312" w:hAnsi="新宋体" w:eastAsia="仿宋_GB2312"/>
                <w:color w:val="auto"/>
                <w:szCs w:val="24"/>
                <w:lang w:val="en-US" w:eastAsia="zh-CN"/>
              </w:rPr>
            </w:pPr>
            <w:r>
              <w:rPr>
                <w:rFonts w:hint="eastAsia" w:ascii="仿宋_GB2312" w:hAnsi="新宋体" w:eastAsia="仿宋_GB2312"/>
                <w:color w:val="auto"/>
                <w:szCs w:val="24"/>
              </w:rPr>
              <w:t>项目联系人（询问）：</w:t>
            </w:r>
            <w:r>
              <w:rPr>
                <w:rFonts w:hint="eastAsia" w:ascii="仿宋_GB2312" w:hAnsi="新宋体" w:eastAsia="仿宋_GB2312"/>
                <w:color w:val="auto"/>
                <w:szCs w:val="24"/>
                <w:lang w:eastAsia="zh-CN"/>
              </w:rPr>
              <w:t>梁作前</w:t>
            </w:r>
          </w:p>
          <w:p>
            <w:pPr>
              <w:pStyle w:val="98"/>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项目联系方式（询问）：</w:t>
            </w:r>
            <w:r>
              <w:rPr>
                <w:rFonts w:hint="eastAsia" w:ascii="仿宋_GB2312" w:hAnsi="新宋体" w:eastAsia="仿宋_GB2312"/>
                <w:color w:val="auto"/>
                <w:szCs w:val="24"/>
                <w:lang w:val="en-US" w:eastAsia="zh-CN"/>
              </w:rPr>
              <w:t>0575-89175040</w:t>
            </w:r>
          </w:p>
          <w:p>
            <w:pPr>
              <w:pStyle w:val="98"/>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质疑联系人：裘国浩</w:t>
            </w:r>
          </w:p>
          <w:p>
            <w:pPr>
              <w:pStyle w:val="9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质疑联系方式：0575-85112606</w:t>
            </w:r>
          </w:p>
          <w:p>
            <w:pPr>
              <w:pStyle w:val="98"/>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2.采购代理机构信息：</w:t>
            </w:r>
            <w:r>
              <w:rPr>
                <w:rFonts w:ascii="仿宋_GB2312" w:hAnsi="新宋体" w:eastAsia="仿宋_GB2312"/>
                <w:b/>
                <w:color w:val="auto"/>
                <w:szCs w:val="24"/>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w:t>
            </w:r>
            <w:r>
              <w:rPr>
                <w:rFonts w:hint="eastAsia" w:ascii="仿宋_GB2312" w:hAnsi="新宋体" w:eastAsia="仿宋_GB2312"/>
                <w:color w:val="000000" w:themeColor="text1"/>
                <w:szCs w:val="24"/>
                <w:lang w:eastAsia="zh-CN"/>
                <w14:textFill>
                  <w14:solidFill>
                    <w14:schemeClr w14:val="tx1"/>
                  </w14:solidFill>
                </w14:textFill>
              </w:rPr>
              <w:t>浙江华诚工程管理有限公司</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w:t>
            </w:r>
            <w:r>
              <w:rPr>
                <w:rFonts w:hint="eastAsia" w:ascii="仿宋_GB2312" w:hAnsi="新宋体" w:eastAsia="仿宋_GB2312"/>
                <w:color w:val="000000" w:themeColor="text1"/>
                <w:szCs w:val="24"/>
                <w:lang w:eastAsia="zh-CN"/>
                <w14:textFill>
                  <w14:solidFill>
                    <w14:schemeClr w14:val="tx1"/>
                  </w14:solidFill>
                </w14:textFill>
              </w:rPr>
              <w:t>罗东公寓</w:t>
            </w:r>
            <w:r>
              <w:rPr>
                <w:rFonts w:hint="eastAsia" w:ascii="仿宋_GB2312" w:hAnsi="新宋体" w:eastAsia="仿宋_GB2312"/>
                <w:color w:val="000000" w:themeColor="text1"/>
                <w:szCs w:val="24"/>
                <w:lang w:val="en-US" w:eastAsia="zh-CN"/>
                <w14:textFill>
                  <w14:solidFill>
                    <w14:schemeClr w14:val="tx1"/>
                  </w14:solidFill>
                </w14:textFill>
              </w:rPr>
              <w:t>22幢203</w:t>
            </w:r>
            <w:r>
              <w:rPr>
                <w:rFonts w:hint="eastAsia" w:ascii="仿宋_GB2312" w:hAnsi="新宋体" w:eastAsia="仿宋_GB2312"/>
                <w:color w:val="000000" w:themeColor="text1"/>
                <w:szCs w:val="24"/>
                <w14:textFill>
                  <w14:solidFill>
                    <w14:schemeClr w14:val="tx1"/>
                  </w14:solidFill>
                </w14:textFill>
              </w:rPr>
              <w:t>室</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r>
              <w:rPr>
                <w:rFonts w:hint="eastAsia" w:ascii="仿宋_GB2312" w:hAnsi="新宋体" w:eastAsia="仿宋_GB2312"/>
                <w:color w:val="000000" w:themeColor="text1"/>
                <w:szCs w:val="24"/>
                <w:lang w:val="en-US" w:eastAsia="zh-CN"/>
                <w14:textFill>
                  <w14:solidFill>
                    <w14:schemeClr w14:val="tx1"/>
                  </w14:solidFill>
                </w14:textFill>
              </w:rPr>
              <w:t>/</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w:t>
            </w:r>
            <w:r>
              <w:rPr>
                <w:rFonts w:hint="eastAsia" w:ascii="仿宋_GB2312" w:hAnsi="新宋体" w:eastAsia="仿宋_GB2312"/>
                <w:color w:val="000000" w:themeColor="text1"/>
                <w:szCs w:val="24"/>
                <w:lang w:val="en-US" w:eastAsia="zh-CN"/>
                <w14:textFill>
                  <w14:solidFill>
                    <w14:schemeClr w14:val="tx1"/>
                  </w14:solidFill>
                </w14:textFill>
              </w:rPr>
              <w:t>黄雅萍</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hint="default" w:ascii="仿宋_GB2312" w:hAnsi="新宋体" w:eastAsia="仿宋_GB2312"/>
                <w:color w:val="000000" w:themeColor="text1"/>
                <w:szCs w:val="24"/>
                <w:lang w:val="en-US" w:eastAsia="zh-CN"/>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w:t>
            </w:r>
            <w:r>
              <w:rPr>
                <w:rFonts w:hint="eastAsia" w:ascii="仿宋_GB2312" w:hAnsi="新宋体" w:eastAsia="仿宋_GB2312"/>
                <w:color w:val="000000" w:themeColor="text1"/>
                <w:szCs w:val="24"/>
                <w:lang w:val="en-US" w:eastAsia="zh-CN"/>
                <w14:textFill>
                  <w14:solidFill>
                    <w14:schemeClr w14:val="tx1"/>
                  </w14:solidFill>
                </w14:textFill>
              </w:rPr>
              <w:t>13735205277</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w:t>
            </w:r>
            <w:r>
              <w:rPr>
                <w:rFonts w:hint="eastAsia" w:ascii="仿宋_GB2312" w:hAnsi="新宋体" w:eastAsia="仿宋_GB2312"/>
                <w:color w:val="000000" w:themeColor="text1"/>
                <w:szCs w:val="24"/>
                <w:lang w:eastAsia="zh-CN"/>
                <w14:textFill>
                  <w14:solidFill>
                    <w14:schemeClr w14:val="tx1"/>
                  </w14:solidFill>
                </w14:textFill>
              </w:rPr>
              <w:t>徐进</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质疑联系方式：13675759208　　　　　　</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3.同级政府采购监督管理部门：</w:t>
            </w:r>
            <w:r>
              <w:rPr>
                <w:rFonts w:ascii="仿宋_GB2312" w:hAnsi="新宋体" w:eastAsia="仿宋_GB2312"/>
                <w:b/>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名称：绍兴市财政局</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地址：绍兴市越城区凤林西路151号</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r>
              <w:rPr>
                <w:rFonts w:ascii="仿宋_GB2312" w:hAnsi="新宋体" w:eastAsia="仿宋_GB2312"/>
                <w:color w:val="000000" w:themeColor="text1"/>
                <w:szCs w:val="24"/>
                <w14:textFill>
                  <w14:solidFill>
                    <w14:schemeClr w14:val="tx1"/>
                  </w14:solidFill>
                </w14:textFill>
              </w:rPr>
              <w:t>0575-8520</w:t>
            </w:r>
            <w:r>
              <w:rPr>
                <w:rFonts w:hint="eastAsia" w:ascii="仿宋_GB2312" w:hAnsi="新宋体" w:eastAsia="仿宋_GB2312"/>
                <w:color w:val="000000" w:themeColor="text1"/>
                <w:szCs w:val="24"/>
                <w14:textFill>
                  <w14:solidFill>
                    <w14:schemeClr w14:val="tx1"/>
                  </w14:solidFill>
                </w14:textFill>
              </w:rPr>
              <w:t>9697</w:t>
            </w:r>
            <w:r>
              <w:rPr>
                <w:rFonts w:ascii="仿宋_GB2312" w:hAnsi="新宋体" w:eastAsia="仿宋_GB2312"/>
                <w:color w:val="000000" w:themeColor="text1"/>
                <w:szCs w:val="24"/>
                <w14:textFill>
                  <w14:solidFill>
                    <w14:schemeClr w14:val="tx1"/>
                  </w14:solidFill>
                </w14:textFill>
              </w:rPr>
              <w:t>       </w:t>
            </w:r>
          </w:p>
          <w:p>
            <w:pPr>
              <w:pStyle w:val="98"/>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联系人 ：张婷婷      </w:t>
            </w:r>
          </w:p>
          <w:p>
            <w:pPr>
              <w:pStyle w:val="98"/>
              <w:wordWrap w:val="0"/>
              <w:spacing w:after="12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监督投诉电话：</w:t>
            </w:r>
            <w:r>
              <w:rPr>
                <w:rFonts w:ascii="仿宋_GB2312" w:hAnsi="新宋体" w:eastAsia="仿宋_GB2312"/>
                <w:color w:val="000000" w:themeColor="text1"/>
                <w:szCs w:val="24"/>
                <w14:textFill>
                  <w14:solidFill>
                    <w14:schemeClr w14:val="tx1"/>
                  </w14:solidFill>
                </w14:textFill>
              </w:rPr>
              <w:t>0575-8520</w:t>
            </w:r>
            <w:r>
              <w:rPr>
                <w:rFonts w:hint="eastAsia" w:ascii="仿宋_GB2312" w:hAnsi="新宋体" w:eastAsia="仿宋_GB2312"/>
                <w:color w:val="000000" w:themeColor="text1"/>
                <w:szCs w:val="24"/>
                <w14:textFill>
                  <w14:solidFill>
                    <w14:schemeClr w14:val="tx1"/>
                  </w14:solidFill>
                </w14:textFill>
              </w:rPr>
              <w:t>9697    </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 xml:space="preserve">若对项目采购电子交易系统操作有疑问，可登录政采云（https://www.zcygov.cn/），点击右侧咨询小采，获取采小蜜智能服务管家帮助，或拨打政采云服务热线95763获取热线服务帮助。        </w:t>
            </w:r>
          </w:p>
          <w:p>
            <w:pPr>
              <w:pStyle w:val="98"/>
              <w:wordWrap w:val="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color w:val="000000" w:themeColor="text1"/>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w:t>
            </w:r>
          </w:p>
        </w:tc>
      </w:tr>
    </w:tbl>
    <w:p>
      <w:pPr>
        <w:widowControl/>
        <w:jc w:val="left"/>
        <w:rPr>
          <w:rFonts w:ascii="仿宋_GB2312" w:hAnsi="新宋体" w:eastAsia="仿宋_GB2312"/>
          <w:color w:val="000000" w:themeColor="text1"/>
          <w:kern w:val="0"/>
          <w:sz w:val="24"/>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p>
      <w:pPr>
        <w:pageBreakBefore/>
        <w:ind w:left="238"/>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pPr>
        <w:ind w:left="238"/>
        <w:jc w:val="center"/>
        <w:rPr>
          <w:rFonts w:ascii="仿宋_GB2312" w:hAnsi="宋体" w:eastAsia="仿宋_GB2312"/>
          <w:b/>
          <w:color w:val="000000" w:themeColor="text1"/>
          <w:sz w:val="30"/>
          <w:szCs w:val="36"/>
          <w14:textFill>
            <w14:solidFill>
              <w14:schemeClr w14:val="tx1"/>
            </w14:solidFill>
          </w14:textFill>
        </w:rPr>
      </w:pPr>
      <w:bookmarkStart w:id="0" w:name="_Hlk47616320"/>
      <w:r>
        <w:rPr>
          <w:rFonts w:hint="eastAsia" w:ascii="仿宋_GB2312" w:hAnsi="宋体" w:eastAsia="仿宋_GB2312"/>
          <w:b/>
          <w:color w:val="000000" w:themeColor="text1"/>
          <w:sz w:val="30"/>
          <w:szCs w:val="36"/>
          <w14:textFill>
            <w14:solidFill>
              <w14:schemeClr w14:val="tx1"/>
            </w14:solidFill>
          </w14:textFill>
        </w:rPr>
        <w:t>前附表</w:t>
      </w:r>
    </w:p>
    <w:tbl>
      <w:tblPr>
        <w:tblStyle w:val="64"/>
        <w:tblW w:w="9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932"/>
        <w:gridCol w:w="7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序号</w:t>
            </w:r>
          </w:p>
        </w:tc>
        <w:tc>
          <w:tcPr>
            <w:tcW w:w="8490" w:type="dxa"/>
            <w:gridSpan w:val="2"/>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p>
        </w:tc>
        <w:tc>
          <w:tcPr>
            <w:tcW w:w="8490" w:type="dxa"/>
            <w:gridSpan w:val="2"/>
            <w:vAlign w:val="center"/>
          </w:tcPr>
          <w:p>
            <w:pPr>
              <w:snapToGrid w:val="0"/>
              <w:spacing w:line="440" w:lineRule="exact"/>
              <w:rPr>
                <w:rFonts w:ascii="仿宋_GB2312" w:hAnsi="仿宋_GB2312" w:eastAsia="仿宋_GB2312" w:cs="仿宋_GB2312"/>
                <w:color w:val="000000" w:themeColor="text1"/>
                <w:sz w:val="24"/>
                <w:u w:val="single"/>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ascii="仿宋_GB2312" w:hAnsi="宋体" w:eastAsia="仿宋_GB2312"/>
                <w:b/>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w:t>
            </w:r>
          </w:p>
        </w:tc>
        <w:tc>
          <w:tcPr>
            <w:tcW w:w="8490" w:type="dxa"/>
            <w:gridSpan w:val="2"/>
            <w:vAlign w:val="center"/>
          </w:tcPr>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资格审查方式：</w:t>
            </w:r>
          </w:p>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1.资格后审。</w:t>
            </w:r>
          </w:p>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w:t>
            </w:r>
          </w:p>
        </w:tc>
        <w:tc>
          <w:tcPr>
            <w:tcW w:w="8490" w:type="dxa"/>
            <w:gridSpan w:val="2"/>
            <w:vAlign w:val="center"/>
          </w:tcPr>
          <w:p>
            <w:pPr>
              <w:autoSpaceDE w:val="0"/>
              <w:autoSpaceDN w:val="0"/>
              <w:spacing w:line="440" w:lineRule="exact"/>
              <w:textAlignment w:val="bottom"/>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投标有效期：</w:t>
            </w:r>
            <w:r>
              <w:rPr>
                <w:rFonts w:hint="eastAsia" w:ascii="仿宋_GB2312" w:hAnsi="仿宋" w:eastAsia="仿宋_GB2312" w:cs="仿宋_GB2312"/>
                <w:color w:val="000000" w:themeColor="text1"/>
                <w:sz w:val="24"/>
                <w14:textFill>
                  <w14:solidFill>
                    <w14:schemeClr w14:val="tx1"/>
                  </w14:solidFill>
                </w14:textFill>
              </w:rPr>
              <w:t>投标有效期为从提交投标文件的截止之日起90天。</w:t>
            </w:r>
            <w:r>
              <w:rPr>
                <w:rFonts w:hint="eastAsia" w:ascii="仿宋_GB2312" w:hAnsi="仿宋" w:eastAsia="仿宋_GB2312" w:cs="仿宋_GB2312"/>
                <w:b/>
                <w:color w:val="000000" w:themeColor="text1"/>
                <w:sz w:val="24"/>
                <w14:textFill>
                  <w14:solidFill>
                    <w14:schemeClr w14:val="tx1"/>
                  </w14:solidFill>
                </w14:textFill>
              </w:rPr>
              <w:t>投标人的投标文件中承</w:t>
            </w:r>
            <w:r>
              <w:rPr>
                <w:rFonts w:hint="eastAsia" w:ascii="仿宋_GB2312" w:hAnsi="仿宋" w:eastAsia="仿宋_GB2312" w:cs="仿宋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w:t>
            </w:r>
          </w:p>
        </w:tc>
        <w:tc>
          <w:tcPr>
            <w:tcW w:w="8490" w:type="dxa"/>
            <w:gridSpan w:val="2"/>
            <w:vAlign w:val="center"/>
          </w:tcPr>
          <w:p>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转包：</w:t>
            </w:r>
            <w:r>
              <w:rPr>
                <w:rFonts w:hint="eastAsia" w:ascii="仿宋_GB2312" w:hAnsi="仿宋" w:eastAsia="仿宋_GB2312" w:cs="仿宋_GB2312"/>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5</w:t>
            </w:r>
          </w:p>
        </w:tc>
        <w:tc>
          <w:tcPr>
            <w:tcW w:w="8490" w:type="dxa"/>
            <w:gridSpan w:val="2"/>
            <w:vAlign w:val="center"/>
          </w:tcPr>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分包：</w:t>
            </w:r>
            <w:r>
              <w:rPr>
                <w:rFonts w:ascii="MS Gothic" w:hAnsi="MS Gothic" w:eastAsia="MS Gothic"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同意将非主体、非关键性的</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工作分包。</w:t>
            </w:r>
          </w:p>
          <w:p>
            <w:pPr>
              <w:spacing w:line="440" w:lineRule="exact"/>
              <w:ind w:firstLine="720" w:firstLineChars="300"/>
              <w:rPr>
                <w:rFonts w:ascii="仿宋_GB2312" w:hAnsi="仿宋" w:eastAsia="仿宋_GB2312" w:cs="仿宋_GB2312"/>
                <w:b/>
                <w:color w:val="000000" w:themeColor="text1"/>
                <w:sz w:val="24"/>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sym w:font="Wingdings" w:char="F0FE"/>
            </w:r>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6</w:t>
            </w:r>
          </w:p>
        </w:tc>
        <w:tc>
          <w:tcPr>
            <w:tcW w:w="8490" w:type="dxa"/>
            <w:gridSpan w:val="2"/>
            <w:vAlign w:val="center"/>
          </w:tcPr>
          <w:p>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投标文件份数：</w:t>
            </w:r>
            <w:r>
              <w:rPr>
                <w:rFonts w:hint="eastAsia" w:ascii="仿宋_GB2312" w:hAnsi="宋体" w:eastAsia="仿宋_GB2312"/>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7</w:t>
            </w:r>
          </w:p>
        </w:tc>
        <w:tc>
          <w:tcPr>
            <w:tcW w:w="8490" w:type="dxa"/>
            <w:gridSpan w:val="2"/>
            <w:vAlign w:val="center"/>
          </w:tcPr>
          <w:p>
            <w:pPr>
              <w:autoSpaceDE w:val="0"/>
              <w:autoSpaceDN w:val="0"/>
              <w:spacing w:line="440" w:lineRule="exact"/>
              <w:textAlignment w:val="bottom"/>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开标前答疑会或现场考察：</w:t>
            </w:r>
          </w:p>
          <w:p>
            <w:pPr>
              <w:spacing w:line="360" w:lineRule="auto"/>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9"/>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00FE"/>
                </w:r>
              </w:sdtContent>
            </w:sdt>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不组织。</w:t>
            </w:r>
          </w:p>
          <w:p>
            <w:pPr>
              <w:autoSpaceDE w:val="0"/>
              <w:autoSpaceDN w:val="0"/>
              <w:spacing w:line="440" w:lineRule="exact"/>
              <w:textAlignment w:val="bottom"/>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10"/>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ascii="仿宋_GB2312" w:hAnsi="仿宋" w:eastAsia="仿宋_GB2312"/>
                <w:color w:val="000000" w:themeColor="text1"/>
                <w:kern w:val="0"/>
                <w:sz w:val="24"/>
                <w14:textFill>
                  <w14:solidFill>
                    <w14:schemeClr w14:val="tx1"/>
                  </w14:solidFill>
                </w14:textFill>
              </w:rPr>
              <w:t>B组织，</w:t>
            </w:r>
            <w:r>
              <w:rPr>
                <w:rFonts w:hint="eastAsia" w:ascii="仿宋_GB2312" w:hAnsi="仿宋" w:eastAsia="仿宋_GB2312"/>
                <w:color w:val="000000" w:themeColor="text1"/>
                <w:sz w:val="24"/>
                <w14:textFill>
                  <w14:solidFill>
                    <w14:schemeClr w14:val="tx1"/>
                  </w14:solidFill>
                </w14:textFill>
              </w:rPr>
              <w:t>时间：</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,地点：</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，联系人：</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，联系方式：</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新宋体" w:eastAsia="仿宋_GB2312"/>
                <w:color w:val="000000" w:themeColor="text1"/>
                <w14:textFill>
                  <w14:solidFill>
                    <w14:schemeClr w14:val="tx1"/>
                  </w14:solidFill>
                </w14:textFill>
              </w:rPr>
              <w:t xml:space="preserve"> </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8</w:t>
            </w:r>
          </w:p>
        </w:tc>
        <w:tc>
          <w:tcPr>
            <w:tcW w:w="8490" w:type="dxa"/>
            <w:gridSpan w:val="2"/>
            <w:vAlign w:val="center"/>
          </w:tcPr>
          <w:p>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样品提供：</w:t>
            </w:r>
          </w:p>
          <w:p>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1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8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sym w:font="Wingdings" w:char="F0FE"/>
                    </w:r>
                  </w:sdtContent>
                </w:sdt>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不要求提供。</w:t>
            </w:r>
          </w:p>
          <w:p>
            <w:pPr>
              <w:spacing w:line="440" w:lineRule="exact"/>
              <w:rPr>
                <w:rFonts w:ascii="仿宋_GB2312" w:hAnsi="仿宋" w:eastAsia="仿宋_GB2312"/>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683198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kern w:val="0"/>
                <w:sz w:val="24"/>
                <w14:textFill>
                  <w14:solidFill>
                    <w14:schemeClr w14:val="tx1"/>
                  </w14:solidFill>
                </w14:textFill>
              </w:rPr>
              <w:t>B要求提供，</w:t>
            </w:r>
          </w:p>
          <w:p>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（1）</w:t>
            </w:r>
            <w:r>
              <w:rPr>
                <w:rFonts w:hint="eastAsia" w:ascii="仿宋_GB2312" w:hAnsi="仿宋" w:eastAsia="仿宋_GB2312"/>
                <w:snapToGrid w:val="0"/>
                <w:color w:val="000000" w:themeColor="text1"/>
                <w:kern w:val="28"/>
                <w:sz w:val="24"/>
                <w14:textFill>
                  <w14:solidFill>
                    <w14:schemeClr w14:val="tx1"/>
                  </w14:solidFill>
                </w14:textFill>
              </w:rPr>
              <w:t>样品：</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（2）</w:t>
            </w:r>
            <w:r>
              <w:rPr>
                <w:rFonts w:hint="eastAsia" w:ascii="仿宋_GB2312" w:hAnsi="仿宋" w:eastAsia="仿宋_GB2312"/>
                <w:snapToGrid w:val="0"/>
                <w:color w:val="000000" w:themeColor="text1"/>
                <w:kern w:val="28"/>
                <w:sz w:val="24"/>
                <w14:textFill>
                  <w14:solidFill>
                    <w14:schemeClr w14:val="tx1"/>
                  </w14:solidFill>
                </w14:textFill>
              </w:rPr>
              <w:t>样品制作的标准和要求：</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（3）样品的评审方法以及评审标准</w:t>
            </w:r>
            <w:r>
              <w:rPr>
                <w:rFonts w:hint="eastAsia" w:ascii="仿宋_GB2312" w:hAnsi="仿宋" w:eastAsia="仿宋_GB2312"/>
                <w:snapToGrid w:val="0"/>
                <w:color w:val="000000" w:themeColor="text1"/>
                <w:kern w:val="28"/>
                <w:sz w:val="24"/>
                <w14:textFill>
                  <w14:solidFill>
                    <w14:schemeClr w14:val="tx1"/>
                  </w14:solidFill>
                </w14:textFill>
              </w:rPr>
              <w:t>：详见</w:t>
            </w:r>
            <w:r>
              <w:rPr>
                <w:rFonts w:hint="eastAsia" w:ascii="仿宋_GB2312" w:hAnsi="仿宋" w:eastAsia="仿宋_GB2312"/>
                <w:snapToGrid w:val="0"/>
                <w:color w:val="000000" w:themeColor="text1"/>
                <w:kern w:val="28"/>
                <w:sz w:val="24"/>
                <w:u w:val="single"/>
                <w14:textFill>
                  <w14:solidFill>
                    <w14:schemeClr w14:val="tx1"/>
                  </w14:solidFill>
                </w14:textFill>
              </w:rPr>
              <w:t xml:space="preserve">   </w:t>
            </w:r>
            <w:r>
              <w:rPr>
                <w:rFonts w:hint="eastAsia" w:ascii="仿宋_GB2312" w:hAnsi="仿宋" w:eastAsia="仿宋_GB2312"/>
                <w:color w:val="000000" w:themeColor="text1"/>
                <w:sz w:val="24"/>
                <w:u w:val="single"/>
                <w14:textFill>
                  <w14:solidFill>
                    <w14:schemeClr w14:val="tx1"/>
                  </w14:solidFill>
                </w14:textFill>
              </w:rPr>
              <w:t xml:space="preserve">评标办法   </w:t>
            </w:r>
            <w:r>
              <w:rPr>
                <w:rFonts w:hint="eastAsia" w:ascii="仿宋_GB2312" w:hAnsi="仿宋" w:eastAsia="仿宋_GB2312"/>
                <w:color w:val="000000" w:themeColor="text1"/>
                <w:kern w:val="0"/>
                <w:sz w:val="24"/>
                <w14:textFill>
                  <w14:solidFill>
                    <w14:schemeClr w14:val="tx1"/>
                  </w14:solidFill>
                </w14:textFill>
              </w:rPr>
              <w:t>；</w:t>
            </w:r>
          </w:p>
          <w:p>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（4）是否需要随样品提交检测报告：</w:t>
            </w:r>
            <w:sdt>
              <w:sdtPr>
                <w:rPr>
                  <w:rFonts w:hint="eastAsia" w:ascii="仿宋_GB2312" w:hAnsi="仿宋" w:eastAsia="仿宋_GB2312" w:cs="Arial"/>
                  <w:color w:val="000000" w:themeColor="text1"/>
                  <w:kern w:val="0"/>
                  <w:sz w:val="24"/>
                  <w14:textFill>
                    <w14:solidFill>
                      <w14:schemeClr w14:val="tx1"/>
                    </w14:solidFill>
                  </w14:textFill>
                </w:rPr>
                <w:id w:val="1303421454"/>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否</w:t>
            </w:r>
            <w:r>
              <w:rPr>
                <w:rFonts w:hint="eastAsia" w:ascii="仿宋_GB2312" w:hAnsi="仿宋" w:eastAsia="仿宋_GB2312"/>
                <w:color w:val="000000" w:themeColor="text1"/>
                <w:kern w:val="0"/>
                <w:sz w:val="24"/>
                <w14:textFill>
                  <w14:solidFill>
                    <w14:schemeClr w14:val="tx1"/>
                  </w14:solidFill>
                </w14:textFill>
              </w:rPr>
              <w:t>；</w:t>
            </w:r>
            <w:sdt>
              <w:sdtPr>
                <w:rPr>
                  <w:rFonts w:hint="eastAsia" w:ascii="仿宋_GB2312" w:hAnsi="仿宋" w:eastAsia="仿宋_GB2312" w:cs="Arial"/>
                  <w:color w:val="000000" w:themeColor="text1"/>
                  <w:kern w:val="0"/>
                  <w:sz w:val="24"/>
                  <w14:textFill>
                    <w14:solidFill>
                      <w14:schemeClr w14:val="tx1"/>
                    </w14:solidFill>
                  </w14:textFill>
                </w:rPr>
                <w:id w:val="162172843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1474232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kern w:val="0"/>
                <w:sz w:val="24"/>
                <w14:textFill>
                  <w14:solidFill>
                    <w14:schemeClr w14:val="tx1"/>
                  </w14:solidFill>
                </w14:textFill>
              </w:rPr>
              <w:t>是，检测机构的要求</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；检测内容</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（5）提供样品的时间：</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；地点：</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；联系人</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kern w:val="28"/>
                <w:sz w:val="24"/>
                <w14:textFill>
                  <w14:solidFill>
                    <w14:schemeClr w14:val="tx1"/>
                  </w14:solidFill>
                </w14:textFill>
              </w:rPr>
              <w:t>联系电话：</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9</w:t>
            </w:r>
          </w:p>
        </w:tc>
        <w:tc>
          <w:tcPr>
            <w:tcW w:w="8490" w:type="dxa"/>
            <w:gridSpan w:val="2"/>
            <w:vAlign w:val="center"/>
          </w:tcPr>
          <w:p>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80173153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1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sym w:font="Wingdings" w:char="00FE"/>
                    </w:r>
                  </w:sdtContent>
                </w:sdt>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无方案讲解演示。</w:t>
            </w:r>
          </w:p>
          <w:p>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MS Gothic" w:eastAsia="仿宋_GB2312" w:cs="Arial"/>
                <w:color w:val="000000" w:themeColor="text1"/>
                <w:kern w:val="0"/>
                <w:sz w:val="24"/>
                <w14:textFill>
                  <w14:solidFill>
                    <w14:schemeClr w14:val="tx1"/>
                  </w14:solidFill>
                </w14:textFill>
              </w:rPr>
              <w:t>□</w:t>
            </w:r>
            <w:r>
              <w:rPr>
                <w:rFonts w:hint="eastAsia" w:ascii="仿宋_GB2312" w:hAnsi="仿宋" w:eastAsia="仿宋_GB2312"/>
                <w:color w:val="000000" w:themeColor="text1"/>
                <w:kern w:val="0"/>
                <w:sz w:val="24"/>
                <w14:textFill>
                  <w14:solidFill>
                    <w14:schemeClr w14:val="tx1"/>
                  </w14:solidFill>
                </w14:textFill>
              </w:rPr>
              <w:t>B有方案讲解演示：</w:t>
            </w:r>
          </w:p>
          <w:p>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_GB2312" w:hAnsi="仿宋" w:eastAsia="仿宋_GB2312" w:cs="仿宋"/>
                <w:color w:val="000000" w:themeColor="text1"/>
                <w:sz w:val="24"/>
                <w:u w:val="single"/>
                <w:lang w:val="zh-CN"/>
                <w14:textFill>
                  <w14:solidFill>
                    <w14:schemeClr w14:val="tx1"/>
                  </w14:solidFill>
                </w14:textFill>
              </w:rPr>
              <w:t>15</w:t>
            </w:r>
            <w:r>
              <w:rPr>
                <w:rFonts w:hint="eastAsia" w:ascii="仿宋_GB2312" w:hAnsi="仿宋" w:eastAsia="仿宋_GB2312"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（2）方案讲解演示可选择以下其中一种方式：</w:t>
            </w:r>
          </w:p>
          <w:p>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1445939"/>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14:textFill>
                      <w14:solidFill>
                        <w14:schemeClr w14:val="tx1"/>
                      </w14:solidFill>
                    </w14:textFill>
                  </w:rPr>
                  <w:t>□</w:t>
                </w:r>
              </w:sdtContent>
            </w:sdt>
            <w:r>
              <w:rPr>
                <w:rFonts w:hint="eastAsia" w:ascii="仿宋_GB2312" w:hAnsi="仿宋" w:eastAsia="仿宋_GB2312"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val="zh-CN"/>
                <w14:textFill>
                  <w14:solidFill>
                    <w14:schemeClr w14:val="tx1"/>
                  </w14:solidFill>
                </w14:textFill>
              </w:rPr>
              <w:t>方式二：现场讲解演示。现场讲解地点为</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讲解演示人员不超过</w:t>
            </w:r>
            <w:r>
              <w:rPr>
                <w:rFonts w:hint="eastAsia" w:ascii="仿宋_GB2312" w:hAnsi="仿宋" w:eastAsia="仿宋_GB2312" w:cs="仿宋"/>
                <w:color w:val="000000" w:themeColor="text1"/>
                <w:kern w:val="0"/>
                <w:sz w:val="24"/>
                <w:u w:val="single"/>
                <w14:textFill>
                  <w14:solidFill>
                    <w14:schemeClr w14:val="tx1"/>
                  </w14:solidFill>
                </w14:textFill>
              </w:rPr>
              <w:t xml:space="preserve"> 3 </w:t>
            </w:r>
            <w:r>
              <w:rPr>
                <w:rFonts w:hint="eastAsia" w:ascii="仿宋_GB2312" w:hAnsi="仿宋" w:eastAsia="仿宋_GB2312" w:cs="仿宋"/>
                <w:color w:val="000000" w:themeColor="text1"/>
                <w:kern w:val="0"/>
                <w:sz w:val="24"/>
                <w:lang w:val="zh-CN"/>
                <w14:textFill>
                  <w14:solidFill>
                    <w14:schemeClr w14:val="tx1"/>
                  </w14:solidFill>
                </w14:textFill>
              </w:rPr>
              <w:t>人。</w:t>
            </w:r>
            <w:r>
              <w:rPr>
                <w:rFonts w:hint="eastAsia" w:ascii="仿宋_GB2312" w:hAnsi="仿宋" w:eastAsia="仿宋_GB2312"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10</w:t>
            </w:r>
          </w:p>
        </w:tc>
        <w:tc>
          <w:tcPr>
            <w:tcW w:w="932" w:type="dxa"/>
            <w:vAlign w:val="center"/>
          </w:tcPr>
          <w:p>
            <w:pPr>
              <w:snapToGrid w:val="0"/>
              <w:spacing w:line="440" w:lineRule="exact"/>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进口产品</w:t>
            </w:r>
          </w:p>
        </w:tc>
        <w:tc>
          <w:tcPr>
            <w:tcW w:w="7558" w:type="dxa"/>
            <w:vAlign w:val="center"/>
          </w:tcPr>
          <w:p>
            <w:pPr>
              <w:spacing w:line="360" w:lineRule="auto"/>
              <w:rPr>
                <w:rFonts w:ascii="仿宋_GB2312" w:hAnsi="仿宋" w:eastAsia="仿宋_GB2312" w:cs="Arial"/>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20"/>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hint="eastAsia" w:ascii="仿宋_GB2312" w:hAnsi="仿宋" w:eastAsia="仿宋_GB2312" w:cs="Arial"/>
                <w:color w:val="000000" w:themeColor="text1"/>
                <w:kern w:val="0"/>
                <w:sz w:val="24"/>
                <w14:textFill>
                  <w14:solidFill>
                    <w14:schemeClr w14:val="tx1"/>
                  </w14:solidFill>
                </w14:textFill>
              </w:rPr>
              <w:t>本项目不允许采购进口产品。</w:t>
            </w:r>
          </w:p>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2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w:t>
            </w:r>
          </w:p>
        </w:tc>
        <w:tc>
          <w:tcPr>
            <w:tcW w:w="932" w:type="dxa"/>
            <w:vAlign w:val="center"/>
          </w:tcPr>
          <w:p>
            <w:pPr>
              <w:snapToGrid w:val="0"/>
              <w:ind w:left="-3" w:leftChars="-8" w:right="-50" w:rightChars="-24" w:hanging="14" w:hangingChars="7"/>
              <w:rPr>
                <w:rFonts w:ascii="仿宋_GB2312" w:hAnsi="仿宋_GB2312" w:eastAsia="仿宋_GB2312" w:cs="仿宋_GB2312"/>
                <w:b/>
                <w:color w:val="000000" w:themeColor="text1"/>
                <w:spacing w:val="-20"/>
                <w:sz w:val="24"/>
                <w14:textFill>
                  <w14:solidFill>
                    <w14:schemeClr w14:val="tx1"/>
                  </w14:solidFill>
                </w14:textFill>
              </w:rPr>
            </w:pPr>
            <w:r>
              <w:rPr>
                <w:rFonts w:hint="eastAsia" w:ascii="仿宋_GB2312" w:hAnsi="仿宋_GB2312" w:eastAsia="仿宋_GB2312" w:cs="仿宋_GB2312"/>
                <w:b/>
                <w:color w:val="000000" w:themeColor="text1"/>
                <w:spacing w:val="-20"/>
                <w:sz w:val="24"/>
                <w14:textFill>
                  <w14:solidFill>
                    <w14:schemeClr w14:val="tx1"/>
                  </w14:solidFill>
                </w14:textFill>
              </w:rPr>
              <w:t>项目属性与核心产品</w:t>
            </w:r>
          </w:p>
        </w:tc>
        <w:tc>
          <w:tcPr>
            <w:tcW w:w="7558" w:type="dxa"/>
            <w:vAlign w:val="center"/>
          </w:tcPr>
          <w:p>
            <w:pPr>
              <w:spacing w:line="360" w:lineRule="auto"/>
              <w:rPr>
                <w:rFonts w:ascii="仿宋_GB2312" w:hAnsi="仿宋" w:eastAsia="仿宋_GB2312"/>
                <w:color w:val="000000" w:themeColor="text1"/>
                <w:sz w:val="24"/>
                <w14:textFill>
                  <w14:solidFill>
                    <w14:schemeClr w14:val="tx1"/>
                  </w14:solidFill>
                </w14:textFill>
              </w:rPr>
            </w:pPr>
            <w:r>
              <w:rPr>
                <w:rFonts w:ascii="MS Gothic" w:hAnsi="MS Gothic"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货物类，单一产品或</w:t>
            </w:r>
            <w:r>
              <w:rPr>
                <w:rFonts w:hint="eastAsia" w:ascii="仿宋_GB2312" w:hAnsi="仿宋" w:eastAsia="仿宋_GB2312"/>
                <w:color w:val="000000" w:themeColor="text1"/>
                <w:kern w:val="0"/>
                <w:sz w:val="24"/>
                <w14:textFill>
                  <w14:solidFill>
                    <w14:schemeClr w14:val="tx1"/>
                  </w14:solidFill>
                </w14:textFill>
              </w:rPr>
              <w:t>核心产品为：</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4748855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1872786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仿宋_GB2312" w:cs="Arial"/>
                        <w:color w:val="000000" w:themeColor="text1"/>
                        <w:kern w:val="0"/>
                        <w:sz w:val="24"/>
                        <w14:textFill>
                          <w14:solidFill>
                            <w14:schemeClr w14:val="tx1"/>
                          </w14:solidFill>
                        </w14:textFill>
                      </w:rPr>
                      <w:t></w:t>
                    </w:r>
                  </w:sdtContent>
                </w:sdt>
              </w:sdtContent>
            </w:sdt>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12</w:t>
            </w:r>
          </w:p>
        </w:tc>
        <w:tc>
          <w:tcPr>
            <w:tcW w:w="932" w:type="dxa"/>
            <w:vAlign w:val="center"/>
          </w:tcPr>
          <w:p>
            <w:pPr>
              <w:snapToGrid w:val="0"/>
              <w:ind w:left="-18" w:leftChars="-9" w:right="-50" w:rightChars="-24" w:hanging="1"/>
              <w:jc w:val="center"/>
              <w:rPr>
                <w:rFonts w:ascii="仿宋_GB2312" w:hAnsi="仿宋" w:eastAsia="仿宋_GB2312" w:cs="仿宋_GB2312"/>
                <w:b/>
                <w:color w:val="000000" w:themeColor="text1"/>
                <w:spacing w:val="-20"/>
                <w:sz w:val="24"/>
                <w14:textFill>
                  <w14:solidFill>
                    <w14:schemeClr w14:val="tx1"/>
                  </w14:solidFill>
                </w14:textFill>
              </w:rPr>
            </w:pPr>
            <w:r>
              <w:rPr>
                <w:rFonts w:hint="eastAsia" w:ascii="仿宋_GB2312" w:hAnsi="仿宋" w:eastAsia="仿宋_GB2312" w:cs="仿宋_GB2312"/>
                <w:b/>
                <w:color w:val="000000" w:themeColor="text1"/>
                <w:spacing w:val="-20"/>
                <w:sz w:val="24"/>
                <w14:textFill>
                  <w14:solidFill>
                    <w14:schemeClr w14:val="tx1"/>
                  </w14:solidFill>
                </w14:textFill>
              </w:rPr>
              <w:t>采购标的对应的中小企业划分标准所属行业</w:t>
            </w:r>
          </w:p>
        </w:tc>
        <w:tc>
          <w:tcPr>
            <w:tcW w:w="7558" w:type="dxa"/>
            <w:vAlign w:val="center"/>
          </w:tcPr>
          <w:p>
            <w:pPr>
              <w:snapToGrid w:val="0"/>
              <w:spacing w:line="360" w:lineRule="auto"/>
              <w:rPr>
                <w:color w:val="000000" w:themeColor="text1"/>
                <w14:textFill>
                  <w14:solidFill>
                    <w14:schemeClr w14:val="tx1"/>
                  </w14:solidFill>
                </w14:textFill>
              </w:rPr>
            </w:pPr>
            <w:r>
              <w:rPr>
                <w:rFonts w:hint="eastAsia" w:ascii="仿宋_GB2312" w:hAnsi="仿宋"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Arial"/>
                <w:color w:val="000000" w:themeColor="text1"/>
                <w:kern w:val="0"/>
                <w:sz w:val="24"/>
                <w:u w:val="single"/>
                <w14:textFill>
                  <w14:solidFill>
                    <w14:schemeClr w14:val="tx1"/>
                  </w14:solidFill>
                </w14:textFill>
              </w:rPr>
              <w:t xml:space="preserve">   </w:t>
            </w:r>
            <w:r>
              <w:rPr>
                <w:rFonts w:hint="eastAsia" w:ascii="仿宋_GB2312" w:hAnsi="仿宋" w:eastAsia="仿宋_GB2312" w:cs="Arial"/>
                <w:color w:val="000000" w:themeColor="text1"/>
                <w:kern w:val="0"/>
                <w:sz w:val="24"/>
                <w:highlight w:val="none"/>
                <w:u w:val="single"/>
                <w:lang w:eastAsia="zh-CN"/>
                <w14:textFill>
                  <w14:solidFill>
                    <w14:schemeClr w14:val="tx1"/>
                  </w14:solidFill>
                </w14:textFill>
              </w:rPr>
              <w:t>其他未列明</w:t>
            </w:r>
            <w:r>
              <w:rPr>
                <w:rFonts w:hint="eastAsia" w:ascii="仿宋_GB2312" w:hAnsi="仿宋" w:eastAsia="仿宋_GB2312" w:cs="Arial"/>
                <w:color w:val="000000" w:themeColor="text1"/>
                <w:kern w:val="0"/>
                <w:sz w:val="24"/>
                <w:highlight w:val="none"/>
                <w:u w:val="single"/>
                <w14:textFill>
                  <w14:solidFill>
                    <w14:schemeClr w14:val="tx1"/>
                  </w14:solidFill>
                </w14:textFill>
              </w:rPr>
              <w:t xml:space="preserve"> </w:t>
            </w:r>
            <w:r>
              <w:rPr>
                <w:rFonts w:hint="eastAsia" w:ascii="仿宋_GB2312" w:hAnsi="仿宋" w:eastAsia="仿宋_GB2312" w:cs="Arial"/>
                <w:color w:val="000000" w:themeColor="text1"/>
                <w:kern w:val="0"/>
                <w:sz w:val="24"/>
                <w:u w:val="single"/>
                <w14:textFill>
                  <w14:solidFill>
                    <w14:schemeClr w14:val="tx1"/>
                  </w14:solidFill>
                </w14:textFill>
              </w:rPr>
              <w:t xml:space="preserve">  </w:t>
            </w:r>
            <w:r>
              <w:rPr>
                <w:rFonts w:hint="eastAsia" w:ascii="仿宋_GB2312" w:hAnsi="仿宋" w:eastAsia="仿宋_GB2312" w:cs="Arial"/>
                <w:color w:val="000000" w:themeColor="text1"/>
                <w:kern w:val="0"/>
                <w:sz w:val="24"/>
                <w14:textFill>
                  <w14:solidFill>
                    <w14:schemeClr w14:val="tx1"/>
                  </w14:solidFill>
                </w14:textFill>
              </w:rPr>
              <w:t>行业；</w:t>
            </w:r>
            <w:r>
              <w:rPr>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restart"/>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14:textFill>
                  <w14:solidFill>
                    <w14:schemeClr w14:val="tx1"/>
                  </w14:solidFill>
                </w14:textFill>
              </w:rPr>
              <w:t>3</w:t>
            </w:r>
          </w:p>
        </w:tc>
        <w:tc>
          <w:tcPr>
            <w:tcW w:w="932" w:type="dxa"/>
            <w:vMerge w:val="restart"/>
            <w:vAlign w:val="center"/>
          </w:tcPr>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投标人信用信息事项</w:t>
            </w:r>
          </w:p>
        </w:tc>
        <w:tc>
          <w:tcPr>
            <w:tcW w:w="7558" w:type="dxa"/>
            <w:vAlign w:val="center"/>
          </w:tcPr>
          <w:p>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信用信息查询渠道及截止时间：</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000000" w:themeColor="text1"/>
                <w:sz w:val="24"/>
                <w14:textFill>
                  <w14:solidFill>
                    <w14:schemeClr w14:val="tx1"/>
                  </w14:solidFill>
                </w14:textFill>
              </w:rPr>
              <w:t>开标当天</w:t>
            </w:r>
            <w:r>
              <w:rPr>
                <w:rFonts w:hint="eastAsia" w:ascii="仿宋_GB2312" w:hAnsi="仿宋" w:eastAsia="仿宋_GB2312"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continue"/>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p>
        </w:tc>
        <w:tc>
          <w:tcPr>
            <w:tcW w:w="932" w:type="dxa"/>
            <w:vMerge w:val="continue"/>
            <w:vAlign w:val="center"/>
          </w:tcPr>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58" w:type="dxa"/>
            <w:vAlign w:val="center"/>
          </w:tcPr>
          <w:p>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信用信息查询记录和证据留存的具体方式：</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continue"/>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p>
        </w:tc>
        <w:tc>
          <w:tcPr>
            <w:tcW w:w="932" w:type="dxa"/>
            <w:vMerge w:val="continue"/>
            <w:vAlign w:val="center"/>
          </w:tcPr>
          <w:p>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58" w:type="dxa"/>
            <w:vAlign w:val="center"/>
          </w:tcPr>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信用信息的使用规则：</w:t>
            </w:r>
            <w:r>
              <w:rPr>
                <w:rFonts w:hint="eastAsia" w:ascii="仿宋_GB2312" w:hAnsi="仿宋" w:eastAsia="仿宋_GB2312"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14</w:t>
            </w:r>
          </w:p>
        </w:tc>
        <w:tc>
          <w:tcPr>
            <w:tcW w:w="8490" w:type="dxa"/>
            <w:gridSpan w:val="2"/>
            <w:vAlign w:val="center"/>
          </w:tcPr>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15</w:t>
            </w:r>
          </w:p>
        </w:tc>
        <w:tc>
          <w:tcPr>
            <w:tcW w:w="8490" w:type="dxa"/>
            <w:gridSpan w:val="2"/>
            <w:vAlign w:val="center"/>
          </w:tcPr>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16                                                                                                                                                                                                                                                                                                                                                                                                                                                                                                                                                                                                                                                                                                                                                                                                                                                                                                                                                                                                                                                                                                                                                                                                                                                                                                                                       </w:t>
            </w:r>
          </w:p>
        </w:tc>
        <w:tc>
          <w:tcPr>
            <w:tcW w:w="8490" w:type="dxa"/>
            <w:gridSpan w:val="2"/>
            <w:vAlign w:val="center"/>
          </w:tcPr>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投标与开标注意事项：</w:t>
            </w: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hint="eastAsia" w:ascii="仿宋_GB2312" w:hAnsi="仿宋" w:eastAsia="仿宋_GB2312" w:cs="仿宋"/>
                <w:color w:val="000000" w:themeColor="text1"/>
                <w:sz w:val="24"/>
                <w14:textFill>
                  <w14:solidFill>
                    <w14:schemeClr w14:val="tx1"/>
                  </w14:solidFill>
                </w14:textFill>
              </w:rPr>
            </w:pP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注：供应商CA相关操作可参考政采云平台</w:t>
            </w:r>
            <w:r>
              <w:rPr>
                <w:rFonts w:hint="eastAsia" w:ascii="仿宋_GB2312" w:hAnsi="仿宋" w:eastAsia="仿宋_GB2312" w:cs="仿宋"/>
                <w:color w:val="000000" w:themeColor="text1"/>
                <w14:textFill>
                  <w14:solidFill>
                    <w14:schemeClr w14:val="tx1"/>
                  </w14:solidFill>
                </w14:textFill>
              </w:rPr>
              <w:t>https://www.zcygov.cn/</w:t>
            </w:r>
            <w:r>
              <w:rPr>
                <w:rFonts w:hint="eastAsia" w:ascii="仿宋_GB2312" w:hAnsi="仿宋" w:eastAsia="仿宋_GB2312"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3.投标文件制作、递交、解密：</w:t>
            </w: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_GB2312" w:hAnsi="仿宋" w:eastAsia="仿宋_GB2312" w:cs="仿宋"/>
                <w:b/>
                <w:color w:val="000000" w:themeColor="text1"/>
                <w:sz w:val="24"/>
                <w:u w:val="single"/>
                <w14:textFill>
                  <w14:solidFill>
                    <w14:schemeClr w14:val="tx1"/>
                  </w14:solidFill>
                </w14:textFill>
              </w:rPr>
              <w:t>未按时解密的</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u w:val="single"/>
                <w14:textFill>
                  <w14:solidFill>
                    <w14:schemeClr w14:val="tx1"/>
                  </w14:solidFill>
                </w14:textFill>
              </w:rPr>
              <w:t>视为投标文件撤回</w:t>
            </w:r>
            <w:r>
              <w:rPr>
                <w:rFonts w:hint="eastAsia" w:ascii="仿宋_GB2312" w:hAnsi="仿宋" w:eastAsia="仿宋_GB2312"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793" w:type="dxa"/>
            <w:vMerge w:val="restart"/>
            <w:vAlign w:val="center"/>
          </w:tcPr>
          <w:p>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17</w:t>
            </w:r>
          </w:p>
        </w:tc>
        <w:tc>
          <w:tcPr>
            <w:tcW w:w="8490" w:type="dxa"/>
            <w:gridSpan w:val="2"/>
            <w:vAlign w:val="center"/>
          </w:tcPr>
          <w:p>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s="宋体"/>
                <w:b/>
                <w:color w:val="000000" w:themeColor="text1"/>
                <w:sz w:val="24"/>
                <w14:textFill>
                  <w14:solidFill>
                    <w14:schemeClr w14:val="tx1"/>
                  </w14:solidFill>
                </w14:textFill>
              </w:rPr>
              <w:t>特别说明：</w:t>
            </w:r>
            <w:r>
              <w:rPr>
                <w:rFonts w:hint="eastAsia" w:ascii="仿宋_GB2312" w:hAnsi="宋体" w:eastAsia="仿宋_GB2312" w:cs="宋体"/>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3" w:type="dxa"/>
            <w:vMerge w:val="continue"/>
            <w:vAlign w:val="center"/>
          </w:tcPr>
          <w:p>
            <w:pPr>
              <w:spacing w:line="440" w:lineRule="exact"/>
              <w:rPr>
                <w:rFonts w:ascii="仿宋_GB2312" w:hAnsi="宋体" w:eastAsia="仿宋_GB2312"/>
                <w:color w:val="000000" w:themeColor="text1"/>
                <w:sz w:val="24"/>
                <w14:textFill>
                  <w14:solidFill>
                    <w14:schemeClr w14:val="tx1"/>
                  </w14:solidFill>
                </w14:textFill>
              </w:rPr>
            </w:pPr>
          </w:p>
        </w:tc>
        <w:tc>
          <w:tcPr>
            <w:tcW w:w="8490" w:type="dxa"/>
            <w:gridSpan w:val="2"/>
            <w:vAlign w:val="center"/>
          </w:tcPr>
          <w:p>
            <w:pPr>
              <w:adjustRightInd w:val="0"/>
              <w:spacing w:line="440" w:lineRule="exact"/>
              <w:rPr>
                <w:rFonts w:ascii="仿宋_GB2312" w:hAnsi="宋体" w:eastAsia="仿宋_GB2312" w:cs="宋体"/>
                <w:snapToGrid w:val="0"/>
                <w:color w:val="000000" w:themeColor="text1"/>
                <w:kern w:val="28"/>
                <w:sz w:val="24"/>
                <w14:textFill>
                  <w14:solidFill>
                    <w14:schemeClr w14:val="tx1"/>
                  </w14:solidFill>
                </w14:textFill>
              </w:rPr>
            </w:pPr>
            <w:sdt>
              <w:sdtPr>
                <w:rPr>
                  <w:rFonts w:hint="eastAsia" w:ascii="仿宋_GB2312" w:hAnsi="宋体" w:eastAsia="仿宋_GB2312" w:cs="宋体"/>
                  <w:color w:val="000000" w:themeColor="text1"/>
                  <w:kern w:val="0"/>
                  <w:sz w:val="24"/>
                  <w:szCs w:val="21"/>
                  <w14:textFill>
                    <w14:solidFill>
                      <w14:schemeClr w14:val="tx1"/>
                    </w14:solidFill>
                  </w14:textFill>
                </w:rPr>
                <w:id w:val="124"/>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r>
                  <w:rPr>
                    <w:rFonts w:hint="eastAsia" w:ascii="仿宋_GB2312" w:hAnsi="宋体" w:eastAsia="仿宋_GB2312" w:cs="宋体"/>
                    <w:color w:val="000000" w:themeColor="text1"/>
                    <w:kern w:val="0"/>
                    <w:sz w:val="24"/>
                    <w14:textFill>
                      <w14:solidFill>
                        <w14:schemeClr w14:val="tx1"/>
                      </w14:solidFill>
                    </w14:textFill>
                  </w:rPr>
                  <w:sym w:font="Wingdings" w:char="00A8"/>
                </w:r>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ascii="宋体" w:hAnsi="宋体" w:cs="宋体"/>
                <w:b/>
                <w:color w:val="000000" w:themeColor="text1"/>
                <w:sz w:val="24"/>
                <w14:textFill>
                  <w14:solidFill>
                    <w14:schemeClr w14:val="tx1"/>
                  </w14:solidFill>
                </w14:textFill>
              </w:rPr>
            </w:pPr>
            <w:sdt>
              <w:sdtPr>
                <w:rPr>
                  <w:rFonts w:hint="eastAsia" w:ascii="仿宋_GB2312" w:hAnsi="宋体" w:eastAsia="仿宋_GB2312" w:cs="宋体"/>
                  <w:color w:val="000000" w:themeColor="text1"/>
                  <w:kern w:val="0"/>
                  <w:sz w:val="24"/>
                  <w:szCs w:val="21"/>
                  <w14:textFill>
                    <w14:solidFill>
                      <w14:schemeClr w14:val="tx1"/>
                    </w14:solidFill>
                  </w14:textFill>
                </w:rPr>
                <w:id w:val="125"/>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sdtPr>
                    <w:rPr>
                      <w:rFonts w:hint="eastAsia" w:ascii="仿宋_GB2312" w:hAnsi="宋体" w:eastAsia="仿宋_GB2312" w:cs="宋体"/>
                      <w:color w:val="000000" w:themeColor="text1"/>
                      <w:kern w:val="0"/>
                      <w:sz w:val="24"/>
                      <w:szCs w:val="21"/>
                      <w14:textFill>
                        <w14:solidFill>
                          <w14:schemeClr w14:val="tx1"/>
                        </w14:solidFill>
                      </w14:textFill>
                    </w:rPr>
                    <w:id w:val="124"/>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r>
                      <w:rPr>
                        <w:rFonts w:hint="eastAsia" w:ascii="仿宋_GB2312" w:hAnsi="宋体" w:eastAsia="仿宋_GB2312" w:cs="宋体"/>
                        <w:color w:val="000000" w:themeColor="text1"/>
                        <w:kern w:val="0"/>
                        <w:sz w:val="24"/>
                        <w14:textFill>
                          <w14:solidFill>
                            <w14:schemeClr w14:val="tx1"/>
                          </w14:solidFill>
                        </w14:textFill>
                      </w:rPr>
                      <w:sym w:font="Wingdings" w:char="F0FE"/>
                    </w:r>
                  </w:sdtContent>
                </w:sdt>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3" w:type="dxa"/>
            <w:vAlign w:val="center"/>
          </w:tcPr>
          <w:p>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18</w:t>
            </w:r>
          </w:p>
        </w:tc>
        <w:tc>
          <w:tcPr>
            <w:tcW w:w="8490" w:type="dxa"/>
            <w:gridSpan w:val="2"/>
            <w:vAlign w:val="center"/>
          </w:tcPr>
          <w:p>
            <w:pPr>
              <w:spacing w:line="440" w:lineRule="exact"/>
              <w:jc w:val="left"/>
              <w:rPr>
                <w:rFonts w:ascii="仿宋_GB2312" w:hAnsi="仿宋" w:eastAsia="仿宋_GB2312" w:cs="仿宋"/>
                <w:b/>
                <w:color w:val="000000" w:themeColor="text1"/>
                <w:kern w:val="0"/>
                <w:sz w:val="24"/>
                <w:szCs w:val="21"/>
                <w14:textFill>
                  <w14:solidFill>
                    <w14:schemeClr w14:val="tx1"/>
                  </w14:solidFill>
                </w14:textFill>
              </w:rPr>
            </w:pPr>
            <w:r>
              <w:rPr>
                <w:rFonts w:hint="eastAsia" w:ascii="仿宋_GB2312" w:hAnsi="宋体" w:eastAsia="仿宋_GB2312"/>
                <w:b/>
                <w:color w:val="000000" w:themeColor="text1"/>
                <w:sz w:val="22"/>
                <w:szCs w:val="22"/>
                <w14:textFill>
                  <w14:solidFill>
                    <w14:schemeClr w14:val="tx1"/>
                  </w14:solidFill>
                </w14:textFill>
              </w:rPr>
              <w:t>采购代理服务费：1.代理费用由采购人支付。2.收费标准参考《招标代理服务收费管理暂行办法》（计价格[2002]1980号），预算价在500万元以下的按单个项目中标价计算代理收费基数×（1-中标下浮率30%）；预算价在500万元及以上的项目分区间计算，0-500万元区间的以中标价计算代理收费基数×（1-中标下浮率 30% ），500万元及以上区间的代理收费基数×（1-中标下浮率 40% ）；单个项目代理费经下浮计算后低于4000元的按4000元计取。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3" w:type="dxa"/>
            <w:gridSpan w:val="3"/>
            <w:vAlign w:val="center"/>
          </w:tcPr>
          <w:p>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83" w:type="dxa"/>
            <w:gridSpan w:val="3"/>
            <w:vAlign w:val="center"/>
          </w:tcPr>
          <w:p>
            <w:pPr>
              <w:spacing w:line="440" w:lineRule="exact"/>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注：</w:t>
            </w:r>
            <w:r>
              <w:rPr>
                <w:rFonts w:hint="eastAsia" w:ascii="仿宋_GB2312" w:eastAsia="仿宋_GB2312"/>
                <w:b/>
                <w:color w:val="000000" w:themeColor="text1"/>
                <w:sz w:val="21"/>
                <w:szCs w:val="21"/>
                <w14:textFill>
                  <w14:solidFill>
                    <w14:schemeClr w14:val="tx1"/>
                  </w14:solidFill>
                </w14:textFill>
              </w:rPr>
              <w:t>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一、总则</w:t>
      </w:r>
    </w:p>
    <w:p>
      <w:pPr>
        <w:snapToGrid w:val="0"/>
        <w:spacing w:line="440" w:lineRule="exact"/>
        <w:jc w:val="left"/>
        <w:outlineLvl w:val="1"/>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1.适用范围</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2.定义</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2.8“</w:t>
      </w:r>
      <w:r>
        <w:rPr>
          <w:rFonts w:hint="eastAsia" w:ascii="仿宋_GB2312" w:hAnsi="宋体" w:eastAsia="仿宋_GB2312"/>
          <w:color w:val="000000" w:themeColor="text1"/>
          <w:sz w:val="24"/>
          <w14:textFill>
            <w14:solidFill>
              <w14:schemeClr w14:val="tx1"/>
            </w14:solidFill>
          </w14:textFill>
        </w:rPr>
        <w:t>★”系指实质性指标要求条款，“▲”</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系指适用本项目的要求，“</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系指不适用本项目的要求。</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 支持绿色发展</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_GB2312" w:hAnsi="仿宋" w:eastAsia="仿宋_GB2312"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w:t>
      </w:r>
      <w:r>
        <w:rPr>
          <w:rFonts w:hint="eastAsia" w:ascii="仿宋_GB2312" w:eastAsia="仿宋_GB2312"/>
          <w:bCs/>
          <w:color w:val="000000" w:themeColor="text1"/>
          <w:sz w:val="24"/>
          <w14:textFill>
            <w14:solidFill>
              <w14:schemeClr w14:val="tx1"/>
            </w14:solidFill>
          </w14:textFill>
        </w:rPr>
        <w:t>支持科技创新发展</w:t>
      </w:r>
    </w:p>
    <w:p>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和符合条件的破产重整企业，切实保障企业公平竞争，平等维护企业的合法利益。</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000000" w:themeColor="text1"/>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二、招标文件</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1．招标方式</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2.授权委托</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 投标费用</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 招标文件的修改</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4.3招标文件的修改</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5.参考品牌</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三、投标文件</w:t>
      </w:r>
    </w:p>
    <w:p>
      <w:pPr>
        <w:snapToGrid w:val="0"/>
        <w:spacing w:line="440" w:lineRule="exact"/>
        <w:jc w:val="left"/>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_GB2312" w:hAnsi="仿宋" w:eastAsia="仿宋_GB2312"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w:t>
      </w:r>
      <w:r>
        <w:rPr>
          <w:rFonts w:hint="eastAsia" w:ascii="仿宋_GB2312" w:hAnsi="仿宋" w:eastAsia="仿宋_GB2312"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2.1.3分包意向协议</w:t>
      </w:r>
      <w:r>
        <w:rPr>
          <w:rFonts w:hint="eastAsia" w:ascii="仿宋_GB2312" w:hAnsi="仿宋" w:eastAsia="仿宋_GB2312" w:cs="仿宋"/>
          <w:snapToGrid w:val="0"/>
          <w:color w:val="000000" w:themeColor="text1"/>
          <w:kern w:val="28"/>
          <w:sz w:val="24"/>
          <w:szCs w:val="20"/>
          <w14:textFill>
            <w14:solidFill>
              <w14:schemeClr w14:val="tx1"/>
            </w14:solidFill>
          </w14:textFill>
        </w:rPr>
        <w:t>（如果有)</w:t>
      </w:r>
      <w:r>
        <w:rPr>
          <w:rFonts w:hint="eastAsia" w:ascii="仿宋_GB2312" w:hAnsi="仿宋" w:eastAsia="仿宋_GB2312" w:cs="仿宋"/>
          <w:color w:val="000000" w:themeColor="text1"/>
          <w:sz w:val="24"/>
          <w14:textFill>
            <w14:solidFill>
              <w14:schemeClr w14:val="tx1"/>
            </w14:solidFill>
          </w14:textFill>
        </w:rPr>
        <w:t>；</w:t>
      </w:r>
    </w:p>
    <w:p>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2.1.4落实政府采购政策需满足的资格要求（如果有)；</w:t>
      </w:r>
    </w:p>
    <w:p>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2.1.5本项目的特定资格要求（如果有)。</w:t>
      </w:r>
    </w:p>
    <w:p>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2.</w:t>
      </w:r>
      <w:r>
        <w:rPr>
          <w:rFonts w:hint="eastAsia" w:ascii="仿宋_GB2312" w:hAnsi="仿宋" w:eastAsia="仿宋_GB2312" w:cs="仿宋"/>
          <w:b/>
          <w:color w:val="000000" w:themeColor="text1"/>
          <w:sz w:val="24"/>
          <w14:textFill>
            <w14:solidFill>
              <w14:schemeClr w14:val="tx1"/>
            </w14:solidFill>
          </w14:textFill>
        </w:rPr>
        <w:t>2商务技术</w:t>
      </w:r>
      <w:r>
        <w:rPr>
          <w:rFonts w:hint="eastAsia" w:ascii="仿宋_GB2312" w:hAnsi="仿宋" w:eastAsia="仿宋_GB2312"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2.2.1投标函；</w:t>
      </w:r>
      <w:r>
        <w:rPr>
          <w:rFonts w:hint="eastAsia" w:ascii="仿宋_GB2312" w:hAnsi="仿宋" w:eastAsia="仿宋_GB2312" w:cs="仿宋"/>
          <w:color w:val="000000" w:themeColor="text1"/>
          <w:sz w:val="24"/>
          <w:lang w:val="zh-CN"/>
          <w14:textFill>
            <w14:solidFill>
              <w14:schemeClr w14:val="tx1"/>
            </w14:solidFill>
          </w14:textFill>
        </w:rPr>
        <w:t xml:space="preserve"> </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eastAsia="仿宋_GB2312"/>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2.2.5法定代表人及其授权代表身份证复印件;</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2.2.7廉政承诺书（格式见第六部分附件）；</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2.2.9供应商应提供针对项目的完整技术解决方案：</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2.2.16培训计划（如有）；</w:t>
      </w:r>
    </w:p>
    <w:p>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2.2.17验收方案；</w:t>
      </w:r>
    </w:p>
    <w:p>
      <w:pPr>
        <w:snapToGrid w:val="0"/>
        <w:spacing w:line="336" w:lineRule="auto"/>
        <w:ind w:firstLine="720" w:firstLineChars="300"/>
        <w:rPr>
          <w:rFonts w:ascii="仿宋_GB2312" w:hAnsi="仿宋" w:eastAsia="仿宋_GB2312" w:cs="仿宋"/>
          <w:color w:val="000000" w:themeColor="text1"/>
          <w:sz w:val="24"/>
          <w:u w:val="wav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2.2.18</w:t>
      </w:r>
      <w:r>
        <w:rPr>
          <w:rFonts w:hint="eastAsia" w:ascii="仿宋_GB2312" w:hAnsi="仿宋" w:eastAsia="仿宋_GB2312"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ascii="仿宋_GB2312" w:eastAsia="仿宋_GB2312"/>
          <w:color w:val="000000" w:themeColor="text1"/>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2.2.19投标人需要说明的其他文件和说明（格式自拟）。</w:t>
      </w:r>
    </w:p>
    <w:p>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 xml:space="preserve">2.3报价文件： </w:t>
      </w:r>
    </w:p>
    <w:p>
      <w:pPr>
        <w:pStyle w:val="62"/>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2.3.1开标一览表（报价表）；</w:t>
      </w:r>
    </w:p>
    <w:p>
      <w:pPr>
        <w:pStyle w:val="62"/>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2.3.2中小企业声明函（如果有）；</w:t>
      </w:r>
    </w:p>
    <w:p>
      <w:pPr>
        <w:pStyle w:val="62"/>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2.3.3 残疾人福利性单位声明函（如果有）。</w:t>
      </w:r>
    </w:p>
    <w:p>
      <w:pPr>
        <w:pStyle w:val="62"/>
        <w:snapToGrid w:val="0"/>
        <w:spacing w:line="440" w:lineRule="exact"/>
        <w:ind w:firstLine="241"/>
        <w:rPr>
          <w:rFonts w:ascii="仿宋_GB2312" w:hAnsi="仿宋" w:eastAsia="仿宋_GB2312" w:cs="仿宋"/>
          <w:b/>
          <w:bCs/>
          <w:color w:val="000000" w:themeColor="text1"/>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3.投标报价</w:t>
      </w:r>
    </w:p>
    <w:p>
      <w:pPr>
        <w:pStyle w:val="62"/>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3.1供应商应按招标文件中《开标一览表》等附表要求填写。</w:t>
      </w:r>
    </w:p>
    <w:p>
      <w:pPr>
        <w:pStyle w:val="62"/>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3.4投标报价只允许有一个报价，有选择的报价将不予接受（除指定外）。</w:t>
      </w:r>
      <w:r>
        <w:rPr>
          <w:rFonts w:hint="eastAsia" w:ascii="仿宋_GB2312" w:hAnsi="仿宋" w:eastAsia="仿宋_GB2312" w:cs="仿宋"/>
          <w:b/>
          <w:color w:val="000000" w:themeColor="text1"/>
          <w:kern w:val="0"/>
          <w14:textFill>
            <w14:solidFill>
              <w14:schemeClr w14:val="tx1"/>
            </w14:solidFill>
          </w14:textFill>
        </w:rPr>
        <w:t>4.</w:t>
      </w:r>
      <w:r>
        <w:rPr>
          <w:rFonts w:hint="eastAsia" w:ascii="仿宋_GB2312" w:hAnsi="仿宋" w:eastAsia="仿宋_GB2312" w:cs="仿宋"/>
          <w:b/>
          <w:color w:val="000000" w:themeColor="text1"/>
          <w:kern w:val="0"/>
          <w:lang w:val="zh-CN"/>
          <w14:textFill>
            <w14:solidFill>
              <w14:schemeClr w14:val="tx1"/>
            </w14:solidFill>
          </w14:textFill>
        </w:rPr>
        <w:t xml:space="preserve"> </w:t>
      </w:r>
      <w:r>
        <w:rPr>
          <w:rFonts w:hint="eastAsia" w:ascii="仿宋_GB2312" w:hAnsi="仿宋" w:eastAsia="仿宋_GB2312" w:cs="仿宋"/>
          <w:b/>
          <w:color w:val="000000" w:themeColor="text1"/>
          <w14:textFill>
            <w14:solidFill>
              <w14:schemeClr w14:val="tx1"/>
            </w14:solidFill>
          </w14:textFill>
        </w:rPr>
        <w:t>投标文件的编制和</w:t>
      </w:r>
      <w:r>
        <w:rPr>
          <w:rFonts w:hint="eastAsia" w:ascii="仿宋_GB2312" w:hAnsi="仿宋" w:eastAsia="仿宋_GB2312" w:cs="仿宋"/>
          <w:b/>
          <w:color w:val="000000" w:themeColor="text1"/>
          <w:sz w:val="24"/>
          <w14:textFill>
            <w14:solidFill>
              <w14:schemeClr w14:val="tx1"/>
            </w14:solidFill>
          </w14:textFill>
        </w:rPr>
        <w:t>签署</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w:t>
      </w:r>
      <w:r>
        <w:rPr>
          <w:rFonts w:hint="eastAsia" w:ascii="仿宋_GB2312" w:hAnsi="仿宋" w:eastAsia="仿宋_GB2312"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4.5</w:t>
      </w:r>
      <w:r>
        <w:rPr>
          <w:rFonts w:hint="eastAsia" w:ascii="仿宋_GB2312" w:hAnsi="仿宋" w:eastAsia="仿宋_GB2312"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4.6</w:t>
      </w:r>
      <w:r>
        <w:rPr>
          <w:rFonts w:hint="eastAsia" w:ascii="仿宋_GB2312" w:hAnsi="仿宋" w:eastAsia="仿宋_GB2312" w:cs="仿宋"/>
          <w:color w:val="000000" w:themeColor="text1"/>
          <w:sz w:val="24"/>
          <w:lang w:val="zh-CN"/>
          <w14:textFill>
            <w14:solidFill>
              <w14:schemeClr w14:val="tx1"/>
            </w14:solidFill>
          </w14:textFill>
        </w:rPr>
        <w:t>招标文件对投标文件签署、盖章的要求适用于电子签名。</w:t>
      </w:r>
    </w:p>
    <w:p>
      <w:pPr>
        <w:pStyle w:val="182"/>
        <w:spacing w:before="0" w:line="440" w:lineRule="exact"/>
        <w:ind w:firstLine="0" w:firstLineChars="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5. 投标文件的提交、补充、修改、撤回</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6.投标有效期</w:t>
      </w:r>
    </w:p>
    <w:p>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6.2投标文件合格投递后，自投标截止日期起，在投标有效期内有效。</w:t>
      </w:r>
    </w:p>
    <w:p>
      <w:pPr>
        <w:pStyle w:val="182"/>
        <w:spacing w:before="0"/>
        <w:ind w:firstLine="480"/>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四、开标和评标</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bookmarkStart w:id="1" w:name="_Toc81372953"/>
      <w:bookmarkStart w:id="2" w:name="_Toc81372776"/>
      <w:bookmarkStart w:id="3" w:name="_Toc84325929"/>
      <w:r>
        <w:rPr>
          <w:rFonts w:hint="eastAsia" w:ascii="仿宋_GB2312" w:hAnsi="仿宋" w:eastAsia="仿宋_GB2312"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 xml:space="preserve">5. </w:t>
      </w:r>
      <w:r>
        <w:rPr>
          <w:rFonts w:hint="eastAsia" w:ascii="仿宋_GB2312" w:hAnsi="仿宋" w:eastAsia="仿宋_GB2312"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454"/>
        </w:tabs>
        <w:spacing w:after="120" w:line="440" w:lineRule="exact"/>
        <w:ind w:left="0" w:firstLine="0"/>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t>7.投标文件的澄清</w:t>
      </w:r>
    </w:p>
    <w:p>
      <w:pPr>
        <w:pStyle w:val="16"/>
        <w:widowControl w:val="0"/>
        <w:tabs>
          <w:tab w:val="clear" w:pos="454"/>
        </w:tabs>
        <w:spacing w:after="120" w:line="440" w:lineRule="exact"/>
        <w:ind w:left="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8.25其他违反法律、法规的情形。</w:t>
      </w:r>
    </w:p>
    <w:p>
      <w:pPr>
        <w:snapToGrid w:val="0"/>
        <w:spacing w:line="440" w:lineRule="exact"/>
        <w:rPr>
          <w:rFonts w:ascii="仿宋_GB2312" w:hAnsi="仿宋" w:eastAsia="仿宋_GB2312" w:cs="仿宋"/>
          <w:b/>
          <w:color w:val="000000" w:themeColor="text1"/>
          <w:kern w:val="0"/>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9.1</w:t>
      </w:r>
      <w:r>
        <w:rPr>
          <w:rFonts w:hint="eastAsia" w:ascii="仿宋_GB2312" w:hAnsi="仿宋" w:eastAsia="仿宋_GB2312"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9.2 在评标期间，投标人企图影响招标人或</w:t>
      </w:r>
      <w:r>
        <w:rPr>
          <w:rFonts w:hint="eastAsia" w:ascii="仿宋_GB2312" w:hAnsi="仿宋" w:eastAsia="仿宋_GB2312" w:cs="仿宋"/>
          <w:color w:val="000000" w:themeColor="text1"/>
          <w:sz w:val="24"/>
          <w14:textFill>
            <w14:solidFill>
              <w14:schemeClr w14:val="tx1"/>
            </w14:solidFill>
          </w14:textFill>
        </w:rPr>
        <w:t>评标委员会</w:t>
      </w:r>
      <w:r>
        <w:rPr>
          <w:rFonts w:hint="eastAsia" w:ascii="仿宋_GB2312" w:hAnsi="仿宋" w:eastAsia="仿宋_GB2312" w:cs="仿宋"/>
          <w:color w:val="000000" w:themeColor="text1"/>
          <w:kern w:val="0"/>
          <w:sz w:val="24"/>
          <w14:textFill>
            <w14:solidFill>
              <w14:schemeClr w14:val="tx1"/>
            </w14:solidFill>
          </w14:textFill>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p>
    <w:p>
      <w:pPr>
        <w:pStyle w:val="33"/>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r>
        <w:rPr>
          <w:rFonts w:hint="eastAsia" w:ascii="仿宋_GB2312" w:hAnsi="仿宋" w:eastAsia="仿宋_GB2312" w:cs="仿宋"/>
          <w:b/>
          <w:snapToGrid w:val="0"/>
          <w:color w:val="000000" w:themeColor="text1"/>
          <w:sz w:val="32"/>
          <w:szCs w:val="32"/>
          <w14:textFill>
            <w14:solidFill>
              <w14:schemeClr w14:val="tx1"/>
            </w14:solidFill>
          </w14:textFill>
        </w:rPr>
        <w:t>五、授予合同</w:t>
      </w:r>
    </w:p>
    <w:bookmarkEnd w:id="1"/>
    <w:bookmarkEnd w:id="2"/>
    <w:bookmarkEnd w:id="3"/>
    <w:p>
      <w:pPr>
        <w:pStyle w:val="16"/>
        <w:tabs>
          <w:tab w:val="clear" w:pos="454"/>
        </w:tabs>
        <w:spacing w:after="120" w:line="440" w:lineRule="exact"/>
        <w:ind w:left="0" w:firstLine="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1.中标条件</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2.中标确认</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3．中标通知</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color w:val="000000" w:themeColor="text1"/>
          <w:sz w:val="24"/>
          <w14:textFill>
            <w14:solidFill>
              <w14:schemeClr w14:val="tx1"/>
            </w14:solidFill>
          </w14:textFill>
        </w:rPr>
        <w:t>http://zfcg.czt.zj.gov.cn/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_GB2312" w:hAnsi="仿宋" w:eastAsia="仿宋_GB2312" w:cs="仿宋"/>
          <w:color w:val="000000" w:themeColor="text1"/>
          <w:sz w:val="24"/>
          <w14:textFill>
            <w14:solidFill>
              <w14:schemeClr w14:val="tx1"/>
            </w14:solidFill>
          </w14:textFill>
        </w:rPr>
        <w:t>http://ggb.sx.gov.cn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000000" w:themeColor="text1"/>
          <w:sz w:val="24"/>
          <w:lang w:val="zh-CN"/>
          <w14:textFill>
            <w14:solidFill>
              <w14:schemeClr w14:val="tx1"/>
            </w14:solidFill>
          </w14:textFill>
        </w:rPr>
        <w:t>。</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4．履约保证金</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4.4政府采购货物和服务项目不得收取质量保证金。</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_GB2312" w:hAnsi="仿宋" w:eastAsia="仿宋_GB2312" w:cs="仿宋"/>
          <w:b/>
          <w:bCs/>
          <w:color w:val="000000" w:themeColor="text1"/>
          <w:sz w:val="24"/>
          <w14:textFill>
            <w14:solidFill>
              <w14:schemeClr w14:val="tx1"/>
            </w14:solidFill>
          </w14:textFill>
        </w:rPr>
        <w:t>3个工作日内</w:t>
      </w:r>
      <w:r>
        <w:rPr>
          <w:rFonts w:hint="eastAsia" w:ascii="仿宋_GB2312" w:hAnsi="仿宋" w:eastAsia="仿宋_GB2312"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6.验收</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7.售后服务考核</w:t>
      </w:r>
    </w:p>
    <w:p>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p>
    <w:p>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r>
        <w:rPr>
          <w:rFonts w:hint="eastAsia" w:ascii="仿宋_GB2312" w:hAnsi="仿宋_GB2312" w:eastAsia="仿宋_GB2312" w:cs="仿宋_GB2312"/>
          <w:b/>
          <w:color w:val="000000" w:themeColor="text1"/>
          <w:sz w:val="36"/>
          <w:szCs w:val="36"/>
          <w14:textFill>
            <w14:solidFill>
              <w14:schemeClr w14:val="tx1"/>
            </w14:solidFill>
          </w14:textFill>
        </w:rPr>
        <w:t>六、询问、质疑与投诉</w:t>
      </w:r>
    </w:p>
    <w:p>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 供应商质疑</w:t>
      </w:r>
    </w:p>
    <w:p>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sz w:val="24"/>
          <w:szCs w:val="20"/>
          <w14:textFill>
            <w14:solidFill>
              <w14:schemeClr w14:val="tx1"/>
            </w14:solidFill>
          </w14:textFill>
        </w:rPr>
        <w:t>.1质疑提出时效</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szCs w:val="20"/>
          <w:lang w:val="zh-CN"/>
          <w14:textFill>
            <w14:solidFill>
              <w14:schemeClr w14:val="tx1"/>
            </w14:solidFill>
          </w14:textFill>
        </w:rPr>
        <w:t>3</w:t>
      </w:r>
      <w:r>
        <w:rPr>
          <w:rFonts w:hint="eastAsia" w:ascii="仿宋_GB2312" w:hAnsi="仿宋" w:eastAsia="仿宋_GB2312"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kern w:val="0"/>
          <w:sz w:val="24"/>
          <w:szCs w:val="20"/>
          <w14:textFill>
            <w14:solidFill>
              <w14:schemeClr w14:val="tx1"/>
            </w14:solidFill>
          </w14:textFill>
        </w:rPr>
        <w:t>2</w:t>
      </w:r>
      <w:r>
        <w:rPr>
          <w:rFonts w:hint="eastAsia" w:ascii="仿宋_GB2312" w:hAnsi="仿宋" w:eastAsia="仿宋_GB2312"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质疑项目的名称、编号；</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必要的法律依据；</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提出质疑的日期。</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质疑函范本及制作说明详见附件1。</w:t>
      </w:r>
    </w:p>
    <w:p>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4.供应商投诉</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投诉书范本及制作说明详见附件2。</w:t>
      </w:r>
    </w:p>
    <w:p>
      <w:pPr>
        <w:pageBreakBefore/>
        <w:snapToGrid w:val="0"/>
        <w:spacing w:line="800" w:lineRule="exact"/>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pacing w:line="288" w:lineRule="auto"/>
        <w:ind w:firstLine="482" w:firstLineChars="200"/>
        <w:rPr>
          <w:rFonts w:hint="eastAsia" w:ascii="仿宋" w:hAnsi="仿宋" w:eastAsia="仿宋" w:cs="仿宋"/>
          <w:b/>
          <w:color w:val="000000" w:themeColor="text1"/>
          <w:kern w:val="0"/>
          <w:sz w:val="24"/>
          <w14:textFill>
            <w14:solidFill>
              <w14:schemeClr w14:val="tx1"/>
            </w14:solidFill>
          </w14:textFill>
        </w:rPr>
      </w:pPr>
      <w:bookmarkStart w:id="4" w:name="_Toc151354173"/>
      <w:bookmarkStart w:id="5" w:name="_Toc80157775"/>
      <w:bookmarkStart w:id="6" w:name="_Toc84325981"/>
      <w:bookmarkStart w:id="7" w:name="_Toc81372787"/>
      <w:bookmarkStart w:id="8" w:name="_Toc81372964"/>
    </w:p>
    <w:bookmarkEnd w:id="4"/>
    <w:p>
      <w:pPr>
        <w:pStyle w:val="60"/>
        <w:spacing w:before="0" w:after="0" w:line="360" w:lineRule="auto"/>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一、项目概况</w:t>
      </w:r>
    </w:p>
    <w:p>
      <w:pPr>
        <w:spacing w:line="360" w:lineRule="auto"/>
        <w:ind w:firstLine="480" w:firstLineChars="200"/>
        <w:rPr>
          <w:rFonts w:hint="eastAsia" w:ascii="仿宋" w:hAnsi="仿宋" w:eastAsia="仿宋" w:cs="仿宋"/>
          <w:color w:val="000000" w:themeColor="text1"/>
          <w:sz w:val="24"/>
          <w:szCs w:val="22"/>
          <w:highlight w:val="none"/>
          <w14:textFill>
            <w14:solidFill>
              <w14:schemeClr w14:val="tx1"/>
            </w14:solidFill>
          </w14:textFill>
        </w:rPr>
      </w:pPr>
      <w:r>
        <w:rPr>
          <w:rFonts w:hint="eastAsia" w:ascii="仿宋" w:hAnsi="仿宋" w:eastAsia="仿宋" w:cs="仿宋"/>
          <w:color w:val="000000" w:themeColor="text1"/>
          <w:sz w:val="24"/>
          <w:szCs w:val="22"/>
          <w:highlight w:val="none"/>
          <w14:textFill>
            <w14:solidFill>
              <w14:schemeClr w14:val="tx1"/>
            </w14:solidFill>
          </w14:textFill>
        </w:rPr>
        <w:t>开展绍兴市0.2米航摄及数字正射影像图（DOM）制作</w:t>
      </w:r>
      <w:r>
        <w:rPr>
          <w:rFonts w:hint="eastAsia" w:ascii="仿宋" w:hAnsi="仿宋" w:eastAsia="仿宋" w:cs="仿宋"/>
          <w:color w:val="000000" w:themeColor="text1"/>
          <w:sz w:val="24"/>
          <w:szCs w:val="22"/>
          <w:highlight w:val="none"/>
          <w:lang w:eastAsia="zh-CN"/>
          <w14:textFill>
            <w14:solidFill>
              <w14:schemeClr w14:val="tx1"/>
            </w14:solidFill>
          </w14:textFill>
        </w:rPr>
        <w:t>、</w:t>
      </w:r>
      <w:r>
        <w:rPr>
          <w:rFonts w:hint="eastAsia" w:ascii="仿宋" w:hAnsi="仿宋" w:eastAsia="仿宋" w:cs="仿宋"/>
          <w:color w:val="000000" w:themeColor="text1"/>
          <w:sz w:val="24"/>
          <w:szCs w:val="22"/>
          <w:highlight w:val="none"/>
          <w14:textFill>
            <w14:solidFill>
              <w14:schemeClr w14:val="tx1"/>
            </w14:solidFill>
          </w14:textFill>
        </w:rPr>
        <w:t>1:2000数字线划图（DLG）更新</w:t>
      </w:r>
      <w:r>
        <w:rPr>
          <w:rFonts w:hint="eastAsia" w:ascii="仿宋" w:hAnsi="仿宋" w:eastAsia="仿宋" w:cs="仿宋"/>
          <w:color w:val="000000" w:themeColor="text1"/>
          <w:sz w:val="24"/>
          <w:szCs w:val="22"/>
          <w:highlight w:val="none"/>
          <w:lang w:eastAsia="zh-CN"/>
          <w14:textFill>
            <w14:solidFill>
              <w14:schemeClr w14:val="tx1"/>
            </w14:solidFill>
          </w14:textFill>
        </w:rPr>
        <w:t>、</w:t>
      </w:r>
      <w:r>
        <w:rPr>
          <w:rFonts w:hint="eastAsia" w:ascii="仿宋" w:hAnsi="仿宋" w:eastAsia="仿宋" w:cs="仿宋"/>
          <w:color w:val="000000" w:themeColor="text1"/>
          <w:sz w:val="24"/>
          <w:szCs w:val="22"/>
          <w:highlight w:val="none"/>
          <w14:textFill>
            <w14:solidFill>
              <w14:schemeClr w14:val="tx1"/>
            </w14:solidFill>
          </w14:textFill>
        </w:rPr>
        <w:t>绍兴市城市级实景三维建设</w:t>
      </w:r>
      <w:r>
        <w:rPr>
          <w:rFonts w:hint="eastAsia" w:ascii="仿宋" w:hAnsi="仿宋" w:eastAsia="仿宋" w:cs="仿宋"/>
          <w:color w:val="000000" w:themeColor="text1"/>
          <w:sz w:val="24"/>
          <w:szCs w:val="22"/>
          <w:highlight w:val="none"/>
          <w:lang w:eastAsia="zh-CN"/>
          <w14:textFill>
            <w14:solidFill>
              <w14:schemeClr w14:val="tx1"/>
            </w14:solidFill>
          </w14:textFill>
        </w:rPr>
        <w:t>和</w:t>
      </w:r>
      <w:r>
        <w:rPr>
          <w:rFonts w:hint="eastAsia" w:ascii="仿宋" w:hAnsi="仿宋" w:eastAsia="仿宋" w:cs="仿宋"/>
          <w:color w:val="000000" w:themeColor="text1"/>
          <w:sz w:val="24"/>
          <w:szCs w:val="22"/>
          <w:highlight w:val="none"/>
          <w14:textFill>
            <w14:solidFill>
              <w14:schemeClr w14:val="tx1"/>
            </w14:solidFill>
          </w14:textFill>
        </w:rPr>
        <w:t>地形地籍一体化建设。</w:t>
      </w:r>
    </w:p>
    <w:p>
      <w:pPr>
        <w:pStyle w:val="60"/>
        <w:spacing w:before="0" w:after="0" w:line="360" w:lineRule="auto"/>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二、项目建设内容</w:t>
      </w:r>
    </w:p>
    <w:p>
      <w:pPr>
        <w:pStyle w:val="120"/>
        <w:spacing w:line="360" w:lineRule="auto"/>
        <w:ind w:left="0" w:firstLine="0"/>
        <w:textAlignment w:val="center"/>
        <w:outlineLvl w:val="1"/>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（一）</w:t>
      </w:r>
      <w:bookmarkStart w:id="9" w:name="_Hlk160782253"/>
      <w:r>
        <w:rPr>
          <w:rFonts w:hint="eastAsia" w:ascii="仿宋" w:hAnsi="仿宋" w:eastAsia="仿宋" w:cs="仿宋"/>
          <w:b/>
          <w:bCs/>
          <w:color w:val="0D0D0D"/>
          <w:spacing w:val="6"/>
          <w:sz w:val="28"/>
          <w:szCs w:val="28"/>
          <w:lang w:val="en-US"/>
        </w:rPr>
        <w:t>航空摄影测量及数字正射影像图制作</w:t>
      </w:r>
      <w:bookmarkEnd w:id="9"/>
    </w:p>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1、建设内容</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绍兴市全域约8279 平方千米范围航空摄影和数字正射影像图（DOM）制作，影像分辨率为0.2米。</w:t>
      </w:r>
    </w:p>
    <w:p>
      <w:pPr>
        <w:pStyle w:val="16"/>
        <w:keepNext w:val="0"/>
        <w:keepLines w:val="0"/>
        <w:pageBreakBefore w:val="0"/>
        <w:widowControl w:val="0"/>
        <w:tabs>
          <w:tab w:val="left" w:pos="360"/>
          <w:tab w:val="clear" w:pos="454"/>
        </w:tabs>
        <w:kinsoku/>
        <w:wordWrap/>
        <w:overflowPunct/>
        <w:topLinePunct w:val="0"/>
        <w:autoSpaceDE/>
        <w:autoSpaceDN/>
        <w:bidi w:val="0"/>
        <w:adjustRightInd/>
        <w:snapToGrid/>
        <w:ind w:left="0"/>
        <w:textAlignment w:val="auto"/>
        <w:rPr>
          <w:rFonts w:hint="eastAsia" w:ascii="仿宋" w:hAnsi="仿宋" w:eastAsia="仿宋" w:cs="仿宋"/>
          <w:u w:val="single"/>
          <w:lang w:eastAsia="zh-CN"/>
        </w:rPr>
      </w:pPr>
      <w:r>
        <w:rPr>
          <w:rFonts w:hint="eastAsia" w:ascii="仿宋" w:hAnsi="仿宋" w:eastAsia="仿宋" w:cs="仿宋"/>
          <w:u w:val="single"/>
          <w:lang w:eastAsia="zh-CN"/>
        </w:rPr>
        <w:drawing>
          <wp:inline distT="0" distB="0" distL="114300" distR="114300">
            <wp:extent cx="5831840" cy="5137150"/>
            <wp:effectExtent l="0" t="0" r="16510" b="6350"/>
            <wp:docPr id="2" name="图片 2" descr="0ef9508fd82186ca7ac57d3bc102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f9508fd82186ca7ac57d3bc102ca1"/>
                    <pic:cNvPicPr>
                      <a:picLocks noChangeAspect="1"/>
                    </pic:cNvPicPr>
                  </pic:nvPicPr>
                  <pic:blipFill>
                    <a:blip r:embed="rId14"/>
                    <a:stretch>
                      <a:fillRect/>
                    </a:stretch>
                  </pic:blipFill>
                  <pic:spPr>
                    <a:xfrm>
                      <a:off x="0" y="0"/>
                      <a:ext cx="5831840" cy="5137150"/>
                    </a:xfrm>
                    <a:prstGeom prst="rect">
                      <a:avLst/>
                    </a:prstGeom>
                  </pic:spPr>
                </pic:pic>
              </a:graphicData>
            </a:graphic>
          </wp:inline>
        </w:drawing>
      </w:r>
    </w:p>
    <w:p>
      <w:pPr>
        <w:spacing w:after="157" w:afterLines="50"/>
        <w:jc w:val="center"/>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图1 航空摄影及DOM任务范围</w:t>
      </w:r>
    </w:p>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2、执行标准</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27920.1-2011《数字航空摄影规范 第1部分:框幅式数字航空摄影》；</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7930-2008《1:500 1:1000 1:2000地形图航空摄影测量内业规范》；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7931-2008《1:500 1:1000 1:2000地形图航空摄影测量外业规范》；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6962-2005《1:500、1:1000、1:2000地形图航空摄影规范》；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13989-2012《国家基本比例尺地形图分幅和编号》；</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17941-2008《数字测绘成果质量要求》；</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18314-2009《全球定位系统（GPS）测量规范》；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18316-2008《数字测绘成果质量检查与验收》；</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19294-2003《航空摄影技术设计规范》；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19710-2005《地理信息 元数据》；</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23236-2009《数字航空摄影测量 空中三角测量规范》；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24356-2023《测绘成果质量检查与验收》；</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27919-2011《IMU/GPS辅助航空摄影技术规范》；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GB/T 39616-2020《卫星导航定位基准站网络实时动态测量（RTK）规范》；</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CH/T 3007.1-2011《数字航空摄影测量 测图规范 第1部分：1∶500 1∶1 000 1∶2 000数字高程模型 数字正射影像图 数字线划图》；</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CH/T 9008.2-2010《基础地理信息数字成果1∶500 1∶1000 1∶2000数字高程模型》；</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CH/T 9008.3-2010《基础地理信息数字成果1∶500 1∶1000 1∶2000数字正射影像图》；</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《浙江省1:2000比例尺基础地理信息资源更新技术规定（2020版）》；</w:t>
      </w:r>
    </w:p>
    <w:p>
      <w:pPr>
        <w:numPr>
          <w:ilvl w:val="0"/>
          <w:numId w:val="6"/>
        </w:numPr>
        <w:spacing w:line="360" w:lineRule="auto"/>
        <w:ind w:left="0" w:firstLine="480" w:firstLineChars="200"/>
        <w:jc w:val="left"/>
        <w:rPr>
          <w:rFonts w:hint="eastAsia" w:ascii="仿宋" w:hAnsi="仿宋" w:eastAsia="仿宋" w:cs="仿宋"/>
          <w:sz w:val="24"/>
        </w:rPr>
      </w:pPr>
      <w:r>
        <w:rPr>
          <w:rFonts w:hint="eastAsia" w:ascii="仿宋" w:hAnsi="仿宋" w:eastAsia="仿宋" w:cs="仿宋"/>
          <w:sz w:val="24"/>
        </w:rPr>
        <w:t>经批准的本项目技术设计书。</w:t>
      </w:r>
    </w:p>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3、主要技术要求</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(1)</w:t>
      </w:r>
      <w:r>
        <w:rPr>
          <w:rFonts w:hint="eastAsia" w:ascii="仿宋" w:hAnsi="仿宋" w:eastAsia="仿宋" w:cs="仿宋"/>
          <w:b/>
          <w:sz w:val="24"/>
        </w:rPr>
        <w:t>总体要求</w:t>
      </w:r>
    </w:p>
    <w:p>
      <w:pPr>
        <w:spacing w:line="360" w:lineRule="auto"/>
        <w:ind w:firstLine="480" w:firstLineChars="200"/>
        <w:rPr>
          <w:rFonts w:hint="eastAsia" w:ascii="仿宋" w:hAnsi="仿宋" w:eastAsia="仿宋" w:cs="仿宋"/>
          <w:color w:val="000000"/>
          <w:sz w:val="24"/>
        </w:rPr>
      </w:pPr>
      <w:r>
        <w:rPr>
          <w:rFonts w:hint="eastAsia" w:ascii="仿宋" w:hAnsi="仿宋" w:eastAsia="仿宋" w:cs="仿宋"/>
          <w:bCs/>
          <w:sz w:val="24"/>
        </w:rPr>
        <w:t>必须满足GB/T27920.1-2011《数字航空摄影规范 第1部分：框幅式数字航空摄影》以及与其相关的规范要求。在满足基础测绘1:2000产品生产的要求下，尽量采用成熟的新技术、新方法和新工艺。</w:t>
      </w:r>
    </w:p>
    <w:p>
      <w:pPr>
        <w:tabs>
          <w:tab w:val="left" w:pos="5460"/>
        </w:tabs>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地面分辨率要求</w:t>
      </w:r>
    </w:p>
    <w:p>
      <w:pPr>
        <w:tabs>
          <w:tab w:val="left" w:pos="5460"/>
        </w:tabs>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地面分辨率优于0.2米</w:t>
      </w:r>
      <w:r>
        <w:rPr>
          <w:rFonts w:hint="eastAsia" w:ascii="仿宋" w:hAnsi="仿宋" w:eastAsia="仿宋" w:cs="仿宋"/>
          <w:bCs/>
          <w:sz w:val="24"/>
          <w:highlight w:val="none"/>
        </w:rPr>
        <w:t>。</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数学基础</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平面坐标系：采用2000国家大地坐标系（CGCS2000）；</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投影方式：采用高斯—克吕格投影，按3°标准分带，120°中央子午线；</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高程基准：采用1985国家高程基准。</w:t>
      </w:r>
    </w:p>
    <w:p>
      <w:pPr>
        <w:tabs>
          <w:tab w:val="left" w:pos="5460"/>
        </w:tabs>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航摄仪类型</w:t>
      </w:r>
    </w:p>
    <w:p>
      <w:pPr>
        <w:tabs>
          <w:tab w:val="left" w:pos="5460"/>
        </w:tabs>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UCE、DMC等专业航摄相机，需能同时获取全色、真彩色和近红外四个波段数据，数据采集后以12bit及以上存储。</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计划及设计要求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设计用图的选择</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lang w:val="en-US" w:eastAsia="zh-CN"/>
        </w:rPr>
        <w:t>1）</w:t>
      </w:r>
      <w:r>
        <w:rPr>
          <w:rFonts w:hint="eastAsia" w:ascii="仿宋" w:hAnsi="仿宋" w:eastAsia="仿宋" w:cs="仿宋"/>
          <w:kern w:val="0"/>
          <w:sz w:val="24"/>
        </w:rPr>
        <w:t>应选择摄区内</w:t>
      </w:r>
      <w:r>
        <w:rPr>
          <w:rFonts w:hint="eastAsia" w:ascii="仿宋" w:hAnsi="仿宋" w:eastAsia="仿宋" w:cs="仿宋"/>
          <w:kern w:val="0"/>
          <w:sz w:val="24"/>
          <w:highlight w:val="none"/>
        </w:rPr>
        <w:t>最新</w:t>
      </w:r>
      <w:r>
        <w:rPr>
          <w:rFonts w:hint="eastAsia" w:ascii="仿宋" w:hAnsi="仿宋" w:eastAsia="仿宋" w:cs="仿宋"/>
          <w:kern w:val="0"/>
          <w:sz w:val="24"/>
        </w:rPr>
        <w:t>比例尺地形图。设计用图比例尺按</w:t>
      </w:r>
      <w:r>
        <w:rPr>
          <w:rFonts w:hint="eastAsia" w:ascii="仿宋" w:hAnsi="仿宋" w:eastAsia="仿宋" w:cs="仿宋"/>
          <w:sz w:val="24"/>
        </w:rPr>
        <w:t>GB/T27920.1-2011</w:t>
      </w:r>
      <w:r>
        <w:rPr>
          <w:rFonts w:hint="eastAsia" w:ascii="仿宋" w:hAnsi="仿宋" w:eastAsia="仿宋" w:cs="仿宋"/>
          <w:kern w:val="0"/>
          <w:sz w:val="24"/>
        </w:rPr>
        <w:t>《数字航空摄影规范 第1部分：框幅式数字航空摄影》执行。</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航线敷设要求</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航线敷设应遵循以下原则：</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①</w:t>
      </w:r>
      <w:r>
        <w:rPr>
          <w:rFonts w:hint="eastAsia" w:ascii="仿宋" w:hAnsi="仿宋" w:eastAsia="仿宋" w:cs="仿宋"/>
          <w:kern w:val="0"/>
          <w:sz w:val="24"/>
        </w:rPr>
        <w:t>航线一般按东西向平行于图廓线直线飞行，特定条件下亦可作南北向飞行或沿线路、河流、海岸、境界等方向飞行；</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②</w:t>
      </w:r>
      <w:r>
        <w:rPr>
          <w:rFonts w:hint="eastAsia" w:ascii="仿宋" w:hAnsi="仿宋" w:eastAsia="仿宋" w:cs="仿宋"/>
          <w:kern w:val="0"/>
          <w:sz w:val="24"/>
        </w:rPr>
        <w:t>曝光点应尽量采用数字高程模型依地形起伏逐点设计；</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③</w:t>
      </w:r>
      <w:r>
        <w:rPr>
          <w:rFonts w:hint="eastAsia" w:ascii="仿宋" w:hAnsi="仿宋" w:eastAsia="仿宋" w:cs="仿宋"/>
          <w:kern w:val="0"/>
          <w:sz w:val="24"/>
        </w:rPr>
        <w:t>进行水域、海区摄影时，应避免像主点落水，要确保所有岛屿达到完整覆盖，并能构成立体像对。</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航摄季节和航摄时间的选择</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航摄季节和航摄时间的选择应遵循以下原则：</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①</w:t>
      </w:r>
      <w:r>
        <w:rPr>
          <w:rFonts w:hint="eastAsia" w:ascii="仿宋" w:hAnsi="仿宋" w:eastAsia="仿宋" w:cs="仿宋"/>
          <w:kern w:val="0"/>
          <w:sz w:val="24"/>
        </w:rPr>
        <w:t>航摄季节应选择摄区最有利的气象条件，应尽量避免或减少地表植被和其他覆盖（如积雪、洪水、扬沙等）对摄影和测图的不利影响，确保航摄影像能够真实地显现地面细部。</w:t>
      </w:r>
    </w:p>
    <w:p>
      <w:pPr>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②</w:t>
      </w:r>
      <w:r>
        <w:rPr>
          <w:rFonts w:hint="eastAsia" w:ascii="仿宋" w:hAnsi="仿宋" w:eastAsia="仿宋" w:cs="仿宋"/>
          <w:kern w:val="0"/>
          <w:sz w:val="24"/>
        </w:rPr>
        <w:t>航摄时，既要保证具有充足的光照度，又要避免过大的阴影。陡峭山区和高层建筑物密集的大城市尽量在当地正午前后各2h内摄影，条件允许时，可实施云下摄影。</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6）</w:t>
      </w:r>
      <w:r>
        <w:rPr>
          <w:rFonts w:hint="eastAsia" w:ascii="仿宋" w:hAnsi="仿宋" w:eastAsia="仿宋" w:cs="仿宋"/>
          <w:b/>
          <w:sz w:val="24"/>
        </w:rPr>
        <w:t>飞行质量要求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像片重叠要求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①</w:t>
      </w:r>
      <w:r>
        <w:rPr>
          <w:rFonts w:hint="eastAsia" w:ascii="仿宋" w:hAnsi="仿宋" w:eastAsia="仿宋" w:cs="仿宋"/>
          <w:sz w:val="24"/>
        </w:rPr>
        <w:t>航向重叠一般应为60%～65%，个别最小不应小于53%。且相邻像对的航向重叠度不应小于58%，并能确保测图定向点和测绘工作边不超出像片边缘；</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②</w:t>
      </w:r>
      <w:r>
        <w:rPr>
          <w:rFonts w:hint="eastAsia" w:ascii="仿宋" w:hAnsi="仿宋" w:eastAsia="仿宋" w:cs="仿宋"/>
          <w:sz w:val="24"/>
        </w:rPr>
        <w:t>相邻航线的像片旁向重叠度一般应为20%～30%，个别最小不应小于13%，但不得连续出现。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像片倾角要求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像片倾斜角一般不应大于2度，最大不应大于4度；无人机航摄时倾斜角一般不应大于5度，最大不应大于12度。</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像片旋偏角要求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①</w:t>
      </w:r>
      <w:r>
        <w:rPr>
          <w:rFonts w:hint="eastAsia" w:ascii="仿宋" w:hAnsi="仿宋" w:eastAsia="仿宋" w:cs="仿宋"/>
          <w:sz w:val="24"/>
        </w:rPr>
        <w:t>旋偏角一般不应大于15度，在确保像片航向和旁向重叠度满足要求的前提下最大不应大于25度；</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②</w:t>
      </w:r>
      <w:r>
        <w:rPr>
          <w:rFonts w:hint="eastAsia" w:ascii="仿宋" w:hAnsi="仿宋" w:eastAsia="仿宋" w:cs="仿宋"/>
          <w:sz w:val="24"/>
        </w:rPr>
        <w:t>在一条航线上达到或接近最大旋偏角限差的连续旋偏的像片数不应大于三张；在一个摄区内出现最大旋偏角的像片数不得超过摄区像片总数的4%。</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航线弯曲度要求</w:t>
      </w:r>
    </w:p>
    <w:p>
      <w:pPr>
        <w:spacing w:line="360" w:lineRule="auto"/>
        <w:ind w:firstLine="480" w:firstLineChars="200"/>
        <w:jc w:val="left"/>
        <w:rPr>
          <w:rFonts w:hint="eastAsia" w:ascii="仿宋" w:hAnsi="仿宋" w:eastAsia="仿宋" w:cs="仿宋"/>
          <w:color w:val="000000"/>
          <w:sz w:val="24"/>
        </w:rPr>
      </w:pPr>
      <w:r>
        <w:rPr>
          <w:rFonts w:hint="eastAsia" w:ascii="仿宋" w:hAnsi="仿宋" w:eastAsia="仿宋" w:cs="仿宋"/>
          <w:sz w:val="24"/>
        </w:rPr>
        <w:t>航线弯曲度一般不大于1%，当航线长度小于5000m时，航线弯曲度最大不大于3%。</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航高要求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①</w:t>
      </w:r>
      <w:r>
        <w:rPr>
          <w:rFonts w:hint="eastAsia" w:ascii="仿宋" w:hAnsi="仿宋" w:eastAsia="仿宋" w:cs="仿宋"/>
          <w:sz w:val="24"/>
        </w:rPr>
        <w:t>同一条航线上相邻像片的航高差不大于30米，最大航高与最小航高之差不大于50米；</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②</w:t>
      </w:r>
      <w:r>
        <w:rPr>
          <w:rFonts w:hint="eastAsia" w:ascii="仿宋" w:hAnsi="仿宋" w:eastAsia="仿宋" w:cs="仿宋"/>
          <w:sz w:val="24"/>
        </w:rPr>
        <w:t>当相对航高小于等于1000m时，航摄分区内实际航高与设计航高之差不应大于50m；当相对航高大于1000m时，其实际航高与设计航高之差不应大于设计航高的5%。</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7）</w:t>
      </w:r>
      <w:r>
        <w:rPr>
          <w:rFonts w:hint="eastAsia" w:ascii="仿宋" w:hAnsi="仿宋" w:eastAsia="仿宋" w:cs="仿宋"/>
          <w:b/>
          <w:sz w:val="24"/>
        </w:rPr>
        <w:t>影像质量要求</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1）影像应清晰，层次丰富，反差适中，色调柔和；应能辨认出与地面分辨率相适应的细小地物影像，能够建立清晰的立体模型；</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2）影像上不应有云、云影、烟、大面积反光、污点等缺陷。虽然存在少量缺陷，但不影响立体模型的连接和测绘时，则认为可以用于测制线划图；</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3）确保因飞机地速的影响，在曝光瞬间造成像点位移一般不应大于1个像素，最大不应大于1.5个像素；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4）拼接影像应无明显模糊、重影和错位现象；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5）融合形成的高分辨率彩色影像不应出现色彩偏移、重影、模糊现象。</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8）</w:t>
      </w:r>
      <w:r>
        <w:rPr>
          <w:rFonts w:hint="eastAsia" w:ascii="仿宋" w:hAnsi="仿宋" w:eastAsia="仿宋" w:cs="仿宋"/>
          <w:b/>
          <w:sz w:val="24"/>
        </w:rPr>
        <w:t>成果整理要求</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航片编号命名</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sz w:val="24"/>
          <w:lang w:eastAsia="zh-CN"/>
        </w:rPr>
        <w:t>①</w:t>
      </w:r>
      <w:r>
        <w:rPr>
          <w:rFonts w:hint="eastAsia" w:ascii="仿宋" w:hAnsi="仿宋" w:eastAsia="仿宋" w:cs="仿宋"/>
          <w:sz w:val="24"/>
        </w:rPr>
        <w:t>航片号由12位数字</w:t>
      </w:r>
      <w:r>
        <w:rPr>
          <w:rFonts w:hint="eastAsia" w:ascii="仿宋" w:hAnsi="仿宋" w:eastAsia="仿宋" w:cs="仿宋"/>
          <w:color w:val="0C0C0C"/>
          <w:sz w:val="24"/>
        </w:rPr>
        <w:t>构成，采用以航线为单位的流水编号。航片编号自左至右1～4位为摄区代号，5～6位为分区号，7～9位为航线号，10～12位为航片流水号；</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lang w:eastAsia="zh-CN"/>
        </w:rPr>
        <w:t>②</w:t>
      </w:r>
      <w:r>
        <w:rPr>
          <w:rFonts w:hint="eastAsia" w:ascii="仿宋" w:hAnsi="仿宋" w:eastAsia="仿宋" w:cs="仿宋"/>
          <w:color w:val="0C0C0C"/>
          <w:sz w:val="24"/>
        </w:rPr>
        <w:t>以自西向东为编号的增长方向；</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lang w:eastAsia="zh-CN"/>
        </w:rPr>
        <w:t>③</w:t>
      </w:r>
      <w:r>
        <w:rPr>
          <w:rFonts w:hint="eastAsia" w:ascii="仿宋" w:hAnsi="仿宋" w:eastAsia="仿宋" w:cs="仿宋"/>
          <w:color w:val="0C0C0C"/>
          <w:sz w:val="24"/>
        </w:rPr>
        <w:t>同一航线内的航片编号不允许重复。</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航摄元数据要求</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lang w:eastAsia="zh-CN"/>
        </w:rPr>
        <w:t>①</w:t>
      </w:r>
      <w:r>
        <w:rPr>
          <w:rFonts w:hint="eastAsia" w:ascii="仿宋" w:hAnsi="仿宋" w:eastAsia="仿宋" w:cs="仿宋"/>
          <w:color w:val="0C0C0C"/>
          <w:sz w:val="24"/>
        </w:rPr>
        <w:t>航片元数据</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rPr>
        <w:t>摄区元数据内容包括：摄区名称、摄区代号、分区号、航带号、航片号、纬度、经度、坐标X、坐标Y、航高、俯仰角、滚转角、航向角、地面分辨率、航摄时间、航摄仪型号、像素大小、像元大小、焦距、大地基准、高程基准、坐标单位、地图投影名称、分带方式、投影带号、航摄单位。</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lang w:eastAsia="zh-CN"/>
        </w:rPr>
        <w:t>②</w:t>
      </w:r>
      <w:r>
        <w:rPr>
          <w:rFonts w:hint="eastAsia" w:ascii="仿宋" w:hAnsi="仿宋" w:eastAsia="仿宋" w:cs="仿宋"/>
          <w:color w:val="0C0C0C"/>
          <w:sz w:val="24"/>
        </w:rPr>
        <w:t>测区元数据</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rPr>
        <w:t>航线元数据内容包括：摄区名称、摄区代号、地面分辨率、航摄时间、航摄仪型号、像素大小、像元大小、航摄仪焦距、大地基准、坐标单位、地图投影名称、分带方式、投影带号、航摄单位、数据质量检验评价单位、成果所有权单位名称、分发单位名称、分发网络地址。</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lang w:eastAsia="zh-CN"/>
        </w:rPr>
        <w:t>③</w:t>
      </w:r>
      <w:r>
        <w:rPr>
          <w:rFonts w:hint="eastAsia" w:ascii="仿宋" w:hAnsi="仿宋" w:eastAsia="仿宋" w:cs="仿宋"/>
          <w:color w:val="0C0C0C"/>
          <w:sz w:val="24"/>
        </w:rPr>
        <w:t>数据格式：ArcGIS10.2版本*.GDB格式。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存储介质的正面标签注记要求</w:t>
      </w:r>
    </w:p>
    <w:p>
      <w:pPr>
        <w:spacing w:line="360" w:lineRule="auto"/>
        <w:ind w:firstLine="480" w:firstLineChars="200"/>
        <w:rPr>
          <w:rFonts w:hint="eastAsia" w:ascii="仿宋" w:hAnsi="仿宋" w:eastAsia="仿宋" w:cs="仿宋"/>
          <w:color w:val="0C0C0C"/>
          <w:sz w:val="24"/>
        </w:rPr>
      </w:pPr>
      <w:r>
        <w:rPr>
          <w:rFonts w:hint="eastAsia" w:ascii="仿宋" w:hAnsi="仿宋" w:eastAsia="仿宋" w:cs="仿宋"/>
          <w:color w:val="0C0C0C"/>
          <w:sz w:val="24"/>
        </w:rPr>
        <w:t>信息部分应包括：摄区名称、摄区代号、地面分辨率、航摄日期、航摄高度、航摄仪编号、数据类型、航摄仪焦距、航摄单位、分区号、航线号、起止片号、片数等。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 xml:space="preserve"> DOM制作要求</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制作1∶2000比例尺数字正射影像图且与省级统筹范围做好接边工作。格式为tif，并带有tfw坐标文件。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①</w:t>
      </w:r>
      <w:r>
        <w:rPr>
          <w:rFonts w:hint="eastAsia" w:ascii="仿宋" w:hAnsi="仿宋" w:eastAsia="仿宋" w:cs="仿宋"/>
          <w:sz w:val="24"/>
        </w:rPr>
        <w:t>坐标系统</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a</w:t>
      </w:r>
      <w:r>
        <w:rPr>
          <w:rFonts w:hint="eastAsia" w:ascii="仿宋" w:hAnsi="仿宋" w:eastAsia="仿宋" w:cs="仿宋"/>
          <w:sz w:val="24"/>
        </w:rPr>
        <w:t>）平面坐标系统：2000国家大地坐标系（CGCS2000）。</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b</w:t>
      </w:r>
      <w:r>
        <w:rPr>
          <w:rFonts w:hint="eastAsia" w:ascii="仿宋" w:hAnsi="仿宋" w:eastAsia="仿宋" w:cs="仿宋"/>
          <w:sz w:val="24"/>
        </w:rPr>
        <w:t>）投影方式：采用高斯—克吕格投影，按3°标准分带，120°中央子午线。</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c</w:t>
      </w:r>
      <w:r>
        <w:rPr>
          <w:rFonts w:hint="eastAsia" w:ascii="仿宋" w:hAnsi="仿宋" w:eastAsia="仿宋" w:cs="仿宋"/>
          <w:sz w:val="24"/>
        </w:rPr>
        <w:t>）高程基准：1985国家高程基准。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②</w:t>
      </w:r>
      <w:r>
        <w:rPr>
          <w:rFonts w:hint="eastAsia" w:ascii="仿宋" w:hAnsi="仿宋" w:eastAsia="仿宋" w:cs="仿宋"/>
          <w:sz w:val="24"/>
        </w:rPr>
        <w:t>分幅与编号</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DOM的分幅与编号应符合GB/T 13989-2012《国家基本比例尺地形图分幅和编号》的规定。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③</w:t>
      </w:r>
      <w:r>
        <w:rPr>
          <w:rFonts w:hint="eastAsia" w:ascii="仿宋" w:hAnsi="仿宋" w:eastAsia="仿宋" w:cs="仿宋"/>
          <w:sz w:val="24"/>
        </w:rPr>
        <w:t>元数据填写</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提交图幅级元数据，数据格式为*.shp格式。</w:t>
      </w:r>
    </w:p>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4、提交成果</w:t>
      </w:r>
    </w:p>
    <w:p>
      <w:pPr>
        <w:pStyle w:val="957"/>
        <w:rPr>
          <w:rFonts w:hint="eastAsia" w:ascii="仿宋" w:hAnsi="仿宋" w:eastAsia="仿宋" w:cs="仿宋"/>
        </w:rPr>
      </w:pPr>
      <w:r>
        <w:rPr>
          <w:rFonts w:hint="eastAsia" w:ascii="仿宋" w:hAnsi="仿宋" w:eastAsia="仿宋" w:cs="仿宋"/>
        </w:rPr>
        <w:t>表1 成果资料交付清单</w:t>
      </w:r>
    </w:p>
    <w:tbl>
      <w:tblPr>
        <w:tblStyle w:val="64"/>
        <w:tblW w:w="932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5"/>
        <w:gridCol w:w="2155"/>
        <w:gridCol w:w="3244"/>
        <w:gridCol w:w="1338"/>
        <w:gridCol w:w="690"/>
        <w:gridCol w:w="121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675" w:type="dxa"/>
            <w:tcBorders>
              <w:top w:val="doub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5399" w:type="dxa"/>
            <w:gridSpan w:val="2"/>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内容</w:t>
            </w:r>
          </w:p>
        </w:tc>
        <w:tc>
          <w:tcPr>
            <w:tcW w:w="1338" w:type="dxa"/>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格式</w:t>
            </w:r>
          </w:p>
        </w:tc>
        <w:tc>
          <w:tcPr>
            <w:tcW w:w="690" w:type="dxa"/>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数量</w:t>
            </w:r>
          </w:p>
        </w:tc>
        <w:tc>
          <w:tcPr>
            <w:tcW w:w="1219" w:type="dxa"/>
            <w:tcBorders>
              <w:top w:val="double" w:color="auto" w:sz="4"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介质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技术设计书</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2155" w:type="dxa"/>
            <w:vMerge w:val="restart"/>
            <w:tcBorders>
              <w:top w:val="single" w:color="auto" w:sz="4" w:space="0"/>
              <w:left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影像数据</w:t>
            </w:r>
          </w:p>
        </w:tc>
        <w:tc>
          <w:tcPr>
            <w:tcW w:w="3244"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真彩色影像、彩红外影像</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TIFF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2155" w:type="dxa"/>
            <w:vMerge w:val="continue"/>
            <w:tcBorders>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p>
        </w:tc>
        <w:tc>
          <w:tcPr>
            <w:tcW w:w="3244"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浏览影像</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JPEG</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像片中心点坐标数据</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XLS</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飞行记录表</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数字航摄仪技术参数</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鉴定表</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相对定向精度检测报告</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5399"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索引图</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JPEG</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5399" w:type="dxa"/>
            <w:gridSpan w:val="2"/>
            <w:tcBorders>
              <w:top w:val="single" w:color="auto" w:sz="4" w:space="0"/>
              <w:left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航摄、DOM元数据</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GDB/SHP</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sz w:val="24"/>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2155" w:type="dxa"/>
            <w:vMerge w:val="restart"/>
            <w:tcBorders>
              <w:left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像控成果</w:t>
            </w:r>
          </w:p>
        </w:tc>
        <w:tc>
          <w:tcPr>
            <w:tcW w:w="3244" w:type="dxa"/>
            <w:tcBorders>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像控点成果</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XLS</w:t>
            </w:r>
          </w:p>
        </w:tc>
        <w:tc>
          <w:tcPr>
            <w:tcW w:w="690" w:type="dxa"/>
            <w:tcBorders>
              <w:top w:val="single" w:color="auto" w:sz="6" w:space="0"/>
              <w:left w:val="single" w:color="auto" w:sz="6" w:space="0"/>
              <w:bottom w:val="single" w:color="auto" w:sz="6" w:space="0"/>
              <w:right w:val="single" w:color="auto" w:sz="6" w:space="0"/>
            </w:tcBorders>
            <w:shd w:val="clear" w:color="auto" w:fill="auto"/>
          </w:tcPr>
          <w:p>
            <w:pPr>
              <w:jc w:val="center"/>
              <w:rPr>
                <w:rFonts w:hint="eastAsia" w:ascii="仿宋" w:hAnsi="仿宋" w:eastAsia="仿宋" w:cs="仿宋"/>
                <w:sz w:val="24"/>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675"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2155" w:type="dxa"/>
            <w:vMerge w:val="continue"/>
            <w:tcBorders>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p>
        </w:tc>
        <w:tc>
          <w:tcPr>
            <w:tcW w:w="3244"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像控点点之记</w:t>
            </w:r>
          </w:p>
        </w:tc>
        <w:tc>
          <w:tcPr>
            <w:tcW w:w="1338"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DOCX</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539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空三加密成果</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Patb、ZI</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w:t>
            </w:r>
          </w:p>
        </w:tc>
        <w:tc>
          <w:tcPr>
            <w:tcW w:w="2155" w:type="dxa"/>
            <w:vMerge w:val="restart"/>
            <w:tcBorders>
              <w:top w:val="single" w:color="auto" w:sz="6" w:space="0"/>
              <w:left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DOM成果(标准分幅)</w:t>
            </w:r>
          </w:p>
        </w:tc>
        <w:tc>
          <w:tcPr>
            <w:tcW w:w="32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DOM影像文件</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TIFF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w:t>
            </w:r>
          </w:p>
        </w:tc>
        <w:tc>
          <w:tcPr>
            <w:tcW w:w="2155" w:type="dxa"/>
            <w:vMerge w:val="continue"/>
            <w:tcBorders>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p>
        </w:tc>
        <w:tc>
          <w:tcPr>
            <w:tcW w:w="32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定位信息文件</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TFW</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w:t>
            </w:r>
          </w:p>
        </w:tc>
        <w:tc>
          <w:tcPr>
            <w:tcW w:w="539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图幅结合表</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Shp</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w:t>
            </w:r>
          </w:p>
        </w:tc>
        <w:tc>
          <w:tcPr>
            <w:tcW w:w="539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各文本的电子文档</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DOCX/PDF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w:t>
            </w:r>
          </w:p>
        </w:tc>
        <w:tc>
          <w:tcPr>
            <w:tcW w:w="539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技术总结</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19</w:t>
            </w:r>
          </w:p>
        </w:tc>
        <w:tc>
          <w:tcPr>
            <w:tcW w:w="539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检查报告</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w:t>
            </w:r>
          </w:p>
        </w:tc>
        <w:tc>
          <w:tcPr>
            <w:tcW w:w="539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检验报告</w:t>
            </w:r>
          </w:p>
        </w:tc>
        <w:tc>
          <w:tcPr>
            <w:tcW w:w="133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5" w:type="dxa"/>
            <w:tcBorders>
              <w:top w:val="single" w:color="auto" w:sz="6" w:space="0"/>
              <w:left w:val="double" w:color="auto" w:sz="4"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w:t>
            </w:r>
          </w:p>
        </w:tc>
        <w:tc>
          <w:tcPr>
            <w:tcW w:w="5399" w:type="dxa"/>
            <w:gridSpan w:val="2"/>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hint="eastAsia" w:ascii="仿宋" w:hAnsi="仿宋" w:eastAsia="仿宋" w:cs="仿宋"/>
              </w:rPr>
            </w:pPr>
            <w:r>
              <w:rPr>
                <w:rFonts w:hint="eastAsia" w:ascii="仿宋" w:hAnsi="仿宋" w:eastAsia="仿宋" w:cs="仿宋"/>
              </w:rPr>
              <w:t>其他相关资料</w:t>
            </w:r>
          </w:p>
        </w:tc>
        <w:tc>
          <w:tcPr>
            <w:tcW w:w="1338" w:type="dxa"/>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w:t>
            </w:r>
          </w:p>
        </w:tc>
        <w:tc>
          <w:tcPr>
            <w:tcW w:w="690" w:type="dxa"/>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19" w:type="dxa"/>
            <w:tcBorders>
              <w:top w:val="single" w:color="auto" w:sz="6" w:space="0"/>
              <w:left w:val="single" w:color="auto" w:sz="6" w:space="0"/>
              <w:bottom w:val="double" w:color="auto" w:sz="4"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bl>
    <w:p>
      <w:pPr>
        <w:pStyle w:val="120"/>
        <w:spacing w:line="360" w:lineRule="auto"/>
        <w:ind w:left="0" w:leftChars="0" w:firstLine="0" w:firstLineChars="0"/>
        <w:textAlignment w:val="center"/>
        <w:outlineLvl w:val="1"/>
        <w:rPr>
          <w:rFonts w:hint="eastAsia" w:ascii="仿宋" w:hAnsi="仿宋" w:eastAsia="仿宋" w:cs="仿宋"/>
          <w:b/>
          <w:bCs/>
          <w:color w:val="0D0D0D"/>
          <w:spacing w:val="6"/>
          <w:sz w:val="28"/>
          <w:szCs w:val="28"/>
          <w:lang w:val="en-US"/>
        </w:rPr>
      </w:pPr>
    </w:p>
    <w:p>
      <w:pPr>
        <w:pStyle w:val="120"/>
        <w:spacing w:line="360" w:lineRule="auto"/>
        <w:ind w:left="0" w:leftChars="0" w:firstLine="0" w:firstLineChars="0"/>
        <w:textAlignment w:val="center"/>
        <w:outlineLvl w:val="1"/>
        <w:rPr>
          <w:rFonts w:hint="eastAsia" w:ascii="仿宋" w:hAnsi="仿宋" w:eastAsia="仿宋" w:cs="仿宋"/>
          <w:b/>
          <w:bCs/>
          <w:color w:val="0D0D0D"/>
          <w:spacing w:val="6"/>
          <w:sz w:val="28"/>
          <w:szCs w:val="28"/>
          <w:lang w:val="en-US"/>
        </w:rPr>
      </w:pPr>
    </w:p>
    <w:p>
      <w:pPr>
        <w:pStyle w:val="120"/>
        <w:spacing w:line="360" w:lineRule="auto"/>
        <w:ind w:left="0" w:leftChars="0" w:firstLine="0" w:firstLineChars="0"/>
        <w:textAlignment w:val="center"/>
        <w:outlineLvl w:val="1"/>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（二）1：2000数字线划图（DLG）更新</w:t>
      </w:r>
    </w:p>
    <w:p>
      <w:pPr>
        <w:pStyle w:val="120"/>
        <w:numPr>
          <w:ilvl w:val="0"/>
          <w:numId w:val="7"/>
        </w:numPr>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建设内容</w:t>
      </w:r>
    </w:p>
    <w:p>
      <w:pPr>
        <w:spacing w:after="157" w:afterLines="50"/>
        <w:rPr>
          <w:rFonts w:hint="eastAsia" w:ascii="仿宋" w:hAnsi="仿宋" w:eastAsia="仿宋" w:cs="仿宋"/>
          <w:color w:val="000000" w:themeColor="text1"/>
          <w:sz w:val="24"/>
          <w:highlight w:val="yellow"/>
          <w:lang w:bidi="ar"/>
          <w14:textFill>
            <w14:solidFill>
              <w14:schemeClr w14:val="tx1"/>
            </w14:solidFill>
          </w14:textFill>
        </w:rPr>
      </w:pPr>
      <w:r>
        <w:rPr>
          <w:rFonts w:hint="eastAsia" w:ascii="仿宋" w:hAnsi="仿宋" w:eastAsia="仿宋" w:cs="仿宋"/>
        </w:rPr>
        <w:drawing>
          <wp:inline distT="0" distB="0" distL="0" distR="0">
            <wp:extent cx="5867400" cy="5867400"/>
            <wp:effectExtent l="0" t="0" r="0" b="0"/>
            <wp:docPr id="115155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5607"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67400" cy="5867400"/>
                    </a:xfrm>
                    <a:prstGeom prst="rect">
                      <a:avLst/>
                    </a:prstGeom>
                    <a:noFill/>
                    <a:ln>
                      <a:noFill/>
                    </a:ln>
                  </pic:spPr>
                </pic:pic>
              </a:graphicData>
            </a:graphic>
          </wp:inline>
        </w:drawing>
      </w:r>
    </w:p>
    <w:p>
      <w:pPr>
        <w:spacing w:after="157" w:afterLines="50"/>
        <w:jc w:val="center"/>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图2 2024年绍兴市1:2000数字线划图（DLG）更新范围图</w:t>
      </w:r>
    </w:p>
    <w:p>
      <w:pPr>
        <w:pStyle w:val="60"/>
        <w:spacing w:before="0" w:after="0" w:line="360" w:lineRule="auto"/>
        <w:ind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（1）完成绍兴市域内1:2000数字线划图（DLG）一般要素更新，更新范围包括：一类区域398平方千米、二类区域1690平方千米。</w:t>
      </w:r>
    </w:p>
    <w:p>
      <w:pPr>
        <w:pStyle w:val="957"/>
        <w:rPr>
          <w:rFonts w:hint="eastAsia" w:ascii="仿宋" w:hAnsi="仿宋" w:eastAsia="仿宋" w:cs="仿宋"/>
        </w:rPr>
      </w:pPr>
      <w:r>
        <w:rPr>
          <w:rFonts w:hint="eastAsia" w:ascii="仿宋" w:hAnsi="仿宋" w:eastAsia="仿宋" w:cs="仿宋"/>
        </w:rPr>
        <w:t>表2 一般要素更新内容表</w:t>
      </w:r>
    </w:p>
    <w:tbl>
      <w:tblPr>
        <w:tblStyle w:val="64"/>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505"/>
        <w:gridCol w:w="2664"/>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62" w:type="dxa"/>
            <w:shd w:val="clear" w:color="auto" w:fill="BEBEBE" w:themeFill="background1" w:themeFillShade="BF"/>
            <w:vAlign w:val="center"/>
          </w:tcPr>
          <w:p>
            <w:pPr>
              <w:pStyle w:val="17"/>
              <w:rPr>
                <w:rFonts w:hint="eastAsia"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要素大类</w:t>
            </w:r>
          </w:p>
        </w:tc>
        <w:tc>
          <w:tcPr>
            <w:tcW w:w="1505" w:type="dxa"/>
            <w:shd w:val="clear" w:color="auto" w:fill="BEBEBE" w:themeFill="background1" w:themeFillShade="BF"/>
            <w:vAlign w:val="center"/>
          </w:tcPr>
          <w:p>
            <w:pPr>
              <w:pStyle w:val="17"/>
              <w:rPr>
                <w:rFonts w:hint="eastAsia"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要素小类</w:t>
            </w:r>
          </w:p>
        </w:tc>
        <w:tc>
          <w:tcPr>
            <w:tcW w:w="2664" w:type="dxa"/>
            <w:shd w:val="clear" w:color="auto" w:fill="BEBEBE" w:themeFill="background1" w:themeFillShade="BF"/>
            <w:vAlign w:val="center"/>
          </w:tcPr>
          <w:p>
            <w:pPr>
              <w:pStyle w:val="17"/>
              <w:rPr>
                <w:rFonts w:hint="eastAsia"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更新要求</w:t>
            </w:r>
          </w:p>
        </w:tc>
        <w:tc>
          <w:tcPr>
            <w:tcW w:w="3120" w:type="dxa"/>
            <w:shd w:val="clear" w:color="auto" w:fill="BEBEBE" w:themeFill="background1" w:themeFillShade="BF"/>
            <w:vAlign w:val="center"/>
          </w:tcPr>
          <w:p>
            <w:pPr>
              <w:pStyle w:val="17"/>
              <w:rPr>
                <w:rFonts w:hint="eastAsia"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restart"/>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水系</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地面河流</w:t>
            </w:r>
          </w:p>
        </w:tc>
        <w:tc>
          <w:tcPr>
            <w:tcW w:w="2664" w:type="dxa"/>
            <w:vAlign w:val="center"/>
          </w:tcPr>
          <w:p>
            <w:pPr>
              <w:pStyle w:val="1033"/>
              <w:rPr>
                <w:rFonts w:hint="eastAsia" w:ascii="仿宋" w:hAnsi="仿宋" w:eastAsia="仿宋" w:cs="仿宋"/>
                <w:color w:val="000000" w:themeColor="text1"/>
                <w:spacing w:val="-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长度200m以上变化</w:t>
            </w:r>
          </w:p>
        </w:tc>
        <w:tc>
          <w:tcPr>
            <w:tcW w:w="3120" w:type="dxa"/>
            <w:vAlign w:val="center"/>
          </w:tcPr>
          <w:p>
            <w:pPr>
              <w:pStyle w:val="1033"/>
              <w:rPr>
                <w:rFonts w:hint="eastAsia" w:ascii="仿宋" w:hAnsi="仿宋" w:eastAsia="仿宋" w:cs="仿宋"/>
                <w:color w:val="000000" w:themeColor="text1"/>
                <w:spacing w:val="-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海岸线</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长度200m以上变化</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湖泊、水库、池塘</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面积1000m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含新建，不包括季节性变化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水系附属设施</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与变化水系要素同步更新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restart"/>
            <w:vAlign w:val="center"/>
          </w:tcPr>
          <w:p>
            <w:pPr>
              <w:pStyle w:val="17"/>
              <w:rPr>
                <w:rFonts w:hint="eastAsia" w:ascii="仿宋" w:hAnsi="仿宋" w:eastAsia="仿宋" w:cs="仿宋"/>
                <w:color w:val="000000" w:themeColor="text1"/>
                <w:sz w:val="21"/>
                <w:szCs w:val="21"/>
                <w14:textFill>
                  <w14:solidFill>
                    <w14:schemeClr w14:val="tx1"/>
                  </w14:solidFill>
                </w14:textFill>
              </w:rPr>
            </w:pPr>
          </w:p>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居民地及其设施</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一般房屋</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面积400m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农业生产设施</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面积400m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饲养场、水产养殖场、温室、大棚等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科教文卫设施</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学校、医院、体育馆、科技馆、博物馆、展览馆等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墓地、坟地、宗教场所</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面积400m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宗教场所根据竣工图更新，包括庙宇、教堂、清真寺等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施工区</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面积400m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其他居民地及设施</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长度200m以上变化或面积400m</w:t>
            </w:r>
            <w:r>
              <w:rPr>
                <w:rFonts w:hint="eastAsia" w:ascii="仿宋" w:hAnsi="仿宋" w:eastAsia="仿宋" w:cs="仿宋"/>
                <w:color w:val="000000" w:themeColor="text1"/>
                <w:sz w:val="21"/>
                <w:szCs w:val="21"/>
                <w:vertAlign w:val="superscript"/>
                <w:lang w:eastAsia="zh-CN"/>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围墙、栅栏、栏杆、地类界、铁丝网、露天采掘场、乱掘地等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restart"/>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交通</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铁路、城市轨道交通</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含新建、改建、废弃、名称变化等情况</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jc w:val="center"/>
              <w:rPr>
                <w:rFonts w:hint="eastAsia" w:ascii="仿宋" w:hAnsi="仿宋" w:eastAsia="仿宋" w:cs="仿宋"/>
                <w:color w:val="000000" w:themeColor="text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公路</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含新建、改建、废弃、名称变化等情况</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包含高速公路、国道、省道、县道、乡道、村道及专用道路等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城市道路</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含新建、改建、废弃、名称变化等情况</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包含快速路、高架路（桥）、主干道、次干道、支线等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其他道路</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长度1km以上变化</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机耕路（大路）等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交通附属设施</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含新建、改建、废弃、名称变化等情况</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与变化交通要素同步更新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restart"/>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管线</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输电线</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含新建、改线、废弃等情况</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35KV以上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jc w:val="center"/>
              <w:rPr>
                <w:rFonts w:hint="eastAsia" w:ascii="仿宋" w:hAnsi="仿宋" w:eastAsia="仿宋" w:cs="仿宋"/>
                <w:color w:val="000000" w:themeColor="text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管道</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含新建、改线、废弃等情况</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国家主干油气管道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其他重要管线及附属设施</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含新建、改线、废弃等情况</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重点海底光缆、电缆等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境界</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乡、镇级及以上界线</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发生变化时更新</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以民政局发布信息为准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地貌</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地貌</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长度200m以上变化或面积5000m</w:t>
            </w:r>
            <w:r>
              <w:rPr>
                <w:rFonts w:hint="eastAsia" w:ascii="仿宋" w:hAnsi="仿宋" w:eastAsia="仿宋" w:cs="仿宋"/>
                <w:color w:val="000000" w:themeColor="text1"/>
                <w:sz w:val="21"/>
                <w:szCs w:val="21"/>
                <w:vertAlign w:val="superscript"/>
                <w:lang w:eastAsia="zh-CN"/>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植被与土质</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植被与土质</w:t>
            </w:r>
          </w:p>
        </w:tc>
        <w:tc>
          <w:tcPr>
            <w:tcW w:w="2664"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面积1000m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以上变化</w:t>
            </w:r>
          </w:p>
        </w:tc>
        <w:tc>
          <w:tcPr>
            <w:tcW w:w="3120" w:type="dxa"/>
            <w:vAlign w:val="center"/>
          </w:tcPr>
          <w:p>
            <w:pPr>
              <w:pStyle w:val="1033"/>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不包括季节性变化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restart"/>
            <w:vAlign w:val="center"/>
          </w:tcPr>
          <w:p>
            <w:pPr>
              <w:pStyle w:val="17"/>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地名</w:t>
            </w: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名称对象点</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与相应变化居民地同步更新，名称以地名办发布信息为准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62" w:type="dxa"/>
            <w:vMerge w:val="continue"/>
            <w:vAlign w:val="center"/>
          </w:tcPr>
          <w:p>
            <w:pPr>
              <w:pStyle w:val="17"/>
              <w:rPr>
                <w:rFonts w:hint="eastAsia" w:ascii="仿宋" w:hAnsi="仿宋" w:eastAsia="仿宋" w:cs="仿宋"/>
                <w:color w:val="000000" w:themeColor="text1"/>
                <w:sz w:val="21"/>
                <w:szCs w:val="21"/>
                <w14:textFill>
                  <w14:solidFill>
                    <w14:schemeClr w14:val="tx1"/>
                  </w14:solidFill>
                </w14:textFill>
              </w:rPr>
            </w:pPr>
          </w:p>
        </w:tc>
        <w:tc>
          <w:tcPr>
            <w:tcW w:w="1505" w:type="dxa"/>
            <w:vAlign w:val="center"/>
          </w:tcPr>
          <w:p>
            <w:pPr>
              <w:pStyle w:val="1033"/>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名称对象线</w:t>
            </w:r>
          </w:p>
        </w:tc>
        <w:tc>
          <w:tcPr>
            <w:tcW w:w="2664"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p>
        </w:tc>
        <w:tc>
          <w:tcPr>
            <w:tcW w:w="3120" w:type="dxa"/>
            <w:vAlign w:val="center"/>
          </w:tcPr>
          <w:p>
            <w:pPr>
              <w:pStyle w:val="1033"/>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与相应变化居民地同步更新，名称以地名办发布信息为准</w:t>
            </w:r>
          </w:p>
        </w:tc>
      </w:tr>
    </w:tbl>
    <w:p>
      <w:pPr>
        <w:pStyle w:val="60"/>
        <w:numPr>
          <w:ilvl w:val="0"/>
          <w:numId w:val="8"/>
        </w:numPr>
        <w:spacing w:before="0" w:after="0" w:line="360" w:lineRule="auto"/>
        <w:ind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完成绍兴</w:t>
      </w:r>
      <w:r>
        <w:rPr>
          <w:rFonts w:hint="eastAsia" w:ascii="仿宋" w:hAnsi="仿宋" w:eastAsia="仿宋" w:cs="仿宋"/>
          <w:b w:val="0"/>
          <w:bCs w:val="0"/>
          <w:sz w:val="24"/>
          <w:szCs w:val="24"/>
        </w:rPr>
        <w:t>全市域8279平方千米重大要素1:2000数字线划图（DLG）动态更新（每三个月更新一次），</w:t>
      </w:r>
      <w:r>
        <w:rPr>
          <w:rFonts w:hint="eastAsia" w:ascii="仿宋" w:hAnsi="仿宋" w:eastAsia="仿宋" w:cs="仿宋"/>
          <w:b w:val="0"/>
          <w:bCs w:val="0"/>
          <w:color w:val="000000" w:themeColor="text1"/>
          <w:sz w:val="24"/>
          <w:szCs w:val="24"/>
          <w14:textFill>
            <w14:solidFill>
              <w14:schemeClr w14:val="tx1"/>
            </w14:solidFill>
          </w14:textFill>
        </w:rPr>
        <w:t>成果数据每季度上报浙江省自然资源厅。</w:t>
      </w:r>
    </w:p>
    <w:p>
      <w:pPr>
        <w:pStyle w:val="957"/>
        <w:rPr>
          <w:rFonts w:hint="eastAsia" w:ascii="仿宋" w:hAnsi="仿宋" w:eastAsia="仿宋" w:cs="仿宋"/>
        </w:rPr>
      </w:pPr>
      <w:r>
        <w:rPr>
          <w:rFonts w:hint="eastAsia" w:ascii="仿宋" w:hAnsi="仿宋" w:eastAsia="仿宋" w:cs="仿宋"/>
        </w:rPr>
        <w:t>表3 重大要素更新内容表</w:t>
      </w:r>
    </w:p>
    <w:tbl>
      <w:tblPr>
        <w:tblStyle w:val="6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23"/>
        <w:gridCol w:w="1886"/>
        <w:gridCol w:w="2530"/>
        <w:gridCol w:w="2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0" w:type="dxa"/>
            <w:shd w:val="clear" w:color="auto" w:fill="BEBEBE" w:themeFill="background1" w:themeFillShade="BF"/>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序号</w:t>
            </w:r>
          </w:p>
        </w:tc>
        <w:tc>
          <w:tcPr>
            <w:tcW w:w="923" w:type="dxa"/>
            <w:shd w:val="clear" w:color="auto" w:fill="BEBEBE" w:themeFill="background1" w:themeFillShade="BF"/>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要素</w:t>
            </w:r>
          </w:p>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大类</w:t>
            </w:r>
          </w:p>
        </w:tc>
        <w:tc>
          <w:tcPr>
            <w:tcW w:w="1886" w:type="dxa"/>
            <w:shd w:val="clear" w:color="auto" w:fill="BEBEBE" w:themeFill="background1" w:themeFillShade="BF"/>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要素小类</w:t>
            </w:r>
          </w:p>
        </w:tc>
        <w:tc>
          <w:tcPr>
            <w:tcW w:w="2530" w:type="dxa"/>
            <w:shd w:val="clear" w:color="auto" w:fill="BEBEBE" w:themeFill="background1" w:themeFillShade="BF"/>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变化量</w:t>
            </w:r>
          </w:p>
        </w:tc>
        <w:tc>
          <w:tcPr>
            <w:tcW w:w="2685" w:type="dxa"/>
            <w:shd w:val="clear" w:color="auto" w:fill="BEBEBE" w:themeFill="background1" w:themeFillShade="BF"/>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0"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923"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水系</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河流</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长度变化100m以上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河流宽度5m以上，关联水利设施同步更新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湖泊、池塘、山塘</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面积变化5000m</w:t>
            </w:r>
            <w:r>
              <w:rPr>
                <w:rFonts w:hint="eastAsia" w:ascii="仿宋" w:hAnsi="仿宋" w:eastAsia="仿宋" w:cs="仿宋"/>
                <w:color w:val="000000" w:themeColor="text1"/>
                <w:kern w:val="0"/>
                <w:szCs w:val="21"/>
                <w:vertAlign w:val="superscript"/>
                <w14:textFill>
                  <w14:solidFill>
                    <w14:schemeClr w14:val="tx1"/>
                  </w14:solidFill>
                </w14:textFill>
              </w:rPr>
              <w:t>2</w:t>
            </w:r>
            <w:r>
              <w:rPr>
                <w:rFonts w:hint="eastAsia" w:ascii="仿宋" w:hAnsi="仿宋" w:eastAsia="仿宋" w:cs="仿宋"/>
                <w:color w:val="000000" w:themeColor="text1"/>
                <w:kern w:val="0"/>
                <w:szCs w:val="21"/>
                <w14:textFill>
                  <w14:solidFill>
                    <w14:schemeClr w14:val="tx1"/>
                  </w14:solidFill>
                </w14:textFill>
              </w:rPr>
              <w:t>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附属水利设施同步更新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水库</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库容量变化10万m</w:t>
            </w:r>
            <w:r>
              <w:rPr>
                <w:rFonts w:hint="eastAsia" w:ascii="仿宋" w:hAnsi="仿宋" w:eastAsia="仿宋" w:cs="仿宋"/>
                <w:color w:val="000000" w:themeColor="text1"/>
                <w:kern w:val="0"/>
                <w:szCs w:val="21"/>
                <w:vertAlign w:val="superscript"/>
                <w:lang w:val="en"/>
                <w14:textFill>
                  <w14:solidFill>
                    <w14:schemeClr w14:val="tx1"/>
                  </w14:solidFill>
                </w14:textFill>
              </w:rPr>
              <w:t>3</w:t>
            </w:r>
            <w:r>
              <w:rPr>
                <w:rFonts w:hint="eastAsia" w:ascii="仿宋" w:hAnsi="仿宋" w:eastAsia="仿宋" w:cs="仿宋"/>
                <w:color w:val="000000" w:themeColor="text1"/>
                <w:kern w:val="0"/>
                <w:szCs w:val="21"/>
                <w14:textFill>
                  <w14:solidFill>
                    <w14:schemeClr w14:val="tx1"/>
                  </w14:solidFill>
                </w14:textFill>
              </w:rPr>
              <w:t>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附属水利设施同步更新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ind w:firstLine="210" w:firstLineChars="100"/>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输水管线</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长度变化1000m以上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附属设施同步更新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海岸线</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长度变化50m以上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附属设施同步更新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923"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居民地及设施</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建（构）筑物</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面积变化10000m</w:t>
            </w:r>
            <w:r>
              <w:rPr>
                <w:rFonts w:hint="eastAsia" w:ascii="仿宋" w:hAnsi="仿宋" w:eastAsia="仿宋" w:cs="仿宋"/>
                <w:color w:val="000000" w:themeColor="text1"/>
                <w:kern w:val="0"/>
                <w:szCs w:val="21"/>
                <w:vertAlign w:val="superscript"/>
                <w14:textFill>
                  <w14:solidFill>
                    <w14:schemeClr w14:val="tx1"/>
                  </w14:solidFill>
                </w14:textFill>
              </w:rPr>
              <w:t>2</w:t>
            </w:r>
            <w:r>
              <w:rPr>
                <w:rFonts w:hint="eastAsia" w:ascii="仿宋" w:hAnsi="仿宋" w:eastAsia="仿宋" w:cs="仿宋"/>
                <w:color w:val="000000" w:themeColor="text1"/>
                <w:kern w:val="0"/>
                <w:szCs w:val="21"/>
                <w14:textFill>
                  <w14:solidFill>
                    <w14:schemeClr w14:val="tx1"/>
                  </w14:solidFill>
                </w14:textFill>
              </w:rPr>
              <w:t>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整村拆除情况不受该指标约束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光伏板阵列</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面积变化10000m</w:t>
            </w:r>
            <w:r>
              <w:rPr>
                <w:rFonts w:hint="eastAsia" w:ascii="仿宋" w:hAnsi="仿宋" w:eastAsia="仿宋" w:cs="仿宋"/>
                <w:color w:val="000000" w:themeColor="text1"/>
                <w:kern w:val="0"/>
                <w:szCs w:val="21"/>
                <w:vertAlign w:val="superscript"/>
                <w14:textFill>
                  <w14:solidFill>
                    <w14:schemeClr w14:val="tx1"/>
                  </w14:solidFill>
                </w14:textFill>
              </w:rPr>
              <w:t>2</w:t>
            </w:r>
            <w:r>
              <w:rPr>
                <w:rFonts w:hint="eastAsia" w:ascii="仿宋" w:hAnsi="仿宋" w:eastAsia="仿宋" w:cs="仿宋"/>
                <w:color w:val="000000" w:themeColor="text1"/>
                <w:kern w:val="0"/>
                <w:szCs w:val="21"/>
                <w14:textFill>
                  <w14:solidFill>
                    <w14:schemeClr w14:val="tx1"/>
                  </w14:solidFill>
                </w14:textFill>
              </w:rPr>
              <w:t>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70"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923"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交通</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铁路</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附属设施同步更新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公路</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长度变化1000m以上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县道以上，附属设施同步更新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城市道路</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长度变化500m以上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主干道以上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4</w:t>
            </w:r>
          </w:p>
        </w:tc>
        <w:tc>
          <w:tcPr>
            <w:tcW w:w="923" w:type="dxa"/>
            <w:vMerge w:val="restart"/>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管线</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高压输电线</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110kv以上，附属设施同步更新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923" w:type="dxa"/>
            <w:vMerge w:val="continue"/>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长输管道</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长度变化1000m以上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跨县级以上行政区域管道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c>
          <w:tcPr>
            <w:tcW w:w="923"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境界</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行政界线</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乡镇界以上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6</w:t>
            </w:r>
          </w:p>
        </w:tc>
        <w:tc>
          <w:tcPr>
            <w:tcW w:w="923"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地貌</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面积变化10000m</w:t>
            </w:r>
            <w:r>
              <w:rPr>
                <w:rFonts w:hint="eastAsia" w:ascii="仿宋" w:hAnsi="仿宋" w:eastAsia="仿宋" w:cs="仿宋"/>
                <w:color w:val="000000" w:themeColor="text1"/>
                <w:kern w:val="0"/>
                <w:szCs w:val="21"/>
                <w:vertAlign w:val="superscript"/>
                <w14:textFill>
                  <w14:solidFill>
                    <w14:schemeClr w14:val="tx1"/>
                  </w14:solidFill>
                </w14:textFill>
              </w:rPr>
              <w:t>2</w:t>
            </w:r>
            <w:r>
              <w:rPr>
                <w:rFonts w:hint="eastAsia" w:ascii="仿宋" w:hAnsi="仿宋" w:eastAsia="仿宋" w:cs="仿宋"/>
                <w:color w:val="000000" w:themeColor="text1"/>
                <w:kern w:val="0"/>
                <w:szCs w:val="21"/>
                <w14:textFill>
                  <w14:solidFill>
                    <w14:schemeClr w14:val="tx1"/>
                  </w14:solidFill>
                </w14:textFill>
              </w:rPr>
              <w:t>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相关要素同步更新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c>
          <w:tcPr>
            <w:tcW w:w="923"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植被与土质</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面积变化50000m</w:t>
            </w:r>
            <w:r>
              <w:rPr>
                <w:rFonts w:hint="eastAsia" w:ascii="仿宋" w:hAnsi="仿宋" w:eastAsia="仿宋" w:cs="仿宋"/>
                <w:color w:val="000000" w:themeColor="text1"/>
                <w:kern w:val="0"/>
                <w:szCs w:val="21"/>
                <w:vertAlign w:val="superscript"/>
                <w14:textFill>
                  <w14:solidFill>
                    <w14:schemeClr w14:val="tx1"/>
                  </w14:solidFill>
                </w14:textFill>
              </w:rPr>
              <w:t>2</w:t>
            </w:r>
            <w:r>
              <w:rPr>
                <w:rFonts w:hint="eastAsia" w:ascii="仿宋" w:hAnsi="仿宋" w:eastAsia="仿宋" w:cs="仿宋"/>
                <w:color w:val="000000" w:themeColor="text1"/>
                <w:kern w:val="0"/>
                <w:szCs w:val="21"/>
                <w14:textFill>
                  <w14:solidFill>
                    <w14:schemeClr w14:val="tx1"/>
                  </w14:solidFill>
                </w14:textFill>
              </w:rPr>
              <w:t>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垦造耕地项目不受该指标约束。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8</w:t>
            </w:r>
          </w:p>
        </w:tc>
        <w:tc>
          <w:tcPr>
            <w:tcW w:w="923"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地名</w:t>
            </w:r>
          </w:p>
        </w:tc>
        <w:tc>
          <w:tcPr>
            <w:tcW w:w="1886" w:type="dxa"/>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行政地名</w:t>
            </w:r>
          </w:p>
        </w:tc>
        <w:tc>
          <w:tcPr>
            <w:tcW w:w="2530"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名称变化1个以上</w:t>
            </w:r>
          </w:p>
        </w:tc>
        <w:tc>
          <w:tcPr>
            <w:tcW w:w="2685" w:type="dxa"/>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行政村名以上</w:t>
            </w:r>
          </w:p>
        </w:tc>
      </w:tr>
    </w:tbl>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bookmarkStart w:id="10" w:name="_Toc31088"/>
      <w:bookmarkStart w:id="11" w:name="_Toc26929"/>
      <w:bookmarkStart w:id="12" w:name="_Toc29425"/>
      <w:r>
        <w:rPr>
          <w:rFonts w:hint="eastAsia" w:ascii="仿宋" w:hAnsi="仿宋" w:eastAsia="仿宋" w:cs="仿宋"/>
          <w:b/>
          <w:bCs/>
          <w:color w:val="0D0D0D"/>
          <w:spacing w:val="6"/>
          <w:sz w:val="28"/>
          <w:szCs w:val="28"/>
          <w:lang w:val="en-US"/>
        </w:rPr>
        <w:t>2、</w:t>
      </w:r>
      <w:bookmarkEnd w:id="10"/>
      <w:bookmarkEnd w:id="11"/>
      <w:bookmarkEnd w:id="12"/>
      <w:r>
        <w:rPr>
          <w:rFonts w:hint="eastAsia" w:ascii="仿宋" w:hAnsi="仿宋" w:eastAsia="仿宋" w:cs="仿宋"/>
          <w:b/>
          <w:bCs/>
          <w:color w:val="0D0D0D"/>
          <w:spacing w:val="6"/>
          <w:sz w:val="28"/>
          <w:szCs w:val="28"/>
          <w:lang w:val="en-US"/>
        </w:rPr>
        <w:t>执行标准</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7930-2008《1:500 1:1000 1:2000 地形图航空摄影测量内业规范》；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7931-2008《1:500 1:1000 1:2000 地形图航空摄影测量外业规范》；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15967-2008《1:500 1:1000 1:2000 地形图航空摄影测量数字化测图规范》；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17941-2008《数字测绘成果质量要求》；</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18314-2009《全球定位系统（GPS）测量规范》；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18316-2008《数字测绘成果质量检查与验收》；</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19710-2005《地理信息元数据》；</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20257.1-2017 《国家基本比例尺地图图式第1 部分：1:500 1:1000 1:2000 地形图图式》（以下简称《图式》）；</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23236-2009《数字航空摄影测量 空中三角测量规范》；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GB/T 24356-2023《数字测绘成果质量检查与验收》；</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CH/T 2009-2010《全球定位系统实时动态测量（RTK）技术规范》；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CH/T 3006-2011《数字航空摄影测量 控制测量规范》；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CH/T 3007.1-2011《数字航空摄影测量 测图规范 第1 部分：1:500</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1:1000 1:2000 数字表面模型 数字正射影像图 数字线划图》；</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CH/T 9005-2009《基础地理信息数据库基本规定》；</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CH/T 9008.1-2010《基础地理信息数字成果1:500 1:1000 1:2000 数字线划图》；</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DB33/T 552-2014 《1:500 1:1000 1:2000 数字地形图测绘规范》；</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DB33/T 817-2010《基础地理信息要素分类与图形表达代码》；</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《1:500 1:1000 1:2000 基础地理信息及地理实体数据库技术规程》；</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浙江省自然资源厅2019年发布的《浙江省1∶2000比例尺基础地理信息资源更新工作技术方案》；</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浙江省自然资源厅2020年发布的《浙江省1∶2000比例尺基础地理信息资源更新技术规定》；</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浙自然资厅函[2022]1434号《浙江省自然资源厅关于持续做好1∶2000比例尺基础地理信息资源更新工作的通知》；</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浙自然资厅函〔2023〕465号《浙江省自然资源厅关于同意杭州市等11个设区市1∶2000比例尺基础地理信息资源更新规划（2023-2027年）的批复；</w:t>
      </w:r>
    </w:p>
    <w:p>
      <w:pPr>
        <w:pStyle w:val="60"/>
        <w:numPr>
          <w:ilvl w:val="0"/>
          <w:numId w:val="9"/>
        </w:numPr>
        <w:spacing w:before="0" w:after="0" w:line="360" w:lineRule="auto"/>
        <w:ind w:left="0"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经批准的本项目技术设计书。</w:t>
      </w:r>
      <w:bookmarkStart w:id="13" w:name="_Toc2742"/>
      <w:bookmarkStart w:id="14" w:name="_Toc19479"/>
      <w:bookmarkStart w:id="15" w:name="_Toc13826"/>
      <w:bookmarkStart w:id="16" w:name="_Toc14247"/>
      <w:bookmarkStart w:id="17" w:name="_Toc19509"/>
    </w:p>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3、主要技术要求</w:t>
      </w:r>
    </w:p>
    <w:bookmarkEnd w:id="13"/>
    <w:bookmarkEnd w:id="14"/>
    <w:bookmarkEnd w:id="15"/>
    <w:bookmarkEnd w:id="16"/>
    <w:bookmarkEnd w:id="17"/>
    <w:p>
      <w:pPr>
        <w:pStyle w:val="59"/>
        <w:widowControl w:val="0"/>
        <w:spacing w:before="0" w:beforeAutospacing="0" w:after="0" w:afterAutospacing="0" w:line="360" w:lineRule="auto"/>
        <w:ind w:firstLine="482" w:firstLineChars="2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(1)</w:t>
      </w:r>
      <w:r>
        <w:rPr>
          <w:rFonts w:hint="eastAsia" w:ascii="仿宋" w:hAnsi="仿宋" w:eastAsia="仿宋" w:cs="仿宋"/>
          <w:b/>
          <w:color w:val="000000" w:themeColor="text1"/>
          <w:kern w:val="2"/>
          <w:sz w:val="24"/>
          <w:szCs w:val="24"/>
          <w14:textFill>
            <w14:solidFill>
              <w14:schemeClr w14:val="tx1"/>
            </w14:solidFill>
          </w14:textFill>
        </w:rPr>
        <w:t>总体要求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1）采用全数字摄影测量方法进行测绘，采用航测内外业一体化工艺更新1：2000 数字线划图（DLG）。</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2）DLG要素分类代码按省技术方案执行。</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3）DLG数据采集原则：各要素</w:t>
      </w:r>
      <w:r>
        <w:rPr>
          <w:rFonts w:hint="eastAsia" w:ascii="仿宋" w:hAnsi="仿宋" w:eastAsia="仿宋" w:cs="仿宋"/>
          <w:color w:val="000000" w:themeColor="text1"/>
          <w:sz w:val="24"/>
          <w14:textFill>
            <w14:solidFill>
              <w14:schemeClr w14:val="tx1"/>
            </w14:solidFill>
          </w14:textFill>
        </w:rPr>
        <w:t>的相关位置、必需的代码信息均应表示清楚</w:t>
      </w:r>
      <w:r>
        <w:rPr>
          <w:rFonts w:hint="eastAsia" w:ascii="仿宋" w:hAnsi="仿宋" w:eastAsia="仿宋" w:cs="仿宋"/>
          <w:color w:val="000000" w:themeColor="text1"/>
          <w:sz w:val="24"/>
          <w:szCs w:val="22"/>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4）一般更新内业定位，外业定性；新增及阴影遮蔽地物外业实测，外业量取数据取位到0.1m。</w:t>
      </w:r>
    </w:p>
    <w:p>
      <w:pPr>
        <w:pStyle w:val="59"/>
        <w:widowControl w:val="0"/>
        <w:spacing w:before="0" w:beforeAutospacing="0" w:after="0" w:afterAutospacing="0" w:line="360" w:lineRule="auto"/>
        <w:ind w:firstLine="482" w:firstLineChars="2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(2)</w:t>
      </w:r>
      <w:r>
        <w:rPr>
          <w:rFonts w:hint="eastAsia" w:ascii="仿宋" w:hAnsi="仿宋" w:eastAsia="仿宋" w:cs="仿宋"/>
          <w:b/>
          <w:color w:val="000000" w:themeColor="text1"/>
          <w:kern w:val="2"/>
          <w:sz w:val="24"/>
          <w:szCs w:val="24"/>
          <w14:textFill>
            <w14:solidFill>
              <w14:schemeClr w14:val="tx1"/>
            </w14:solidFill>
          </w14:textFill>
        </w:rPr>
        <w:t xml:space="preserve"> DLG采集要求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采用全数字摄影测量工作站、基于图库一体化生产平台进行立体采集数据。采集时，立体模型满足如下要求：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1）必须采用空三加密成果导入，恢复立体模型的方法进行作业。</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2）恢复立体模型后，应对立体模型进行巡视检查。</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3）作业前仔细分析资料，不能超控制面积作业，个别像对确需超控制测绘，一般不能超过控制点连线外1cm。</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4）接边要求：像对间的同一地物接边差最大不大于地物点平面位置中误差的两倍、等高线接边差不应大于1个基本等高距时，取中间位置接边；否则需分析接边差产生原因并进行改正。</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5）河流、道路等线状地物拐角要求圆滑，过渡自然。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6）河流区分有滩陡岸和无滩陡岸，有滩陡岸时水涯线按常水位采集，无滩陡岸时水涯线采集在无滩陡岸上棱线位置；湖泊、水库等水体边线一般按常水位表示；池塘边线一般沿塘坎边缘线绘出。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7）单线水系从上游向下游测绘。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8）有向线以右手法则测绘，如围墙等。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9）图内完整的面状地物用相应线封闭表示。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10）立体模型上被遮挡的要素由外业补测。 </w:t>
      </w:r>
    </w:p>
    <w:p>
      <w:pPr>
        <w:spacing w:line="360" w:lineRule="auto"/>
        <w:ind w:firstLine="480" w:firstLineChars="200"/>
        <w:rPr>
          <w:rFonts w:hint="eastAsia" w:ascii="仿宋" w:hAnsi="仿宋" w:eastAsia="仿宋" w:cs="仿宋"/>
        </w:rPr>
      </w:pPr>
      <w:r>
        <w:rPr>
          <w:rFonts w:hint="eastAsia" w:ascii="仿宋" w:hAnsi="仿宋" w:eastAsia="仿宋" w:cs="仿宋"/>
          <w:color w:val="000000" w:themeColor="text1"/>
          <w:sz w:val="24"/>
          <w:szCs w:val="22"/>
          <w14:textFill>
            <w14:solidFill>
              <w14:schemeClr w14:val="tx1"/>
            </w14:solidFill>
          </w14:textFill>
        </w:rPr>
        <w:t>11）避让原则:各类要素按实际情况采集，原则上不进行避让。兼顾地形图制图要求，为了使图面清晰，在精度允许范围内，按照“次要地物避让重要地物”的原则进行避让。</w:t>
      </w:r>
    </w:p>
    <w:p>
      <w:pPr>
        <w:pStyle w:val="59"/>
        <w:widowControl w:val="0"/>
        <w:spacing w:before="0" w:beforeAutospacing="0" w:after="0" w:afterAutospacing="0" w:line="360" w:lineRule="auto"/>
        <w:ind w:firstLine="482" w:firstLineChars="2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(3)</w:t>
      </w:r>
      <w:r>
        <w:rPr>
          <w:rFonts w:hint="eastAsia" w:ascii="仿宋" w:hAnsi="仿宋" w:eastAsia="仿宋" w:cs="仿宋"/>
          <w:b/>
          <w:color w:val="000000" w:themeColor="text1"/>
          <w:kern w:val="2"/>
          <w:sz w:val="24"/>
          <w:szCs w:val="24"/>
          <w14:textFill>
            <w14:solidFill>
              <w14:schemeClr w14:val="tx1"/>
            </w14:solidFill>
          </w14:textFill>
        </w:rPr>
        <w:t xml:space="preserve"> 精度要求</w:t>
      </w:r>
    </w:p>
    <w:p>
      <w:pPr>
        <w:pStyle w:val="311"/>
        <w:rPr>
          <w:rFonts w:hint="eastAsia" w:ascii="仿宋" w:hAnsi="仿宋" w:eastAsia="仿宋" w:cs="仿宋"/>
        </w:rPr>
      </w:pPr>
      <w:r>
        <w:rPr>
          <w:rFonts w:hint="eastAsia" w:ascii="仿宋" w:hAnsi="仿宋" w:eastAsia="仿宋" w:cs="仿宋"/>
        </w:rPr>
        <w:t>1）DLG平面位置中误差不得大于下表的规定：</w:t>
      </w:r>
    </w:p>
    <w:p>
      <w:pPr>
        <w:snapToGrid w:val="0"/>
        <w:spacing w:line="360" w:lineRule="auto"/>
        <w:ind w:firstLine="1920" w:firstLineChars="800"/>
        <w:contextualSpacing/>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表4 DLG 平面位置中误差 </w:t>
      </w:r>
      <w:r>
        <w:rPr>
          <w:rFonts w:hint="eastAsia" w:ascii="仿宋" w:hAnsi="仿宋" w:eastAsia="仿宋" w:cs="仿宋"/>
          <w:color w:val="000000" w:themeColor="text1"/>
          <w:sz w:val="24"/>
          <w14:textFill>
            <w14:solidFill>
              <w14:schemeClr w14:val="tx1"/>
            </w14:solidFill>
          </w14:textFill>
        </w:rPr>
        <w:t xml:space="preserve">                     单位：m</w:t>
      </w:r>
    </w:p>
    <w:tbl>
      <w:tblPr>
        <w:tblStyle w:val="64"/>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375"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地形类别</w:t>
            </w:r>
          </w:p>
        </w:tc>
        <w:tc>
          <w:tcPr>
            <w:tcW w:w="2841"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平地、丘陵地</w:t>
            </w:r>
          </w:p>
        </w:tc>
        <w:tc>
          <w:tcPr>
            <w:tcW w:w="2841"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山地、高山地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375"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加密点</w:t>
            </w:r>
          </w:p>
        </w:tc>
        <w:tc>
          <w:tcPr>
            <w:tcW w:w="2841"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w:t>
            </w:r>
          </w:p>
        </w:tc>
        <w:tc>
          <w:tcPr>
            <w:tcW w:w="2841"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375"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地物点</w:t>
            </w:r>
          </w:p>
        </w:tc>
        <w:tc>
          <w:tcPr>
            <w:tcW w:w="2841"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0.8</w:t>
            </w:r>
          </w:p>
        </w:tc>
        <w:tc>
          <w:tcPr>
            <w:tcW w:w="2841"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r>
    </w:tbl>
    <w:p>
      <w:pPr>
        <w:pStyle w:val="311"/>
        <w:rPr>
          <w:rFonts w:hint="eastAsia" w:ascii="仿宋" w:hAnsi="仿宋" w:eastAsia="仿宋" w:cs="仿宋"/>
        </w:rPr>
      </w:pPr>
      <w:r>
        <w:rPr>
          <w:rFonts w:hint="eastAsia" w:ascii="仿宋" w:hAnsi="仿宋" w:eastAsia="仿宋" w:cs="仿宋"/>
          <w:color w:val="000000" w:themeColor="text1"/>
          <w:szCs w:val="22"/>
          <w14:textFill>
            <w14:solidFill>
              <w14:schemeClr w14:val="tx1"/>
            </w14:solidFill>
          </w14:textFill>
        </w:rPr>
        <w:t>（</w:t>
      </w:r>
      <w:r>
        <w:rPr>
          <w:rFonts w:hint="eastAsia" w:ascii="仿宋" w:hAnsi="仿宋" w:eastAsia="仿宋" w:cs="仿宋"/>
        </w:rPr>
        <w:t>2）DLG高程中误差不得大于下表的规定：</w:t>
      </w:r>
    </w:p>
    <w:p>
      <w:pPr>
        <w:snapToGrid w:val="0"/>
        <w:spacing w:line="360" w:lineRule="auto"/>
        <w:contextualSpacing/>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表5 DLG 高程中误差         </w:t>
      </w:r>
      <w:r>
        <w:rPr>
          <w:rFonts w:hint="eastAsia" w:ascii="仿宋" w:hAnsi="仿宋" w:eastAsia="仿宋" w:cs="仿宋"/>
          <w:color w:val="000000" w:themeColor="text1"/>
          <w:sz w:val="24"/>
          <w14:textFill>
            <w14:solidFill>
              <w14:schemeClr w14:val="tx1"/>
            </w14:solidFill>
          </w14:textFill>
        </w:rPr>
        <w:t xml:space="preserve">                单位：m</w:t>
      </w:r>
    </w:p>
    <w:tbl>
      <w:tblPr>
        <w:tblStyle w:val="64"/>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1370"/>
        <w:gridCol w:w="1607"/>
        <w:gridCol w:w="1607"/>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029"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地形类别(等高距)</w:t>
            </w:r>
          </w:p>
        </w:tc>
        <w:tc>
          <w:tcPr>
            <w:tcW w:w="1370"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平地（1m）</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丘陵地（1m）</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山地（2m）</w:t>
            </w:r>
          </w:p>
        </w:tc>
        <w:tc>
          <w:tcPr>
            <w:tcW w:w="1608"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高山地（2m）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029"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加密点</w:t>
            </w:r>
          </w:p>
        </w:tc>
        <w:tc>
          <w:tcPr>
            <w:tcW w:w="1370"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0.28</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0.35</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0.80</w:t>
            </w:r>
          </w:p>
        </w:tc>
        <w:tc>
          <w:tcPr>
            <w:tcW w:w="1608"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029"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高程注记点</w:t>
            </w:r>
          </w:p>
        </w:tc>
        <w:tc>
          <w:tcPr>
            <w:tcW w:w="1370"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0.40</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0.50</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1.20</w:t>
            </w:r>
          </w:p>
        </w:tc>
        <w:tc>
          <w:tcPr>
            <w:tcW w:w="1608"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29"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等高线</w:t>
            </w:r>
          </w:p>
        </w:tc>
        <w:tc>
          <w:tcPr>
            <w:tcW w:w="1370"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0.70</w:t>
            </w:r>
          </w:p>
        </w:tc>
        <w:tc>
          <w:tcPr>
            <w:tcW w:w="1607"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1.50</w:t>
            </w:r>
          </w:p>
        </w:tc>
        <w:tc>
          <w:tcPr>
            <w:tcW w:w="1608" w:type="dxa"/>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2.00</w:t>
            </w:r>
          </w:p>
        </w:tc>
      </w:tr>
    </w:tbl>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平地不绘等高线；大面积的植被密集覆盖区域、阴影区域等困难地区的平面和高程中误差可按规定放宽1/2。最大允许误差为两倍中误差。</w:t>
      </w:r>
    </w:p>
    <w:p>
      <w:pPr>
        <w:pStyle w:val="59"/>
        <w:widowControl w:val="0"/>
        <w:spacing w:before="0" w:beforeAutospacing="0" w:after="0" w:afterAutospacing="0" w:line="360" w:lineRule="auto"/>
        <w:ind w:firstLine="482" w:firstLineChars="2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(4)</w:t>
      </w:r>
      <w:r>
        <w:rPr>
          <w:rFonts w:hint="eastAsia" w:ascii="仿宋" w:hAnsi="仿宋" w:eastAsia="仿宋" w:cs="仿宋"/>
          <w:b/>
          <w:color w:val="000000" w:themeColor="text1"/>
          <w:kern w:val="2"/>
          <w:sz w:val="24"/>
          <w:szCs w:val="24"/>
          <w14:textFill>
            <w14:solidFill>
              <w14:schemeClr w14:val="tx1"/>
            </w14:solidFill>
          </w14:textFill>
        </w:rPr>
        <w:t xml:space="preserve"> 产品规格</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1）1:2000数字线划图（DLG）更新</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平面坐标系统：</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2000国家大地坐标系（CGCS2000）、绍兴坐标系；本项目作业过程采用2000国家大地坐标系（CGCS2000），其他成果采用坐标转换的方法计算。</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投影方式： 2000国家大地坐标系(CGCS2000)，投影方式为高斯-克吕格投影，中央经线120°；绍兴坐标系，投影方式为高斯-克吕格投影，中央经线120°35′。</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高程基准：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1985国家高程基准。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图幅规格：</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DLG产品成果按正方形分幅，图幅规格为50cm×50cm，图幅编号采用带号加图幅西南角点坐标公里数，X在先，Y在后，中间加横杠，如40-3322-562，图名取图内最有代表性的名称。</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数字线划图（DLG）：</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①</w:t>
      </w:r>
      <w:r>
        <w:rPr>
          <w:rFonts w:hint="eastAsia" w:ascii="仿宋" w:hAnsi="仿宋" w:eastAsia="仿宋" w:cs="仿宋"/>
          <w:color w:val="000000" w:themeColor="text1"/>
          <w:sz w:val="24"/>
          <w:szCs w:val="22"/>
          <w14:textFill>
            <w14:solidFill>
              <w14:schemeClr w14:val="tx1"/>
            </w14:solidFill>
          </w14:textFill>
        </w:rPr>
        <w:t>数据格式*.dwg。</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②</w:t>
      </w:r>
      <w:r>
        <w:rPr>
          <w:rFonts w:hint="eastAsia" w:ascii="仿宋" w:hAnsi="仿宋" w:eastAsia="仿宋" w:cs="仿宋"/>
          <w:color w:val="000000" w:themeColor="text1"/>
          <w:sz w:val="24"/>
          <w:szCs w:val="22"/>
          <w14:textFill>
            <w14:solidFill>
              <w14:schemeClr w14:val="tx1"/>
            </w14:solidFill>
          </w14:textFill>
        </w:rPr>
        <w:t>地物为二维信息（X、Y），地貌高程点及等高线为三维信息（X、Y、Z（标高））。</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③</w:t>
      </w:r>
      <w:r>
        <w:rPr>
          <w:rFonts w:hint="eastAsia" w:ascii="仿宋" w:hAnsi="仿宋" w:eastAsia="仿宋" w:cs="仿宋"/>
          <w:color w:val="000000" w:themeColor="text1"/>
          <w:sz w:val="24"/>
          <w:szCs w:val="22"/>
          <w14:textFill>
            <w14:solidFill>
              <w14:schemeClr w14:val="tx1"/>
            </w14:solidFill>
          </w14:textFill>
        </w:rPr>
        <w:t>平地等高距为1米（不绘等高线），丘陵地等高距为1 米，山地等高距为2米。</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④</w:t>
      </w:r>
      <w:r>
        <w:rPr>
          <w:rFonts w:hint="eastAsia" w:ascii="仿宋" w:hAnsi="仿宋" w:eastAsia="仿宋" w:cs="仿宋"/>
          <w:color w:val="000000" w:themeColor="text1"/>
          <w:sz w:val="24"/>
          <w:szCs w:val="22"/>
          <w14:textFill>
            <w14:solidFill>
              <w14:schemeClr w14:val="tx1"/>
            </w14:solidFill>
          </w14:textFill>
        </w:rPr>
        <w:t>文件名按比例尺代码+产品类别+图幅编号命名（IDLG40-3322-562）。</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2）基础地理信息数据库</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①</w:t>
      </w:r>
      <w:r>
        <w:rPr>
          <w:rFonts w:hint="eastAsia" w:ascii="仿宋" w:hAnsi="仿宋" w:eastAsia="仿宋" w:cs="仿宋"/>
          <w:color w:val="000000" w:themeColor="text1"/>
          <w:sz w:val="24"/>
          <w:szCs w:val="22"/>
          <w14:textFill>
            <w14:solidFill>
              <w14:schemeClr w14:val="tx1"/>
            </w14:solidFill>
          </w14:textFill>
        </w:rPr>
        <w:t>数据格式：ArcGIS 10.2版本 *.GDB格式。</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②</w:t>
      </w:r>
      <w:r>
        <w:rPr>
          <w:rFonts w:hint="eastAsia" w:ascii="仿宋" w:hAnsi="仿宋" w:eastAsia="仿宋" w:cs="仿宋"/>
          <w:color w:val="000000" w:themeColor="text1"/>
          <w:sz w:val="24"/>
          <w:szCs w:val="22"/>
          <w14:textFill>
            <w14:solidFill>
              <w14:schemeClr w14:val="tx1"/>
            </w14:solidFill>
          </w14:textFill>
        </w:rPr>
        <w:t>DLG采用空间地理数据库形式存储。</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③</w:t>
      </w:r>
      <w:r>
        <w:rPr>
          <w:rFonts w:hint="eastAsia" w:ascii="仿宋" w:hAnsi="仿宋" w:eastAsia="仿宋" w:cs="仿宋"/>
          <w:color w:val="000000" w:themeColor="text1"/>
          <w:sz w:val="24"/>
          <w:szCs w:val="22"/>
          <w14:textFill>
            <w14:solidFill>
              <w14:schemeClr w14:val="tx1"/>
            </w14:solidFill>
          </w14:textFill>
        </w:rPr>
        <w:t>数据库命名方式：动态更新按比例尺代码+行政区划名+日期（YYYYMMDD）+“DLG数据库”命名，如“I绍兴市20240101DLG数据库”。年度更新按比例尺代码+行政区划名+年份（YYYY）+“DLG数据库”命名，如“I绍兴市2024DLG数据库”。</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3）元数据</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①</w:t>
      </w:r>
      <w:r>
        <w:rPr>
          <w:rFonts w:hint="eastAsia" w:ascii="仿宋" w:hAnsi="仿宋" w:eastAsia="仿宋" w:cs="仿宋"/>
          <w:color w:val="000000" w:themeColor="text1"/>
          <w:sz w:val="24"/>
          <w:szCs w:val="22"/>
          <w14:textFill>
            <w14:solidFill>
              <w14:schemeClr w14:val="tx1"/>
            </w14:solidFill>
          </w14:textFill>
        </w:rPr>
        <w:t>数据格式：ArcGIS10.2 版本*.SHP 格式。</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②</w:t>
      </w:r>
      <w:r>
        <w:rPr>
          <w:rFonts w:hint="eastAsia" w:ascii="仿宋" w:hAnsi="仿宋" w:eastAsia="仿宋" w:cs="仿宋"/>
          <w:color w:val="000000" w:themeColor="text1"/>
          <w:sz w:val="24"/>
          <w:szCs w:val="22"/>
          <w14:textFill>
            <w14:solidFill>
              <w14:schemeClr w14:val="tx1"/>
            </w14:solidFill>
          </w14:textFill>
        </w:rPr>
        <w:t>存储形式：测区级按测区项目范围采集，图幅级按标准图幅或者分区块范围采集，不同类型元数据分要素类存储。</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③</w:t>
      </w:r>
      <w:r>
        <w:rPr>
          <w:rFonts w:hint="eastAsia" w:ascii="仿宋" w:hAnsi="仿宋" w:eastAsia="仿宋" w:cs="仿宋"/>
          <w:color w:val="000000" w:themeColor="text1"/>
          <w:sz w:val="24"/>
          <w:szCs w:val="22"/>
          <w14:textFill>
            <w14:solidFill>
              <w14:schemeClr w14:val="tx1"/>
            </w14:solidFill>
          </w14:textFill>
        </w:rPr>
        <w:t>命名方式：数据库级元数据按“I”+行政区划名+年份（YYYY）+元数据类别命名；要素级元数据按“I”+行政区划名+日期（YYYYMMDD）+元数据类别命名。</w:t>
      </w:r>
    </w:p>
    <w:p>
      <w:pPr>
        <w:pStyle w:val="120"/>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4、提交成果</w:t>
      </w:r>
    </w:p>
    <w:p>
      <w:pPr>
        <w:pStyle w:val="7"/>
        <w:rPr>
          <w:rFonts w:hint="eastAsia" w:ascii="仿宋" w:hAnsi="仿宋" w:eastAsia="仿宋" w:cs="仿宋"/>
        </w:rPr>
      </w:pPr>
      <w:r>
        <w:rPr>
          <w:rFonts w:hint="eastAsia" w:ascii="仿宋" w:hAnsi="仿宋" w:eastAsia="仿宋" w:cs="仿宋"/>
        </w:rPr>
        <w:t>表6 成果资料交付清单</w:t>
      </w:r>
    </w:p>
    <w:tbl>
      <w:tblPr>
        <w:tblStyle w:val="64"/>
        <w:tblW w:w="971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2"/>
        <w:gridCol w:w="1559"/>
        <w:gridCol w:w="3827"/>
        <w:gridCol w:w="992"/>
        <w:gridCol w:w="851"/>
        <w:gridCol w:w="830"/>
        <w:gridCol w:w="99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62" w:type="dxa"/>
            <w:tcBorders>
              <w:top w:val="doub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5386" w:type="dxa"/>
            <w:gridSpan w:val="2"/>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内容</w:t>
            </w:r>
          </w:p>
        </w:tc>
        <w:tc>
          <w:tcPr>
            <w:tcW w:w="992" w:type="dxa"/>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格式</w:t>
            </w:r>
          </w:p>
        </w:tc>
        <w:tc>
          <w:tcPr>
            <w:tcW w:w="851" w:type="dxa"/>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数量</w:t>
            </w:r>
          </w:p>
        </w:tc>
        <w:tc>
          <w:tcPr>
            <w:tcW w:w="830" w:type="dxa"/>
            <w:tcBorders>
              <w:top w:val="double" w:color="auto" w:sz="4" w:space="0"/>
              <w:left w:val="single" w:color="auto" w:sz="6" w:space="0"/>
              <w:bottom w:val="single" w:color="auto" w:sz="6" w:space="0"/>
              <w:right w:val="sing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介质</w:t>
            </w:r>
          </w:p>
        </w:tc>
        <w:tc>
          <w:tcPr>
            <w:tcW w:w="990" w:type="dxa"/>
            <w:tcBorders>
              <w:top w:val="double" w:color="auto" w:sz="4" w:space="0"/>
              <w:left w:val="single" w:color="auto" w:sz="4" w:space="0"/>
              <w:bottom w:val="single" w:color="auto" w:sz="6" w:space="0"/>
              <w:right w:val="double" w:color="auto" w:sz="4" w:space="0"/>
            </w:tcBorders>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0" w:hRule="atLeast"/>
          <w:tblHeader/>
          <w:jc w:val="center"/>
        </w:trPr>
        <w:tc>
          <w:tcPr>
            <w:tcW w:w="662"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559" w:type="dxa"/>
            <w:vMerge w:val="restart"/>
            <w:tcBorders>
              <w:top w:val="single" w:color="auto" w:sz="6" w:space="0"/>
              <w:left w:val="single" w:color="auto" w:sz="6" w:space="0"/>
              <w:right w:val="sing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绍兴市1:2000数字线划图（DLG）更新</w:t>
            </w:r>
          </w:p>
        </w:tc>
        <w:tc>
          <w:tcPr>
            <w:tcW w:w="3827" w:type="dxa"/>
            <w:tcBorders>
              <w:top w:val="single" w:color="auto" w:sz="4" w:space="0"/>
              <w:left w:val="single" w:color="auto" w:sz="4"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DLG成果（2000国家大地坐标系和绍兴坐标系）</w:t>
            </w:r>
          </w:p>
        </w:tc>
        <w:tc>
          <w:tcPr>
            <w:tcW w:w="992"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GDB</w:t>
            </w:r>
          </w:p>
        </w:tc>
        <w:tc>
          <w:tcPr>
            <w:tcW w:w="851"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single" w:color="auto" w:sz="6"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c>
          <w:tcPr>
            <w:tcW w:w="990" w:type="dxa"/>
            <w:tcBorders>
              <w:top w:val="single" w:color="auto" w:sz="6" w:space="0"/>
              <w:left w:val="single" w:color="auto" w:sz="4" w:space="0"/>
              <w:bottom w:val="single" w:color="auto" w:sz="6" w:space="0"/>
              <w:right w:val="double" w:color="auto" w:sz="4" w:space="0"/>
            </w:tcBorders>
          </w:tcPr>
          <w:p>
            <w:pPr>
              <w:jc w:val="center"/>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tblHeader/>
          <w:jc w:val="center"/>
        </w:trPr>
        <w:tc>
          <w:tcPr>
            <w:tcW w:w="662"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559" w:type="dxa"/>
            <w:vMerge w:val="continue"/>
            <w:tcBorders>
              <w:left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82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元数据（2000国家大地坐标系）</w:t>
            </w:r>
          </w:p>
        </w:tc>
        <w:tc>
          <w:tcPr>
            <w:tcW w:w="992"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SHP</w:t>
            </w:r>
          </w:p>
        </w:tc>
        <w:tc>
          <w:tcPr>
            <w:tcW w:w="851"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single" w:color="auto" w:sz="6"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c>
          <w:tcPr>
            <w:tcW w:w="990" w:type="dxa"/>
            <w:tcBorders>
              <w:top w:val="single" w:color="auto" w:sz="6" w:space="0"/>
              <w:left w:val="single" w:color="auto" w:sz="4" w:space="0"/>
              <w:bottom w:val="single" w:color="auto" w:sz="6" w:space="0"/>
              <w:right w:val="double" w:color="auto" w:sz="4" w:space="0"/>
            </w:tcBorders>
          </w:tcPr>
          <w:p>
            <w:pPr>
              <w:jc w:val="center"/>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tblHeader/>
          <w:jc w:val="center"/>
        </w:trPr>
        <w:tc>
          <w:tcPr>
            <w:tcW w:w="662"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559" w:type="dxa"/>
            <w:vMerge w:val="continue"/>
            <w:tcBorders>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82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图幅结合表、结合图</w:t>
            </w:r>
          </w:p>
        </w:tc>
        <w:tc>
          <w:tcPr>
            <w:tcW w:w="992"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DWG、JPG</w:t>
            </w:r>
          </w:p>
        </w:tc>
        <w:tc>
          <w:tcPr>
            <w:tcW w:w="851"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single" w:color="auto" w:sz="6"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c>
          <w:tcPr>
            <w:tcW w:w="990" w:type="dxa"/>
            <w:tcBorders>
              <w:top w:val="single" w:color="auto" w:sz="6" w:space="0"/>
              <w:left w:val="single" w:color="auto" w:sz="4" w:space="0"/>
              <w:bottom w:val="single" w:color="auto" w:sz="6" w:space="0"/>
              <w:right w:val="double" w:color="auto" w:sz="4" w:space="0"/>
            </w:tcBorders>
          </w:tcPr>
          <w:p>
            <w:pPr>
              <w:jc w:val="center"/>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tblHeader/>
          <w:jc w:val="center"/>
        </w:trPr>
        <w:tc>
          <w:tcPr>
            <w:tcW w:w="662"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559" w:type="dxa"/>
            <w:vMerge w:val="restart"/>
            <w:tcBorders>
              <w:top w:val="single" w:color="auto" w:sz="6" w:space="0"/>
              <w:left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绍兴市重大要素1:2000数字线划图（DLG）动态更新</w:t>
            </w:r>
          </w:p>
        </w:tc>
        <w:tc>
          <w:tcPr>
            <w:tcW w:w="382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DLG成果（2000国家大地坐标系）</w:t>
            </w:r>
          </w:p>
        </w:tc>
        <w:tc>
          <w:tcPr>
            <w:tcW w:w="992"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GDB</w:t>
            </w:r>
          </w:p>
        </w:tc>
        <w:tc>
          <w:tcPr>
            <w:tcW w:w="851"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single" w:color="auto" w:sz="6"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光盘/硬盘</w:t>
            </w:r>
          </w:p>
        </w:tc>
        <w:tc>
          <w:tcPr>
            <w:tcW w:w="990" w:type="dxa"/>
            <w:tcBorders>
              <w:top w:val="single" w:color="auto" w:sz="6" w:space="0"/>
              <w:left w:val="single" w:color="auto" w:sz="4" w:space="0"/>
              <w:bottom w:val="single" w:color="auto" w:sz="6" w:space="0"/>
              <w:right w:val="double" w:color="auto" w:sz="4" w:space="0"/>
            </w:tcBorders>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tblHeader/>
          <w:jc w:val="center"/>
        </w:trPr>
        <w:tc>
          <w:tcPr>
            <w:tcW w:w="662"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1559" w:type="dxa"/>
            <w:vMerge w:val="continue"/>
            <w:tcBorders>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82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元数据（2000国家大地坐标系）</w:t>
            </w:r>
          </w:p>
        </w:tc>
        <w:tc>
          <w:tcPr>
            <w:tcW w:w="992"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SHP</w:t>
            </w:r>
          </w:p>
        </w:tc>
        <w:tc>
          <w:tcPr>
            <w:tcW w:w="851"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single" w:color="auto" w:sz="6"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光盘/硬盘</w:t>
            </w:r>
          </w:p>
        </w:tc>
        <w:tc>
          <w:tcPr>
            <w:tcW w:w="990" w:type="dxa"/>
            <w:tcBorders>
              <w:top w:val="single" w:color="auto" w:sz="6" w:space="0"/>
              <w:left w:val="single" w:color="auto" w:sz="4" w:space="0"/>
              <w:bottom w:val="single" w:color="auto" w:sz="6" w:space="0"/>
              <w:right w:val="double" w:color="auto" w:sz="4" w:space="0"/>
            </w:tcBorders>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62"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5386"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技术设计书、技术总结、质量检查、验收意见等技术文档</w:t>
            </w:r>
          </w:p>
        </w:tc>
        <w:tc>
          <w:tcPr>
            <w:tcW w:w="992"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DOC</w:t>
            </w: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硬盘/纸质</w:t>
            </w:r>
          </w:p>
        </w:tc>
        <w:tc>
          <w:tcPr>
            <w:tcW w:w="990" w:type="dxa"/>
            <w:tcBorders>
              <w:top w:val="single" w:color="auto" w:sz="6" w:space="0"/>
              <w:left w:val="single" w:color="auto" w:sz="4" w:space="0"/>
              <w:bottom w:val="single" w:color="auto" w:sz="6" w:space="0"/>
              <w:right w:val="double" w:color="auto" w:sz="4" w:space="0"/>
            </w:tcBorders>
          </w:tcPr>
          <w:p>
            <w:pPr>
              <w:jc w:val="center"/>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2" w:type="dxa"/>
            <w:tcBorders>
              <w:top w:val="single" w:color="auto" w:sz="6" w:space="0"/>
              <w:left w:val="double" w:color="auto" w:sz="4" w:space="0"/>
              <w:bottom w:val="double" w:color="auto" w:sz="4" w:space="0"/>
              <w:right w:val="single" w:color="auto" w:sz="6" w:space="0"/>
            </w:tcBorders>
            <w:shd w:val="clear" w:color="auto" w:fill="auto"/>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5386" w:type="dxa"/>
            <w:gridSpan w:val="2"/>
            <w:tcBorders>
              <w:top w:val="single" w:color="auto" w:sz="6" w:space="0"/>
              <w:left w:val="single" w:color="auto" w:sz="6" w:space="0"/>
              <w:bottom w:val="double" w:color="auto" w:sz="4" w:space="0"/>
              <w:right w:val="single" w:color="auto" w:sz="6" w:space="0"/>
            </w:tcBorders>
            <w:shd w:val="clear" w:color="auto" w:fill="auto"/>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资料移交清单及其它各类资料的电子文档</w:t>
            </w:r>
          </w:p>
        </w:tc>
        <w:tc>
          <w:tcPr>
            <w:tcW w:w="992" w:type="dxa"/>
            <w:tcBorders>
              <w:top w:val="single" w:color="auto" w:sz="6" w:space="0"/>
              <w:left w:val="single" w:color="auto" w:sz="6" w:space="0"/>
              <w:bottom w:val="double" w:color="auto" w:sz="4" w:space="0"/>
              <w:right w:val="single" w:color="auto" w:sz="6" w:space="0"/>
            </w:tcBorders>
            <w:shd w:val="clear" w:color="auto" w:fill="auto"/>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DOC</w:t>
            </w:r>
          </w:p>
        </w:tc>
        <w:tc>
          <w:tcPr>
            <w:tcW w:w="851" w:type="dxa"/>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3份</w:t>
            </w:r>
          </w:p>
        </w:tc>
        <w:tc>
          <w:tcPr>
            <w:tcW w:w="830" w:type="dxa"/>
            <w:tcBorders>
              <w:top w:val="single" w:color="auto" w:sz="6" w:space="0"/>
              <w:left w:val="single" w:color="auto" w:sz="6" w:space="0"/>
              <w:bottom w:val="double" w:color="auto" w:sz="4" w:space="0"/>
              <w:right w:val="single" w:color="auto" w:sz="4" w:space="0"/>
            </w:tcBorders>
            <w:shd w:val="clear" w:color="auto" w:fill="auto"/>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硬盘/纸质</w:t>
            </w:r>
          </w:p>
        </w:tc>
        <w:tc>
          <w:tcPr>
            <w:tcW w:w="990" w:type="dxa"/>
            <w:tcBorders>
              <w:top w:val="single" w:color="auto" w:sz="6" w:space="0"/>
              <w:left w:val="single" w:color="auto" w:sz="4" w:space="0"/>
              <w:bottom w:val="double" w:color="auto" w:sz="4" w:space="0"/>
              <w:right w:val="double" w:color="auto" w:sz="4" w:space="0"/>
            </w:tcBorders>
          </w:tcPr>
          <w:p>
            <w:pPr>
              <w:snapToGrid w:val="0"/>
              <w:jc w:val="center"/>
              <w:rPr>
                <w:rFonts w:hint="eastAsia" w:ascii="仿宋" w:hAnsi="仿宋" w:eastAsia="仿宋" w:cs="仿宋"/>
                <w:color w:val="000000" w:themeColor="text1"/>
                <w:szCs w:val="21"/>
                <w14:textFill>
                  <w14:solidFill>
                    <w14:schemeClr w14:val="tx1"/>
                  </w14:solidFill>
                </w14:textFill>
              </w:rPr>
            </w:pPr>
          </w:p>
        </w:tc>
      </w:tr>
    </w:tbl>
    <w:p>
      <w:pPr>
        <w:pStyle w:val="120"/>
        <w:spacing w:line="360" w:lineRule="auto"/>
        <w:ind w:left="0" w:leftChars="0" w:firstLine="0" w:firstLineChars="0"/>
        <w:textAlignment w:val="center"/>
        <w:outlineLvl w:val="1"/>
        <w:rPr>
          <w:rFonts w:hint="eastAsia" w:ascii="仿宋" w:hAnsi="仿宋" w:eastAsia="仿宋" w:cs="仿宋"/>
          <w:b/>
          <w:bCs/>
          <w:color w:val="0D0D0D"/>
          <w:spacing w:val="6"/>
          <w:sz w:val="28"/>
          <w:szCs w:val="28"/>
          <w:lang w:val="en-US"/>
        </w:rPr>
      </w:pPr>
    </w:p>
    <w:p>
      <w:pPr>
        <w:pStyle w:val="120"/>
        <w:spacing w:line="360" w:lineRule="auto"/>
        <w:ind w:left="0" w:leftChars="0" w:firstLine="0" w:firstLineChars="0"/>
        <w:textAlignment w:val="center"/>
        <w:outlineLvl w:val="1"/>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（三）</w:t>
      </w:r>
      <w:bookmarkStart w:id="18" w:name="_Hlk160782190"/>
      <w:r>
        <w:rPr>
          <w:rFonts w:hint="eastAsia" w:ascii="仿宋" w:hAnsi="仿宋" w:eastAsia="仿宋" w:cs="仿宋"/>
          <w:b/>
          <w:bCs/>
          <w:color w:val="0D0D0D"/>
          <w:spacing w:val="6"/>
          <w:sz w:val="28"/>
          <w:szCs w:val="28"/>
          <w:lang w:val="en-US"/>
        </w:rPr>
        <w:t>绍兴市城市级实景三维建设</w:t>
      </w:r>
      <w:bookmarkEnd w:id="18"/>
    </w:p>
    <w:p>
      <w:pPr>
        <w:pStyle w:val="120"/>
        <w:numPr>
          <w:ilvl w:val="0"/>
          <w:numId w:val="10"/>
        </w:numPr>
        <w:spacing w:line="360" w:lineRule="auto"/>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建设内容</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（1）绍兴滨海激光点云获取与DEM\DSM处理</w:t>
      </w:r>
    </w:p>
    <w:p>
      <w:pPr>
        <w:pStyle w:val="60"/>
        <w:spacing w:before="0" w:after="0" w:line="360" w:lineRule="auto"/>
        <w:ind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完成绍兴滨海新区92平方千米机载激光点云数据获取，激光点云密度为30点/平方米，完成点云数据预处理、分类及DEM、DSM制作。</w:t>
      </w:r>
    </w:p>
    <w:p>
      <w:pPr>
        <w:pStyle w:val="60"/>
        <w:spacing w:before="0" w:after="0" w:line="360" w:lineRule="auto"/>
        <w:ind w:firstLine="480" w:firstLineChars="200"/>
        <w:jc w:val="both"/>
        <w:outlineLvl w:val="9"/>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完成滨海新区92平方千米与已有越城区、上虞区、柯桥区三区机载激光点云数据的融合，要求接边区域点云平面精度和高程精度均不超过0.3米。</w:t>
      </w:r>
    </w:p>
    <w:p>
      <w:pPr>
        <w:jc w:val="center"/>
        <w:rPr>
          <w:rFonts w:hint="eastAsia" w:ascii="仿宋" w:hAnsi="仿宋" w:eastAsia="仿宋" w:cs="仿宋"/>
        </w:rPr>
      </w:pPr>
      <w:r>
        <w:rPr>
          <w:rFonts w:hint="eastAsia" w:ascii="仿宋" w:hAnsi="仿宋" w:eastAsia="仿宋" w:cs="仿宋"/>
        </w:rPr>
        <w:drawing>
          <wp:inline distT="0" distB="0" distL="0" distR="0">
            <wp:extent cx="4826635" cy="5091430"/>
            <wp:effectExtent l="0" t="0" r="12065" b="13970"/>
            <wp:docPr id="96218286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82865" name="图片 1" descr="地图&#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26635" cy="5091818"/>
                    </a:xfrm>
                    <a:prstGeom prst="rect">
                      <a:avLst/>
                    </a:prstGeom>
                    <a:noFill/>
                    <a:ln>
                      <a:noFill/>
                    </a:ln>
                  </pic:spPr>
                </pic:pic>
              </a:graphicData>
            </a:graphic>
          </wp:inline>
        </w:drawing>
      </w:r>
    </w:p>
    <w:p>
      <w:pPr>
        <w:spacing w:after="157" w:afterLines="50"/>
        <w:jc w:val="center"/>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图3 激光点云测区范围示意图</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szCs w:val="22"/>
          <w14:textFill>
            <w14:solidFill>
              <w14:schemeClr w14:val="tx1"/>
            </w14:solidFill>
          </w14:textFill>
        </w:rPr>
        <w:t>城市级基础地理实体生产</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完成越城区100平方千米和柯桥区73平方千米区域的城市级基础地理实体生产，总面积共计173平方千米。具体范围如下图所示。</w:t>
      </w:r>
    </w:p>
    <w:p>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drawing>
          <wp:inline distT="0" distB="0" distL="0" distR="0">
            <wp:extent cx="5274310" cy="5838825"/>
            <wp:effectExtent l="19050" t="19050" r="21590" b="28575"/>
            <wp:docPr id="1272534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3432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5838825"/>
                    </a:xfrm>
                    <a:prstGeom prst="rect">
                      <a:avLst/>
                    </a:prstGeom>
                    <a:noFill/>
                    <a:ln>
                      <a:solidFill>
                        <a:schemeClr val="tx1"/>
                      </a:solidFill>
                    </a:ln>
                  </pic:spPr>
                </pic:pic>
              </a:graphicData>
            </a:graphic>
          </wp:inline>
        </w:drawing>
      </w:r>
    </w:p>
    <w:p>
      <w:pPr>
        <w:spacing w:after="157" w:afterLines="50"/>
        <w:jc w:val="center"/>
        <w:rPr>
          <w:rFonts w:hint="eastAsia" w:ascii="仿宋" w:hAnsi="仿宋" w:eastAsia="仿宋" w:cs="仿宋"/>
          <w:color w:val="000000" w:themeColor="text1"/>
          <w:sz w:val="24"/>
          <w:highlight w:val="yellow"/>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图4 城市级基础地理实体生产范围</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（3）城市三维模型快速构建</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按照实景三维浙江建设要求，利用1:2000比例尺DLG数据、Mesh三维模型、不动产权籍数据等各类数据，完成绍兴市173平方千米范围内城市</w:t>
      </w:r>
      <w:r>
        <w:rPr>
          <w:rFonts w:hint="eastAsia" w:ascii="仿宋" w:hAnsi="仿宋" w:eastAsia="仿宋" w:cs="仿宋"/>
          <w:sz w:val="24"/>
        </w:rPr>
        <w:t>三维模型快速构建</w:t>
      </w:r>
      <w:r>
        <w:rPr>
          <w:rFonts w:hint="eastAsia" w:ascii="仿宋" w:hAnsi="仿宋" w:eastAsia="仿宋" w:cs="仿宋"/>
          <w:color w:val="000000" w:themeColor="text1"/>
          <w:sz w:val="24"/>
          <w14:textFill>
            <w14:solidFill>
              <w14:schemeClr w14:val="tx1"/>
            </w14:solidFill>
          </w14:textFill>
        </w:rPr>
        <w:t>，具体范围如图所示：</w:t>
      </w:r>
    </w:p>
    <w:p>
      <w:pPr>
        <w:pStyle w:val="16"/>
        <w:tabs>
          <w:tab w:val="left" w:pos="360"/>
          <w:tab w:val="clear" w:pos="454"/>
        </w:tabs>
        <w:rPr>
          <w:rFonts w:hint="eastAsia" w:ascii="仿宋" w:hAnsi="仿宋" w:eastAsia="仿宋" w:cs="仿宋"/>
        </w:rPr>
      </w:pPr>
    </w:p>
    <w:p>
      <w:pPr>
        <w:pStyle w:val="16"/>
        <w:tabs>
          <w:tab w:val="left" w:pos="360"/>
          <w:tab w:val="clear" w:pos="454"/>
        </w:tabs>
        <w:jc w:val="center"/>
        <w:rPr>
          <w:rFonts w:hint="eastAsia" w:ascii="仿宋" w:hAnsi="仿宋" w:eastAsia="仿宋" w:cs="仿宋"/>
        </w:rPr>
      </w:pPr>
      <w:r>
        <w:rPr>
          <w:rFonts w:hint="eastAsia" w:ascii="仿宋" w:hAnsi="仿宋" w:eastAsia="仿宋" w:cs="仿宋"/>
        </w:rPr>
        <w:drawing>
          <wp:inline distT="0" distB="0" distL="114300" distR="114300">
            <wp:extent cx="4571365" cy="6292215"/>
            <wp:effectExtent l="0" t="0" r="635" b="0"/>
            <wp:docPr id="5" name="图片 5" descr="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布局"/>
                    <pic:cNvPicPr>
                      <a:picLocks noChangeAspect="1"/>
                    </pic:cNvPicPr>
                  </pic:nvPicPr>
                  <pic:blipFill>
                    <a:blip r:embed="rId18"/>
                    <a:srcRect t="2685"/>
                    <a:stretch>
                      <a:fillRect/>
                    </a:stretch>
                  </pic:blipFill>
                  <pic:spPr>
                    <a:xfrm>
                      <a:off x="0" y="0"/>
                      <a:ext cx="4571365" cy="6292585"/>
                    </a:xfrm>
                    <a:prstGeom prst="rect">
                      <a:avLst/>
                    </a:prstGeom>
                    <a:ln>
                      <a:noFill/>
                    </a:ln>
                  </pic:spPr>
                </pic:pic>
              </a:graphicData>
            </a:graphic>
          </wp:inline>
        </w:drawing>
      </w:r>
    </w:p>
    <w:p>
      <w:pPr>
        <w:spacing w:after="157" w:afterLines="50"/>
        <w:jc w:val="center"/>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图5 城市三维模型快速构建建设范围示意图</w:t>
      </w:r>
    </w:p>
    <w:p>
      <w:pPr>
        <w:pStyle w:val="120"/>
        <w:numPr>
          <w:ilvl w:val="0"/>
          <w:numId w:val="10"/>
        </w:numPr>
        <w:spacing w:line="360" w:lineRule="auto"/>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执行标准</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CJJ/T 73-2019《卫星定位城市测量技术规范》；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2009-2010《全球定位系统实时动态测量（RTK）技术规范》；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18314-2009《全球定位系统（GPS）测量规范》；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27919-2011《IMU/GPS辅助航空摄影技术规范》；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19294-2003《航空摄影技术设计规范》；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3012-2014《数字表面模型 航空摄影测量生产技术规程》；</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3014-2014《数字表面模型 机载激光雷达测量技术规程》；</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8024-2011《机载激光雷达数据获取技术规范》；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8023-2011《机载激光雷达数据处理技术规范》；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13989-2012《国家基本比例尺地形图分幅与编号》；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3007.2-2011《数字航空摄影测量 测图规范第2部分︰1︰5000 1︰10000数字高程模型 数字正射影像 数字线划图》；</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9008.2-2010《基础地理信息数字成果1∶500、1∶1000、1∶2000数字高程模型》；</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24356-2023《测绘成果质量检查与验收》；</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18316-2008《数字测绘成果质量检查与验收》；</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CJJ/T 8-2011《城市测量规范》；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3020-2018《实景三维地理信息数据激光雷达测量技术规程》；</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18316-2008《数字测绘产品检查验收规定和质量评定》；</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23236-2009《数字航空摄影测量空中三角测量规范》；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CH/Z 3001-2010《无人机航摄安全作业基本要求》；</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CH/Z 3002-2010《无人机航摄系统技术要求》；</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CH/Z 3003-2021《低空数字航空摄影测量内业规范》；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CH/Z 3004-2021《低空数字航空摄影测量外业规范》；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3006-2011《数字航空摄影测量控制测量规范》；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3025-2023《倾斜数字摄影测量技术规程》；</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3026-2023《实景三维数据倾斜摄影测量技术规程》；</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DB33/T 817-2010《基础地理信息要素分类与图形表达代码》；</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DB33/T 934-2014《三维数字地图技术规范》；</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自然资源部国家保密局关于印发《测绘地理信息管理工作国家秘密范围的规定》的通知 （自然资发〔2020〕95号）；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《自然资源部办公厅关于印发&lt;实景三维中国建设技术大纲（版）&gt;的通知》（自然资办发〔2021〕56号）；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《自然资源部国土测绘司关于印发新型基础测绘与实景三维中国建设技术文件（1-4）的函》（自然资测绘函〔2021〕68号）；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《自然资源部办公厅关于印发新型基础测绘与实景三维中国建设技术文件（5-7）的通知》（自然资办函〔2022〕639号）；</w:t>
      </w:r>
    </w:p>
    <w:p>
      <w:pPr>
        <w:widowControl/>
        <w:numPr>
          <w:ilvl w:val="0"/>
          <w:numId w:val="11"/>
        </w:numPr>
        <w:spacing w:line="360" w:lineRule="auto"/>
        <w:ind w:firstLine="480" w:firstLineChars="200"/>
        <w:rPr>
          <w:rFonts w:hint="eastAsia" w:ascii="仿宋" w:hAnsi="仿宋" w:eastAsia="仿宋" w:cs="仿宋"/>
        </w:rPr>
      </w:pPr>
      <w:r>
        <w:rPr>
          <w:rFonts w:hint="eastAsia" w:ascii="仿宋" w:hAnsi="仿宋" w:eastAsia="仿宋" w:cs="仿宋"/>
          <w:bCs/>
          <w:sz w:val="24"/>
        </w:rPr>
        <w:t>《中国测绘科学研究院关于印发新型基础测绘与实景三维中国建设技术文件（8-12）的函》（测研院函〔2022〕98号）；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《浙江省1∶2000比例尺基础地理信息资源更新技术规定》（浙自然资函〔2020〕85号）；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《浙江省1∶2000比例尺基础地理信息资源更新数据字典》（2021年）；</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 xml:space="preserve">《自然资源部关于印发&lt;实景三维中国建设总体实施方案（2023-2025 年）&gt;的通知》（自然资发〔2023〕31号）； </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《自然资源部办公厅关于全面推进实景三维中国建设的通知》（自然资办发〔2022〕7 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《实景三维浙江建设实施方案（2023-2025年）》（浙自然资函〔2023〕83 号）；</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《实景三维浙江建设技术方案》；</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《浙江省城市级实景三维工程建设指南》；</w:t>
      </w:r>
    </w:p>
    <w:p>
      <w:pPr>
        <w:widowControl/>
        <w:numPr>
          <w:ilvl w:val="0"/>
          <w:numId w:val="11"/>
        </w:numPr>
        <w:spacing w:line="360" w:lineRule="auto"/>
        <w:ind w:left="0" w:firstLine="480" w:firstLineChars="200"/>
        <w:rPr>
          <w:rFonts w:hint="eastAsia" w:ascii="仿宋" w:hAnsi="仿宋" w:eastAsia="仿宋" w:cs="仿宋"/>
          <w:bCs/>
          <w:sz w:val="24"/>
        </w:rPr>
      </w:pPr>
      <w:r>
        <w:rPr>
          <w:rFonts w:hint="eastAsia" w:ascii="仿宋" w:hAnsi="仿宋" w:eastAsia="仿宋" w:cs="仿宋"/>
          <w:bCs/>
          <w:sz w:val="24"/>
        </w:rPr>
        <w:t>经批准的本项目技术设计书。</w:t>
      </w:r>
    </w:p>
    <w:p>
      <w:pPr>
        <w:pStyle w:val="120"/>
        <w:numPr>
          <w:ilvl w:val="0"/>
          <w:numId w:val="10"/>
        </w:numPr>
        <w:spacing w:line="360" w:lineRule="auto"/>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主要技术要求</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(1)</w:t>
      </w:r>
      <w:r>
        <w:rPr>
          <w:rFonts w:hint="eastAsia" w:ascii="仿宋" w:hAnsi="仿宋" w:eastAsia="仿宋" w:cs="仿宋"/>
          <w:b/>
          <w:sz w:val="24"/>
        </w:rPr>
        <w:t>滨海激光点云获取与DEM\DSM处理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1)</w:t>
      </w:r>
      <w:r>
        <w:rPr>
          <w:rFonts w:hint="eastAsia" w:ascii="仿宋" w:hAnsi="仿宋" w:eastAsia="仿宋" w:cs="仿宋"/>
          <w:color w:val="000000" w:themeColor="text1"/>
          <w:sz w:val="24"/>
          <w:szCs w:val="22"/>
          <w14:textFill>
            <w14:solidFill>
              <w14:schemeClr w14:val="tx1"/>
            </w14:solidFill>
          </w14:textFill>
        </w:rPr>
        <w:t>机载激光点云数据要求及技术指标</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采用高性能激光点云设备，激光测距要求≥1800米，点频≥1800kHz，基于机载激光雷达点云数据精度要求如下：</w:t>
      </w:r>
    </w:p>
    <w:p>
      <w:pPr>
        <w:pStyle w:val="957"/>
        <w:rPr>
          <w:rFonts w:hint="eastAsia" w:ascii="仿宋" w:hAnsi="仿宋" w:eastAsia="仿宋" w:cs="仿宋"/>
        </w:rPr>
      </w:pPr>
      <w:r>
        <w:rPr>
          <w:rFonts w:hint="eastAsia" w:ascii="仿宋" w:hAnsi="仿宋" w:eastAsia="仿宋" w:cs="仿宋"/>
        </w:rPr>
        <w:t>表7 点云数据高程精度要求</w:t>
      </w:r>
    </w:p>
    <w:tbl>
      <w:tblPr>
        <w:tblStyle w:val="64"/>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370"/>
        <w:gridCol w:w="1275"/>
        <w:gridCol w:w="1276"/>
        <w:gridCol w:w="1134"/>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vMerge w:val="restart"/>
            <w:vAlign w:val="center"/>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比例尺</w:t>
            </w:r>
          </w:p>
        </w:tc>
        <w:tc>
          <w:tcPr>
            <w:tcW w:w="1370" w:type="dxa"/>
            <w:vMerge w:val="restart"/>
          </w:tcPr>
          <w:p>
            <w:pPr>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点云密度（pts/m</w:t>
            </w:r>
            <w:r>
              <w:rPr>
                <w:rFonts w:hint="eastAsia" w:ascii="仿宋" w:hAnsi="仿宋" w:eastAsia="仿宋" w:cs="仿宋"/>
                <w:color w:val="000000" w:themeColor="text1"/>
                <w:vertAlign w:val="superscript"/>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p>
        </w:tc>
        <w:tc>
          <w:tcPr>
            <w:tcW w:w="5306" w:type="dxa"/>
            <w:gridSpan w:val="4"/>
            <w:vAlign w:val="center"/>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高程中误差（m）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vMerge w:val="continue"/>
          </w:tcPr>
          <w:p>
            <w:pPr>
              <w:contextualSpacing/>
              <w:rPr>
                <w:rFonts w:hint="eastAsia" w:ascii="仿宋" w:hAnsi="仿宋" w:eastAsia="仿宋" w:cs="仿宋"/>
                <w:color w:val="000000" w:themeColor="text1"/>
                <w14:textFill>
                  <w14:solidFill>
                    <w14:schemeClr w14:val="tx1"/>
                  </w14:solidFill>
                </w14:textFill>
              </w:rPr>
            </w:pPr>
          </w:p>
        </w:tc>
        <w:tc>
          <w:tcPr>
            <w:tcW w:w="1370" w:type="dxa"/>
            <w:vMerge w:val="continue"/>
          </w:tcPr>
          <w:p>
            <w:pPr>
              <w:contextualSpacing/>
              <w:rPr>
                <w:rFonts w:hint="eastAsia" w:ascii="仿宋" w:hAnsi="仿宋" w:eastAsia="仿宋" w:cs="仿宋"/>
                <w:color w:val="000000" w:themeColor="text1"/>
                <w14:textFill>
                  <w14:solidFill>
                    <w14:schemeClr w14:val="tx1"/>
                  </w14:solidFill>
                </w14:textFill>
              </w:rPr>
            </w:pPr>
          </w:p>
        </w:tc>
        <w:tc>
          <w:tcPr>
            <w:tcW w:w="1275" w:type="dxa"/>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平地</w:t>
            </w:r>
          </w:p>
        </w:tc>
        <w:tc>
          <w:tcPr>
            <w:tcW w:w="1276" w:type="dxa"/>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丘陵地</w:t>
            </w:r>
          </w:p>
        </w:tc>
        <w:tc>
          <w:tcPr>
            <w:tcW w:w="1134" w:type="dxa"/>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山地</w:t>
            </w:r>
          </w:p>
        </w:tc>
        <w:tc>
          <w:tcPr>
            <w:tcW w:w="1621" w:type="dxa"/>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高山地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vMerge w:val="continue"/>
          </w:tcPr>
          <w:p>
            <w:pPr>
              <w:contextualSpacing/>
              <w:jc w:val="center"/>
              <w:rPr>
                <w:rFonts w:hint="eastAsia" w:ascii="仿宋" w:hAnsi="仿宋" w:eastAsia="仿宋" w:cs="仿宋"/>
                <w:color w:val="000000" w:themeColor="text1"/>
                <w14:textFill>
                  <w14:solidFill>
                    <w14:schemeClr w14:val="tx1"/>
                  </w14:solidFill>
                </w14:textFill>
              </w:rPr>
            </w:pPr>
          </w:p>
        </w:tc>
        <w:tc>
          <w:tcPr>
            <w:tcW w:w="1370" w:type="dxa"/>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275" w:type="dxa"/>
            <w:vAlign w:val="center"/>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0.15</w:t>
            </w:r>
          </w:p>
        </w:tc>
        <w:tc>
          <w:tcPr>
            <w:tcW w:w="1276" w:type="dxa"/>
            <w:vAlign w:val="center"/>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0.25</w:t>
            </w:r>
          </w:p>
        </w:tc>
        <w:tc>
          <w:tcPr>
            <w:tcW w:w="1134" w:type="dxa"/>
            <w:vAlign w:val="center"/>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0.35</w:t>
            </w:r>
          </w:p>
        </w:tc>
        <w:tc>
          <w:tcPr>
            <w:tcW w:w="1621" w:type="dxa"/>
            <w:vAlign w:val="center"/>
          </w:tcPr>
          <w:p>
            <w:pPr>
              <w:contextualSpacing/>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0.5</w:t>
            </w:r>
          </w:p>
        </w:tc>
      </w:tr>
    </w:tbl>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平地的高程精度指平整的硬化路面。</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最大允许误差不超过中误差的2倍，植被密集区域、反射率较低区域（如水域、光滑表面等易形成镜面反射的区域）等特殊困难地区，点云高程中误差可放宽0.5倍。</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航带拼接时，不同航带间点云数据同名点的平面位置中误差应小于0.18米，高程中误差小于表7规定的点云数据高程精度要求。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2)</w:t>
      </w:r>
      <w:r>
        <w:rPr>
          <w:rFonts w:hint="eastAsia" w:ascii="仿宋" w:hAnsi="仿宋" w:eastAsia="仿宋" w:cs="仿宋"/>
          <w:color w:val="000000" w:themeColor="text1"/>
          <w:sz w:val="24"/>
          <w:szCs w:val="22"/>
          <w14:textFill>
            <w14:solidFill>
              <w14:schemeClr w14:val="tx1"/>
            </w14:solidFill>
          </w14:textFill>
        </w:rPr>
        <w:t xml:space="preserve"> DEM、DSM数据要求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基于机载激光雷达点云数据进行DEM和DSM成果制作，对点云数据进行分类，以获得比例尺为1:500的高精度数字高程模型和数字地表模型。</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①</w:t>
      </w:r>
      <w:r>
        <w:rPr>
          <w:rFonts w:hint="eastAsia" w:ascii="仿宋" w:hAnsi="仿宋" w:eastAsia="仿宋" w:cs="仿宋"/>
          <w:color w:val="000000" w:themeColor="text1"/>
          <w:sz w:val="24"/>
          <w:szCs w:val="22"/>
          <w14:textFill>
            <w14:solidFill>
              <w14:schemeClr w14:val="tx1"/>
            </w14:solidFill>
          </w14:textFill>
        </w:rPr>
        <w:t>点云分类的原则</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a</w:t>
      </w:r>
      <w:r>
        <w:rPr>
          <w:rFonts w:hint="eastAsia" w:ascii="仿宋" w:hAnsi="仿宋" w:eastAsia="仿宋" w:cs="仿宋"/>
          <w:color w:val="000000" w:themeColor="text1"/>
          <w:sz w:val="24"/>
          <w:szCs w:val="22"/>
          <w14:textFill>
            <w14:solidFill>
              <w14:schemeClr w14:val="tx1"/>
            </w14:solidFill>
          </w14:textFill>
        </w:rPr>
        <w:t>）地貌、土质以及与地面相连而成的道路、水系、高台等地物应表示。</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b</w:t>
      </w:r>
      <w:r>
        <w:rPr>
          <w:rFonts w:hint="eastAsia" w:ascii="仿宋" w:hAnsi="仿宋" w:eastAsia="仿宋" w:cs="仿宋"/>
          <w:color w:val="000000" w:themeColor="text1"/>
          <w:sz w:val="24"/>
          <w:szCs w:val="22"/>
          <w14:textFill>
            <w14:solidFill>
              <w14:schemeClr w14:val="tx1"/>
            </w14:solidFill>
          </w14:textFill>
        </w:rPr>
        <w:t>）建筑物、高塔等人工地物（如架空跨越的桥梁）、植被、地物应与地面点进行区分。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c</w:t>
      </w:r>
      <w:r>
        <w:rPr>
          <w:rFonts w:hint="eastAsia" w:ascii="仿宋" w:hAnsi="仿宋" w:eastAsia="仿宋" w:cs="仿宋"/>
          <w:color w:val="000000" w:themeColor="text1"/>
          <w:sz w:val="24"/>
          <w:szCs w:val="22"/>
          <w14:textFill>
            <w14:solidFill>
              <w14:schemeClr w14:val="tx1"/>
            </w14:solidFill>
          </w14:textFill>
        </w:rPr>
        <w:t>）粗差点应剔除。</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d</w:t>
      </w:r>
      <w:r>
        <w:rPr>
          <w:rFonts w:hint="eastAsia" w:ascii="仿宋" w:hAnsi="仿宋" w:eastAsia="仿宋" w:cs="仿宋"/>
          <w:color w:val="000000" w:themeColor="text1"/>
          <w:sz w:val="24"/>
          <w:szCs w:val="22"/>
          <w14:textFill>
            <w14:solidFill>
              <w14:schemeClr w14:val="tx1"/>
            </w14:solidFill>
          </w14:textFill>
        </w:rPr>
        <w:t>）对于制作DEM和DSM需要滤除的地物应放到相应的类别，不能删除。</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e</w:t>
      </w:r>
      <w:r>
        <w:rPr>
          <w:rFonts w:hint="eastAsia" w:ascii="仿宋" w:hAnsi="仿宋" w:eastAsia="仿宋" w:cs="仿宋"/>
          <w:color w:val="000000" w:themeColor="text1"/>
          <w:sz w:val="24"/>
          <w:szCs w:val="22"/>
          <w14:textFill>
            <w14:solidFill>
              <w14:schemeClr w14:val="tx1"/>
            </w14:solidFill>
          </w14:textFill>
        </w:rPr>
        <w:t>）对于静止水域如常年有水的池塘、湖泊应进行置平处理，水塘等小面积水域点云表达自然的，可不予人工置平处理。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f</w:t>
      </w:r>
      <w:r>
        <w:rPr>
          <w:rFonts w:hint="eastAsia" w:ascii="仿宋" w:hAnsi="仿宋" w:eastAsia="仿宋" w:cs="仿宋"/>
          <w:color w:val="000000" w:themeColor="text1"/>
          <w:sz w:val="24"/>
          <w:szCs w:val="22"/>
          <w14:textFill>
            <w14:solidFill>
              <w14:schemeClr w14:val="tx1"/>
            </w14:solidFill>
          </w14:textFill>
        </w:rPr>
        <w:t>）静止水体范围内的DEM和DSM高程值应基本一致。双线河内的DEM和DSM高程应自上而下平缓过渡，高程值应低于两侧地形高程；</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g</w:t>
      </w:r>
      <w:r>
        <w:rPr>
          <w:rFonts w:hint="eastAsia" w:ascii="仿宋" w:hAnsi="仿宋" w:eastAsia="仿宋" w:cs="仿宋"/>
          <w:color w:val="000000" w:themeColor="text1"/>
          <w:sz w:val="24"/>
          <w:szCs w:val="22"/>
          <w14:textFill>
            <w14:solidFill>
              <w14:schemeClr w14:val="tx1"/>
            </w14:solidFill>
          </w14:textFill>
        </w:rPr>
        <w:t>）水田、趋于干涸的池塘、沟渠等，点云表达自然的，可不予人工置平处理；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h</w:t>
      </w:r>
      <w:r>
        <w:rPr>
          <w:rFonts w:hint="eastAsia" w:ascii="仿宋" w:hAnsi="仿宋" w:eastAsia="仿宋" w:cs="仿宋"/>
          <w:color w:val="000000" w:themeColor="text1"/>
          <w:sz w:val="24"/>
          <w:szCs w:val="22"/>
          <w14:textFill>
            <w14:solidFill>
              <w14:schemeClr w14:val="tx1"/>
            </w14:solidFill>
          </w14:textFill>
        </w:rPr>
        <w:t>）空白区域：空白区域在所获取高程数据源出现局部中断的情况下使用。位于空白区域的格网应赋予高程值-9999，对空白区的处理有记录。</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②</w:t>
      </w:r>
      <w:r>
        <w:rPr>
          <w:rFonts w:hint="eastAsia" w:ascii="仿宋" w:hAnsi="仿宋" w:eastAsia="仿宋" w:cs="仿宋"/>
          <w:color w:val="000000" w:themeColor="text1"/>
          <w:sz w:val="24"/>
          <w:szCs w:val="22"/>
          <w14:textFill>
            <w14:solidFill>
              <w14:schemeClr w14:val="tx1"/>
            </w14:solidFill>
          </w14:textFill>
        </w:rPr>
        <w:t>补测要求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对于不能满足DEM及DSM产品精度要求的数据范围需要补测高程信息，将补测的点存放在补测点类中，将补测的特征线存放在特征线图层中。</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③</w:t>
      </w:r>
      <w:r>
        <w:rPr>
          <w:rFonts w:hint="eastAsia" w:ascii="仿宋" w:hAnsi="仿宋" w:eastAsia="仿宋" w:cs="仿宋"/>
          <w:color w:val="000000" w:themeColor="text1"/>
          <w:sz w:val="24"/>
          <w:szCs w:val="22"/>
          <w14:textFill>
            <w14:solidFill>
              <w14:schemeClr w14:val="tx1"/>
            </w14:solidFill>
          </w14:textFill>
        </w:rPr>
        <w:t xml:space="preserve"> DEM精度要求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制作的DEM基本格网尺寸、格网点精度按“CH/T 8023-2011《机载激光雷达数据处理技术规范》”技术标准要求执行。</w:t>
      </w:r>
    </w:p>
    <w:p>
      <w:pPr>
        <w:pStyle w:val="957"/>
        <w:rPr>
          <w:rFonts w:hint="eastAsia" w:ascii="仿宋" w:hAnsi="仿宋" w:eastAsia="仿宋" w:cs="仿宋"/>
        </w:rPr>
      </w:pPr>
      <w:r>
        <w:rPr>
          <w:rFonts w:hint="eastAsia" w:ascii="仿宋" w:hAnsi="仿宋" w:eastAsia="仿宋" w:cs="仿宋"/>
        </w:rPr>
        <w:t>表8  DEM高程精度要求</w:t>
      </w:r>
    </w:p>
    <w:tbl>
      <w:tblPr>
        <w:tblStyle w:val="64"/>
        <w:tblW w:w="7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056"/>
        <w:gridCol w:w="1581"/>
        <w:gridCol w:w="636"/>
        <w:gridCol w:w="846"/>
        <w:gridCol w:w="63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Merge w:val="restart"/>
            <w:tcBorders>
              <w:top w:val="single" w:color="auto" w:sz="4" w:space="0"/>
              <w:left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比例尺</w:t>
            </w:r>
          </w:p>
        </w:tc>
        <w:tc>
          <w:tcPr>
            <w:tcW w:w="20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点云密度（pts/m</w:t>
            </w:r>
            <w:r>
              <w:rPr>
                <w:rFonts w:hint="eastAsia" w:ascii="仿宋" w:hAnsi="仿宋" w:eastAsia="仿宋" w:cs="仿宋"/>
                <w:color w:val="000000" w:themeColor="text1"/>
                <w:szCs w:val="21"/>
                <w:vertAlign w:val="superscript"/>
                <w14:textFill>
                  <w14:solidFill>
                    <w14:schemeClr w14:val="tx1"/>
                  </w14:solidFill>
                </w14:textFill>
              </w:rPr>
              <w:t>2</w:t>
            </w:r>
            <w:r>
              <w:rPr>
                <w:rFonts w:hint="eastAsia" w:ascii="仿宋" w:hAnsi="仿宋" w:eastAsia="仿宋" w:cs="仿宋"/>
                <w:color w:val="000000" w:themeColor="text1"/>
                <w:szCs w:val="21"/>
                <w14:textFill>
                  <w14:solidFill>
                    <w14:schemeClr w14:val="tx1"/>
                  </w14:solidFill>
                </w14:textFill>
              </w:rPr>
              <w:t>）</w:t>
            </w:r>
          </w:p>
        </w:tc>
        <w:tc>
          <w:tcPr>
            <w:tcW w:w="15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格网尺寸（m）</w:t>
            </w:r>
          </w:p>
        </w:tc>
        <w:tc>
          <w:tcPr>
            <w:tcW w:w="296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高程中误差（m）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p>
        </w:tc>
        <w:tc>
          <w:tcPr>
            <w:tcW w:w="20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p>
        </w:tc>
        <w:tc>
          <w:tcPr>
            <w:tcW w:w="15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平地</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丘陵地</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山地</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1：500</w:t>
            </w:r>
          </w:p>
        </w:tc>
        <w:tc>
          <w:tcPr>
            <w:tcW w:w="20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30</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0.2</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0.4</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0.7</w:t>
            </w:r>
          </w:p>
        </w:tc>
      </w:tr>
    </w:tbl>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高程中误差的两倍为采样点最大误差。</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接边误差应满足精度要求，接边后不应出现裂隙或漏洞。</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④</w:t>
      </w:r>
      <w:r>
        <w:rPr>
          <w:rFonts w:hint="eastAsia" w:ascii="仿宋" w:hAnsi="仿宋" w:eastAsia="仿宋" w:cs="仿宋"/>
          <w:color w:val="000000" w:themeColor="text1"/>
          <w:sz w:val="24"/>
          <w:szCs w:val="22"/>
          <w14:textFill>
            <w14:solidFill>
              <w14:schemeClr w14:val="tx1"/>
            </w14:solidFill>
          </w14:textFill>
        </w:rPr>
        <w:t>DSM输出要求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a</w:t>
      </w:r>
      <w:r>
        <w:rPr>
          <w:rFonts w:hint="eastAsia" w:ascii="仿宋" w:hAnsi="仿宋" w:eastAsia="仿宋" w:cs="仿宋"/>
          <w:color w:val="000000" w:themeColor="text1"/>
          <w:sz w:val="24"/>
          <w:szCs w:val="22"/>
          <w14:textFill>
            <w14:solidFill>
              <w14:schemeClr w14:val="tx1"/>
            </w14:solidFill>
          </w14:textFill>
        </w:rPr>
        <w:t>）将已完成分类点云中所有地表点以及地表之上的植被、建筑物、构筑物等自然及人工地物表面形态上的点均作为特征点，带有高程信息的面状水域范围线作为特征线，进行数字表面模型（DSM）产品的构建与输出。</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b</w:t>
      </w:r>
      <w:r>
        <w:rPr>
          <w:rFonts w:hint="eastAsia" w:ascii="仿宋" w:hAnsi="仿宋" w:eastAsia="仿宋" w:cs="仿宋"/>
          <w:color w:val="000000" w:themeColor="text1"/>
          <w:sz w:val="24"/>
          <w:szCs w:val="22"/>
          <w14:textFill>
            <w14:solidFill>
              <w14:schemeClr w14:val="tx1"/>
            </w14:solidFill>
          </w14:textFill>
        </w:rPr>
        <w:t>）格网尺寸、高程精度要求与数字高程模型（DEM）一致。</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c</w:t>
      </w:r>
      <w:r>
        <w:rPr>
          <w:rFonts w:hint="eastAsia" w:ascii="仿宋" w:hAnsi="仿宋" w:eastAsia="仿宋" w:cs="仿宋"/>
          <w:color w:val="000000" w:themeColor="text1"/>
          <w:sz w:val="24"/>
          <w:szCs w:val="22"/>
          <w14:textFill>
            <w14:solidFill>
              <w14:schemeClr w14:val="tx1"/>
            </w14:solidFill>
          </w14:textFill>
        </w:rPr>
        <w:t>）经过镶嵌的数字表面模型，无明显的拼接痕迹，接边误差应满足精度要求，接边后不应出现裂隙或漏洞。</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⑤</w:t>
      </w:r>
      <w:r>
        <w:rPr>
          <w:rFonts w:hint="eastAsia" w:ascii="仿宋" w:hAnsi="仿宋" w:eastAsia="仿宋" w:cs="仿宋"/>
          <w:color w:val="000000" w:themeColor="text1"/>
          <w:sz w:val="24"/>
          <w:szCs w:val="22"/>
          <w14:textFill>
            <w14:solidFill>
              <w14:schemeClr w14:val="tx1"/>
            </w14:solidFill>
          </w14:textFill>
        </w:rPr>
        <w:t>分幅要求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DEM和DSM分幅按照GB/T 13989-2012《国家基本比例尺地形图分幅与编号》的规定实施，均采用50cm×50cm的正方形分幅，外扩图上10mm。</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城市级基础地理实体生产</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①</w:t>
      </w:r>
      <w:r>
        <w:rPr>
          <w:rFonts w:hint="eastAsia" w:ascii="仿宋" w:hAnsi="仿宋" w:eastAsia="仿宋" w:cs="仿宋"/>
          <w:color w:val="000000" w:themeColor="text1"/>
          <w:sz w:val="24"/>
          <w:szCs w:val="22"/>
          <w14:textFill>
            <w14:solidFill>
              <w14:schemeClr w14:val="tx1"/>
            </w14:solidFill>
          </w14:textFill>
        </w:rPr>
        <w:t>数学基础</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平面坐标系：采用2000国家大地坐标系（CGCS2000）；</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投影方式：采用高斯—克吕格投影，按3°标准分带，120°中央子午线；</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高程基准：采用1985国家高程基准。</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②</w:t>
      </w:r>
      <w:r>
        <w:rPr>
          <w:rFonts w:hint="eastAsia" w:ascii="仿宋" w:hAnsi="仿宋" w:eastAsia="仿宋" w:cs="仿宋"/>
          <w:color w:val="000000" w:themeColor="text1"/>
          <w:sz w:val="24"/>
          <w:szCs w:val="22"/>
          <w14:textFill>
            <w14:solidFill>
              <w14:schemeClr w14:val="tx1"/>
            </w14:solidFill>
          </w14:textFill>
        </w:rPr>
        <w:t>精度要求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二维基础地理实体的平面精度与转换数据源精度一致。</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③</w:t>
      </w:r>
      <w:r>
        <w:rPr>
          <w:rFonts w:hint="eastAsia" w:ascii="仿宋" w:hAnsi="仿宋" w:eastAsia="仿宋" w:cs="仿宋"/>
          <w:color w:val="000000" w:themeColor="text1"/>
          <w:sz w:val="24"/>
          <w:szCs w:val="22"/>
          <w14:textFill>
            <w14:solidFill>
              <w14:schemeClr w14:val="tx1"/>
            </w14:solidFill>
          </w14:textFill>
        </w:rPr>
        <w:t>生产要求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基于现势性优于2022年的1：2000比例尺DLG和水利、交通、不动产等行业专题资料，通过转换重构、多源融合构建包含水系、农林用地与土质、水利、交通、建（构）筑物及场地设施、院落等的二维基础地理实体数据。每个要素具体要求按照国家、省相关技术标准要求。</w:t>
      </w:r>
    </w:p>
    <w:p>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城市三维模型快速构建</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①</w:t>
      </w:r>
      <w:r>
        <w:rPr>
          <w:rFonts w:hint="eastAsia" w:ascii="仿宋" w:hAnsi="仿宋" w:eastAsia="仿宋" w:cs="仿宋"/>
          <w:color w:val="000000" w:themeColor="text1"/>
          <w:sz w:val="24"/>
          <w:szCs w:val="22"/>
          <w14:textFill>
            <w14:solidFill>
              <w14:schemeClr w14:val="tx1"/>
            </w14:solidFill>
          </w14:textFill>
        </w:rPr>
        <w:t>数学基础</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平面坐标系：采用 2000 国家大地坐标系（CGCS2000）；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投影方式：采用高斯—克吕格投影，按3°标准分带，120°中央子午线；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高程基准：采用 1985 国家高程基准；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时间基准：日期采用公元纪年，时间采用北京时间。</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②</w:t>
      </w:r>
      <w:r>
        <w:rPr>
          <w:rFonts w:hint="eastAsia" w:ascii="仿宋" w:hAnsi="仿宋" w:eastAsia="仿宋" w:cs="仿宋"/>
          <w:color w:val="000000" w:themeColor="text1"/>
          <w:sz w:val="24"/>
          <w:szCs w:val="22"/>
          <w14:textFill>
            <w14:solidFill>
              <w14:schemeClr w14:val="tx1"/>
            </w14:solidFill>
          </w14:textFill>
        </w:rPr>
        <w:t>技术指标</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a</w:t>
      </w:r>
      <w:r>
        <w:rPr>
          <w:rFonts w:hint="eastAsia" w:ascii="仿宋" w:hAnsi="仿宋" w:eastAsia="仿宋" w:cs="仿宋"/>
          <w:color w:val="000000" w:themeColor="text1"/>
          <w:sz w:val="24"/>
          <w:szCs w:val="22"/>
          <w14:textFill>
            <w14:solidFill>
              <w14:schemeClr w14:val="tx1"/>
            </w14:solidFill>
          </w14:textFill>
        </w:rPr>
        <w:t>）平面精度</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城市三维模型快速构建成果基底面拐点对邻近野外控制点的平面位置中误差如下表的要求。</w:t>
      </w:r>
    </w:p>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表9 城市三维模型快速构建成果平面精度指标</w:t>
      </w:r>
    </w:p>
    <w:tbl>
      <w:tblPr>
        <w:tblStyle w:val="65"/>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地形类别</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平面中误差（米）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平地、丘陵地</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山地、高山地</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6" w:type="dxa"/>
            <w:gridSpan w:val="2"/>
          </w:tcPr>
          <w:p>
            <w:pPr>
              <w:tabs>
                <w:tab w:val="left" w:pos="5460"/>
              </w:tabs>
              <w:spacing w:line="360" w:lineRule="auto"/>
              <w:ind w:firstLine="220" w:firstLineChars="100"/>
              <w:jc w:val="center"/>
              <w:rPr>
                <w:rFonts w:hint="eastAsia" w:ascii="仿宋" w:hAnsi="仿宋" w:eastAsia="仿宋" w:cs="仿宋"/>
                <w:bCs/>
                <w:sz w:val="22"/>
                <w:szCs w:val="22"/>
              </w:rPr>
            </w:pPr>
            <w:r>
              <w:rPr>
                <w:rFonts w:hint="eastAsia" w:ascii="仿宋" w:hAnsi="仿宋" w:eastAsia="仿宋" w:cs="仿宋"/>
                <w:bCs/>
                <w:sz w:val="22"/>
                <w:szCs w:val="22"/>
              </w:rPr>
              <w:t>注：特殊区域（阴影区、遮蔽区等）的平面中误差可放宽0.5倍，两倍中误差为最大限差。</w:t>
            </w:r>
          </w:p>
        </w:tc>
      </w:tr>
    </w:tbl>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val="en-US" w:eastAsia="zh-CN"/>
          <w14:textFill>
            <w14:solidFill>
              <w14:schemeClr w14:val="tx1"/>
            </w14:solidFill>
          </w14:textFill>
        </w:rPr>
        <w:t>b</w:t>
      </w:r>
      <w:r>
        <w:rPr>
          <w:rFonts w:hint="eastAsia" w:ascii="仿宋" w:hAnsi="仿宋" w:eastAsia="仿宋" w:cs="仿宋"/>
          <w:color w:val="000000" w:themeColor="text1"/>
          <w:sz w:val="24"/>
          <w:szCs w:val="22"/>
          <w14:textFill>
            <w14:solidFill>
              <w14:schemeClr w14:val="tx1"/>
            </w14:solidFill>
          </w14:textFill>
        </w:rPr>
        <w:t>）高程精度</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城市三维模型快速构建成果基底面拐点对邻近野外控制点高程中误差如下表要求。</w:t>
      </w:r>
    </w:p>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表10 城市三维模型快速构建成果高程精度指标</w:t>
      </w:r>
    </w:p>
    <w:tbl>
      <w:tblPr>
        <w:tblStyle w:val="65"/>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地形类别</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高程中误差（米）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平地</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丘陵地</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山地</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高山地</w:t>
            </w:r>
          </w:p>
        </w:tc>
        <w:tc>
          <w:tcPr>
            <w:tcW w:w="4728" w:type="dxa"/>
          </w:tcPr>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2"/>
          </w:tcPr>
          <w:p>
            <w:pPr>
              <w:tabs>
                <w:tab w:val="left" w:pos="5460"/>
              </w:tabs>
              <w:spacing w:line="360" w:lineRule="auto"/>
              <w:ind w:firstLine="220" w:firstLineChars="100"/>
              <w:jc w:val="center"/>
              <w:rPr>
                <w:rFonts w:hint="eastAsia" w:ascii="仿宋" w:hAnsi="仿宋" w:eastAsia="仿宋" w:cs="仿宋"/>
                <w:bCs/>
                <w:sz w:val="24"/>
              </w:rPr>
            </w:pPr>
            <w:r>
              <w:rPr>
                <w:rFonts w:hint="eastAsia" w:ascii="仿宋" w:hAnsi="仿宋" w:eastAsia="仿宋" w:cs="仿宋"/>
                <w:bCs/>
                <w:sz w:val="22"/>
                <w:szCs w:val="22"/>
              </w:rPr>
              <w:t>注：特殊区域（阴影区、遮蔽区等）的平面中误差可放宽0.5倍，两倍中误差为最大限差。</w:t>
            </w:r>
          </w:p>
        </w:tc>
      </w:tr>
    </w:tbl>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lang w:eastAsia="zh-CN"/>
          <w14:textFill>
            <w14:solidFill>
              <w14:schemeClr w14:val="tx1"/>
            </w14:solidFill>
          </w14:textFill>
        </w:rPr>
        <w:t>③</w:t>
      </w:r>
      <w:r>
        <w:rPr>
          <w:rFonts w:hint="eastAsia" w:ascii="仿宋" w:hAnsi="仿宋" w:eastAsia="仿宋" w:cs="仿宋"/>
          <w:color w:val="000000" w:themeColor="text1"/>
          <w:sz w:val="24"/>
          <w:szCs w:val="22"/>
          <w14:textFill>
            <w14:solidFill>
              <w14:schemeClr w14:val="tx1"/>
            </w14:solidFill>
          </w14:textFill>
        </w:rPr>
        <w:t>高度精度</w:t>
      </w:r>
    </w:p>
    <w:p>
      <w:pPr>
        <w:widowControl/>
        <w:tabs>
          <w:tab w:val="left" w:pos="5460"/>
        </w:tabs>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lang w:bidi="ar"/>
        </w:rPr>
        <w:t>高度小于 30 米（含）的建（构）筑物，三维模型高度（三维模型顶部到基底面的垂直距离）与实际高度（建（构）筑物顶部到基底面的垂直距离，不含顶部建筑附属设施）之差与实际高度的比值不应大于10%。高于30米的建（构）筑物，三维模型高度与实际高度之差不应大于 3.0 米。高度值取位至 0.1 米。</w:t>
      </w:r>
    </w:p>
    <w:p>
      <w:pPr>
        <w:pStyle w:val="16"/>
        <w:tabs>
          <w:tab w:val="left" w:pos="360"/>
          <w:tab w:val="clear" w:pos="454"/>
        </w:tabs>
        <w:ind w:left="437" w:leftChars="168" w:hanging="84" w:hangingChars="35"/>
        <w:rPr>
          <w:rFonts w:hint="eastAsia" w:ascii="仿宋" w:hAnsi="仿宋" w:eastAsia="仿宋" w:cs="仿宋"/>
        </w:rPr>
      </w:pPr>
      <w:r>
        <w:rPr>
          <w:rFonts w:hint="eastAsia" w:ascii="仿宋" w:hAnsi="仿宋" w:eastAsia="仿宋" w:cs="仿宋"/>
          <w:lang w:eastAsia="zh-CN"/>
        </w:rPr>
        <w:t>④</w:t>
      </w:r>
      <w:r>
        <w:rPr>
          <w:rFonts w:hint="eastAsia" w:ascii="仿宋" w:hAnsi="仿宋" w:eastAsia="仿宋" w:cs="仿宋"/>
        </w:rPr>
        <w:t xml:space="preserve">采集要求 </w:t>
      </w:r>
    </w:p>
    <w:p>
      <w:pPr>
        <w:tabs>
          <w:tab w:val="left" w:pos="5460"/>
        </w:tabs>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基底面积大于 12 平方米且高度大于3米的建（构）筑物全部采集，标志性的单栋建（构）筑物全部采集。普通建筑物基底面大于（含）1.5 米的凹凸变化应正确表示。顶部大于 3 米的高度变化，当变化部分基底面积大于12平方米时，高度变化应正确表示。城市低矮建筑（1-3 层）密集区</w:t>
      </w:r>
      <w:r>
        <w:rPr>
          <w:rFonts w:hint="eastAsia" w:ascii="仿宋" w:hAnsi="仿宋" w:eastAsia="仿宋" w:cs="仿宋"/>
          <w:bCs/>
          <w:sz w:val="24"/>
          <w:lang w:bidi="ar"/>
        </w:rPr>
        <w:t>有单栋建筑二维矢量数据的可按单体模型采集，没有单栋建筑</w:t>
      </w:r>
      <w:r>
        <w:rPr>
          <w:rFonts w:hint="eastAsia" w:ascii="仿宋" w:hAnsi="仿宋" w:eastAsia="仿宋" w:cs="仿宋"/>
          <w:bCs/>
          <w:sz w:val="24"/>
        </w:rPr>
        <w:t>可按院落、区块连片采集，并扣除其中大于 400 平方米的空地。高于3层的建（构）筑物按单体模型采集。体型高大、影响城市景观以及标志性建（构）筑物全部采集。</w:t>
      </w:r>
    </w:p>
    <w:p>
      <w:pPr>
        <w:widowControl/>
        <w:tabs>
          <w:tab w:val="left" w:pos="5460"/>
        </w:tabs>
        <w:spacing w:line="360" w:lineRule="auto"/>
        <w:ind w:firstLine="480" w:firstLineChars="200"/>
        <w:jc w:val="left"/>
        <w:rPr>
          <w:rFonts w:hint="eastAsia" w:ascii="仿宋" w:hAnsi="仿宋" w:eastAsia="仿宋" w:cs="仿宋"/>
          <w:bCs/>
          <w:sz w:val="24"/>
          <w:lang w:bidi="ar"/>
        </w:rPr>
      </w:pPr>
      <w:r>
        <w:rPr>
          <w:rFonts w:hint="eastAsia" w:ascii="仿宋" w:hAnsi="仿宋" w:eastAsia="仿宋" w:cs="仿宋"/>
          <w:bCs/>
          <w:sz w:val="24"/>
          <w:lang w:bidi="ar"/>
        </w:rPr>
        <w:t xml:space="preserve">报亭等临时建筑物不采集。 </w:t>
      </w:r>
    </w:p>
    <w:p>
      <w:pPr>
        <w:widowControl/>
        <w:tabs>
          <w:tab w:val="left" w:pos="5460"/>
        </w:tabs>
        <w:spacing w:line="360" w:lineRule="auto"/>
        <w:ind w:firstLine="480" w:firstLineChars="200"/>
        <w:rPr>
          <w:rFonts w:hint="eastAsia" w:ascii="仿宋" w:hAnsi="仿宋" w:eastAsia="仿宋" w:cs="仿宋"/>
        </w:rPr>
      </w:pPr>
      <w:r>
        <w:rPr>
          <w:rFonts w:hint="eastAsia" w:ascii="仿宋" w:hAnsi="仿宋" w:eastAsia="仿宋" w:cs="仿宋"/>
          <w:bCs/>
          <w:sz w:val="24"/>
          <w:lang w:bidi="ar"/>
        </w:rPr>
        <w:t xml:space="preserve">烟囱、水箱、台阶、室外扶梯、房屋墩、柱（架空房除外）、天窗、屋檐、避雷针、建筑物立面突出物以及屋顶装饰等建筑物附属设施不采集。 </w:t>
      </w:r>
    </w:p>
    <w:p>
      <w:pPr>
        <w:pStyle w:val="16"/>
        <w:tabs>
          <w:tab w:val="left" w:pos="360"/>
          <w:tab w:val="clear" w:pos="454"/>
        </w:tabs>
        <w:ind w:left="437" w:leftChars="168" w:hanging="84" w:hangingChars="35"/>
        <w:rPr>
          <w:rFonts w:hint="eastAsia" w:ascii="仿宋" w:hAnsi="仿宋" w:eastAsia="仿宋" w:cs="仿宋"/>
        </w:rPr>
      </w:pPr>
      <w:r>
        <w:rPr>
          <w:rFonts w:hint="eastAsia" w:ascii="仿宋" w:hAnsi="仿宋" w:eastAsia="仿宋" w:cs="仿宋"/>
          <w:lang w:eastAsia="zh-CN"/>
        </w:rPr>
        <w:t>⑤</w:t>
      </w:r>
      <w:r>
        <w:rPr>
          <w:rFonts w:hint="eastAsia" w:ascii="仿宋" w:hAnsi="仿宋" w:eastAsia="仿宋" w:cs="仿宋"/>
        </w:rPr>
        <w:t xml:space="preserve">纹理要求 </w:t>
      </w:r>
    </w:p>
    <w:p>
      <w:pPr>
        <w:tabs>
          <w:tab w:val="left" w:pos="5460"/>
        </w:tabs>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普通建筑物采用通用纹理，标志性建筑物采用真实纹理。</w:t>
      </w:r>
    </w:p>
    <w:p>
      <w:pPr>
        <w:pStyle w:val="16"/>
        <w:tabs>
          <w:tab w:val="left" w:pos="360"/>
          <w:tab w:val="clear" w:pos="454"/>
        </w:tabs>
        <w:rPr>
          <w:rFonts w:hint="eastAsia" w:ascii="仿宋" w:hAnsi="仿宋" w:eastAsia="仿宋" w:cs="仿宋"/>
        </w:rPr>
      </w:pPr>
      <w:r>
        <w:rPr>
          <w:rFonts w:hint="eastAsia" w:ascii="仿宋" w:hAnsi="仿宋" w:eastAsia="仿宋" w:cs="仿宋"/>
        </w:rPr>
        <w:tab/>
      </w:r>
      <w:r>
        <w:rPr>
          <w:rFonts w:hint="eastAsia" w:ascii="仿宋" w:hAnsi="仿宋" w:eastAsia="仿宋" w:cs="仿宋"/>
          <w:lang w:eastAsia="zh-CN"/>
        </w:rPr>
        <w:t>⑥</w:t>
      </w:r>
      <w:r>
        <w:rPr>
          <w:rFonts w:hint="eastAsia" w:ascii="仿宋" w:hAnsi="仿宋" w:eastAsia="仿宋" w:cs="仿宋"/>
        </w:rPr>
        <w:t>现势性要求</w:t>
      </w:r>
    </w:p>
    <w:p>
      <w:pPr>
        <w:tabs>
          <w:tab w:val="left" w:pos="5460"/>
        </w:tabs>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整体优于2022年。</w:t>
      </w:r>
    </w:p>
    <w:p>
      <w:pPr>
        <w:pStyle w:val="120"/>
        <w:numPr>
          <w:ilvl w:val="0"/>
          <w:numId w:val="10"/>
        </w:numPr>
        <w:spacing w:line="360" w:lineRule="auto"/>
        <w:ind w:left="0" w:firstLine="293"/>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提交成果</w:t>
      </w:r>
    </w:p>
    <w:p>
      <w:pPr>
        <w:tabs>
          <w:tab w:val="left" w:pos="5460"/>
        </w:tabs>
        <w:spacing w:line="360" w:lineRule="auto"/>
        <w:ind w:firstLine="240" w:firstLineChars="100"/>
        <w:jc w:val="center"/>
        <w:rPr>
          <w:rFonts w:hint="eastAsia" w:ascii="仿宋" w:hAnsi="仿宋" w:eastAsia="仿宋" w:cs="仿宋"/>
          <w:bCs/>
          <w:sz w:val="24"/>
        </w:rPr>
      </w:pPr>
      <w:r>
        <w:rPr>
          <w:rFonts w:hint="eastAsia" w:ascii="仿宋" w:hAnsi="仿宋" w:eastAsia="仿宋" w:cs="仿宋"/>
          <w:bCs/>
          <w:sz w:val="24"/>
        </w:rPr>
        <w:t>表11 成果资料交付清单</w:t>
      </w:r>
    </w:p>
    <w:tbl>
      <w:tblPr>
        <w:tblStyle w:val="64"/>
        <w:tblW w:w="945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8"/>
        <w:gridCol w:w="1436"/>
        <w:gridCol w:w="3969"/>
        <w:gridCol w:w="1397"/>
        <w:gridCol w:w="690"/>
        <w:gridCol w:w="121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748" w:type="dxa"/>
            <w:tcBorders>
              <w:top w:val="doub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5405" w:type="dxa"/>
            <w:gridSpan w:val="2"/>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内容</w:t>
            </w:r>
          </w:p>
        </w:tc>
        <w:tc>
          <w:tcPr>
            <w:tcW w:w="1397" w:type="dxa"/>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格式</w:t>
            </w:r>
          </w:p>
        </w:tc>
        <w:tc>
          <w:tcPr>
            <w:tcW w:w="690" w:type="dxa"/>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数量</w:t>
            </w:r>
          </w:p>
        </w:tc>
        <w:tc>
          <w:tcPr>
            <w:tcW w:w="1219" w:type="dxa"/>
            <w:tcBorders>
              <w:top w:val="double" w:color="auto" w:sz="4"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介质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748" w:type="dxa"/>
            <w:tcBorders>
              <w:top w:val="double" w:color="auto" w:sz="4"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436" w:type="dxa"/>
            <w:vMerge w:val="restart"/>
            <w:tcBorders>
              <w:top w:val="double" w:color="auto" w:sz="4" w:space="0"/>
              <w:left w:val="single" w:color="auto" w:sz="6"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激光点云数据成果</w:t>
            </w:r>
          </w:p>
        </w:tc>
        <w:tc>
          <w:tcPr>
            <w:tcW w:w="3969" w:type="dxa"/>
            <w:tcBorders>
              <w:top w:val="double" w:color="auto" w:sz="4" w:space="0"/>
              <w:left w:val="single" w:color="auto" w:sz="4" w:space="0"/>
              <w:bottom w:val="sing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成果清单</w:t>
            </w:r>
          </w:p>
        </w:tc>
        <w:tc>
          <w:tcPr>
            <w:tcW w:w="1397" w:type="dxa"/>
            <w:tcBorders>
              <w:top w:val="doub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w:t>
            </w:r>
          </w:p>
        </w:tc>
        <w:tc>
          <w:tcPr>
            <w:tcW w:w="690" w:type="dxa"/>
            <w:tcBorders>
              <w:top w:val="doub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double" w:color="auto" w:sz="4"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6" w:hRule="atLeast"/>
          <w:tblHeader/>
          <w:jc w:val="center"/>
        </w:trPr>
        <w:tc>
          <w:tcPr>
            <w:tcW w:w="748"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436" w:type="dxa"/>
            <w:vMerge w:val="continue"/>
            <w:tcBorders>
              <w:top w:val="double" w:color="auto" w:sz="4" w:space="0"/>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969" w:type="dxa"/>
            <w:tcBorders>
              <w:top w:val="single" w:color="auto" w:sz="4" w:space="0"/>
              <w:left w:val="single" w:color="auto" w:sz="4" w:space="0"/>
              <w:bottom w:val="sing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设备检校的相关资料（含检校场数据成果）</w:t>
            </w:r>
          </w:p>
        </w:tc>
        <w:tc>
          <w:tcPr>
            <w:tcW w:w="1397"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DOC/LAS</w:t>
            </w:r>
          </w:p>
        </w:tc>
        <w:tc>
          <w:tcPr>
            <w:tcW w:w="690"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9" w:hRule="atLeast"/>
          <w:tblHeader/>
          <w:jc w:val="center"/>
        </w:trPr>
        <w:tc>
          <w:tcPr>
            <w:tcW w:w="748"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436" w:type="dxa"/>
            <w:vMerge w:val="continue"/>
            <w:tcBorders>
              <w:top w:val="double" w:color="auto" w:sz="4" w:space="0"/>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969" w:type="dxa"/>
            <w:tcBorders>
              <w:top w:val="single" w:color="auto" w:sz="4" w:space="0"/>
              <w:left w:val="single" w:color="auto" w:sz="4" w:space="0"/>
              <w:bottom w:val="sing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原始POS数据、激光测距数据、原始地面基站观测数据、飞行记录数据资料等</w:t>
            </w:r>
          </w:p>
        </w:tc>
        <w:tc>
          <w:tcPr>
            <w:tcW w:w="1397"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XLS/rxp</w:t>
            </w:r>
          </w:p>
        </w:tc>
        <w:tc>
          <w:tcPr>
            <w:tcW w:w="690"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tblHeader/>
          <w:jc w:val="center"/>
        </w:trPr>
        <w:tc>
          <w:tcPr>
            <w:tcW w:w="748"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436" w:type="dxa"/>
            <w:vMerge w:val="continue"/>
            <w:tcBorders>
              <w:top w:val="double" w:color="auto" w:sz="4" w:space="0"/>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969" w:type="dxa"/>
            <w:tcBorders>
              <w:top w:val="single" w:color="auto" w:sz="4" w:space="0"/>
              <w:left w:val="single" w:color="auto" w:sz="4" w:space="0"/>
              <w:bottom w:val="sing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点云数据</w:t>
            </w:r>
          </w:p>
        </w:tc>
        <w:tc>
          <w:tcPr>
            <w:tcW w:w="1397"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LAS</w:t>
            </w:r>
          </w:p>
        </w:tc>
        <w:tc>
          <w:tcPr>
            <w:tcW w:w="690"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tblHeader/>
          <w:jc w:val="center"/>
        </w:trPr>
        <w:tc>
          <w:tcPr>
            <w:tcW w:w="748"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1436" w:type="dxa"/>
            <w:vMerge w:val="continue"/>
            <w:tcBorders>
              <w:top w:val="double" w:color="auto" w:sz="4" w:space="0"/>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969" w:type="dxa"/>
            <w:tcBorders>
              <w:top w:val="single" w:color="auto" w:sz="4" w:space="0"/>
              <w:left w:val="single" w:color="auto" w:sz="4" w:space="0"/>
              <w:bottom w:val="sing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点云数据</w:t>
            </w:r>
            <w:r>
              <w:rPr>
                <w:rFonts w:hint="eastAsia" w:ascii="仿宋" w:hAnsi="仿宋" w:eastAsia="仿宋" w:cs="仿宋"/>
                <w:color w:val="000000" w:themeColor="text1"/>
                <w:szCs w:val="21"/>
                <w14:textFill>
                  <w14:solidFill>
                    <w14:schemeClr w14:val="tx1"/>
                  </w14:solidFill>
                </w14:textFill>
              </w:rPr>
              <w:t>图幅结合表、结合图</w:t>
            </w:r>
          </w:p>
        </w:tc>
        <w:tc>
          <w:tcPr>
            <w:tcW w:w="1397"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DWG/TIFF</w:t>
            </w:r>
          </w:p>
        </w:tc>
        <w:tc>
          <w:tcPr>
            <w:tcW w:w="690"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tblHeader/>
          <w:jc w:val="center"/>
        </w:trPr>
        <w:tc>
          <w:tcPr>
            <w:tcW w:w="748" w:type="dxa"/>
            <w:tcBorders>
              <w:top w:val="single" w:color="auto" w:sz="6" w:space="0"/>
              <w:left w:val="double" w:color="auto" w:sz="4" w:space="0"/>
              <w:bottom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1436" w:type="dxa"/>
            <w:vMerge w:val="continue"/>
            <w:tcBorders>
              <w:top w:val="double" w:color="auto" w:sz="4" w:space="0"/>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969" w:type="dxa"/>
            <w:tcBorders>
              <w:top w:val="single" w:color="auto" w:sz="4" w:space="0"/>
              <w:left w:val="single" w:color="auto" w:sz="4" w:space="0"/>
              <w:bottom w:val="sing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点云数据精度检查报告</w:t>
            </w:r>
          </w:p>
        </w:tc>
        <w:tc>
          <w:tcPr>
            <w:tcW w:w="1397"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PDF</w:t>
            </w:r>
          </w:p>
        </w:tc>
        <w:tc>
          <w:tcPr>
            <w:tcW w:w="690"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1436" w:type="dxa"/>
            <w:vMerge w:val="restart"/>
            <w:tcBorders>
              <w:top w:val="single" w:color="auto" w:sz="4" w:space="0"/>
              <w:left w:val="single" w:color="auto" w:sz="6" w:space="0"/>
              <w:bottom w:val="single" w:color="auto" w:sz="6" w:space="0"/>
              <w:right w:val="single" w:color="auto" w:sz="4" w:space="0"/>
            </w:tcBorders>
            <w:shd w:val="clear" w:color="auto" w:fill="auto"/>
            <w:vAlign w:val="center"/>
          </w:tcPr>
          <w:p>
            <w:pPr>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DEM、DSM数据成果</w:t>
            </w:r>
          </w:p>
        </w:tc>
        <w:tc>
          <w:tcPr>
            <w:tcW w:w="3969" w:type="dxa"/>
            <w:tcBorders>
              <w:top w:val="single" w:color="auto" w:sz="4" w:space="0"/>
              <w:left w:val="single" w:color="auto" w:sz="4" w:space="0"/>
              <w:bottom w:val="single" w:color="auto" w:sz="6" w:space="0"/>
              <w:right w:val="single" w:color="auto" w:sz="6" w:space="0"/>
            </w:tcBorders>
            <w:shd w:val="clear" w:color="auto" w:fill="auto"/>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DEM成果</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Tif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1436" w:type="dxa"/>
            <w:vMerge w:val="continue"/>
            <w:tcBorders>
              <w:top w:val="single" w:color="auto" w:sz="4" w:space="0"/>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tc>
        <w:tc>
          <w:tcPr>
            <w:tcW w:w="3969" w:type="dxa"/>
            <w:tcBorders>
              <w:top w:val="single" w:color="auto" w:sz="4" w:space="0"/>
              <w:left w:val="single" w:color="auto" w:sz="4" w:space="0"/>
              <w:bottom w:val="single" w:color="auto" w:sz="6" w:space="0"/>
              <w:right w:val="single" w:color="auto" w:sz="6" w:space="0"/>
            </w:tcBorders>
            <w:shd w:val="clear" w:color="auto" w:fill="auto"/>
            <w:vAlign w:val="center"/>
          </w:tcPr>
          <w:p>
            <w:pPr>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DSM成果</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Tif</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1436" w:type="dxa"/>
            <w:tcBorders>
              <w:top w:val="single" w:color="auto" w:sz="4" w:space="0"/>
              <w:left w:val="single" w:color="auto" w:sz="6" w:space="0"/>
              <w:bottom w:val="single" w:color="auto" w:sz="6" w:space="0"/>
              <w:right w:val="single" w:color="auto" w:sz="4" w:space="0"/>
            </w:tcBorders>
            <w:shd w:val="clear" w:color="auto" w:fill="auto"/>
            <w:vAlign w:val="center"/>
          </w:tcPr>
          <w:p>
            <w:pPr>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城市级基础地理实体生产</w:t>
            </w:r>
          </w:p>
        </w:tc>
        <w:tc>
          <w:tcPr>
            <w:tcW w:w="3969" w:type="dxa"/>
            <w:tcBorders>
              <w:top w:val="single" w:color="auto" w:sz="4" w:space="0"/>
              <w:left w:val="single" w:color="auto" w:sz="4" w:space="0"/>
              <w:bottom w:val="single" w:color="auto" w:sz="6" w:space="0"/>
              <w:right w:val="single" w:color="auto" w:sz="6" w:space="0"/>
            </w:tcBorders>
            <w:shd w:val="clear" w:color="auto" w:fill="auto"/>
            <w:vAlign w:val="center"/>
          </w:tcPr>
          <w:p>
            <w:pPr>
              <w:widowControl/>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二维基础地理实体</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gdb</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sz w:val="24"/>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1436" w:type="dxa"/>
            <w:vMerge w:val="restart"/>
            <w:tcBorders>
              <w:top w:val="single" w:color="auto" w:sz="4" w:space="0"/>
              <w:left w:val="single" w:color="auto" w:sz="6" w:space="0"/>
              <w:right w:val="sing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城市三维模型快速构建成果</w:t>
            </w:r>
          </w:p>
        </w:tc>
        <w:tc>
          <w:tcPr>
            <w:tcW w:w="3969" w:type="dxa"/>
            <w:tcBorders>
              <w:top w:val="single" w:color="auto" w:sz="4" w:space="0"/>
              <w:left w:val="single" w:color="auto" w:sz="4" w:space="0"/>
              <w:bottom w:val="single" w:color="auto" w:sz="6" w:space="0"/>
              <w:right w:val="single" w:color="auto" w:sz="6" w:space="0"/>
            </w:tcBorders>
            <w:shd w:val="clear" w:color="auto" w:fill="auto"/>
          </w:tcPr>
          <w:p>
            <w:pPr>
              <w:jc w:val="left"/>
              <w:rPr>
                <w:rFonts w:hint="eastAsia" w:ascii="仿宋" w:hAnsi="仿宋" w:eastAsia="仿宋" w:cs="仿宋"/>
                <w:sz w:val="24"/>
              </w:rPr>
            </w:pPr>
            <w:r>
              <w:rPr>
                <w:rFonts w:hint="eastAsia" w:ascii="仿宋" w:hAnsi="仿宋" w:eastAsia="仿宋" w:cs="仿宋"/>
              </w:rPr>
              <w:t>模型数据</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.obj</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sz w:val="24"/>
              </w:rPr>
            </w:pPr>
            <w:r>
              <w:rPr>
                <w:rFonts w:hint="eastAsia" w:ascii="仿宋" w:hAnsi="仿宋" w:eastAsia="仿宋" w:cs="仿宋"/>
                <w:sz w:val="24"/>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1436" w:type="dxa"/>
            <w:vMerge w:val="continue"/>
            <w:tcBorders>
              <w:left w:val="single" w:color="auto" w:sz="6" w:space="0"/>
              <w:right w:val="single" w:color="auto" w:sz="4" w:space="0"/>
            </w:tcBorders>
            <w:shd w:val="clear" w:color="auto" w:fill="auto"/>
            <w:vAlign w:val="center"/>
          </w:tcPr>
          <w:p>
            <w:pPr>
              <w:rPr>
                <w:rFonts w:hint="eastAsia" w:ascii="仿宋" w:hAnsi="仿宋" w:eastAsia="仿宋" w:cs="仿宋"/>
                <w:bCs/>
                <w:sz w:val="24"/>
              </w:rPr>
            </w:pPr>
          </w:p>
        </w:tc>
        <w:tc>
          <w:tcPr>
            <w:tcW w:w="3969" w:type="dxa"/>
            <w:tcBorders>
              <w:top w:val="single" w:color="auto" w:sz="4" w:space="0"/>
              <w:left w:val="single" w:color="auto" w:sz="4" w:space="0"/>
              <w:bottom w:val="single" w:color="auto" w:sz="6" w:space="0"/>
              <w:right w:val="single" w:color="auto" w:sz="6" w:space="0"/>
            </w:tcBorders>
            <w:shd w:val="clear" w:color="auto" w:fill="auto"/>
          </w:tcPr>
          <w:p>
            <w:pPr>
              <w:jc w:val="left"/>
              <w:rPr>
                <w:rFonts w:hint="eastAsia" w:ascii="仿宋" w:hAnsi="仿宋" w:eastAsia="仿宋" w:cs="仿宋"/>
                <w:sz w:val="24"/>
              </w:rPr>
            </w:pPr>
            <w:r>
              <w:rPr>
                <w:rFonts w:hint="eastAsia" w:ascii="仿宋" w:hAnsi="仿宋" w:eastAsia="仿宋" w:cs="仿宋"/>
              </w:rPr>
              <w:t>纹理数据</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.jpg</w:t>
            </w:r>
          </w:p>
        </w:tc>
        <w:tc>
          <w:tcPr>
            <w:tcW w:w="690" w:type="dxa"/>
            <w:tcBorders>
              <w:top w:val="single" w:color="auto" w:sz="6" w:space="0"/>
              <w:left w:val="single" w:color="auto" w:sz="6" w:space="0"/>
              <w:bottom w:val="single" w:color="auto" w:sz="6" w:space="0"/>
              <w:right w:val="single" w:color="auto" w:sz="6" w:space="0"/>
            </w:tcBorders>
            <w:shd w:val="clear" w:color="auto" w:fill="auto"/>
          </w:tcPr>
          <w:p>
            <w:pPr>
              <w:jc w:val="center"/>
              <w:rPr>
                <w:rFonts w:hint="eastAsia" w:ascii="仿宋" w:hAnsi="仿宋" w:eastAsia="仿宋" w:cs="仿宋"/>
                <w:sz w:val="24"/>
              </w:rPr>
            </w:pPr>
            <w:r>
              <w:rPr>
                <w:rFonts w:hint="eastAsia" w:ascii="仿宋" w:hAnsi="仿宋" w:eastAsia="仿宋" w:cs="仿宋"/>
                <w:sz w:val="24"/>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1436" w:type="dxa"/>
            <w:vMerge w:val="continue"/>
            <w:tcBorders>
              <w:left w:val="single" w:color="auto" w:sz="6" w:space="0"/>
              <w:right w:val="single" w:color="auto" w:sz="4" w:space="0"/>
            </w:tcBorders>
            <w:shd w:val="clear" w:color="auto" w:fill="auto"/>
            <w:vAlign w:val="center"/>
          </w:tcPr>
          <w:p>
            <w:pPr>
              <w:rPr>
                <w:rFonts w:hint="eastAsia" w:ascii="仿宋" w:hAnsi="仿宋" w:eastAsia="仿宋" w:cs="仿宋"/>
                <w:bCs/>
                <w:sz w:val="24"/>
              </w:rPr>
            </w:pPr>
          </w:p>
        </w:tc>
        <w:tc>
          <w:tcPr>
            <w:tcW w:w="3969" w:type="dxa"/>
            <w:tcBorders>
              <w:top w:val="single" w:color="auto" w:sz="4" w:space="0"/>
              <w:left w:val="single" w:color="auto" w:sz="4" w:space="0"/>
              <w:bottom w:val="single" w:color="auto" w:sz="6" w:space="0"/>
              <w:right w:val="single" w:color="auto" w:sz="6" w:space="0"/>
            </w:tcBorders>
            <w:shd w:val="clear" w:color="auto" w:fill="auto"/>
          </w:tcPr>
          <w:p>
            <w:pPr>
              <w:jc w:val="left"/>
              <w:rPr>
                <w:rFonts w:hint="eastAsia" w:ascii="仿宋" w:hAnsi="仿宋" w:eastAsia="仿宋" w:cs="仿宋"/>
                <w:sz w:val="24"/>
              </w:rPr>
            </w:pPr>
            <w:r>
              <w:rPr>
                <w:rFonts w:hint="eastAsia" w:ascii="仿宋" w:hAnsi="仿宋" w:eastAsia="仿宋" w:cs="仿宋"/>
              </w:rPr>
              <w:t>属性数据</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.shp</w:t>
            </w:r>
          </w:p>
        </w:tc>
        <w:tc>
          <w:tcPr>
            <w:tcW w:w="690" w:type="dxa"/>
            <w:tcBorders>
              <w:top w:val="single" w:color="auto" w:sz="6" w:space="0"/>
              <w:left w:val="single" w:color="auto" w:sz="6" w:space="0"/>
              <w:bottom w:val="single" w:color="auto" w:sz="6" w:space="0"/>
              <w:right w:val="single" w:color="auto" w:sz="6" w:space="0"/>
            </w:tcBorders>
            <w:shd w:val="clear" w:color="auto" w:fill="auto"/>
          </w:tcPr>
          <w:p>
            <w:pPr>
              <w:jc w:val="center"/>
              <w:rPr>
                <w:rFonts w:hint="eastAsia" w:ascii="仿宋" w:hAnsi="仿宋" w:eastAsia="仿宋" w:cs="仿宋"/>
                <w:sz w:val="24"/>
              </w:rPr>
            </w:pPr>
            <w:r>
              <w:rPr>
                <w:rFonts w:hint="eastAsia" w:ascii="仿宋" w:hAnsi="仿宋" w:eastAsia="仿宋" w:cs="仿宋"/>
                <w:sz w:val="24"/>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1436" w:type="dxa"/>
            <w:vMerge w:val="continue"/>
            <w:tcBorders>
              <w:left w:val="single" w:color="auto" w:sz="6" w:space="0"/>
              <w:bottom w:val="single" w:color="auto" w:sz="6" w:space="0"/>
              <w:right w:val="single" w:color="auto" w:sz="4" w:space="0"/>
            </w:tcBorders>
            <w:shd w:val="clear" w:color="auto" w:fill="auto"/>
            <w:vAlign w:val="center"/>
          </w:tcPr>
          <w:p>
            <w:pPr>
              <w:rPr>
                <w:rFonts w:hint="eastAsia" w:ascii="仿宋" w:hAnsi="仿宋" w:eastAsia="仿宋" w:cs="仿宋"/>
                <w:bCs/>
                <w:sz w:val="24"/>
              </w:rPr>
            </w:pPr>
          </w:p>
        </w:tc>
        <w:tc>
          <w:tcPr>
            <w:tcW w:w="3969" w:type="dxa"/>
            <w:tcBorders>
              <w:top w:val="single" w:color="auto" w:sz="4" w:space="0"/>
              <w:left w:val="single" w:color="auto" w:sz="4" w:space="0"/>
              <w:bottom w:val="single" w:color="auto" w:sz="6" w:space="0"/>
              <w:right w:val="single" w:color="auto" w:sz="6" w:space="0"/>
            </w:tcBorders>
            <w:shd w:val="clear" w:color="auto" w:fill="auto"/>
          </w:tcPr>
          <w:p>
            <w:pPr>
              <w:jc w:val="left"/>
              <w:rPr>
                <w:rFonts w:hint="eastAsia" w:ascii="仿宋" w:hAnsi="仿宋" w:eastAsia="仿宋" w:cs="仿宋"/>
              </w:rPr>
            </w:pPr>
            <w:r>
              <w:rPr>
                <w:rFonts w:hint="eastAsia" w:ascii="仿宋" w:hAnsi="仿宋" w:eastAsia="仿宋" w:cs="仿宋"/>
              </w:rPr>
              <w:t>元数据</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.xls</w:t>
            </w:r>
          </w:p>
        </w:tc>
        <w:tc>
          <w:tcPr>
            <w:tcW w:w="690" w:type="dxa"/>
            <w:tcBorders>
              <w:top w:val="single" w:color="auto" w:sz="6" w:space="0"/>
              <w:left w:val="single" w:color="auto" w:sz="6" w:space="0"/>
              <w:bottom w:val="single" w:color="auto" w:sz="6" w:space="0"/>
              <w:right w:val="single" w:color="auto" w:sz="6" w:space="0"/>
            </w:tcBorders>
            <w:shd w:val="clear" w:color="auto" w:fill="auto"/>
          </w:tcPr>
          <w:p>
            <w:pPr>
              <w:jc w:val="center"/>
              <w:rPr>
                <w:rFonts w:hint="eastAsia" w:ascii="仿宋" w:hAnsi="仿宋" w:eastAsia="仿宋" w:cs="仿宋"/>
                <w:sz w:val="24"/>
              </w:rPr>
            </w:pPr>
            <w:r>
              <w:rPr>
                <w:rFonts w:hint="eastAsia" w:ascii="仿宋" w:hAnsi="仿宋" w:eastAsia="仿宋" w:cs="仿宋"/>
                <w:sz w:val="24"/>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748" w:type="dxa"/>
            <w:tcBorders>
              <w:top w:val="single" w:color="auto" w:sz="4" w:space="0"/>
              <w:left w:val="double" w:color="auto" w:sz="4"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w:t>
            </w:r>
          </w:p>
        </w:tc>
        <w:tc>
          <w:tcPr>
            <w:tcW w:w="5405" w:type="dxa"/>
            <w:gridSpan w:val="2"/>
            <w:tcBorders>
              <w:top w:val="single" w:color="auto" w:sz="4" w:space="0"/>
              <w:left w:val="single" w:color="auto" w:sz="6" w:space="0"/>
              <w:bottom w:val="single" w:color="auto" w:sz="6"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技术设计书、技术总结、质量检查、验收意见等技术文档</w:t>
            </w:r>
          </w:p>
        </w:tc>
        <w:tc>
          <w:tcPr>
            <w:tcW w:w="1397"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single" w:color="auto" w:sz="6"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748" w:type="dxa"/>
            <w:tcBorders>
              <w:top w:val="single" w:color="auto" w:sz="6" w:space="0"/>
              <w:left w:val="double" w:color="auto" w:sz="4"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w:t>
            </w:r>
          </w:p>
        </w:tc>
        <w:tc>
          <w:tcPr>
            <w:tcW w:w="5405" w:type="dxa"/>
            <w:gridSpan w:val="2"/>
            <w:tcBorders>
              <w:top w:val="single" w:color="auto" w:sz="6" w:space="0"/>
              <w:left w:val="single" w:color="auto" w:sz="6" w:space="0"/>
              <w:bottom w:val="double" w:color="auto" w:sz="4" w:space="0"/>
              <w:right w:val="single" w:color="auto" w:sz="6" w:space="0"/>
            </w:tcBorders>
            <w:shd w:val="clear" w:color="auto" w:fill="auto"/>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资料移交清单及其它各类资料的电子文档</w:t>
            </w:r>
          </w:p>
        </w:tc>
        <w:tc>
          <w:tcPr>
            <w:tcW w:w="1397" w:type="dxa"/>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w:t>
            </w:r>
          </w:p>
        </w:tc>
        <w:tc>
          <w:tcPr>
            <w:tcW w:w="690" w:type="dxa"/>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2份</w:t>
            </w:r>
          </w:p>
        </w:tc>
        <w:tc>
          <w:tcPr>
            <w:tcW w:w="1219" w:type="dxa"/>
            <w:tcBorders>
              <w:top w:val="single" w:color="auto" w:sz="6" w:space="0"/>
              <w:left w:val="single" w:color="auto" w:sz="6" w:space="0"/>
              <w:bottom w:val="double" w:color="auto" w:sz="4" w:space="0"/>
              <w:right w:val="double" w:color="auto" w:sz="4" w:space="0"/>
            </w:tcBorders>
            <w:shd w:val="clear" w:color="auto" w:fill="auto"/>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硬盘/纸质</w:t>
            </w:r>
          </w:p>
        </w:tc>
      </w:tr>
    </w:tbl>
    <w:p>
      <w:pPr>
        <w:pStyle w:val="120"/>
        <w:spacing w:line="360" w:lineRule="auto"/>
        <w:ind w:left="0" w:leftChars="0" w:firstLine="0" w:firstLineChars="0"/>
        <w:textAlignment w:val="center"/>
        <w:outlineLvl w:val="1"/>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（四）地形地籍一体化建设</w:t>
      </w:r>
    </w:p>
    <w:p>
      <w:pPr>
        <w:pStyle w:val="120"/>
        <w:numPr>
          <w:ilvl w:val="0"/>
          <w:numId w:val="12"/>
        </w:numPr>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建设内容</w:t>
      </w:r>
    </w:p>
    <w:p>
      <w:pPr>
        <w:spacing w:line="360" w:lineRule="auto"/>
        <w:ind w:firstLine="480" w:firstLineChars="200"/>
        <w:rPr>
          <w:rFonts w:hint="eastAsia"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完成绍兴市越城区镜湖新区7 平方千米地形、地籍一体化建设，并建立地形地籍一体化数据库管理标准。</w:t>
      </w:r>
    </w:p>
    <w:p>
      <w:pPr>
        <w:pStyle w:val="120"/>
        <w:numPr>
          <w:ilvl w:val="0"/>
          <w:numId w:val="12"/>
        </w:numPr>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执行标准</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CH/T 2009-2010《全球定位系统实时动态测量 （RTK） 技术规范》；</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12898－2009《国家三、四等水准测量规范》；</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20257.1—2007 《国家基本比例尺地图图式 第1部分：1∶500 1:1000 1:2000地形图图式》；</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CJJ/T 8-2011《城市测量规范》；</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DB33/T 552-2014 《1∶500 1∶1000 1∶2000数字地形图测绘规范》；</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DB33/T 817-2010《基础地理信息要素分类与图形表达代码》；</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13989—2012《国家基本比例尺地形图分幅与编号》；</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 xml:space="preserve">TD/T 1016-2003《国土资源信息核心元数据标准》； </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21010-2017《土地利用现状分类》；</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 xml:space="preserve">TD/T 1001-2012《地籍调查规程》； </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 xml:space="preserve">《不动产权籍调查技术方案（试行）》； </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 xml:space="preserve">《浙江省不动产登记数据库标准（试行）》； </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 xml:space="preserve">《浙江省数字地籍调查技术规范》； </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《浙江省地籍调查数据库规范》；</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24356-2009《测绘成果质量检查与验收》；</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GB/T 18316—2008《数字测绘成果质量检查与验收》；</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ZCB 001-2005 《浙江省1∶500 1∶1000 1∶2000基础数字地形图产品检验规定和质量评定（试行）》；</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《浙江省测绘地理信息条例》（浙江省第十三届人民代表大会常务委员会公告第 10 号）；</w:t>
      </w:r>
    </w:p>
    <w:p>
      <w:pPr>
        <w:widowControl/>
        <w:numPr>
          <w:ilvl w:val="0"/>
          <w:numId w:val="13"/>
        </w:numPr>
        <w:spacing w:after="0" w:line="360" w:lineRule="auto"/>
        <w:ind w:left="0" w:firstLine="480" w:firstLineChars="200"/>
        <w:rPr>
          <w:rFonts w:hint="eastAsia" w:ascii="仿宋" w:hAnsi="仿宋" w:eastAsia="仿宋" w:cs="仿宋"/>
          <w:bCs/>
          <w:sz w:val="24"/>
        </w:rPr>
      </w:pPr>
      <w:r>
        <w:rPr>
          <w:rFonts w:hint="eastAsia" w:ascii="仿宋" w:hAnsi="仿宋" w:eastAsia="仿宋" w:cs="仿宋"/>
          <w:bCs/>
          <w:sz w:val="24"/>
        </w:rPr>
        <w:t>经批准的本项目技术设计书。</w:t>
      </w:r>
    </w:p>
    <w:p>
      <w:pPr>
        <w:pStyle w:val="120"/>
        <w:numPr>
          <w:ilvl w:val="0"/>
          <w:numId w:val="12"/>
        </w:numPr>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主要技术要求</w:t>
      </w:r>
    </w:p>
    <w:p>
      <w:pPr>
        <w:pStyle w:val="59"/>
        <w:widowControl w:val="0"/>
        <w:spacing w:before="0" w:beforeAutospacing="0" w:after="0" w:afterAutospacing="0" w:line="360" w:lineRule="auto"/>
        <w:ind w:firstLine="723" w:firstLineChars="3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(1)</w:t>
      </w:r>
      <w:r>
        <w:rPr>
          <w:rFonts w:hint="eastAsia" w:ascii="仿宋" w:hAnsi="仿宋" w:eastAsia="仿宋" w:cs="仿宋"/>
          <w:b/>
          <w:color w:val="000000" w:themeColor="text1"/>
          <w:kern w:val="2"/>
          <w:sz w:val="24"/>
          <w:szCs w:val="24"/>
          <w14:textFill>
            <w14:solidFill>
              <w14:schemeClr w14:val="tx1"/>
            </w14:solidFill>
          </w14:textFill>
        </w:rPr>
        <w:t>总体要求</w:t>
      </w:r>
    </w:p>
    <w:p>
      <w:pPr>
        <w:pStyle w:val="311"/>
        <w:rPr>
          <w:rFonts w:hint="eastAsia" w:ascii="仿宋" w:hAnsi="仿宋" w:eastAsia="仿宋" w:cs="仿宋"/>
        </w:rPr>
      </w:pPr>
      <w:r>
        <w:rPr>
          <w:rFonts w:hint="eastAsia" w:ascii="仿宋" w:hAnsi="仿宋" w:eastAsia="仿宋" w:cs="仿宋"/>
        </w:rPr>
        <w:t>1）采用清洗历史地形、地籍数据库的方式进行整合一体库。</w:t>
      </w:r>
    </w:p>
    <w:p>
      <w:pPr>
        <w:pStyle w:val="311"/>
        <w:rPr>
          <w:rFonts w:hint="eastAsia" w:ascii="仿宋" w:hAnsi="仿宋" w:eastAsia="仿宋" w:cs="仿宋"/>
        </w:rPr>
      </w:pPr>
      <w:r>
        <w:rPr>
          <w:rFonts w:hint="eastAsia" w:ascii="仿宋" w:hAnsi="仿宋" w:eastAsia="仿宋" w:cs="仿宋"/>
        </w:rPr>
        <w:t>2）DLG要素分类代码按省技术方案执行。</w:t>
      </w:r>
    </w:p>
    <w:p>
      <w:pPr>
        <w:pStyle w:val="311"/>
        <w:rPr>
          <w:rFonts w:hint="eastAsia" w:ascii="仿宋" w:hAnsi="仿宋" w:eastAsia="仿宋" w:cs="仿宋"/>
        </w:rPr>
      </w:pPr>
      <w:r>
        <w:rPr>
          <w:rFonts w:hint="eastAsia" w:ascii="仿宋" w:hAnsi="仿宋" w:eastAsia="仿宋" w:cs="仿宋"/>
        </w:rPr>
        <w:t>3）DLG数据采集原则：各要素的相关位置、必需的代码信息均应表示清楚。</w:t>
      </w:r>
    </w:p>
    <w:p>
      <w:pPr>
        <w:pStyle w:val="59"/>
        <w:widowControl w:val="0"/>
        <w:spacing w:before="0" w:beforeAutospacing="0" w:after="0" w:afterAutospacing="0" w:line="360" w:lineRule="auto"/>
        <w:ind w:firstLine="482" w:firstLineChars="2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(2)</w:t>
      </w:r>
      <w:r>
        <w:rPr>
          <w:rFonts w:hint="eastAsia" w:ascii="仿宋" w:hAnsi="仿宋" w:eastAsia="仿宋" w:cs="仿宋"/>
          <w:b/>
          <w:color w:val="000000" w:themeColor="text1"/>
          <w:kern w:val="2"/>
          <w:sz w:val="24"/>
          <w:szCs w:val="24"/>
          <w14:textFill>
            <w14:solidFill>
              <w14:schemeClr w14:val="tx1"/>
            </w14:solidFill>
          </w14:textFill>
        </w:rPr>
        <w:t>精度要求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1）一级GNSS-RTK控制测量成果按《全球定位系统实时动态测量 (RTK) 技术规范》的要求执行；</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四等水准网成果按《国家三、四等水准测量规范》的要求执行；</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图根控制成果按《1∶500 1∶1000 1∶2000数字地形图测绘规范》的要求执行。</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2）地物点平面精度要求</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图上地物点相对于邻近图根点的点位中误差与邻近地物点间距中误差均不超过下表规定。</w:t>
      </w:r>
    </w:p>
    <w:p>
      <w:pPr>
        <w:pStyle w:val="957"/>
        <w:rPr>
          <w:rFonts w:hint="eastAsia" w:ascii="仿宋" w:hAnsi="仿宋" w:eastAsia="仿宋" w:cs="仿宋"/>
        </w:rPr>
      </w:pPr>
      <w:r>
        <w:rPr>
          <w:rFonts w:hint="eastAsia" w:ascii="仿宋" w:hAnsi="仿宋" w:eastAsia="仿宋" w:cs="仿宋"/>
        </w:rPr>
        <w:t xml:space="preserve">     表12  地物点相对邻近地物点的点位中误差与间距中误差        </w:t>
      </w:r>
    </w:p>
    <w:tbl>
      <w:tblPr>
        <w:tblStyle w:val="64"/>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5156"/>
        <w:gridCol w:w="82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exact"/>
          <w:jc w:val="center"/>
        </w:trPr>
        <w:tc>
          <w:tcPr>
            <w:tcW w:w="1424" w:type="dxa"/>
            <w:vMerge w:val="restart"/>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地物点类型</w:t>
            </w:r>
          </w:p>
        </w:tc>
        <w:tc>
          <w:tcPr>
            <w:tcW w:w="5156" w:type="dxa"/>
            <w:vMerge w:val="restart"/>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具体内容</w:t>
            </w:r>
          </w:p>
        </w:tc>
        <w:tc>
          <w:tcPr>
            <w:tcW w:w="1816" w:type="dxa"/>
            <w:gridSpan w:val="2"/>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中误差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exact"/>
          <w:jc w:val="center"/>
        </w:trPr>
        <w:tc>
          <w:tcPr>
            <w:tcW w:w="1424" w:type="dxa"/>
            <w:vMerge w:val="continue"/>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p>
        </w:tc>
        <w:tc>
          <w:tcPr>
            <w:tcW w:w="5156" w:type="dxa"/>
            <w:vMerge w:val="continue"/>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p>
        </w:tc>
        <w:tc>
          <w:tcPr>
            <w:tcW w:w="824" w:type="dxa"/>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点位</w:t>
            </w:r>
          </w:p>
        </w:tc>
        <w:tc>
          <w:tcPr>
            <w:tcW w:w="992" w:type="dxa"/>
            <w:shd w:val="clear" w:color="auto" w:fill="auto"/>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exact"/>
          <w:jc w:val="center"/>
        </w:trPr>
        <w:tc>
          <w:tcPr>
            <w:tcW w:w="1424"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一类地物点</w:t>
            </w:r>
          </w:p>
        </w:tc>
        <w:tc>
          <w:tcPr>
            <w:tcW w:w="5156" w:type="dxa"/>
            <w:vAlign w:val="center"/>
          </w:tcPr>
          <w:p>
            <w:pPr>
              <w:pStyle w:val="1033"/>
              <w:kinsoku w:val="0"/>
              <w:overflowPunct w:val="0"/>
              <w:spacing w:after="0" w:line="240" w:lineRule="auto"/>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主要地物点，指城镇道路、街 (巷) 道两侧明显建</w:t>
            </w:r>
          </w:p>
          <w:p>
            <w:pPr>
              <w:pStyle w:val="1033"/>
              <w:kinsoku w:val="0"/>
              <w:overflowPunct w:val="0"/>
              <w:spacing w:after="0"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筑物拐点</w:t>
            </w:r>
          </w:p>
        </w:tc>
        <w:tc>
          <w:tcPr>
            <w:tcW w:w="824"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≤5.0</w:t>
            </w:r>
          </w:p>
        </w:tc>
        <w:tc>
          <w:tcPr>
            <w:tcW w:w="992"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1424"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二类地物点</w:t>
            </w:r>
          </w:p>
        </w:tc>
        <w:tc>
          <w:tcPr>
            <w:tcW w:w="5156" w:type="dxa"/>
            <w:vAlign w:val="center"/>
          </w:tcPr>
          <w:p>
            <w:pPr>
              <w:pStyle w:val="1033"/>
              <w:kinsoku w:val="0"/>
              <w:overflowPunct w:val="0"/>
              <w:spacing w:after="0" w:line="240" w:lineRule="auto"/>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主要指设站施测困难的明显建筑物拐点及农村居民</w:t>
            </w:r>
          </w:p>
          <w:p>
            <w:pPr>
              <w:pStyle w:val="1033"/>
              <w:kinsoku w:val="0"/>
              <w:overflowPunct w:val="0"/>
              <w:spacing w:after="0"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地明显建筑物拐点。</w:t>
            </w:r>
          </w:p>
        </w:tc>
        <w:tc>
          <w:tcPr>
            <w:tcW w:w="824"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≤7.5</w:t>
            </w:r>
          </w:p>
        </w:tc>
        <w:tc>
          <w:tcPr>
            <w:tcW w:w="992"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exact"/>
          <w:jc w:val="center"/>
        </w:trPr>
        <w:tc>
          <w:tcPr>
            <w:tcW w:w="1424"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三类地物点</w:t>
            </w:r>
          </w:p>
        </w:tc>
        <w:tc>
          <w:tcPr>
            <w:tcW w:w="5156"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除上述两类地物点外的其它地物点</w:t>
            </w:r>
          </w:p>
        </w:tc>
        <w:tc>
          <w:tcPr>
            <w:tcW w:w="824"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w:t>
            </w:r>
          </w:p>
        </w:tc>
        <w:tc>
          <w:tcPr>
            <w:tcW w:w="992" w:type="dxa"/>
            <w:vAlign w:val="center"/>
          </w:tcPr>
          <w:p>
            <w:pPr>
              <w:pStyle w:val="1033"/>
              <w:kinsoku w:val="0"/>
              <w:overflowPunct w:val="0"/>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exact"/>
          <w:jc w:val="center"/>
        </w:trPr>
        <w:tc>
          <w:tcPr>
            <w:tcW w:w="8396" w:type="dxa"/>
            <w:gridSpan w:val="4"/>
            <w:vAlign w:val="center"/>
          </w:tcPr>
          <w:p>
            <w:pPr>
              <w:pStyle w:val="1033"/>
              <w:kinsoku w:val="0"/>
              <w:overflowPunct w:val="0"/>
              <w:spacing w:line="360" w:lineRule="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注：间距中误差为同类邻近地物点间距的中误差。</w:t>
            </w:r>
          </w:p>
        </w:tc>
      </w:tr>
    </w:tbl>
    <w:p>
      <w:pPr>
        <w:pStyle w:val="311"/>
        <w:ind w:left="0" w:leftChars="0" w:firstLine="480" w:firstLineChars="200"/>
        <w:rPr>
          <w:rFonts w:hint="eastAsia" w:ascii="仿宋" w:hAnsi="仿宋" w:eastAsia="仿宋" w:cs="仿宋"/>
        </w:rPr>
      </w:pPr>
      <w:r>
        <w:rPr>
          <w:rFonts w:hint="eastAsia" w:ascii="仿宋" w:hAnsi="仿宋" w:eastAsia="仿宋" w:cs="仿宋"/>
          <w:bCs/>
        </w:rPr>
        <w:t>3）</w:t>
      </w:r>
      <w:r>
        <w:rPr>
          <w:rFonts w:hint="eastAsia" w:ascii="仿宋" w:hAnsi="仿宋" w:eastAsia="仿宋" w:cs="仿宋"/>
        </w:rPr>
        <w:t>高程精度要求</w:t>
      </w:r>
    </w:p>
    <w:p>
      <w:pPr>
        <w:spacing w:line="360" w:lineRule="auto"/>
        <w:ind w:firstLine="480" w:firstLineChars="200"/>
        <w:rPr>
          <w:rFonts w:hint="eastAsia" w:ascii="仿宋" w:hAnsi="仿宋" w:eastAsia="仿宋" w:cs="仿宋"/>
        </w:rPr>
      </w:pPr>
      <w:r>
        <w:rPr>
          <w:rFonts w:hint="eastAsia" w:ascii="仿宋" w:hAnsi="仿宋" w:eastAsia="仿宋" w:cs="仿宋"/>
          <w:color w:val="000000" w:themeColor="text1"/>
          <w:sz w:val="24"/>
          <w:szCs w:val="22"/>
          <w14:textFill>
            <w14:solidFill>
              <w14:schemeClr w14:val="tx1"/>
            </w14:solidFill>
          </w14:textFill>
        </w:rPr>
        <w:t xml:space="preserve">高程注记点相对于邻近图根点的高程中误差不得大于±15cm。测区地形平坦区域不测绘等高线，只测注高程注记点，基本等高距为0.5m，高程注记至0.01m；与山体结合部需测绘至等高线，等高距为1m，山地高程注记至0.01m。等高线插求点的高程中误差按下表要求： </w:t>
      </w:r>
      <w:r>
        <w:rPr>
          <w:rFonts w:hint="eastAsia" w:ascii="仿宋" w:hAnsi="仿宋" w:eastAsia="仿宋" w:cs="仿宋"/>
        </w:rPr>
        <w:t xml:space="preserve">           </w:t>
      </w:r>
    </w:p>
    <w:p>
      <w:pPr>
        <w:pStyle w:val="957"/>
        <w:rPr>
          <w:rFonts w:hint="eastAsia" w:ascii="仿宋" w:hAnsi="仿宋" w:eastAsia="仿宋" w:cs="仿宋"/>
        </w:rPr>
      </w:pPr>
      <w:r>
        <w:rPr>
          <w:rFonts w:hint="eastAsia" w:ascii="仿宋" w:hAnsi="仿宋" w:eastAsia="仿宋" w:cs="仿宋"/>
        </w:rPr>
        <w:t xml:space="preserve">表13 等高线插求点高程中误差                     </w:t>
      </w:r>
    </w:p>
    <w:tbl>
      <w:tblPr>
        <w:tblStyle w:val="64"/>
        <w:tblW w:w="6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60" w:type="dxa"/>
            <w:vMerge w:val="restart"/>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地形类别</w:t>
            </w:r>
          </w:p>
        </w:tc>
        <w:tc>
          <w:tcPr>
            <w:tcW w:w="1984"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丘陵地</w:t>
            </w:r>
          </w:p>
        </w:tc>
        <w:tc>
          <w:tcPr>
            <w:tcW w:w="1843"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2660" w:type="dxa"/>
            <w:vMerge w:val="continue"/>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p>
        </w:tc>
        <w:tc>
          <w:tcPr>
            <w:tcW w:w="1984"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 6°</w:t>
            </w:r>
          </w:p>
        </w:tc>
        <w:tc>
          <w:tcPr>
            <w:tcW w:w="1843"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660"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高程中误差 (等高距) </w:t>
            </w:r>
          </w:p>
        </w:tc>
        <w:tc>
          <w:tcPr>
            <w:tcW w:w="1984"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w:t>
            </w:r>
          </w:p>
        </w:tc>
        <w:tc>
          <w:tcPr>
            <w:tcW w:w="1843"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 w:hRule="atLeast"/>
          <w:jc w:val="center"/>
        </w:trPr>
        <w:tc>
          <w:tcPr>
            <w:tcW w:w="2660"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基本等高距</w:t>
            </w:r>
          </w:p>
        </w:tc>
        <w:tc>
          <w:tcPr>
            <w:tcW w:w="1984"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0.5m</w:t>
            </w:r>
          </w:p>
        </w:tc>
        <w:tc>
          <w:tcPr>
            <w:tcW w:w="1843" w:type="dxa"/>
            <w:vAlign w:val="center"/>
          </w:tcPr>
          <w:p>
            <w:pPr>
              <w:pStyle w:val="141"/>
              <w:spacing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1m</w:t>
            </w:r>
          </w:p>
        </w:tc>
      </w:tr>
    </w:tbl>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对于树林隐蔽等特殊困难地区，高程中误差规定值放宽50%。</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4）房产测量边长及面积精度</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房产面积的精度按第三级精度要求，其面积的限差和中误差不超过下表计算的结果。</w:t>
      </w:r>
    </w:p>
    <w:p>
      <w:pPr>
        <w:pStyle w:val="957"/>
        <w:rPr>
          <w:rFonts w:hint="eastAsia" w:ascii="仿宋" w:hAnsi="仿宋" w:eastAsia="仿宋" w:cs="仿宋"/>
          <w:bCs/>
        </w:rPr>
      </w:pPr>
      <w:r>
        <w:rPr>
          <w:rFonts w:hint="eastAsia" w:ascii="仿宋" w:hAnsi="仿宋" w:eastAsia="仿宋" w:cs="仿宋"/>
        </w:rPr>
        <w:t xml:space="preserve">表14 房产面积面积限差和中误差                                     </w:t>
      </w:r>
    </w:p>
    <w:tbl>
      <w:tblPr>
        <w:tblStyle w:val="64"/>
        <w:tblW w:w="8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jc w:val="center"/>
        </w:trPr>
        <w:tc>
          <w:tcPr>
            <w:tcW w:w="2423"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房产面积的精度等级</w:t>
            </w:r>
          </w:p>
        </w:tc>
        <w:tc>
          <w:tcPr>
            <w:tcW w:w="2835" w:type="dxa"/>
            <w:vAlign w:val="center"/>
          </w:tcPr>
          <w:p>
            <w:pPr>
              <w:ind w:firstLine="420" w:firstLineChars="20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限差</w:t>
            </w:r>
          </w:p>
        </w:tc>
        <w:tc>
          <w:tcPr>
            <w:tcW w:w="2835" w:type="dxa"/>
            <w:vAlign w:val="center"/>
          </w:tcPr>
          <w:p>
            <w:pPr>
              <w:ind w:firstLine="420" w:firstLineChars="20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exact"/>
          <w:jc w:val="center"/>
        </w:trPr>
        <w:tc>
          <w:tcPr>
            <w:tcW w:w="2423" w:type="dxa"/>
            <w:vAlign w:val="center"/>
          </w:tcPr>
          <w:p>
            <w:pPr>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三级</w:t>
            </w:r>
          </w:p>
        </w:tc>
        <w:tc>
          <w:tcPr>
            <w:tcW w:w="2835"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0.08</w:t>
            </w:r>
            <w:r>
              <w:rPr>
                <w:rFonts w:hint="eastAsia" w:ascii="仿宋" w:hAnsi="仿宋" w:eastAsia="仿宋" w:cs="仿宋"/>
                <w:color w:val="000000" w:themeColor="text1"/>
                <w:position w:val="-8"/>
                <w:szCs w:val="21"/>
                <w14:textFill>
                  <w14:solidFill>
                    <w14:schemeClr w14:val="tx1"/>
                  </w14:solidFill>
                </w14:textFill>
              </w:rPr>
              <w:drawing>
                <wp:inline distT="0" distB="0" distL="0" distR="0">
                  <wp:extent cx="228600" cy="228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ascii="仿宋" w:hAnsi="仿宋" w:eastAsia="仿宋" w:cs="仿宋"/>
                <w:color w:val="000000" w:themeColor="text1"/>
                <w:szCs w:val="21"/>
                <w14:textFill>
                  <w14:solidFill>
                    <w14:schemeClr w14:val="tx1"/>
                  </w14:solidFill>
                </w14:textFill>
              </w:rPr>
              <w:t xml:space="preserve"> + 0.006 S</w:t>
            </w:r>
          </w:p>
        </w:tc>
        <w:tc>
          <w:tcPr>
            <w:tcW w:w="2835" w:type="dxa"/>
            <w:vAlign w:val="center"/>
          </w:tcPr>
          <w:p>
            <w:pPr>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0.04</w:t>
            </w:r>
            <w:r>
              <w:rPr>
                <w:rFonts w:hint="eastAsia" w:ascii="仿宋" w:hAnsi="仿宋" w:eastAsia="仿宋" w:cs="仿宋"/>
                <w:color w:val="000000" w:themeColor="text1"/>
                <w:position w:val="-8"/>
                <w:szCs w:val="21"/>
                <w14:textFill>
                  <w14:solidFill>
                    <w14:schemeClr w14:val="tx1"/>
                  </w14:solidFill>
                </w14:textFill>
              </w:rPr>
              <w:drawing>
                <wp:inline distT="0" distB="0" distL="0" distR="0">
                  <wp:extent cx="228600" cy="228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ascii="仿宋" w:hAnsi="仿宋" w:eastAsia="仿宋" w:cs="仿宋"/>
                <w:color w:val="000000" w:themeColor="text1"/>
                <w:szCs w:val="21"/>
                <w14:textFill>
                  <w14:solidFill>
                    <w14:schemeClr w14:val="tx1"/>
                  </w14:solidFill>
                </w14:textFill>
              </w:rPr>
              <w:t xml:space="preserve"> + 0.003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exact"/>
          <w:jc w:val="center"/>
        </w:trPr>
        <w:tc>
          <w:tcPr>
            <w:tcW w:w="8093" w:type="dxa"/>
            <w:gridSpan w:val="3"/>
            <w:vAlign w:val="center"/>
          </w:tcPr>
          <w:p>
            <w:pPr>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注：S为房产面积，m</w:t>
            </w:r>
            <w:r>
              <w:rPr>
                <w:rFonts w:hint="eastAsia" w:ascii="仿宋" w:hAnsi="仿宋" w:eastAsia="仿宋" w:cs="仿宋"/>
                <w:color w:val="000000" w:themeColor="text1"/>
                <w:szCs w:val="21"/>
                <w:vertAlign w:val="superscript"/>
                <w14:textFill>
                  <w14:solidFill>
                    <w14:schemeClr w14:val="tx1"/>
                  </w14:solidFill>
                </w14:textFill>
              </w:rPr>
              <w:t>2</w:t>
            </w:r>
            <w:r>
              <w:rPr>
                <w:rFonts w:hint="eastAsia" w:ascii="仿宋" w:hAnsi="仿宋" w:eastAsia="仿宋" w:cs="仿宋"/>
                <w:color w:val="000000" w:themeColor="text1"/>
                <w:szCs w:val="21"/>
                <w14:textFill>
                  <w14:solidFill>
                    <w14:schemeClr w14:val="tx1"/>
                  </w14:solidFill>
                </w14:textFill>
              </w:rPr>
              <w:t>。</w:t>
            </w:r>
          </w:p>
        </w:tc>
      </w:tr>
    </w:tbl>
    <w:p>
      <w:pPr>
        <w:pStyle w:val="59"/>
        <w:widowControl w:val="0"/>
        <w:spacing w:before="0" w:beforeAutospacing="0" w:after="0" w:afterAutospacing="0" w:line="360" w:lineRule="auto"/>
        <w:ind w:firstLine="482" w:firstLineChars="200"/>
        <w:jc w:val="both"/>
        <w:textAlignment w:val="center"/>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lang w:val="en-US" w:eastAsia="zh-CN"/>
          <w14:textFill>
            <w14:solidFill>
              <w14:schemeClr w14:val="tx1"/>
            </w14:solidFill>
          </w14:textFill>
        </w:rPr>
        <w:t>(3)</w:t>
      </w:r>
      <w:r>
        <w:rPr>
          <w:rFonts w:hint="eastAsia" w:ascii="仿宋" w:hAnsi="仿宋" w:eastAsia="仿宋" w:cs="仿宋"/>
          <w:b/>
          <w:color w:val="000000" w:themeColor="text1"/>
          <w:kern w:val="2"/>
          <w:sz w:val="24"/>
          <w:szCs w:val="24"/>
          <w14:textFill>
            <w14:solidFill>
              <w14:schemeClr w14:val="tx1"/>
            </w14:solidFill>
          </w14:textFill>
        </w:rPr>
        <w:t>产品规格</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 xml:space="preserve">1）平面坐标系统：绍兴坐标系，2000国家大地坐标系（CGCS2000）。地形图、地籍数据清洗过程中采用2000国家大地坐标系（CGCS2000），最终提交成果涉及其他坐标系采用坐标转换的方法进行转换。 </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2）高程基准：1985国家高程基准，基本等高距平地为0.5米、山地为1米。</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3）成图比例尺：1∶500。</w:t>
      </w:r>
    </w:p>
    <w:p>
      <w:pPr>
        <w:spacing w:line="360" w:lineRule="auto"/>
        <w:ind w:firstLine="480" w:firstLineChars="200"/>
        <w:rPr>
          <w:rFonts w:hint="eastAsia" w:ascii="仿宋" w:hAnsi="仿宋" w:eastAsia="仿宋" w:cs="仿宋"/>
          <w:color w:val="000000" w:themeColor="text1"/>
          <w:sz w:val="24"/>
          <w:szCs w:val="22"/>
          <w14:textFill>
            <w14:solidFill>
              <w14:schemeClr w14:val="tx1"/>
            </w14:solidFill>
          </w14:textFill>
        </w:rPr>
      </w:pPr>
      <w:r>
        <w:rPr>
          <w:rFonts w:hint="eastAsia" w:ascii="仿宋" w:hAnsi="仿宋" w:eastAsia="仿宋" w:cs="仿宋"/>
          <w:color w:val="000000" w:themeColor="text1"/>
          <w:sz w:val="24"/>
          <w:szCs w:val="22"/>
          <w14:textFill>
            <w14:solidFill>
              <w14:schemeClr w14:val="tx1"/>
            </w14:solidFill>
          </w14:textFill>
        </w:rPr>
        <w:t>4）成图规格：采用50cm×50cm正方形分幅, 图幅按西南角点坐标公里数编号，加注图名。</w:t>
      </w:r>
    </w:p>
    <w:p>
      <w:pPr>
        <w:pStyle w:val="120"/>
        <w:numPr>
          <w:ilvl w:val="0"/>
          <w:numId w:val="12"/>
        </w:numPr>
        <w:spacing w:line="360" w:lineRule="auto"/>
        <w:ind w:left="0" w:firstLine="293" w:firstLineChars="100"/>
        <w:textAlignment w:val="center"/>
        <w:outlineLvl w:val="2"/>
        <w:rPr>
          <w:rFonts w:hint="eastAsia" w:ascii="仿宋" w:hAnsi="仿宋" w:eastAsia="仿宋" w:cs="仿宋"/>
          <w:b/>
          <w:bCs/>
          <w:color w:val="0D0D0D"/>
          <w:spacing w:val="6"/>
          <w:sz w:val="28"/>
          <w:szCs w:val="28"/>
          <w:lang w:val="en-US"/>
        </w:rPr>
      </w:pPr>
      <w:r>
        <w:rPr>
          <w:rFonts w:hint="eastAsia" w:ascii="仿宋" w:hAnsi="仿宋" w:eastAsia="仿宋" w:cs="仿宋"/>
          <w:b/>
          <w:bCs/>
          <w:color w:val="0D0D0D"/>
          <w:spacing w:val="6"/>
          <w:sz w:val="28"/>
          <w:szCs w:val="28"/>
          <w:lang w:val="en-US"/>
        </w:rPr>
        <w:t>提交成果</w:t>
      </w:r>
    </w:p>
    <w:p>
      <w:pPr>
        <w:pStyle w:val="957"/>
        <w:rPr>
          <w:rFonts w:hint="eastAsia" w:ascii="仿宋" w:hAnsi="仿宋" w:eastAsia="仿宋" w:cs="仿宋"/>
        </w:rPr>
      </w:pPr>
      <w:r>
        <w:rPr>
          <w:rFonts w:hint="eastAsia" w:ascii="仿宋" w:hAnsi="仿宋" w:eastAsia="仿宋" w:cs="仿宋"/>
        </w:rPr>
        <w:t>表15 成果资料交付清单</w:t>
      </w:r>
    </w:p>
    <w:tbl>
      <w:tblPr>
        <w:tblStyle w:val="64"/>
        <w:tblW w:w="8627" w:type="dxa"/>
        <w:jc w:val="center"/>
        <w:tblLayout w:type="fixed"/>
        <w:tblCellMar>
          <w:top w:w="0" w:type="dxa"/>
          <w:left w:w="108" w:type="dxa"/>
          <w:bottom w:w="0" w:type="dxa"/>
          <w:right w:w="108" w:type="dxa"/>
        </w:tblCellMar>
      </w:tblPr>
      <w:tblGrid>
        <w:gridCol w:w="960"/>
        <w:gridCol w:w="2129"/>
        <w:gridCol w:w="2263"/>
        <w:gridCol w:w="996"/>
        <w:gridCol w:w="995"/>
        <w:gridCol w:w="1284"/>
      </w:tblGrid>
      <w:tr>
        <w:tblPrEx>
          <w:tblCellMar>
            <w:top w:w="0" w:type="dxa"/>
            <w:left w:w="108" w:type="dxa"/>
            <w:bottom w:w="0" w:type="dxa"/>
            <w:right w:w="108" w:type="dxa"/>
          </w:tblCellMar>
        </w:tblPrEx>
        <w:trPr>
          <w:trHeight w:val="300" w:hRule="atLeast"/>
          <w:tblHeader/>
          <w:jc w:val="center"/>
        </w:trPr>
        <w:tc>
          <w:tcPr>
            <w:tcW w:w="960" w:type="dxa"/>
            <w:tcBorders>
              <w:top w:val="double" w:color="auto" w:sz="4" w:space="0"/>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序号</w:t>
            </w:r>
          </w:p>
        </w:tc>
        <w:tc>
          <w:tcPr>
            <w:tcW w:w="2129" w:type="dxa"/>
            <w:tcBorders>
              <w:top w:val="double" w:color="auto" w:sz="4" w:space="0"/>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p>
        </w:tc>
        <w:tc>
          <w:tcPr>
            <w:tcW w:w="2263" w:type="dxa"/>
            <w:tcBorders>
              <w:top w:val="double" w:color="auto" w:sz="4" w:space="0"/>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成果名称</w:t>
            </w:r>
          </w:p>
        </w:tc>
        <w:tc>
          <w:tcPr>
            <w:tcW w:w="996" w:type="dxa"/>
            <w:tcBorders>
              <w:top w:val="double" w:color="auto" w:sz="4" w:space="0"/>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规格</w:t>
            </w:r>
          </w:p>
        </w:tc>
        <w:tc>
          <w:tcPr>
            <w:tcW w:w="995" w:type="dxa"/>
            <w:tcBorders>
              <w:top w:val="double" w:color="auto" w:sz="4" w:space="0"/>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数量</w:t>
            </w:r>
          </w:p>
        </w:tc>
        <w:tc>
          <w:tcPr>
            <w:tcW w:w="1284" w:type="dxa"/>
            <w:tcBorders>
              <w:top w:val="double" w:color="auto" w:sz="4" w:space="0"/>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介质</w:t>
            </w:r>
          </w:p>
        </w:tc>
      </w:tr>
      <w:tr>
        <w:tblPrEx>
          <w:tblCellMar>
            <w:top w:w="0" w:type="dxa"/>
            <w:left w:w="108" w:type="dxa"/>
            <w:bottom w:w="0" w:type="dxa"/>
            <w:right w:w="108" w:type="dxa"/>
          </w:tblCellMar>
        </w:tblPrEx>
        <w:trPr>
          <w:trHeight w:val="33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212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1:500地形图</w:t>
            </w:r>
          </w:p>
        </w:tc>
        <w:tc>
          <w:tcPr>
            <w:tcW w:w="2263"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DLG 成果（2000国家坐标系和绍兴坐标系）</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DWG、GDB</w:t>
            </w:r>
          </w:p>
        </w:tc>
        <w:tc>
          <w:tcPr>
            <w:tcW w:w="99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各2份</w:t>
            </w:r>
          </w:p>
        </w:tc>
        <w:tc>
          <w:tcPr>
            <w:tcW w:w="1284" w:type="dxa"/>
            <w:tcBorders>
              <w:top w:val="nil"/>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r>
      <w:tr>
        <w:tblPrEx>
          <w:tblCellMar>
            <w:top w:w="0" w:type="dxa"/>
            <w:left w:w="108" w:type="dxa"/>
            <w:bottom w:w="0" w:type="dxa"/>
            <w:right w:w="108" w:type="dxa"/>
          </w:tblCellMar>
        </w:tblPrEx>
        <w:trPr>
          <w:trHeight w:val="33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2129"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p>
        </w:tc>
        <w:tc>
          <w:tcPr>
            <w:tcW w:w="2263"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元数据（2000国家坐标系）</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SHP</w:t>
            </w:r>
          </w:p>
        </w:tc>
        <w:tc>
          <w:tcPr>
            <w:tcW w:w="99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2份</w:t>
            </w:r>
          </w:p>
        </w:tc>
        <w:tc>
          <w:tcPr>
            <w:tcW w:w="1284" w:type="dxa"/>
            <w:tcBorders>
              <w:top w:val="nil"/>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r>
      <w:tr>
        <w:tblPrEx>
          <w:tblCellMar>
            <w:top w:w="0" w:type="dxa"/>
            <w:left w:w="108" w:type="dxa"/>
            <w:bottom w:w="0" w:type="dxa"/>
            <w:right w:w="108" w:type="dxa"/>
          </w:tblCellMar>
        </w:tblPrEx>
        <w:trPr>
          <w:trHeight w:val="30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212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地籍图</w:t>
            </w:r>
          </w:p>
        </w:tc>
        <w:tc>
          <w:tcPr>
            <w:tcW w:w="2263"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不动产数据库（2000国家坐标系）</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GDB/MDB</w:t>
            </w:r>
          </w:p>
        </w:tc>
        <w:tc>
          <w:tcPr>
            <w:tcW w:w="995" w:type="dxa"/>
            <w:tcBorders>
              <w:top w:val="nil"/>
              <w:left w:val="nil"/>
              <w:bottom w:val="single" w:color="000000" w:sz="8" w:space="0"/>
              <w:right w:val="nil"/>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2份</w:t>
            </w:r>
          </w:p>
        </w:tc>
        <w:tc>
          <w:tcPr>
            <w:tcW w:w="1284" w:type="dxa"/>
            <w:tcBorders>
              <w:top w:val="single" w:color="auto" w:sz="8" w:space="0"/>
              <w:left w:val="single" w:color="auto" w:sz="8" w:space="0"/>
              <w:bottom w:val="single" w:color="auto"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r>
      <w:tr>
        <w:tblPrEx>
          <w:tblCellMar>
            <w:top w:w="0" w:type="dxa"/>
            <w:left w:w="108" w:type="dxa"/>
            <w:bottom w:w="0" w:type="dxa"/>
            <w:right w:w="108" w:type="dxa"/>
          </w:tblCellMar>
        </w:tblPrEx>
        <w:trPr>
          <w:trHeight w:val="30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4</w:t>
            </w:r>
          </w:p>
        </w:tc>
        <w:tc>
          <w:tcPr>
            <w:tcW w:w="2129"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仿宋" w:hAnsi="仿宋" w:eastAsia="仿宋" w:cs="仿宋"/>
                <w:color w:val="000000" w:themeColor="text1"/>
                <w:kern w:val="0"/>
                <w:szCs w:val="21"/>
                <w14:textFill>
                  <w14:solidFill>
                    <w14:schemeClr w14:val="tx1"/>
                  </w14:solidFill>
                </w14:textFill>
              </w:rPr>
            </w:pPr>
          </w:p>
        </w:tc>
        <w:tc>
          <w:tcPr>
            <w:tcW w:w="2263"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元数据（2000国家坐标系）</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SHP</w:t>
            </w:r>
          </w:p>
        </w:tc>
        <w:tc>
          <w:tcPr>
            <w:tcW w:w="99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2份</w:t>
            </w:r>
          </w:p>
        </w:tc>
        <w:tc>
          <w:tcPr>
            <w:tcW w:w="1284" w:type="dxa"/>
            <w:tcBorders>
              <w:top w:val="nil"/>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r>
      <w:tr>
        <w:tblPrEx>
          <w:tblCellMar>
            <w:top w:w="0" w:type="dxa"/>
            <w:left w:w="108" w:type="dxa"/>
            <w:bottom w:w="0" w:type="dxa"/>
            <w:right w:w="108" w:type="dxa"/>
          </w:tblCellMar>
        </w:tblPrEx>
        <w:trPr>
          <w:trHeight w:val="30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5</w:t>
            </w:r>
          </w:p>
        </w:tc>
        <w:tc>
          <w:tcPr>
            <w:tcW w:w="2129" w:type="dxa"/>
            <w:tcBorders>
              <w:top w:val="nil"/>
              <w:left w:val="single" w:color="000000" w:sz="8" w:space="0"/>
              <w:bottom w:val="single" w:color="000000" w:sz="8" w:space="0"/>
              <w:right w:val="single" w:color="000000" w:sz="8" w:space="0"/>
            </w:tcBorders>
            <w:vAlign w:val="center"/>
          </w:tcPr>
          <w:p>
            <w:pPr>
              <w:widowControl/>
              <w:jc w:val="left"/>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lang w:eastAsia="zh-CN"/>
                <w14:textFill>
                  <w14:solidFill>
                    <w14:schemeClr w14:val="tx1"/>
                  </w14:solidFill>
                </w14:textFill>
              </w:rPr>
              <w:t>地形地籍一体库</w:t>
            </w:r>
          </w:p>
        </w:tc>
        <w:tc>
          <w:tcPr>
            <w:tcW w:w="2263"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lang w:eastAsia="zh-CN"/>
                <w14:textFill>
                  <w14:solidFill>
                    <w14:schemeClr w14:val="tx1"/>
                  </w14:solidFill>
                </w14:textFill>
              </w:rPr>
              <w:t>地形地籍一体库成果（</w:t>
            </w:r>
            <w:r>
              <w:rPr>
                <w:rFonts w:hint="eastAsia" w:ascii="仿宋" w:hAnsi="仿宋" w:eastAsia="仿宋" w:cs="仿宋"/>
                <w:color w:val="000000" w:themeColor="text1"/>
                <w:kern w:val="0"/>
                <w:szCs w:val="21"/>
                <w:lang w:val="en-US" w:eastAsia="zh-CN"/>
                <w14:textFill>
                  <w14:solidFill>
                    <w14:schemeClr w14:val="tx1"/>
                  </w14:solidFill>
                </w14:textFill>
              </w:rPr>
              <w:t>2000国家坐标系</w:t>
            </w:r>
            <w:r>
              <w:rPr>
                <w:rFonts w:hint="eastAsia" w:ascii="仿宋" w:hAnsi="仿宋" w:eastAsia="仿宋" w:cs="仿宋"/>
                <w:color w:val="000000" w:themeColor="text1"/>
                <w:kern w:val="0"/>
                <w:szCs w:val="21"/>
                <w:lang w:eastAsia="zh-CN"/>
                <w14:textFill>
                  <w14:solidFill>
                    <w14:schemeClr w14:val="tx1"/>
                  </w14:solidFill>
                </w14:textFill>
              </w:rPr>
              <w:t>）</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GDB/MDB</w:t>
            </w:r>
          </w:p>
        </w:tc>
        <w:tc>
          <w:tcPr>
            <w:tcW w:w="99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2份</w:t>
            </w:r>
          </w:p>
        </w:tc>
        <w:tc>
          <w:tcPr>
            <w:tcW w:w="1284" w:type="dxa"/>
            <w:tcBorders>
              <w:top w:val="nil"/>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w:t>
            </w:r>
          </w:p>
        </w:tc>
      </w:tr>
      <w:tr>
        <w:tblPrEx>
          <w:tblCellMar>
            <w:top w:w="0" w:type="dxa"/>
            <w:left w:w="108" w:type="dxa"/>
            <w:bottom w:w="0" w:type="dxa"/>
            <w:right w:w="108" w:type="dxa"/>
          </w:tblCellMar>
        </w:tblPrEx>
        <w:trPr>
          <w:trHeight w:val="30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6</w:t>
            </w:r>
          </w:p>
        </w:tc>
        <w:tc>
          <w:tcPr>
            <w:tcW w:w="2129" w:type="dxa"/>
            <w:tcBorders>
              <w:top w:val="nil"/>
              <w:left w:val="single" w:color="000000" w:sz="8" w:space="0"/>
              <w:bottom w:val="single" w:color="000000" w:sz="8" w:space="0"/>
              <w:right w:val="single" w:color="000000" w:sz="8" w:space="0"/>
            </w:tcBorders>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技术标准</w:t>
            </w:r>
          </w:p>
        </w:tc>
        <w:tc>
          <w:tcPr>
            <w:tcW w:w="2263"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一体化数据库管理标准方案(初定版)</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w:t>
            </w:r>
          </w:p>
        </w:tc>
        <w:tc>
          <w:tcPr>
            <w:tcW w:w="99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2套</w:t>
            </w:r>
          </w:p>
        </w:tc>
        <w:tc>
          <w:tcPr>
            <w:tcW w:w="1284" w:type="dxa"/>
            <w:tcBorders>
              <w:top w:val="nil"/>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硬盘/纸质</w:t>
            </w:r>
          </w:p>
        </w:tc>
      </w:tr>
      <w:tr>
        <w:tblPrEx>
          <w:tblCellMar>
            <w:top w:w="0" w:type="dxa"/>
            <w:left w:w="108" w:type="dxa"/>
            <w:bottom w:w="0" w:type="dxa"/>
            <w:right w:w="108" w:type="dxa"/>
          </w:tblCellMar>
        </w:tblPrEx>
        <w:trPr>
          <w:trHeight w:val="300" w:hRule="atLeast"/>
          <w:jc w:val="center"/>
        </w:trPr>
        <w:tc>
          <w:tcPr>
            <w:tcW w:w="960" w:type="dxa"/>
            <w:tcBorders>
              <w:top w:val="nil"/>
              <w:left w:val="double" w:color="auto" w:sz="4" w:space="0"/>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lang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7</w:t>
            </w:r>
          </w:p>
        </w:tc>
        <w:tc>
          <w:tcPr>
            <w:tcW w:w="4392"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技术设计书、技术总结、质量检查等技术文档</w:t>
            </w:r>
          </w:p>
        </w:tc>
        <w:tc>
          <w:tcPr>
            <w:tcW w:w="99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w:t>
            </w:r>
          </w:p>
        </w:tc>
        <w:tc>
          <w:tcPr>
            <w:tcW w:w="99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2套</w:t>
            </w:r>
          </w:p>
        </w:tc>
        <w:tc>
          <w:tcPr>
            <w:tcW w:w="1284" w:type="dxa"/>
            <w:tcBorders>
              <w:top w:val="nil"/>
              <w:left w:val="nil"/>
              <w:bottom w:val="single" w:color="000000" w:sz="8"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硬盘/纸质</w:t>
            </w:r>
          </w:p>
        </w:tc>
      </w:tr>
      <w:tr>
        <w:tblPrEx>
          <w:tblCellMar>
            <w:top w:w="0" w:type="dxa"/>
            <w:left w:w="108" w:type="dxa"/>
            <w:bottom w:w="0" w:type="dxa"/>
            <w:right w:w="108" w:type="dxa"/>
          </w:tblCellMar>
        </w:tblPrEx>
        <w:trPr>
          <w:trHeight w:val="300" w:hRule="atLeast"/>
          <w:jc w:val="center"/>
        </w:trPr>
        <w:tc>
          <w:tcPr>
            <w:tcW w:w="960" w:type="dxa"/>
            <w:tcBorders>
              <w:top w:val="nil"/>
              <w:left w:val="double" w:color="auto" w:sz="4" w:space="0"/>
              <w:bottom w:val="double" w:color="auto" w:sz="4"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8</w:t>
            </w:r>
          </w:p>
        </w:tc>
        <w:tc>
          <w:tcPr>
            <w:tcW w:w="4392" w:type="dxa"/>
            <w:gridSpan w:val="2"/>
            <w:tcBorders>
              <w:top w:val="single" w:color="000000" w:sz="8" w:space="0"/>
              <w:left w:val="nil"/>
              <w:bottom w:val="double" w:color="auto" w:sz="4"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资料移交清单及其它各类资料的电子文档</w:t>
            </w:r>
          </w:p>
        </w:tc>
        <w:tc>
          <w:tcPr>
            <w:tcW w:w="996" w:type="dxa"/>
            <w:tcBorders>
              <w:top w:val="nil"/>
              <w:left w:val="nil"/>
              <w:bottom w:val="double" w:color="auto" w:sz="4"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DOC</w:t>
            </w:r>
          </w:p>
        </w:tc>
        <w:tc>
          <w:tcPr>
            <w:tcW w:w="995" w:type="dxa"/>
            <w:tcBorders>
              <w:top w:val="nil"/>
              <w:left w:val="nil"/>
              <w:bottom w:val="double" w:color="auto" w:sz="4" w:space="0"/>
              <w:right w:val="single" w:color="000000" w:sz="8"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2套</w:t>
            </w:r>
          </w:p>
        </w:tc>
        <w:tc>
          <w:tcPr>
            <w:tcW w:w="1284" w:type="dxa"/>
            <w:tcBorders>
              <w:top w:val="nil"/>
              <w:left w:val="nil"/>
              <w:bottom w:val="double" w:color="auto" w:sz="4" w:space="0"/>
              <w:right w:val="double" w:color="auto" w:sz="4" w:space="0"/>
            </w:tcBorders>
            <w:shd w:val="clear" w:color="auto" w:fill="auto"/>
            <w:vAlign w:val="center"/>
          </w:tcPr>
          <w:p>
            <w:pPr>
              <w:widowControl/>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硬盘/纸质</w:t>
            </w:r>
          </w:p>
        </w:tc>
      </w:tr>
    </w:tbl>
    <w:p>
      <w:pPr>
        <w:pStyle w:val="60"/>
        <w:spacing w:before="0" w:after="0" w:line="360" w:lineRule="auto"/>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三、项目工期要求</w:t>
      </w:r>
    </w:p>
    <w:p>
      <w:pPr>
        <w:tabs>
          <w:tab w:val="left" w:pos="5460"/>
        </w:tabs>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2024年</w:t>
      </w:r>
      <w:r>
        <w:rPr>
          <w:rFonts w:hint="eastAsia" w:ascii="仿宋" w:hAnsi="仿宋" w:eastAsia="仿宋" w:cs="仿宋"/>
          <w:bCs/>
          <w:sz w:val="24"/>
          <w:highlight w:val="none"/>
          <w:lang w:val="en-US" w:eastAsia="zh-CN"/>
        </w:rPr>
        <w:t>6</w:t>
      </w:r>
      <w:r>
        <w:rPr>
          <w:rFonts w:hint="eastAsia" w:ascii="仿宋" w:hAnsi="仿宋" w:eastAsia="仿宋" w:cs="仿宋"/>
          <w:bCs/>
          <w:sz w:val="24"/>
          <w:highlight w:val="none"/>
        </w:rPr>
        <w:t>月</w:t>
      </w:r>
      <w:r>
        <w:rPr>
          <w:rFonts w:hint="eastAsia" w:ascii="仿宋" w:hAnsi="仿宋" w:eastAsia="仿宋" w:cs="仿宋"/>
          <w:bCs/>
          <w:sz w:val="24"/>
          <w:highlight w:val="none"/>
          <w:lang w:val="en-US" w:eastAsia="zh-CN"/>
        </w:rPr>
        <w:t>20</w:t>
      </w:r>
      <w:r>
        <w:rPr>
          <w:rFonts w:hint="eastAsia" w:ascii="仿宋" w:hAnsi="仿宋" w:eastAsia="仿宋" w:cs="仿宋"/>
          <w:bCs/>
          <w:sz w:val="24"/>
          <w:highlight w:val="none"/>
        </w:rPr>
        <w:t>日前完成0.2米分辨率航空摄影、一季度1:2000DLG重大要素更新及报送、激光点云获取；</w:t>
      </w:r>
    </w:p>
    <w:p>
      <w:pPr>
        <w:tabs>
          <w:tab w:val="left" w:pos="5460"/>
        </w:tabs>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2024年</w:t>
      </w:r>
      <w:r>
        <w:rPr>
          <w:rFonts w:hint="eastAsia" w:ascii="仿宋" w:hAnsi="仿宋" w:eastAsia="仿宋" w:cs="仿宋"/>
          <w:bCs/>
          <w:sz w:val="24"/>
          <w:highlight w:val="none"/>
          <w:lang w:val="en-US" w:eastAsia="zh-CN"/>
        </w:rPr>
        <w:t>8</w:t>
      </w:r>
      <w:r>
        <w:rPr>
          <w:rFonts w:hint="eastAsia" w:ascii="仿宋" w:hAnsi="仿宋" w:eastAsia="仿宋" w:cs="仿宋"/>
          <w:bCs/>
          <w:sz w:val="24"/>
          <w:highlight w:val="none"/>
        </w:rPr>
        <w:t>月</w:t>
      </w:r>
      <w:r>
        <w:rPr>
          <w:rFonts w:hint="eastAsia" w:ascii="仿宋" w:hAnsi="仿宋" w:eastAsia="仿宋" w:cs="仿宋"/>
          <w:bCs/>
          <w:sz w:val="24"/>
          <w:highlight w:val="none"/>
          <w:lang w:val="en-US" w:eastAsia="zh-CN"/>
        </w:rPr>
        <w:t>2</w:t>
      </w:r>
      <w:r>
        <w:rPr>
          <w:rFonts w:hint="eastAsia" w:ascii="仿宋" w:hAnsi="仿宋" w:eastAsia="仿宋" w:cs="仿宋"/>
          <w:bCs/>
          <w:sz w:val="24"/>
          <w:highlight w:val="none"/>
        </w:rPr>
        <w:t>0日前完成DOM制作、绍兴市城市级实景三维建设工作量的60%、地形地籍数据整合；</w:t>
      </w:r>
    </w:p>
    <w:p>
      <w:pPr>
        <w:tabs>
          <w:tab w:val="left" w:pos="5460"/>
        </w:tabs>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2024年11月30日前完成项目所有建设内容及项目质检和验收。</w:t>
      </w:r>
    </w:p>
    <w:p>
      <w:pPr>
        <w:pStyle w:val="60"/>
        <w:spacing w:before="0" w:after="0" w:line="360" w:lineRule="auto"/>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四、付款方式</w:t>
      </w:r>
    </w:p>
    <w:p>
      <w:pPr>
        <w:tabs>
          <w:tab w:val="left" w:pos="5460"/>
        </w:tabs>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按付款方式：按《浙江省财政厅关于进一步发挥政府采购政策 功能全力推动经济稳进提质的通知》（浙财采监〔2022〕3号）等文件要求执行，具体付款方式由双方协商后在合同中明确。</w:t>
      </w:r>
    </w:p>
    <w:p>
      <w:pPr>
        <w:pageBreakBefore/>
        <w:spacing w:line="360" w:lineRule="auto"/>
        <w:ind w:left="720" w:leftChars="343" w:firstLine="1084" w:firstLineChars="300"/>
        <w:outlineLvl w:val="0"/>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 xml:space="preserve">第四部分  </w:t>
      </w:r>
      <w:r>
        <w:rPr>
          <w:rFonts w:hint="eastAsia" w:ascii="仿宋_GB2312" w:hAnsi="仿宋" w:eastAsia="仿宋_GB2312" w:cs="仿宋"/>
          <w:b/>
          <w:color w:val="000000" w:themeColor="text1"/>
          <w:sz w:val="36"/>
          <w:szCs w:val="36"/>
          <w14:textFill>
            <w14:solidFill>
              <w14:schemeClr w14:val="tx1"/>
            </w14:solidFill>
          </w14:textFill>
        </w:rPr>
        <w:t>拟签订的合同文本</w:t>
      </w:r>
    </w:p>
    <w:p>
      <w:pPr>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合同编号：</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80" w:lineRule="auto"/>
        <w:jc w:val="center"/>
        <w:rPr>
          <w:rFonts w:ascii="仿宋_GB2312" w:hAnsi="仿宋" w:eastAsia="仿宋_GB2312" w:cs="仿宋"/>
          <w:b/>
          <w:color w:val="000000" w:themeColor="text1"/>
          <w:sz w:val="28"/>
          <w:szCs w:val="28"/>
          <w14:textFill>
            <w14:solidFill>
              <w14:schemeClr w14:val="tx1"/>
            </w14:solidFill>
          </w14:textFill>
        </w:rPr>
      </w:pPr>
    </w:p>
    <w:p>
      <w:pPr>
        <w:spacing w:line="480" w:lineRule="auto"/>
        <w:jc w:val="center"/>
        <w:rPr>
          <w:rFonts w:ascii="仿宋_GB2312" w:hAnsi="仿宋" w:eastAsia="仿宋_GB2312" w:cs="仿宋"/>
          <w:b/>
          <w:color w:val="000000" w:themeColor="text1"/>
          <w:sz w:val="24"/>
          <w14:textFill>
            <w14:solidFill>
              <w14:schemeClr w14:val="tx1"/>
            </w14:solidFill>
          </w14:textFill>
        </w:rPr>
      </w:pPr>
    </w:p>
    <w:p>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政府采购合同参考范本</w:t>
      </w:r>
    </w:p>
    <w:p>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（服务类）</w:t>
      </w:r>
    </w:p>
    <w:p>
      <w:pPr>
        <w:pStyle w:val="311"/>
        <w:ind w:firstLine="2843" w:firstLineChars="118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第一部分 合同书</w:t>
      </w:r>
    </w:p>
    <w:p>
      <w:pPr>
        <w:spacing w:before="120" w:line="22" w:lineRule="atLeast"/>
        <w:rPr>
          <w:rFonts w:ascii="仿宋_GB2312" w:hAnsi="仿宋" w:eastAsia="仿宋_GB2312" w:cs="仿宋"/>
          <w:color w:val="000000" w:themeColor="text1"/>
          <w:sz w:val="24"/>
          <w14:textFill>
            <w14:solidFill>
              <w14:schemeClr w14:val="tx1"/>
            </w14:solidFill>
          </w14:textFill>
        </w:rPr>
      </w:pPr>
    </w:p>
    <w:p>
      <w:pPr>
        <w:pStyle w:val="4"/>
        <w:numPr>
          <w:ilvl w:val="0"/>
          <w:numId w:val="0"/>
        </w:numPr>
        <w:ind w:left="992"/>
        <w:rPr>
          <w:rFonts w:cs="仿宋"/>
          <w:color w:val="000000" w:themeColor="text1"/>
          <w14:textFill>
            <w14:solidFill>
              <w14:schemeClr w14:val="tx1"/>
            </w14:solidFill>
          </w14:textFill>
        </w:rPr>
      </w:pPr>
    </w:p>
    <w:p>
      <w:pPr>
        <w:spacing w:before="120" w:line="22" w:lineRule="atLeast"/>
        <w:ind w:left="96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项目名称：</w:t>
      </w:r>
      <w:r>
        <w:rPr>
          <w:rFonts w:hint="eastAsia" w:ascii="仿宋_GB2312" w:hAnsi="仿宋" w:eastAsia="仿宋_GB2312" w:cs="仿宋"/>
          <w:color w:val="000000" w:themeColor="text1"/>
          <w:sz w:val="24"/>
          <w:u w:val="single"/>
          <w14:textFill>
            <w14:solidFill>
              <w14:schemeClr w14:val="tx1"/>
            </w14:solidFill>
          </w14:textFill>
        </w:rPr>
        <w:t xml:space="preserve">                                   </w:t>
      </w:r>
    </w:p>
    <w:p>
      <w:pPr>
        <w:pStyle w:val="310"/>
        <w:spacing w:before="120" w:line="22" w:lineRule="atLeast"/>
        <w:rPr>
          <w:rFonts w:hAnsi="仿宋" w:cs="仿宋"/>
          <w:color w:val="000000" w:themeColor="text1"/>
          <w:szCs w:val="24"/>
          <w14:textFill>
            <w14:solidFill>
              <w14:schemeClr w14:val="tx1"/>
            </w14:solidFill>
          </w14:textFill>
        </w:rPr>
      </w:pPr>
    </w:p>
    <w:p>
      <w:pPr>
        <w:pStyle w:val="310"/>
        <w:spacing w:before="120" w:line="22" w:lineRule="atLeast"/>
        <w:rPr>
          <w:rFonts w:hAnsi="仿宋" w:cs="仿宋"/>
          <w:color w:val="000000" w:themeColor="text1"/>
          <w:szCs w:val="24"/>
          <w14:textFill>
            <w14:solidFill>
              <w14:schemeClr w14:val="tx1"/>
            </w14:solidFill>
          </w14:textFill>
        </w:rPr>
      </w:pPr>
    </w:p>
    <w:p>
      <w:pPr>
        <w:rPr>
          <w:rFonts w:ascii="仿宋_GB2312" w:hAnsi="仿宋" w:eastAsia="仿宋_GB2312" w:cs="仿宋"/>
          <w:color w:val="000000" w:themeColor="text1"/>
          <w:sz w:val="24"/>
          <w14:textFill>
            <w14:solidFill>
              <w14:schemeClr w14:val="tx1"/>
            </w14:solidFill>
          </w14:textFill>
        </w:rPr>
      </w:pPr>
    </w:p>
    <w:p>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甲方：</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before="120" w:line="22" w:lineRule="atLeast"/>
        <w:rPr>
          <w:rFonts w:ascii="仿宋_GB2312" w:hAnsi="仿宋" w:eastAsia="仿宋_GB2312" w:cs="仿宋"/>
          <w:color w:val="000000" w:themeColor="text1"/>
          <w:sz w:val="24"/>
          <w14:textFill>
            <w14:solidFill>
              <w14:schemeClr w14:val="tx1"/>
            </w14:solidFill>
          </w14:textFill>
        </w:rPr>
      </w:pPr>
    </w:p>
    <w:p>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乙方：</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before="120" w:line="22" w:lineRule="atLeast"/>
        <w:rPr>
          <w:rFonts w:ascii="仿宋_GB2312" w:hAnsi="仿宋" w:eastAsia="仿宋_GB2312" w:cs="仿宋"/>
          <w:color w:val="000000" w:themeColor="text1"/>
          <w:sz w:val="24"/>
          <w14:textFill>
            <w14:solidFill>
              <w14:schemeClr w14:val="tx1"/>
            </w14:solidFill>
          </w14:textFill>
        </w:rPr>
      </w:pPr>
    </w:p>
    <w:p>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签订地：</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before="120" w:line="22" w:lineRule="atLeast"/>
        <w:rPr>
          <w:rFonts w:ascii="仿宋_GB2312" w:hAnsi="仿宋" w:eastAsia="仿宋_GB2312" w:cs="仿宋"/>
          <w:color w:val="000000" w:themeColor="text1"/>
          <w:sz w:val="24"/>
          <w14:textFill>
            <w14:solidFill>
              <w14:schemeClr w14:val="tx1"/>
            </w14:solidFill>
          </w14:textFill>
        </w:rPr>
      </w:pPr>
    </w:p>
    <w:p>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签订日期：</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w:t>
      </w:r>
    </w:p>
    <w:p>
      <w:pPr>
        <w:widowControl/>
        <w:jc w:val="left"/>
        <w:rPr>
          <w:rFonts w:ascii="仿宋_GB2312" w:hAnsi="仿宋" w:eastAsia="仿宋_GB2312" w:cs="仿宋"/>
          <w:color w:val="000000" w:themeColor="text1"/>
          <w:kern w:val="0"/>
          <w:sz w:val="24"/>
          <w14:textFill>
            <w14:solidFill>
              <w14:schemeClr w14:val="tx1"/>
            </w14:solidFill>
          </w14:textFill>
        </w:rPr>
        <w:sectPr>
          <w:headerReference r:id="rId4" w:type="first"/>
          <w:footerReference r:id="rId6" w:type="first"/>
          <w:headerReference r:id="rId3" w:type="default"/>
          <w:footerReference r:id="rId5" w:type="default"/>
          <w:pgSz w:w="11907" w:h="16840"/>
          <w:pgMar w:top="181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年</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月</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日</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14:textFill>
            <w14:solidFill>
              <w14:schemeClr w14:val="tx1"/>
            </w14:solidFill>
          </w14:textFill>
        </w:rPr>
        <w:t>以</w:t>
      </w:r>
      <w:r>
        <w:rPr>
          <w:rFonts w:hint="eastAsia" w:ascii="仿宋_GB2312" w:hAnsi="仿宋" w:eastAsia="仿宋_GB2312" w:cs="仿宋"/>
          <w:color w:val="000000" w:themeColor="text1"/>
          <w:sz w:val="24"/>
          <w:u w:val="single"/>
          <w14:textFill>
            <w14:solidFill>
              <w14:schemeClr w14:val="tx1"/>
            </w14:solidFill>
          </w14:textFill>
        </w:rPr>
        <w:t xml:space="preserve">   （政府采购方式）  </w:t>
      </w:r>
      <w:r>
        <w:rPr>
          <w:rFonts w:hint="eastAsia" w:ascii="仿宋_GB2312" w:hAnsi="仿宋" w:eastAsia="仿宋_GB2312" w:cs="仿宋"/>
          <w:color w:val="000000" w:themeColor="text1"/>
          <w:sz w:val="24"/>
          <w14:textFill>
            <w14:solidFill>
              <w14:schemeClr w14:val="tx1"/>
            </w14:solidFill>
          </w14:textFill>
        </w:rPr>
        <w:t>对</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项目进行了采购。经</w:t>
      </w:r>
      <w:r>
        <w:rPr>
          <w:rFonts w:hint="eastAsia" w:ascii="仿宋_GB2312" w:hAnsi="仿宋" w:eastAsia="仿宋_GB2312" w:cs="仿宋"/>
          <w:color w:val="000000" w:themeColor="text1"/>
          <w:sz w:val="24"/>
          <w:u w:val="single"/>
          <w14:textFill>
            <w14:solidFill>
              <w14:schemeClr w14:val="tx1"/>
            </w14:solidFill>
          </w14:textFill>
        </w:rPr>
        <w:t xml:space="preserve">   （相关评定主体名称）   </w:t>
      </w:r>
      <w:r>
        <w:rPr>
          <w:rFonts w:hint="eastAsia" w:ascii="仿宋_GB2312" w:hAnsi="仿宋" w:eastAsia="仿宋_GB2312" w:cs="仿宋"/>
          <w:color w:val="000000" w:themeColor="text1"/>
          <w:sz w:val="24"/>
          <w14:textFill>
            <w14:solidFill>
              <w14:schemeClr w14:val="tx1"/>
            </w14:solidFill>
          </w14:textFill>
        </w:rPr>
        <w:t>评定，</w:t>
      </w:r>
      <w:r>
        <w:rPr>
          <w:rFonts w:hint="eastAsia" w:ascii="仿宋_GB2312" w:hAnsi="仿宋" w:eastAsia="仿宋_GB2312" w:cs="仿宋"/>
          <w:color w:val="000000" w:themeColor="text1"/>
          <w:sz w:val="24"/>
          <w:u w:val="single"/>
          <w14:textFill>
            <w14:solidFill>
              <w14:schemeClr w14:val="tx1"/>
            </w14:solidFill>
          </w14:textFill>
        </w:rPr>
        <w:t xml:space="preserve">   （中标或者成交供应商名称） </w:t>
      </w:r>
      <w:r>
        <w:rPr>
          <w:rFonts w:hint="eastAsia" w:ascii="仿宋_GB2312" w:hAnsi="仿宋" w:eastAsia="仿宋_GB2312" w:cs="仿宋"/>
          <w:color w:val="000000" w:themeColor="text1"/>
          <w:sz w:val="24"/>
          <w14:textFill>
            <w14:solidFill>
              <w14:schemeClr w14:val="tx1"/>
            </w14:solidFill>
          </w14:textFill>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lang w:val="zh-CN"/>
          <w14:textFill>
            <w14:solidFill>
              <w14:schemeClr w14:val="tx1"/>
            </w14:solidFill>
          </w14:textFill>
        </w:rPr>
        <w:t>(以下简称：甲方)和</w:t>
      </w:r>
      <w:r>
        <w:rPr>
          <w:rFonts w:hint="eastAsia" w:ascii="仿宋_GB2312" w:hAnsi="仿宋" w:eastAsia="仿宋_GB2312" w:cs="仿宋"/>
          <w:color w:val="000000" w:themeColor="text1"/>
          <w:sz w:val="24"/>
          <w:u w:val="single"/>
          <w14:textFill>
            <w14:solidFill>
              <w14:schemeClr w14:val="tx1"/>
            </w14:solidFill>
          </w14:textFill>
        </w:rPr>
        <w:t xml:space="preserve">   （中或者成交标供应商名称）   </w:t>
      </w:r>
      <w:r>
        <w:rPr>
          <w:rFonts w:hint="eastAsia" w:ascii="仿宋_GB2312" w:hAnsi="仿宋" w:eastAsia="仿宋_GB2312" w:cs="仿宋"/>
          <w:color w:val="000000" w:themeColor="text1"/>
          <w:sz w:val="24"/>
          <w:lang w:val="zh-CN"/>
          <w14:textFill>
            <w14:solidFill>
              <w14:schemeClr w14:val="tx1"/>
            </w14:solidFill>
          </w14:textFill>
        </w:rPr>
        <w:t>(以下简称：乙方)协商一致，约定以下合同</w:t>
      </w:r>
      <w:r>
        <w:rPr>
          <w:rFonts w:hint="eastAsia" w:ascii="仿宋_GB2312" w:hAnsi="仿宋" w:eastAsia="仿宋_GB2312" w:cs="仿宋"/>
          <w:color w:val="000000" w:themeColor="text1"/>
          <w:sz w:val="24"/>
          <w14:textFill>
            <w14:solidFill>
              <w14:schemeClr w14:val="tx1"/>
            </w14:solidFill>
          </w14:textFill>
        </w:rPr>
        <w:t>条款，以兹共同遵守、全面履行。</w:t>
      </w:r>
    </w:p>
    <w:p>
      <w:pPr>
        <w:spacing w:line="440" w:lineRule="exact"/>
        <w:ind w:firstLine="482" w:firstLineChars="200"/>
        <w:outlineLvl w:val="0"/>
        <w:rPr>
          <w:rFonts w:ascii="仿宋_GB2312" w:hAnsi="仿宋" w:eastAsia="仿宋_GB2312" w:cs="仿宋"/>
          <w:color w:val="000000" w:themeColor="text1"/>
          <w:sz w:val="24"/>
          <w14:textFill>
            <w14:solidFill>
              <w14:schemeClr w14:val="tx1"/>
            </w14:solidFill>
          </w14:textFill>
        </w:rPr>
      </w:pPr>
      <w:bookmarkStart w:id="19" w:name="_Toc15367"/>
      <w:bookmarkStart w:id="20" w:name="_Toc28855"/>
      <w:bookmarkStart w:id="21" w:name="_Toc20421"/>
      <w:bookmarkStart w:id="22" w:name="_Toc19273"/>
      <w:bookmarkStart w:id="23" w:name="_Toc22967"/>
      <w:r>
        <w:rPr>
          <w:rFonts w:hint="eastAsia" w:ascii="仿宋_GB2312" w:hAnsi="仿宋" w:eastAsia="仿宋_GB2312" w:cs="仿宋"/>
          <w:b/>
          <w:color w:val="000000" w:themeColor="text1"/>
          <w:sz w:val="24"/>
          <w14:textFill>
            <w14:solidFill>
              <w14:schemeClr w14:val="tx1"/>
            </w14:solidFill>
          </w14:textFill>
        </w:rPr>
        <w:t>1.1 合同组成部分</w:t>
      </w:r>
      <w:bookmarkEnd w:id="19"/>
      <w:bookmarkEnd w:id="20"/>
      <w:bookmarkEnd w:id="21"/>
      <w:bookmarkEnd w:id="22"/>
      <w:bookmarkEnd w:id="23"/>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1.1.1 本合同及其补充合同、变更协议；</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1.1.2 中标或者成交通知书；</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1.1.3 投标或者响应文件（含澄清或者说明文件）；</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1.1.4 采购文件（含澄清或者修改文件）；</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1.1.5 其他相关采购文件。</w:t>
      </w:r>
    </w:p>
    <w:p>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24" w:name="_Toc22185"/>
      <w:bookmarkStart w:id="25" w:name="_Toc6311"/>
      <w:bookmarkStart w:id="26" w:name="_Toc18585"/>
      <w:bookmarkStart w:id="27" w:name="_Toc2918"/>
      <w:bookmarkStart w:id="28" w:name="_Toc6773"/>
      <w:r>
        <w:rPr>
          <w:rFonts w:hint="eastAsia" w:ascii="仿宋_GB2312" w:hAnsi="仿宋" w:eastAsia="仿宋_GB2312" w:cs="仿宋"/>
          <w:b/>
          <w:color w:val="000000" w:themeColor="text1"/>
          <w:sz w:val="24"/>
          <w14:textFill>
            <w14:solidFill>
              <w14:schemeClr w14:val="tx1"/>
            </w14:solidFill>
          </w14:textFill>
        </w:rPr>
        <w:t>1.2 标的</w:t>
      </w:r>
      <w:bookmarkEnd w:id="24"/>
      <w:bookmarkEnd w:id="25"/>
      <w:bookmarkEnd w:id="26"/>
      <w:bookmarkEnd w:id="27"/>
      <w:bookmarkEnd w:id="28"/>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1.2.1 服务内容：</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1.2.2 服务标准：</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1.2.3 技术保障：</w:t>
      </w:r>
      <w:r>
        <w:rPr>
          <w:rFonts w:hint="eastAsia" w:ascii="仿宋_GB2312" w:hAnsi="仿宋" w:eastAsia="仿宋_GB2312" w:cs="仿宋"/>
          <w:color w:val="000000" w:themeColor="text1"/>
          <w:sz w:val="24"/>
          <w:u w:val="single"/>
          <w14:textFill>
            <w14:solidFill>
              <w14:schemeClr w14:val="tx1"/>
            </w14:solidFill>
          </w14:textFill>
        </w:rPr>
        <w:t>　　　　　　　　　                      　      ；</w:t>
      </w:r>
    </w:p>
    <w:p>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1.2.4 服务人员组成：</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pPr>
        <w:pStyle w:val="312"/>
        <w:spacing w:before="0" w:beforeAutospacing="0" w:after="0" w:afterAutospacing="0" w:line="44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1.2.5合同</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（是/否）涉及货物。若涉及货物的的，则：</w:t>
      </w:r>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bookmarkStart w:id="29" w:name="_Toc13918"/>
      <w:bookmarkStart w:id="30" w:name="_Toc5635"/>
      <w:bookmarkStart w:id="31" w:name="_Toc1386"/>
      <w:bookmarkStart w:id="32" w:name="_Toc21124"/>
      <w:bookmarkStart w:id="33" w:name="_Toc4929"/>
      <w:r>
        <w:rPr>
          <w:rFonts w:hint="eastAsia" w:ascii="仿宋_GB2312" w:hAnsi="仿宋" w:eastAsia="仿宋_GB2312" w:cs="仿宋"/>
          <w:color w:val="000000" w:themeColor="text1"/>
          <w:sz w:val="24"/>
          <w14:textFill>
            <w14:solidFill>
              <w14:schemeClr w14:val="tx1"/>
            </w14:solidFill>
          </w14:textFill>
        </w:rPr>
        <w:t>1.2.5.1 货物名称、品牌、规格型号、花色：</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1.2.5.2 货物数量：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1.2.5.3 货物质量：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1.3 价款</w:t>
      </w:r>
      <w:bookmarkEnd w:id="29"/>
      <w:bookmarkEnd w:id="30"/>
      <w:bookmarkEnd w:id="31"/>
      <w:bookmarkEnd w:id="32"/>
      <w:bookmarkEnd w:id="33"/>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本项目采用以下第</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条款规定的计价方式计价。</w:t>
      </w:r>
    </w:p>
    <w:p>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1.3.1总价合同，本合同总价（含税）为：￥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序号</w:t>
            </w:r>
          </w:p>
        </w:tc>
        <w:tc>
          <w:tcPr>
            <w:tcW w:w="340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分项名称</w:t>
            </w:r>
          </w:p>
        </w:tc>
        <w:tc>
          <w:tcPr>
            <w:tcW w:w="255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总价</w:t>
            </w:r>
          </w:p>
        </w:tc>
        <w:tc>
          <w:tcPr>
            <w:tcW w:w="2552" w:type="dxa"/>
            <w:vAlign w:val="center"/>
          </w:tcPr>
          <w:p>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bl>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34" w:name="_Toc30158"/>
      <w:bookmarkStart w:id="35" w:name="_Toc14993"/>
      <w:bookmarkStart w:id="36" w:name="_Toc30506"/>
      <w:bookmarkStart w:id="37" w:name="_Toc26916"/>
      <w:bookmarkStart w:id="38" w:name="_Toc3654"/>
      <w:r>
        <w:rPr>
          <w:rFonts w:hint="eastAsia" w:ascii="仿宋_GB2312" w:hAnsi="仿宋" w:eastAsia="仿宋_GB2312" w:cs="仿宋"/>
          <w:bCs/>
          <w:color w:val="000000" w:themeColor="text1"/>
          <w:sz w:val="24"/>
          <w14:textFill>
            <w14:solidFill>
              <w14:schemeClr w14:val="tx1"/>
            </w14:solidFill>
          </w14:textFill>
        </w:rPr>
        <w:t>1.3.2单价合同，本合同单价（含税）标准为：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。服务工作量的计量方式为：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pPr>
        <w:spacing w:line="400" w:lineRule="exact"/>
        <w:ind w:firstLine="480" w:firstLineChars="200"/>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1.3.3其他计价方式：</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Cs/>
          <w:color w:val="000000" w:themeColor="text1"/>
          <w:sz w:val="24"/>
          <w14:textFill>
            <w14:solidFill>
              <w14:schemeClr w14:val="tx1"/>
            </w14:solidFill>
          </w14:textFill>
        </w:rPr>
        <w:t>。</w:t>
      </w:r>
    </w:p>
    <w:bookmarkEnd w:id="34"/>
    <w:bookmarkEnd w:id="35"/>
    <w:bookmarkEnd w:id="36"/>
    <w:bookmarkEnd w:id="37"/>
    <w:bookmarkEnd w:id="38"/>
    <w:p>
      <w:pPr>
        <w:pStyle w:val="312"/>
        <w:spacing w:before="0" w:beforeAutospacing="0" w:after="0" w:afterAutospacing="0" w:line="400" w:lineRule="exact"/>
        <w:ind w:firstLine="482" w:firstLineChars="200"/>
        <w:rPr>
          <w:rFonts w:ascii="仿宋_GB2312" w:hAnsi="仿宋" w:eastAsia="仿宋_GB2312" w:cs="仿宋"/>
          <w:b/>
          <w:color w:val="000000" w:themeColor="text1"/>
          <w14:textFill>
            <w14:solidFill>
              <w14:schemeClr w14:val="tx1"/>
            </w14:solidFill>
          </w14:textFill>
        </w:rPr>
      </w:pPr>
      <w:bookmarkStart w:id="39" w:name="_Toc10340"/>
      <w:bookmarkStart w:id="40" w:name="_Toc22618"/>
      <w:bookmarkStart w:id="41" w:name="_Toc1814"/>
      <w:bookmarkStart w:id="42" w:name="_Toc4760"/>
      <w:bookmarkStart w:id="43" w:name="_Toc31421"/>
      <w:bookmarkStart w:id="44" w:name="_Toc8772"/>
      <w:bookmarkStart w:id="45" w:name="_Toc11108"/>
      <w:bookmarkStart w:id="46" w:name="_Toc3625"/>
      <w:r>
        <w:rPr>
          <w:rFonts w:hint="eastAsia" w:ascii="仿宋_GB2312" w:hAnsi="仿宋" w:eastAsia="仿宋_GB2312" w:cs="仿宋"/>
          <w:b/>
          <w:color w:val="000000" w:themeColor="text1"/>
          <w14:textFill>
            <w14:solidFill>
              <w14:schemeClr w14:val="tx1"/>
            </w14:solidFill>
          </w14:textFill>
        </w:rPr>
        <w:t>1.4履约保证金</w:t>
      </w:r>
    </w:p>
    <w:p>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乙方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（是/否）需要支付履约保证金。若需要支付履约保证金的，则：</w:t>
      </w:r>
    </w:p>
    <w:p>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1.4.1履约保证金的比例为合同金额的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1.4.2履约保证金支付方式详见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1.4.4甲方在项目验收结束后及时退还履约保证金。甲方在项目通过验收之日起</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%计算，最高限额为本合同履约保证金的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p>
    <w:p>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w:t>
      </w:r>
      <w:bookmarkEnd w:id="39"/>
      <w:bookmarkEnd w:id="40"/>
      <w:bookmarkEnd w:id="41"/>
      <w:r>
        <w:rPr>
          <w:rFonts w:hint="eastAsia" w:ascii="仿宋_GB2312" w:hAnsi="仿宋" w:eastAsia="仿宋_GB2312" w:cs="仿宋"/>
          <w:b/>
          <w:color w:val="000000" w:themeColor="text1"/>
          <w:sz w:val="24"/>
          <w14:textFill>
            <w14:solidFill>
              <w14:schemeClr w14:val="tx1"/>
            </w14:solidFill>
          </w14:textFill>
        </w:rPr>
        <w:t>预付款</w:t>
      </w:r>
    </w:p>
    <w:p>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甲方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（是/否）需要支付预付款。若需要支付预付款的，则：</w:t>
      </w:r>
    </w:p>
    <w:p>
      <w:pPr>
        <w:spacing w:line="40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1.5.1预付款比例、支付方式、时间详见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1.5.2预付款的扣回方式详见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pPr>
        <w:pStyle w:val="312"/>
        <w:spacing w:before="0" w:beforeAutospacing="0" w:after="0" w:afterAutospacing="0" w:line="400" w:lineRule="exact"/>
        <w:ind w:firstLine="480" w:firstLineChars="200"/>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1.5.3预付款的担保措施详见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pPr>
        <w:pStyle w:val="312"/>
        <w:spacing w:before="0" w:beforeAutospacing="0" w:after="0" w:afterAutospacing="0" w:line="400" w:lineRule="exact"/>
        <w:ind w:firstLine="482" w:firstLineChars="200"/>
        <w:rPr>
          <w:rFonts w:ascii="仿宋_GB2312" w:hAnsi="仿宋" w:eastAsia="仿宋_GB2312" w:cs="仿宋"/>
          <w:b/>
          <w:bCs/>
          <w:color w:val="000000" w:themeColor="text1"/>
          <w14:textFill>
            <w14:solidFill>
              <w14:schemeClr w14:val="tx1"/>
            </w14:solidFill>
          </w14:textFill>
        </w:rPr>
      </w:pPr>
      <w:r>
        <w:rPr>
          <w:rFonts w:hint="eastAsia" w:ascii="仿宋_GB2312" w:hAnsi="仿宋" w:eastAsia="仿宋_GB2312" w:cs="仿宋"/>
          <w:b/>
          <w:bCs/>
          <w:color w:val="000000" w:themeColor="text1"/>
          <w14:textFill>
            <w14:solidFill>
              <w14:schemeClr w14:val="tx1"/>
            </w14:solidFill>
          </w14:textFill>
        </w:rPr>
        <w:t>1.6资金支付</w:t>
      </w:r>
    </w:p>
    <w:p>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1.6.2资金支付的方式、时间和条件详见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1.7 履行期限、地点和方式</w:t>
      </w:r>
      <w:bookmarkEnd w:id="42"/>
      <w:bookmarkEnd w:id="43"/>
      <w:bookmarkEnd w:id="44"/>
      <w:bookmarkEnd w:id="45"/>
      <w:bookmarkEnd w:id="46"/>
    </w:p>
    <w:p>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 服务交付（实施）的时间（期限）：</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 服务交付（实施）的地点（地域范围）：</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 服务交付（实施）的方式：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0" w:firstLineChars="200"/>
        <w:outlineLvl w:val="0"/>
        <w:rPr>
          <w:rFonts w:ascii="仿宋_GB2312" w:hAnsi="仿宋" w:eastAsia="仿宋_GB2312" w:cs="仿宋"/>
          <w:bCs/>
          <w:color w:val="000000" w:themeColor="text1"/>
          <w:sz w:val="24"/>
          <w14:textFill>
            <w14:solidFill>
              <w14:schemeClr w14:val="tx1"/>
            </w14:solidFill>
          </w14:textFill>
        </w:rPr>
      </w:pPr>
      <w:bookmarkStart w:id="47" w:name="_Toc2375"/>
      <w:bookmarkStart w:id="48" w:name="_Toc5698"/>
      <w:bookmarkStart w:id="49" w:name="_Toc3079"/>
      <w:bookmarkStart w:id="50" w:name="_Toc24662"/>
      <w:bookmarkStart w:id="51" w:name="_Toc8586"/>
      <w:r>
        <w:rPr>
          <w:rFonts w:hint="eastAsia" w:ascii="仿宋_GB2312" w:hAnsi="仿宋" w:eastAsia="仿宋_GB2312" w:cs="仿宋"/>
          <w:bCs/>
          <w:color w:val="000000" w:themeColor="text1"/>
          <w:sz w:val="24"/>
          <w14:textFill>
            <w14:solidFill>
              <w14:schemeClr w14:val="tx1"/>
            </w14:solidFill>
          </w14:textFill>
        </w:rPr>
        <w:t>1.7.4若服务涉及货物的，则货物的：</w:t>
      </w:r>
    </w:p>
    <w:p>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 交付期限：详见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 交付地点：</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 交付方式：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400" w:lineRule="exact"/>
        <w:ind w:firstLine="482" w:firstLineChars="200"/>
        <w:outlineLvl w:val="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1.8违约责任</w:t>
      </w:r>
      <w:bookmarkEnd w:id="47"/>
      <w:bookmarkEnd w:id="48"/>
      <w:bookmarkEnd w:id="49"/>
      <w:bookmarkEnd w:id="50"/>
      <w:bookmarkEnd w:id="51"/>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52" w:name="_Toc9497"/>
      <w:bookmarkStart w:id="53" w:name="_Toc32454"/>
      <w:bookmarkStart w:id="54" w:name="_Toc18683"/>
      <w:bookmarkStart w:id="55" w:name="_Toc26807"/>
      <w:bookmarkStart w:id="56" w:name="_Toc30329"/>
      <w:r>
        <w:rPr>
          <w:rFonts w:hint="eastAsia" w:ascii="仿宋_GB2312" w:hAnsi="仿宋" w:eastAsia="仿宋_GB2312" w:cs="仿宋"/>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1.8.7违约责任</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另有约定的，从其约定。</w:t>
      </w:r>
    </w:p>
    <w:bookmarkEnd w:id="52"/>
    <w:bookmarkEnd w:id="53"/>
    <w:bookmarkEnd w:id="54"/>
    <w:bookmarkEnd w:id="55"/>
    <w:bookmarkEnd w:id="56"/>
    <w:p>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57" w:name="_Toc16021"/>
      <w:bookmarkStart w:id="58" w:name="_Toc15583"/>
      <w:bookmarkStart w:id="59" w:name="_Toc28375"/>
      <w:r>
        <w:rPr>
          <w:rFonts w:hint="eastAsia" w:ascii="仿宋_GB2312" w:hAnsi="仿宋" w:eastAsia="仿宋_GB2312" w:cs="仿宋"/>
          <w:b/>
          <w:color w:val="000000" w:themeColor="text1"/>
          <w:sz w:val="24"/>
          <w14:textFill>
            <w14:solidFill>
              <w14:schemeClr w14:val="tx1"/>
            </w14:solidFill>
          </w14:textFill>
        </w:rPr>
        <w:t>1.9合同争议的解决</w:t>
      </w:r>
      <w:bookmarkEnd w:id="57"/>
      <w:bookmarkEnd w:id="58"/>
      <w:bookmarkEnd w:id="59"/>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条款规定的方式解决：</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1.9.1 将争议提交</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仲裁委员会依申请仲裁时其现行有效的仲裁规则裁决；</w:t>
      </w:r>
    </w:p>
    <w:p>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1.9.2 向</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人民法院起诉。</w:t>
      </w:r>
    </w:p>
    <w:p>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0" w:name="_Toc15322"/>
      <w:bookmarkStart w:id="61" w:name="_Toc7245"/>
      <w:bookmarkStart w:id="62" w:name="_Toc11173"/>
      <w:r>
        <w:rPr>
          <w:rFonts w:hint="eastAsia" w:ascii="仿宋_GB2312" w:hAnsi="仿宋" w:eastAsia="仿宋_GB2312" w:cs="仿宋"/>
          <w:b/>
          <w:color w:val="000000" w:themeColor="text1"/>
          <w:sz w:val="24"/>
          <w14:textFill>
            <w14:solidFill>
              <w14:schemeClr w14:val="tx1"/>
            </w14:solidFill>
          </w14:textFill>
        </w:rPr>
        <w:t>2.0 合同生效</w:t>
      </w:r>
      <w:bookmarkEnd w:id="60"/>
      <w:bookmarkEnd w:id="61"/>
      <w:bookmarkEnd w:id="62"/>
    </w:p>
    <w:p>
      <w:pPr>
        <w:spacing w:line="40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本合同自双方当事人盖章签字时生效。</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甲方</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b/>
          <w:color w:val="000000" w:themeColor="text1"/>
          <w:sz w:val="24"/>
          <w:lang w:val="zh-CN"/>
          <w14:textFill>
            <w14:solidFill>
              <w14:schemeClr w14:val="tx1"/>
            </w14:solidFill>
          </w14:textFill>
        </w:rPr>
        <w:t xml:space="preserve">      乙方</w:t>
      </w:r>
      <w:r>
        <w:rPr>
          <w:rFonts w:hint="eastAsia" w:ascii="仿宋_GB2312" w:hAnsi="仿宋" w:eastAsia="仿宋_GB2312" w:cs="仿宋"/>
          <w:color w:val="000000" w:themeColor="text1"/>
          <w:sz w:val="24"/>
          <w:lang w:val="zh-CN"/>
          <w14:textFill>
            <w14:solidFill>
              <w14:schemeClr w14:val="tx1"/>
            </w14:solidFill>
          </w14:textFill>
        </w:rPr>
        <w:t>：</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住所：                                   住所：</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法定代表人或                             法定代表人或</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授权代表（签字）：                       授权代表（签字）: </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联系人：                                 联系人：</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约定送达地址：                           约定送达地址：</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邮政编码：                               邮政编码：</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电话:                                    电话: </w:t>
      </w:r>
    </w:p>
    <w:p>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传真:                                    传真:</w:t>
      </w:r>
    </w:p>
    <w:p>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电子邮箱：                               电子邮箱：</w:t>
      </w:r>
    </w:p>
    <w:p>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开户银行：                               开户银行： </w:t>
      </w:r>
    </w:p>
    <w:p>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开户名称：                               开户名称： </w:t>
      </w:r>
    </w:p>
    <w:p>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开户账号：</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开户账号：</w:t>
      </w:r>
    </w:p>
    <w:p>
      <w:pPr>
        <w:widowControl/>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br w:type="page"/>
      </w:r>
    </w:p>
    <w:p>
      <w:pPr>
        <w:pStyle w:val="311"/>
        <w:spacing w:line="560" w:lineRule="exact"/>
        <w:ind w:firstLine="482"/>
        <w:jc w:val="center"/>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第二部分 合同一般条款</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3" w:name="_Toc19680"/>
      <w:bookmarkStart w:id="64" w:name="_Toc5228"/>
      <w:bookmarkStart w:id="65" w:name="_Toc31297"/>
      <w:bookmarkStart w:id="66" w:name="_Toc25079"/>
      <w:bookmarkStart w:id="67" w:name="_Toc14021"/>
      <w:r>
        <w:rPr>
          <w:rFonts w:hint="eastAsia" w:ascii="仿宋_GB2312" w:hAnsi="仿宋" w:eastAsia="仿宋_GB2312" w:cs="仿宋"/>
          <w:b/>
          <w:color w:val="000000" w:themeColor="text1"/>
          <w:sz w:val="24"/>
          <w14:textFill>
            <w14:solidFill>
              <w14:schemeClr w14:val="tx1"/>
            </w14:solidFill>
          </w14:textFill>
        </w:rPr>
        <w:t>2.1 定义</w:t>
      </w:r>
      <w:bookmarkEnd w:id="63"/>
      <w:bookmarkEnd w:id="64"/>
      <w:bookmarkEnd w:id="65"/>
      <w:bookmarkEnd w:id="66"/>
      <w:bookmarkEnd w:id="67"/>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2.1.6 “现场”系指合同约定提供服务的地点。</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8" w:name="_Toc19539"/>
      <w:bookmarkStart w:id="69" w:name="_Toc16752"/>
      <w:bookmarkStart w:id="70" w:name="_Toc23289"/>
      <w:bookmarkStart w:id="71" w:name="_Toc3769"/>
      <w:bookmarkStart w:id="72" w:name="_Toc31402"/>
      <w:r>
        <w:rPr>
          <w:rFonts w:hint="eastAsia" w:ascii="仿宋_GB2312" w:hAnsi="仿宋" w:eastAsia="仿宋_GB2312" w:cs="仿宋"/>
          <w:b/>
          <w:color w:val="000000" w:themeColor="text1"/>
          <w:sz w:val="24"/>
          <w14:textFill>
            <w14:solidFill>
              <w14:schemeClr w14:val="tx1"/>
            </w14:solidFill>
          </w14:textFill>
        </w:rPr>
        <w:t>2.2 技术规范</w:t>
      </w:r>
      <w:bookmarkEnd w:id="68"/>
      <w:bookmarkEnd w:id="69"/>
      <w:bookmarkEnd w:id="70"/>
      <w:bookmarkEnd w:id="71"/>
      <w:bookmarkEnd w:id="72"/>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3" w:name="_Toc27945"/>
      <w:bookmarkStart w:id="74" w:name="_Toc12412"/>
      <w:bookmarkStart w:id="75" w:name="_Toc9161"/>
      <w:bookmarkStart w:id="76" w:name="_Toc4133"/>
      <w:bookmarkStart w:id="77" w:name="_Toc13673"/>
      <w:r>
        <w:rPr>
          <w:rFonts w:hint="eastAsia" w:ascii="仿宋_GB2312" w:hAnsi="仿宋" w:eastAsia="仿宋_GB2312" w:cs="仿宋"/>
          <w:b/>
          <w:color w:val="000000" w:themeColor="text1"/>
          <w:sz w:val="24"/>
          <w14:textFill>
            <w14:solidFill>
              <w14:schemeClr w14:val="tx1"/>
            </w14:solidFill>
          </w14:textFill>
        </w:rPr>
        <w:t>2.3 知识产权</w:t>
      </w:r>
      <w:bookmarkEnd w:id="73"/>
      <w:bookmarkEnd w:id="74"/>
      <w:bookmarkEnd w:id="75"/>
      <w:bookmarkEnd w:id="76"/>
      <w:bookmarkEnd w:id="77"/>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 合同涉及技术成果的归属和收益的分成办法的，详见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2.4 履约检查和问题反馈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8" w:name="_Toc31233"/>
      <w:bookmarkStart w:id="79" w:name="_Toc22011"/>
      <w:bookmarkStart w:id="80" w:name="_Toc32670"/>
      <w:bookmarkStart w:id="81" w:name="_Toc26555"/>
      <w:bookmarkStart w:id="82" w:name="_Toc15447"/>
      <w:r>
        <w:rPr>
          <w:rFonts w:hint="eastAsia" w:ascii="仿宋_GB2312" w:hAnsi="仿宋" w:eastAsia="仿宋_GB2312" w:cs="仿宋"/>
          <w:b/>
          <w:color w:val="000000" w:themeColor="text1"/>
          <w:sz w:val="24"/>
          <w14:textFill>
            <w14:solidFill>
              <w14:schemeClr w14:val="tx1"/>
            </w14:solidFill>
          </w14:textFill>
        </w:rPr>
        <w:t>2.5 结算方式和付款条件</w:t>
      </w:r>
      <w:bookmarkEnd w:id="78"/>
      <w:bookmarkEnd w:id="79"/>
      <w:bookmarkEnd w:id="80"/>
      <w:bookmarkEnd w:id="81"/>
      <w:bookmarkEnd w:id="82"/>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3" w:name="_Toc30507"/>
      <w:bookmarkStart w:id="84" w:name="_Toc18990"/>
      <w:bookmarkStart w:id="85" w:name="_Toc13154"/>
      <w:bookmarkStart w:id="86" w:name="_Toc13467"/>
      <w:bookmarkStart w:id="87" w:name="_Toc16163"/>
      <w:r>
        <w:rPr>
          <w:rFonts w:hint="eastAsia" w:ascii="仿宋_GB2312" w:hAnsi="仿宋" w:eastAsia="仿宋_GB2312" w:cs="仿宋"/>
          <w:b/>
          <w:color w:val="000000" w:themeColor="text1"/>
          <w:sz w:val="24"/>
          <w14:textFill>
            <w14:solidFill>
              <w14:schemeClr w14:val="tx1"/>
            </w14:solidFill>
          </w14:textFill>
        </w:rPr>
        <w:t>2.6 技术资料和保密义务</w:t>
      </w:r>
      <w:bookmarkEnd w:id="83"/>
      <w:bookmarkEnd w:id="84"/>
      <w:bookmarkEnd w:id="85"/>
      <w:bookmarkEnd w:id="86"/>
      <w:bookmarkEnd w:id="87"/>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2.6.2 乙方有义务妥善保管和保护由甲方提供的前款信息和资料等；</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8" w:name="_Toc19069"/>
      <w:r>
        <w:rPr>
          <w:rFonts w:hint="eastAsia" w:ascii="仿宋_GB2312" w:hAnsi="仿宋" w:eastAsia="仿宋_GB2312" w:cs="仿宋"/>
          <w:b/>
          <w:color w:val="000000" w:themeColor="text1"/>
          <w:sz w:val="24"/>
          <w14:textFill>
            <w14:solidFill>
              <w14:schemeClr w14:val="tx1"/>
            </w14:solidFill>
          </w14:textFill>
        </w:rPr>
        <w:t>2.7 质量保证</w:t>
      </w:r>
      <w:bookmarkEnd w:id="88"/>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9" w:name="_Toc22267"/>
      <w:r>
        <w:rPr>
          <w:rFonts w:hint="eastAsia" w:ascii="仿宋_GB2312" w:hAnsi="仿宋" w:eastAsia="仿宋_GB2312" w:cs="仿宋"/>
          <w:b/>
          <w:color w:val="000000" w:themeColor="text1"/>
          <w:sz w:val="24"/>
          <w14:textFill>
            <w14:solidFill>
              <w14:schemeClr w14:val="tx1"/>
            </w14:solidFill>
          </w14:textFill>
        </w:rPr>
        <w:t>2.8 延迟履行</w:t>
      </w:r>
      <w:bookmarkEnd w:id="89"/>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0" w:name="_Toc10611"/>
      <w:r>
        <w:rPr>
          <w:rFonts w:hint="eastAsia" w:ascii="仿宋_GB2312" w:hAnsi="仿宋" w:eastAsia="仿宋_GB2312" w:cs="仿宋"/>
          <w:b/>
          <w:color w:val="000000" w:themeColor="text1"/>
          <w:sz w:val="24"/>
          <w14:textFill>
            <w14:solidFill>
              <w14:schemeClr w14:val="tx1"/>
            </w14:solidFill>
          </w14:textFill>
        </w:rPr>
        <w:t>2.9 合同变更</w:t>
      </w:r>
      <w:bookmarkEnd w:id="90"/>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1" w:name="_Toc26689"/>
      <w:bookmarkStart w:id="92" w:name="_Toc23368"/>
      <w:bookmarkStart w:id="93" w:name="_Toc21830"/>
      <w:bookmarkStart w:id="94" w:name="_Toc10663"/>
      <w:bookmarkStart w:id="95" w:name="_Toc42"/>
      <w:r>
        <w:rPr>
          <w:rFonts w:hint="eastAsia" w:ascii="仿宋_GB2312" w:hAnsi="仿宋" w:eastAsia="仿宋_GB2312" w:cs="仿宋"/>
          <w:b/>
          <w:color w:val="000000" w:themeColor="text1"/>
          <w:sz w:val="24"/>
          <w14:textFill>
            <w14:solidFill>
              <w14:schemeClr w14:val="tx1"/>
            </w14:solidFill>
          </w14:textFill>
        </w:rPr>
        <w:t>2.10 合同转让和分包</w:t>
      </w:r>
      <w:bookmarkEnd w:id="91"/>
      <w:bookmarkEnd w:id="92"/>
      <w:bookmarkEnd w:id="93"/>
      <w:bookmarkEnd w:id="94"/>
      <w:bookmarkEnd w:id="95"/>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6" w:name="_Toc14371"/>
      <w:bookmarkStart w:id="97" w:name="_Toc26633"/>
      <w:bookmarkStart w:id="98" w:name="_Toc32494"/>
      <w:bookmarkStart w:id="99" w:name="_Toc25571"/>
      <w:bookmarkStart w:id="100" w:name="_Toc4720"/>
      <w:r>
        <w:rPr>
          <w:rFonts w:hint="eastAsia" w:ascii="仿宋_GB2312" w:hAnsi="仿宋" w:eastAsia="仿宋_GB2312" w:cs="仿宋"/>
          <w:b/>
          <w:color w:val="000000" w:themeColor="text1"/>
          <w:sz w:val="24"/>
          <w14:textFill>
            <w14:solidFill>
              <w14:schemeClr w14:val="tx1"/>
            </w14:solidFill>
          </w14:textFill>
        </w:rPr>
        <w:t>2.11 不可抗力</w:t>
      </w:r>
      <w:bookmarkEnd w:id="96"/>
      <w:bookmarkEnd w:id="97"/>
      <w:bookmarkEnd w:id="98"/>
      <w:bookmarkEnd w:id="99"/>
      <w:bookmarkEnd w:id="100"/>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2.11.2 因不可抗力致使不能实现合同目的的，当事人可以解除合同；</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 因不可抗力致使合同有变更必要的，双方当事人应在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2.11.4受不可抗力影响的一方在不可抗力发生后，应在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约定时间内以书面形式通知对方当事人，并在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1" w:name="_Toc3638"/>
      <w:bookmarkStart w:id="102" w:name="_Toc25783"/>
      <w:bookmarkStart w:id="103" w:name="_Toc24465"/>
      <w:bookmarkStart w:id="104" w:name="_Toc23854"/>
      <w:bookmarkStart w:id="105" w:name="_Toc14115"/>
      <w:r>
        <w:rPr>
          <w:rFonts w:hint="eastAsia" w:ascii="仿宋_GB2312" w:hAnsi="仿宋" w:eastAsia="仿宋_GB2312" w:cs="仿宋"/>
          <w:b/>
          <w:color w:val="000000" w:themeColor="text1"/>
          <w:sz w:val="24"/>
          <w14:textFill>
            <w14:solidFill>
              <w14:schemeClr w14:val="tx1"/>
            </w14:solidFill>
          </w14:textFill>
        </w:rPr>
        <w:t>2.12 税费</w:t>
      </w:r>
      <w:bookmarkEnd w:id="101"/>
      <w:bookmarkEnd w:id="102"/>
      <w:bookmarkEnd w:id="103"/>
      <w:bookmarkEnd w:id="104"/>
      <w:bookmarkEnd w:id="105"/>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6" w:name="_Toc26883"/>
      <w:bookmarkStart w:id="107" w:name="_Toc30105"/>
      <w:bookmarkStart w:id="108" w:name="_Toc14814"/>
      <w:bookmarkStart w:id="109" w:name="_Toc7315"/>
      <w:bookmarkStart w:id="110" w:name="_Toc25525"/>
      <w:r>
        <w:rPr>
          <w:rFonts w:hint="eastAsia" w:ascii="仿宋_GB2312" w:hAnsi="仿宋" w:eastAsia="仿宋_GB2312" w:cs="仿宋"/>
          <w:b/>
          <w:color w:val="000000" w:themeColor="text1"/>
          <w:sz w:val="24"/>
          <w14:textFill>
            <w14:solidFill>
              <w14:schemeClr w14:val="tx1"/>
            </w14:solidFill>
          </w14:textFill>
        </w:rPr>
        <w:t>2.13 乙方破产</w:t>
      </w:r>
      <w:bookmarkEnd w:id="106"/>
      <w:bookmarkEnd w:id="107"/>
      <w:bookmarkEnd w:id="108"/>
      <w:bookmarkEnd w:id="109"/>
      <w:bookmarkEnd w:id="110"/>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1" w:name="_Toc2016"/>
      <w:bookmarkStart w:id="112" w:name="_Toc1123"/>
      <w:bookmarkStart w:id="113" w:name="_Toc23323"/>
      <w:r>
        <w:rPr>
          <w:rFonts w:hint="eastAsia" w:ascii="仿宋_GB2312" w:hAnsi="仿宋" w:eastAsia="仿宋_GB2312" w:cs="仿宋"/>
          <w:b/>
          <w:color w:val="000000" w:themeColor="text1"/>
          <w:sz w:val="24"/>
          <w14:textFill>
            <w14:solidFill>
              <w14:schemeClr w14:val="tx1"/>
            </w14:solidFill>
          </w14:textFill>
        </w:rPr>
        <w:t>2.14 合同中止、终止</w:t>
      </w:r>
      <w:bookmarkEnd w:id="111"/>
      <w:bookmarkEnd w:id="112"/>
      <w:bookmarkEnd w:id="113"/>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2.14.1 双方当事人不得擅自中止或者终止合同；</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4" w:name="_Toc17363"/>
      <w:bookmarkStart w:id="115" w:name="_Toc1969"/>
      <w:bookmarkStart w:id="116" w:name="_Toc14525"/>
      <w:r>
        <w:rPr>
          <w:rFonts w:hint="eastAsia" w:ascii="仿宋_GB2312" w:hAnsi="仿宋" w:eastAsia="仿宋_GB2312" w:cs="仿宋"/>
          <w:b/>
          <w:color w:val="000000" w:themeColor="text1"/>
          <w:sz w:val="24"/>
          <w14:textFill>
            <w14:solidFill>
              <w14:schemeClr w14:val="tx1"/>
            </w14:solidFill>
          </w14:textFill>
        </w:rPr>
        <w:t>2.15 检验和验收</w:t>
      </w:r>
      <w:bookmarkEnd w:id="114"/>
      <w:bookmarkEnd w:id="115"/>
      <w:bookmarkEnd w:id="116"/>
    </w:p>
    <w:p>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 乙方按照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的约定，定期提交服务报告，甲方按照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 检验和验收标准、程序等具体内容以及前述验收书的效力详见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i/>
          <w:color w:val="000000" w:themeColor="text1"/>
          <w:sz w:val="24"/>
          <w14:textFill>
            <w14:solidFill>
              <w14:schemeClr w14:val="tx1"/>
            </w14:solidFill>
          </w14:textFill>
        </w:rPr>
        <w:t>。</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7" w:name="_Toc25198"/>
      <w:bookmarkStart w:id="118" w:name="_Toc31892"/>
      <w:bookmarkStart w:id="119" w:name="_Toc2308"/>
      <w:bookmarkStart w:id="120" w:name="_Toc12666"/>
      <w:bookmarkStart w:id="121" w:name="_Toc9808"/>
      <w:r>
        <w:rPr>
          <w:rFonts w:hint="eastAsia" w:ascii="仿宋_GB2312" w:hAnsi="仿宋" w:eastAsia="仿宋_GB2312" w:cs="仿宋"/>
          <w:b/>
          <w:color w:val="000000" w:themeColor="text1"/>
          <w:sz w:val="24"/>
          <w14:textFill>
            <w14:solidFill>
              <w14:schemeClr w14:val="tx1"/>
            </w14:solidFill>
          </w14:textFill>
        </w:rPr>
        <w:t>2.16 通知和送达</w:t>
      </w:r>
      <w:bookmarkEnd w:id="117"/>
      <w:bookmarkEnd w:id="118"/>
      <w:bookmarkEnd w:id="119"/>
      <w:bookmarkEnd w:id="120"/>
      <w:bookmarkEnd w:id="121"/>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122" w:name="_Toc18401"/>
      <w:bookmarkStart w:id="123" w:name="_Toc27674"/>
      <w:r>
        <w:rPr>
          <w:rFonts w:hint="eastAsia" w:ascii="仿宋_GB2312" w:hAnsi="仿宋" w:eastAsia="仿宋_GB2312"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_GB2312" w:hAnsi="仿宋" w:eastAsia="仿宋_GB2312" w:cs="仿宋"/>
          <w:color w:val="000000" w:themeColor="text1"/>
          <w:sz w:val="24"/>
          <w:u w:val="single"/>
          <w14:textFill>
            <w14:solidFill>
              <w14:schemeClr w14:val="tx1"/>
            </w14:solidFill>
          </w14:textFill>
        </w:rPr>
        <w:t>3</w:t>
      </w:r>
      <w:r>
        <w:rPr>
          <w:rFonts w:hint="eastAsia" w:ascii="仿宋_GB2312" w:hAnsi="仿宋" w:eastAsia="仿宋_GB2312"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2"/>
      <w:bookmarkEnd w:id="123"/>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4" w:name="_Toc28906"/>
      <w:bookmarkStart w:id="125" w:name="_Toc12254"/>
      <w:bookmarkStart w:id="126" w:name="_Toc27644"/>
      <w:bookmarkStart w:id="127" w:name="_Toc5063"/>
      <w:bookmarkStart w:id="128" w:name="_Toc20808"/>
      <w:r>
        <w:rPr>
          <w:rFonts w:hint="eastAsia" w:ascii="仿宋_GB2312" w:hAnsi="仿宋" w:eastAsia="仿宋_GB2312" w:cs="仿宋"/>
          <w:b/>
          <w:color w:val="000000" w:themeColor="text1"/>
          <w:sz w:val="24"/>
          <w14:textFill>
            <w14:solidFill>
              <w14:schemeClr w14:val="tx1"/>
            </w14:solidFill>
          </w14:textFill>
        </w:rPr>
        <w:t>2.17 合同使用的文字和适用的法律</w:t>
      </w:r>
      <w:bookmarkEnd w:id="124"/>
      <w:bookmarkEnd w:id="125"/>
      <w:bookmarkEnd w:id="126"/>
      <w:bookmarkEnd w:id="127"/>
      <w:bookmarkEnd w:id="128"/>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2.17.1 合同使用汉语书就、变更和解释；</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 合同适用中华人民共和国法律。</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9" w:name="_Toc4355"/>
      <w:bookmarkStart w:id="130" w:name="_Toc30599"/>
      <w:bookmarkStart w:id="131" w:name="_Toc18540"/>
      <w:r>
        <w:rPr>
          <w:rFonts w:hint="eastAsia" w:ascii="仿宋_GB2312" w:hAnsi="仿宋" w:eastAsia="仿宋_GB2312" w:cs="仿宋"/>
          <w:b/>
          <w:color w:val="000000" w:themeColor="text1"/>
          <w:sz w:val="24"/>
          <w14:textFill>
            <w14:solidFill>
              <w14:schemeClr w14:val="tx1"/>
            </w14:solidFill>
          </w14:textFill>
        </w:rPr>
        <w:t>2.18 计量单位</w:t>
      </w:r>
      <w:bookmarkEnd w:id="129"/>
      <w:bookmarkEnd w:id="130"/>
      <w:bookmarkEnd w:id="131"/>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2" w:name="_Toc18567"/>
      <w:bookmarkStart w:id="133" w:name="_Toc487900373"/>
      <w:bookmarkStart w:id="134" w:name="_Toc279701263"/>
      <w:bookmarkStart w:id="135" w:name="_Toc12773"/>
      <w:bookmarkStart w:id="136" w:name="_Toc10330"/>
      <w:bookmarkStart w:id="137" w:name="_Toc259093692"/>
      <w:r>
        <w:rPr>
          <w:rFonts w:hint="eastAsia" w:ascii="仿宋_GB2312" w:hAnsi="仿宋" w:eastAsia="仿宋_GB2312" w:cs="仿宋"/>
          <w:b/>
          <w:color w:val="000000" w:themeColor="text1"/>
          <w:sz w:val="24"/>
          <w14:textFill>
            <w14:solidFill>
              <w14:schemeClr w14:val="tx1"/>
            </w14:solidFill>
          </w14:textFill>
        </w:rPr>
        <w:t>2.19 合同使用的文字和适用的法律</w:t>
      </w:r>
      <w:bookmarkEnd w:id="132"/>
      <w:bookmarkEnd w:id="133"/>
      <w:bookmarkEnd w:id="134"/>
      <w:bookmarkEnd w:id="135"/>
      <w:bookmarkEnd w:id="136"/>
      <w:bookmarkEnd w:id="137"/>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2.19.1 合同使用汉语书就、变更和解释；</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2.19.2 合同适用中华人民共和国法律。</w:t>
      </w:r>
    </w:p>
    <w:p>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2.20合同份数</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合同份数按</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规定，每份均具有同等法律效力。</w:t>
      </w:r>
    </w:p>
    <w:p>
      <w:pPr>
        <w:spacing w:line="440" w:lineRule="atLeast"/>
        <w:ind w:firstLine="420" w:firstLineChars="200"/>
        <w:jc w:val="center"/>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kern w:val="0"/>
          <w14:textFill>
            <w14:solidFill>
              <w14:schemeClr w14:val="tx1"/>
            </w14:solidFill>
          </w14:textFill>
        </w:rPr>
        <w:br w:type="page"/>
      </w:r>
      <w:bookmarkStart w:id="138" w:name="_Toc331685784"/>
      <w:r>
        <w:rPr>
          <w:rFonts w:hint="eastAsia" w:ascii="仿宋_GB2312" w:hAnsi="仿宋" w:eastAsia="仿宋_GB2312" w:cs="仿宋"/>
          <w:b/>
          <w:color w:val="000000" w:themeColor="text1"/>
          <w:sz w:val="24"/>
          <w14:textFill>
            <w14:solidFill>
              <w14:schemeClr w14:val="tx1"/>
            </w14:solidFill>
          </w14:textFill>
        </w:rPr>
        <w:t xml:space="preserve"> </w:t>
      </w:r>
      <w:bookmarkEnd w:id="138"/>
      <w:r>
        <w:rPr>
          <w:rFonts w:hint="eastAsia" w:ascii="仿宋_GB2312" w:hAnsi="仿宋" w:eastAsia="仿宋_GB2312" w:cs="仿宋"/>
          <w:b/>
          <w:color w:val="000000" w:themeColor="text1"/>
          <w:sz w:val="24"/>
          <w14:textFill>
            <w14:solidFill>
              <w14:schemeClr w14:val="tx1"/>
            </w14:solidFill>
          </w14:textFill>
        </w:rPr>
        <w:t>第三部分  合同专用条款</w:t>
      </w:r>
    </w:p>
    <w:p>
      <w:pPr>
        <w:spacing w:line="440" w:lineRule="atLeast"/>
        <w:ind w:left="-420" w:leftChars="-200" w:right="-420" w:rightChars="-20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条款号</w:t>
            </w:r>
          </w:p>
        </w:tc>
        <w:tc>
          <w:tcPr>
            <w:tcW w:w="8149"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1.5.1 </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1.5.3 </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1.9.1</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1.9.2</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2.11.4 </w:t>
            </w:r>
          </w:p>
        </w:tc>
        <w:tc>
          <w:tcPr>
            <w:tcW w:w="8149" w:type="dxa"/>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w:t>
            </w:r>
          </w:p>
        </w:tc>
        <w:tc>
          <w:tcPr>
            <w:tcW w:w="8149" w:type="dxa"/>
            <w:vAlign w:val="center"/>
          </w:tcPr>
          <w:p>
            <w:pPr>
              <w:spacing w:line="360" w:lineRule="auto"/>
              <w:rPr>
                <w:rFonts w:ascii="仿宋_GB2312" w:hAnsi="仿宋" w:eastAsia="仿宋_GB2312"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2.20</w:t>
            </w:r>
          </w:p>
        </w:tc>
        <w:tc>
          <w:tcPr>
            <w:tcW w:w="8149" w:type="dxa"/>
          </w:tcPr>
          <w:p>
            <w:pPr>
              <w:spacing w:line="360" w:lineRule="auto"/>
              <w:rPr>
                <w:rFonts w:ascii="仿宋_GB2312" w:hAnsi="仿宋" w:eastAsia="仿宋_GB2312" w:cs="仿宋"/>
                <w:color w:val="000000" w:themeColor="text1"/>
                <w:sz w:val="24"/>
                <w14:textFill>
                  <w14:solidFill>
                    <w14:schemeClr w14:val="tx1"/>
                  </w14:solidFill>
                </w14:textFill>
              </w:rPr>
            </w:pPr>
          </w:p>
        </w:tc>
      </w:tr>
    </w:tbl>
    <w:p>
      <w:pPr>
        <w:pStyle w:val="33"/>
        <w:pageBreakBefore/>
        <w:spacing w:line="800" w:lineRule="exact"/>
        <w:ind w:firstLine="726"/>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pPr>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1、评标方法：</w:t>
      </w:r>
    </w:p>
    <w:p>
      <w:pPr>
        <w:spacing w:line="440" w:lineRule="exact"/>
        <w:ind w:firstLine="480"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2.评分标准：</w:t>
      </w:r>
      <w:r>
        <w:rPr>
          <w:rFonts w:hint="eastAsia" w:ascii="仿宋_GB2312" w:hAnsi="宋体" w:eastAsia="仿宋_GB2312"/>
          <w:color w:val="000000" w:themeColor="text1"/>
          <w:sz w:val="24"/>
          <w14:textFill>
            <w14:solidFill>
              <w14:schemeClr w14:val="tx1"/>
            </w14:solidFill>
          </w14:textFill>
        </w:rPr>
        <w:t>共100分，其中商务技术分</w:t>
      </w:r>
      <w:r>
        <w:rPr>
          <w:rFonts w:hint="eastAsia" w:ascii="仿宋_GB2312" w:hAnsi="宋体" w:eastAsia="仿宋_GB2312"/>
          <w:color w:val="000000" w:themeColor="text1"/>
          <w:sz w:val="24"/>
          <w:lang w:val="en-US" w:eastAsia="zh-CN"/>
          <w14:textFill>
            <w14:solidFill>
              <w14:schemeClr w14:val="tx1"/>
            </w14:solidFill>
          </w14:textFill>
        </w:rPr>
        <w:t>9</w:t>
      </w:r>
      <w:r>
        <w:rPr>
          <w:rFonts w:hint="eastAsia" w:ascii="仿宋_GB2312" w:hAnsi="宋体" w:eastAsia="仿宋_GB2312"/>
          <w:color w:val="000000" w:themeColor="text1"/>
          <w:sz w:val="24"/>
          <w14:textFill>
            <w14:solidFill>
              <w14:schemeClr w14:val="tx1"/>
            </w14:solidFill>
          </w14:textFill>
        </w:rPr>
        <w:t>0分，价格分</w:t>
      </w:r>
      <w:r>
        <w:rPr>
          <w:rFonts w:hint="eastAsia" w:ascii="仿宋_GB2312" w:hAnsi="宋体" w:eastAsia="仿宋_GB2312"/>
          <w:color w:val="000000" w:themeColor="text1"/>
          <w:sz w:val="24"/>
          <w:lang w:val="en-US" w:eastAsia="zh-CN"/>
          <w14:textFill>
            <w14:solidFill>
              <w14:schemeClr w14:val="tx1"/>
            </w14:solidFill>
          </w14:textFill>
        </w:rPr>
        <w:t>1</w:t>
      </w:r>
      <w:r>
        <w:rPr>
          <w:rFonts w:hint="eastAsia" w:ascii="仿宋_GB2312" w:hAnsi="宋体" w:eastAsia="仿宋_GB2312"/>
          <w:color w:val="000000" w:themeColor="text1"/>
          <w:sz w:val="24"/>
          <w14:textFill>
            <w14:solidFill>
              <w14:schemeClr w14:val="tx1"/>
            </w14:solidFill>
          </w14:textFill>
        </w:rPr>
        <w:t>0分。评分依下述所列为评标打分依据，分值如下（计算分值时，按其算术平均值保留小数2位）。</w:t>
      </w:r>
    </w:p>
    <w:p>
      <w:pPr>
        <w:spacing w:line="440" w:lineRule="exact"/>
        <w:rPr>
          <w:color w:val="000000" w:themeColor="text1"/>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2.1商务技术分（</w:t>
      </w:r>
      <w:r>
        <w:rPr>
          <w:rFonts w:hint="eastAsia" w:ascii="仿宋_GB2312" w:hAnsi="宋体" w:eastAsia="仿宋_GB2312"/>
          <w:b/>
          <w:bCs/>
          <w:iCs/>
          <w:color w:val="000000" w:themeColor="text1"/>
          <w:sz w:val="24"/>
          <w:lang w:val="en-US" w:eastAsia="zh-CN"/>
          <w14:textFill>
            <w14:solidFill>
              <w14:schemeClr w14:val="tx1"/>
            </w14:solidFill>
          </w14:textFill>
        </w:rPr>
        <w:t>9</w:t>
      </w:r>
      <w:r>
        <w:rPr>
          <w:rFonts w:hint="eastAsia" w:ascii="仿宋_GB2312" w:hAnsi="宋体" w:eastAsia="仿宋_GB2312"/>
          <w:b/>
          <w:bCs/>
          <w:iCs/>
          <w:color w:val="000000" w:themeColor="text1"/>
          <w:sz w:val="24"/>
          <w14:textFill>
            <w14:solidFill>
              <w14:schemeClr w14:val="tx1"/>
            </w14:solidFill>
          </w14:textFill>
        </w:rPr>
        <w:t>0分）</w:t>
      </w:r>
    </w:p>
    <w:tbl>
      <w:tblPr>
        <w:tblStyle w:val="64"/>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73"/>
        <w:gridCol w:w="732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5" w:type="dxa"/>
            <w:vAlign w:val="center"/>
          </w:tcPr>
          <w:p>
            <w:pPr>
              <w:jc w:val="center"/>
              <w:rPr>
                <w:rFonts w:hint="eastAsia"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序号</w:t>
            </w:r>
          </w:p>
        </w:tc>
        <w:tc>
          <w:tcPr>
            <w:tcW w:w="873" w:type="dxa"/>
            <w:vAlign w:val="center"/>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评审内容</w:t>
            </w:r>
          </w:p>
        </w:tc>
        <w:tc>
          <w:tcPr>
            <w:tcW w:w="7322" w:type="dxa"/>
            <w:vAlign w:val="center"/>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评分标准</w:t>
            </w:r>
          </w:p>
        </w:tc>
        <w:tc>
          <w:tcPr>
            <w:tcW w:w="689" w:type="dxa"/>
            <w:vAlign w:val="center"/>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5" w:type="dxa"/>
            <w:vAlign w:val="center"/>
          </w:tcPr>
          <w:p>
            <w:pPr>
              <w:jc w:val="center"/>
              <w:rPr>
                <w:rFonts w:hint="eastAsia"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1</w:t>
            </w:r>
          </w:p>
        </w:tc>
        <w:tc>
          <w:tcPr>
            <w:tcW w:w="873" w:type="dxa"/>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投标人资信</w:t>
            </w:r>
          </w:p>
          <w:p>
            <w:pPr>
              <w:jc w:val="center"/>
              <w:rPr>
                <w:rFonts w:ascii="仿宋" w:hAnsi="仿宋" w:eastAsia="仿宋" w:cs="仿宋"/>
                <w:b/>
                <w:bCs/>
                <w:color w:val="000000" w:themeColor="text1"/>
                <w:sz w:val="24"/>
                <w14:textFill>
                  <w14:solidFill>
                    <w14:schemeClr w14:val="tx1"/>
                  </w14:solidFill>
                </w14:textFill>
              </w:rPr>
            </w:pPr>
          </w:p>
        </w:tc>
        <w:tc>
          <w:tcPr>
            <w:tcW w:w="7322" w:type="dxa"/>
            <w:vAlign w:val="center"/>
          </w:tcPr>
          <w:p>
            <w:pPr>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投标人（联合体投标的，</w:t>
            </w:r>
            <w:r>
              <w:rPr>
                <w:rFonts w:hint="eastAsia" w:ascii="仿宋" w:hAnsi="仿宋" w:eastAsia="仿宋" w:cs="仿宋"/>
                <w:bCs/>
                <w:iCs/>
                <w:color w:val="000000" w:themeColor="text1"/>
                <w:sz w:val="24"/>
                <w:highlight w:val="none"/>
                <w14:textFill>
                  <w14:solidFill>
                    <w14:schemeClr w14:val="tx1"/>
                  </w14:solidFill>
                </w14:textFill>
              </w:rPr>
              <w:t>联合体任意一方</w:t>
            </w:r>
            <w:r>
              <w:rPr>
                <w:rFonts w:hint="eastAsia" w:ascii="仿宋" w:hAnsi="仿宋" w:eastAsia="仿宋" w:cs="仿宋"/>
                <w:bCs/>
                <w:iCs/>
                <w:color w:val="000000" w:themeColor="text1"/>
                <w:sz w:val="24"/>
                <w14:textFill>
                  <w14:solidFill>
                    <w14:schemeClr w14:val="tx1"/>
                  </w14:solidFill>
                </w14:textFill>
              </w:rPr>
              <w:t>均可）</w:t>
            </w:r>
            <w:r>
              <w:rPr>
                <w:rFonts w:hint="eastAsia" w:ascii="仿宋" w:hAnsi="仿宋" w:eastAsia="仿宋" w:cs="仿宋"/>
                <w:color w:val="000000" w:themeColor="text1"/>
                <w:kern w:val="0"/>
                <w:sz w:val="24"/>
                <w14:textFill>
                  <w14:solidFill>
                    <w14:schemeClr w14:val="tx1"/>
                  </w14:solidFill>
                </w14:textFill>
              </w:rPr>
              <w:t>具备</w:t>
            </w:r>
            <w:r>
              <w:rPr>
                <w:rFonts w:ascii="仿宋" w:hAnsi="仿宋" w:eastAsia="仿宋" w:cs="仿宋"/>
                <w:color w:val="000000" w:themeColor="text1"/>
                <w:kern w:val="0"/>
                <w:sz w:val="24"/>
                <w14:textFill>
                  <w14:solidFill>
                    <w14:schemeClr w14:val="tx1"/>
                  </w14:solidFill>
                </w14:textFill>
              </w:rPr>
              <w:t>质量管理体系认证</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信息技术服务管理体系认证</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信息安全管理体系认证、</w:t>
            </w:r>
            <w:r>
              <w:rPr>
                <w:rFonts w:hint="eastAsia" w:ascii="仿宋" w:hAnsi="仿宋" w:eastAsia="仿宋" w:cs="仿宋"/>
                <w:color w:val="000000" w:themeColor="text1"/>
                <w:kern w:val="0"/>
                <w:sz w:val="24"/>
                <w14:textFill>
                  <w14:solidFill>
                    <w14:schemeClr w14:val="tx1"/>
                  </w14:solidFill>
                </w14:textFill>
              </w:rPr>
              <w:t>七</w:t>
            </w:r>
            <w:r>
              <w:rPr>
                <w:rFonts w:ascii="仿宋" w:hAnsi="仿宋" w:eastAsia="仿宋" w:cs="仿宋"/>
                <w:color w:val="000000" w:themeColor="text1"/>
                <w:kern w:val="0"/>
                <w:sz w:val="24"/>
                <w14:textFill>
                  <w14:solidFill>
                    <w14:schemeClr w14:val="tx1"/>
                  </w14:solidFill>
                </w14:textFill>
              </w:rPr>
              <w:t>星级售后服务管理体系认证</w:t>
            </w:r>
            <w:r>
              <w:rPr>
                <w:rFonts w:hint="eastAsia" w:ascii="仿宋" w:hAnsi="仿宋" w:eastAsia="仿宋" w:cs="仿宋"/>
                <w:color w:val="000000" w:themeColor="text1"/>
                <w:kern w:val="0"/>
                <w:sz w:val="24"/>
                <w14:textFill>
                  <w14:solidFill>
                    <w14:schemeClr w14:val="tx1"/>
                  </w14:solidFill>
                </w14:textFill>
              </w:rPr>
              <w:t>的，每满足</w:t>
            </w:r>
            <w:r>
              <w:rPr>
                <w:rFonts w:ascii="仿宋" w:hAnsi="仿宋" w:eastAsia="仿宋" w:cs="仿宋"/>
                <w:color w:val="000000" w:themeColor="text1"/>
                <w:kern w:val="0"/>
                <w:sz w:val="24"/>
                <w14:textFill>
                  <w14:solidFill>
                    <w14:schemeClr w14:val="tx1"/>
                  </w14:solidFill>
                </w14:textFill>
              </w:rPr>
              <w:t>一项</w:t>
            </w:r>
            <w:r>
              <w:rPr>
                <w:rFonts w:hint="eastAsia" w:ascii="仿宋" w:hAnsi="仿宋" w:eastAsia="仿宋" w:cs="仿宋"/>
                <w:color w:val="000000" w:themeColor="text1"/>
                <w:kern w:val="0"/>
                <w:sz w:val="24"/>
                <w14:textFill>
                  <w14:solidFill>
                    <w14:schemeClr w14:val="tx1"/>
                  </w14:solidFill>
                </w14:textFill>
              </w:rPr>
              <w:t>得</w:t>
            </w:r>
            <w:r>
              <w:rPr>
                <w:rFonts w:ascii="仿宋" w:hAnsi="仿宋" w:eastAsia="仿宋" w:cs="仿宋"/>
                <w:color w:val="000000" w:themeColor="text1"/>
                <w:kern w:val="0"/>
                <w:sz w:val="24"/>
                <w14:textFill>
                  <w14:solidFill>
                    <w14:schemeClr w14:val="tx1"/>
                  </w14:solidFill>
                </w14:textFill>
              </w:rPr>
              <w:t>0.5</w:t>
            </w:r>
            <w:r>
              <w:rPr>
                <w:rFonts w:hint="eastAsia" w:ascii="仿宋" w:hAnsi="仿宋" w:eastAsia="仿宋" w:cs="仿宋"/>
                <w:color w:val="000000" w:themeColor="text1"/>
                <w:kern w:val="0"/>
                <w:sz w:val="24"/>
                <w14:textFill>
                  <w14:solidFill>
                    <w14:schemeClr w14:val="tx1"/>
                  </w14:solidFill>
                </w14:textFill>
              </w:rPr>
              <w:t>分，最高得2分，其他不得分。</w:t>
            </w:r>
            <w:r>
              <w:rPr>
                <w:rFonts w:hint="eastAsia" w:ascii="仿宋" w:hAnsi="仿宋" w:eastAsia="仿宋" w:cs="仿宋"/>
                <w:bCs/>
                <w:iCs/>
                <w:color w:val="000000" w:themeColor="text1"/>
                <w:sz w:val="24"/>
                <w14:textFill>
                  <w14:solidFill>
                    <w14:schemeClr w14:val="tx1"/>
                  </w14:solidFill>
                </w14:textFill>
              </w:rPr>
              <w:t>（提供</w:t>
            </w:r>
            <w:r>
              <w:rPr>
                <w:rFonts w:ascii="仿宋" w:hAnsi="仿宋" w:eastAsia="仿宋" w:cs="仿宋"/>
                <w:bCs/>
                <w:iCs/>
                <w:color w:val="000000" w:themeColor="text1"/>
                <w:sz w:val="24"/>
                <w14:textFill>
                  <w14:solidFill>
                    <w14:schemeClr w14:val="tx1"/>
                  </w14:solidFill>
                </w14:textFill>
              </w:rPr>
              <w:t>认证</w:t>
            </w:r>
            <w:r>
              <w:rPr>
                <w:rFonts w:hint="eastAsia" w:ascii="仿宋" w:hAnsi="仿宋" w:eastAsia="仿宋" w:cs="仿宋"/>
                <w:bCs/>
                <w:iCs/>
                <w:color w:val="000000" w:themeColor="text1"/>
                <w:sz w:val="24"/>
                <w14:textFill>
                  <w14:solidFill>
                    <w14:schemeClr w14:val="tx1"/>
                  </w14:solidFill>
                </w14:textFill>
              </w:rPr>
              <w:t>证书扫描件加盖单位公章。）</w:t>
            </w:r>
          </w:p>
        </w:tc>
        <w:tc>
          <w:tcPr>
            <w:tcW w:w="689" w:type="dxa"/>
            <w:vAlign w:val="center"/>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45" w:type="dxa"/>
            <w:vAlign w:val="center"/>
          </w:tcPr>
          <w:p>
            <w:pPr>
              <w:ind w:left="55" w:leftChars="26"/>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873" w:type="dxa"/>
            <w:vAlign w:val="center"/>
          </w:tcPr>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投标人荣誉</w:t>
            </w:r>
          </w:p>
        </w:tc>
        <w:tc>
          <w:tcPr>
            <w:tcW w:w="7322" w:type="dxa"/>
            <w:vAlign w:val="center"/>
          </w:tcPr>
          <w:p>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① 2021年1月1日以来，投标人（联合体投标的，联合体</w:t>
            </w:r>
            <w:r>
              <w:rPr>
                <w:rFonts w:hint="eastAsia" w:ascii="仿宋" w:hAnsi="仿宋" w:eastAsia="仿宋" w:cs="仿宋"/>
                <w:bCs/>
                <w:iCs/>
                <w:color w:val="000000" w:themeColor="text1"/>
                <w:sz w:val="24"/>
                <w:highlight w:val="none"/>
                <w14:textFill>
                  <w14:solidFill>
                    <w14:schemeClr w14:val="tx1"/>
                  </w14:solidFill>
                </w14:textFill>
              </w:rPr>
              <w:t>任意一方</w:t>
            </w:r>
            <w:r>
              <w:rPr>
                <w:rFonts w:hint="eastAsia" w:ascii="仿宋" w:hAnsi="仿宋" w:eastAsia="仿宋" w:cs="仿宋"/>
                <w:color w:val="000000" w:themeColor="text1"/>
                <w:sz w:val="24"/>
                <w:highlight w:val="none"/>
                <w14:textFill>
                  <w14:solidFill>
                    <w14:schemeClr w14:val="tx1"/>
                  </w14:solidFill>
                </w14:textFill>
              </w:rPr>
              <w:t>均可）获得过测绘行业科技创新型优秀单位荣誉的得2分。（提供获奖证明材料扫描件加盖单位公章。）</w:t>
            </w:r>
          </w:p>
          <w:p>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② 2021年1月1日以来，投标人（联合体投标的，联合体</w:t>
            </w:r>
            <w:r>
              <w:rPr>
                <w:rFonts w:hint="eastAsia" w:ascii="仿宋" w:hAnsi="仿宋" w:eastAsia="仿宋" w:cs="仿宋"/>
                <w:bCs/>
                <w:iCs/>
                <w:color w:val="000000" w:themeColor="text1"/>
                <w:sz w:val="24"/>
                <w:highlight w:val="none"/>
                <w14:textFill>
                  <w14:solidFill>
                    <w14:schemeClr w14:val="tx1"/>
                  </w14:solidFill>
                </w14:textFill>
              </w:rPr>
              <w:t>任意一方</w:t>
            </w:r>
            <w:r>
              <w:rPr>
                <w:rFonts w:hint="eastAsia" w:ascii="仿宋" w:hAnsi="仿宋" w:eastAsia="仿宋" w:cs="仿宋"/>
                <w:color w:val="000000" w:themeColor="text1"/>
                <w:sz w:val="24"/>
                <w:highlight w:val="none"/>
                <w14:textFill>
                  <w14:solidFill>
                    <w14:schemeClr w14:val="tx1"/>
                  </w14:solidFill>
                </w14:textFill>
              </w:rPr>
              <w:t>均可）获得过同类项目国家级奖项，金奖的每个得1分；银奖的每个得0.5分；铜奖的每个得0.2分，本项最高得3分。（提供获奖证明材料扫描件加盖单位公章。）</w:t>
            </w:r>
          </w:p>
        </w:tc>
        <w:tc>
          <w:tcPr>
            <w:tcW w:w="689" w:type="dxa"/>
            <w:vAlign w:val="center"/>
          </w:tcPr>
          <w:p>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45" w:type="dxa"/>
            <w:vAlign w:val="center"/>
          </w:tcPr>
          <w:p>
            <w:pPr>
              <w:ind w:left="55" w:leftChars="26"/>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p>
        </w:tc>
        <w:tc>
          <w:tcPr>
            <w:tcW w:w="873" w:type="dxa"/>
            <w:vAlign w:val="center"/>
          </w:tcPr>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投标人实力</w:t>
            </w:r>
          </w:p>
        </w:tc>
        <w:tc>
          <w:tcPr>
            <w:tcW w:w="7322" w:type="dxa"/>
            <w:vAlign w:val="center"/>
          </w:tcPr>
          <w:p>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2021年1月1日以来（以技术标准发布时间为准）投标人（联合体投标的，联合体</w:t>
            </w:r>
            <w:r>
              <w:rPr>
                <w:rFonts w:hint="eastAsia" w:ascii="仿宋" w:hAnsi="仿宋" w:eastAsia="仿宋" w:cs="仿宋"/>
                <w:bCs/>
                <w:iCs/>
                <w:color w:val="000000" w:themeColor="text1"/>
                <w:sz w:val="24"/>
                <w:highlight w:val="none"/>
                <w14:textFill>
                  <w14:solidFill>
                    <w14:schemeClr w14:val="tx1"/>
                  </w14:solidFill>
                </w14:textFill>
              </w:rPr>
              <w:t>任意一方</w:t>
            </w:r>
            <w:r>
              <w:rPr>
                <w:rFonts w:hint="eastAsia" w:ascii="仿宋" w:hAnsi="仿宋" w:eastAsia="仿宋" w:cs="仿宋"/>
                <w:color w:val="000000" w:themeColor="text1"/>
                <w:sz w:val="24"/>
                <w:highlight w:val="none"/>
                <w14:textFill>
                  <w14:solidFill>
                    <w14:schemeClr w14:val="tx1"/>
                  </w14:solidFill>
                </w14:textFill>
              </w:rPr>
              <w:t>均可）主持编制过测绘地理信息类国家技术标准的每个得2分；主持编制过测绘地理信息类省级地方技术标准的每个得1分，本项最高得4分。（提供技术标准发布文件扫描件加盖单位公章。）</w:t>
            </w:r>
          </w:p>
        </w:tc>
        <w:tc>
          <w:tcPr>
            <w:tcW w:w="689" w:type="dxa"/>
            <w:vAlign w:val="center"/>
          </w:tcPr>
          <w:p>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45" w:type="dxa"/>
            <w:vAlign w:val="center"/>
          </w:tcPr>
          <w:p>
            <w:pPr>
              <w:ind w:left="55" w:leftChars="26"/>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p>
        </w:tc>
        <w:tc>
          <w:tcPr>
            <w:tcW w:w="873" w:type="dxa"/>
            <w:vAlign w:val="center"/>
          </w:tcPr>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投标人业绩</w:t>
            </w:r>
          </w:p>
        </w:tc>
        <w:tc>
          <w:tcPr>
            <w:tcW w:w="7322" w:type="dxa"/>
            <w:vAlign w:val="center"/>
          </w:tcPr>
          <w:p>
            <w:pP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自2021年1月1日以来（以合同签订时间为准），投标人（联合体投标的，联合体</w:t>
            </w:r>
            <w:r>
              <w:rPr>
                <w:rFonts w:hint="eastAsia" w:ascii="仿宋" w:hAnsi="仿宋" w:eastAsia="仿宋" w:cs="仿宋"/>
                <w:bCs/>
                <w:iCs/>
                <w:color w:val="000000" w:themeColor="text1"/>
                <w:sz w:val="24"/>
                <w:highlight w:val="none"/>
                <w14:textFill>
                  <w14:solidFill>
                    <w14:schemeClr w14:val="tx1"/>
                  </w14:solidFill>
                </w14:textFill>
              </w:rPr>
              <w:t>任意一方</w:t>
            </w:r>
            <w:r>
              <w:rPr>
                <w:rFonts w:hint="eastAsia" w:ascii="仿宋" w:hAnsi="仿宋" w:eastAsia="仿宋" w:cs="仿宋"/>
                <w:color w:val="000000" w:themeColor="text1"/>
                <w:sz w:val="24"/>
                <w:highlight w:val="none"/>
                <w14:textFill>
                  <w14:solidFill>
                    <w14:schemeClr w14:val="tx1"/>
                  </w14:solidFill>
                </w14:textFill>
              </w:rPr>
              <w:t>均可）承接过同类项目的，每个得0.5分，最高得1分。（提供业绩合同及通过测绘质检部门质检的质检报告扫描件加盖单位公章。）</w:t>
            </w:r>
          </w:p>
        </w:tc>
        <w:tc>
          <w:tcPr>
            <w:tcW w:w="689" w:type="dxa"/>
            <w:vAlign w:val="center"/>
          </w:tcPr>
          <w:p>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45" w:type="dxa"/>
            <w:vAlign w:val="center"/>
          </w:tcPr>
          <w:p>
            <w:pPr>
              <w:ind w:left="55" w:leftChars="26"/>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c>
          <w:tcPr>
            <w:tcW w:w="873" w:type="dxa"/>
            <w:vAlign w:val="center"/>
          </w:tcPr>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项目需求</w:t>
            </w:r>
          </w:p>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分析</w:t>
            </w:r>
          </w:p>
          <w:p>
            <w:pPr>
              <w:ind w:left="55" w:leftChars="26"/>
              <w:jc w:val="center"/>
              <w:rPr>
                <w:rFonts w:ascii="仿宋" w:hAnsi="仿宋" w:eastAsia="仿宋" w:cs="仿宋"/>
                <w:color w:val="000000" w:themeColor="text1"/>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根据投标人对本项目需求的理解，对本类项目熟悉程度、对当地数据的了解情况、其他方面技术优势等总体方案的完整性、科学性以及与需求的吻合程度进行综合评审</w:t>
            </w:r>
            <w:r>
              <w:rPr>
                <w:rFonts w:hint="eastAsia" w:ascii="仿宋" w:hAnsi="仿宋" w:eastAsia="仿宋" w:cs="仿宋"/>
                <w:color w:val="000000" w:themeColor="text1"/>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4-12</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645" w:type="dxa"/>
            <w:vMerge w:val="restart"/>
            <w:vAlign w:val="center"/>
          </w:tcPr>
          <w:p>
            <w:pPr>
              <w:ind w:left="55" w:leftChars="26"/>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p>
        </w:tc>
        <w:tc>
          <w:tcPr>
            <w:tcW w:w="873" w:type="dxa"/>
            <w:vMerge w:val="restart"/>
            <w:vAlign w:val="center"/>
          </w:tcPr>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项目技术</w:t>
            </w:r>
          </w:p>
          <w:p>
            <w:pPr>
              <w:ind w:left="55" w:leftChars="2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设计</w:t>
            </w:r>
          </w:p>
          <w:p>
            <w:pPr>
              <w:ind w:left="55" w:leftChars="26"/>
              <w:jc w:val="center"/>
              <w:rPr>
                <w:rFonts w:ascii="仿宋" w:hAnsi="仿宋" w:eastAsia="仿宋" w:cs="仿宋"/>
                <w:color w:val="000000" w:themeColor="text1"/>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1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根据投标人对本项目需求的理解程度，提出的实施方案技术路线清晰程度、可行性，硬件与软件的配置是否得当、适用性及先进性，内外业、上下工序衔接的合理性，技术先进性等进行综合评审</w:t>
            </w:r>
            <w:r>
              <w:rPr>
                <w:rFonts w:hint="eastAsia" w:ascii="仿宋" w:hAnsi="仿宋" w:eastAsia="仿宋" w:cs="仿宋"/>
                <w:color w:val="000000" w:themeColor="text1"/>
                <w:kern w:val="0"/>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0-8</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45" w:type="dxa"/>
            <w:vMerge w:val="continue"/>
            <w:vAlign w:val="center"/>
          </w:tcPr>
          <w:p>
            <w:pPr>
              <w:ind w:left="55" w:leftChars="26"/>
              <w:jc w:val="center"/>
              <w:rPr>
                <w:rFonts w:ascii="仿宋" w:hAnsi="仿宋" w:eastAsia="仿宋" w:cs="仿宋"/>
                <w:color w:val="000000" w:themeColor="text1"/>
                <w:sz w:val="24"/>
                <w14:textFill>
                  <w14:solidFill>
                    <w14:schemeClr w14:val="tx1"/>
                  </w14:solidFill>
                </w14:textFill>
              </w:rPr>
            </w:pPr>
          </w:p>
        </w:tc>
        <w:tc>
          <w:tcPr>
            <w:tcW w:w="873" w:type="dxa"/>
            <w:vMerge w:val="continue"/>
            <w:vAlign w:val="center"/>
          </w:tcPr>
          <w:p>
            <w:pPr>
              <w:ind w:left="55" w:leftChars="26"/>
              <w:jc w:val="center"/>
              <w:rPr>
                <w:rFonts w:ascii="仿宋" w:hAnsi="仿宋" w:eastAsia="仿宋" w:cs="仿宋"/>
                <w:color w:val="000000" w:themeColor="text1"/>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2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根据投标人对成果文件编制、资料归档、成果资料严密及保密措施等工序流程是否科学、规范进行综合评审</w:t>
            </w:r>
            <w:r>
              <w:rPr>
                <w:rFonts w:hint="eastAsia" w:ascii="仿宋" w:hAnsi="仿宋" w:eastAsia="仿宋" w:cs="仿宋"/>
                <w:color w:val="000000" w:themeColor="text1"/>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0-6</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45" w:type="dxa"/>
            <w:vMerge w:val="continue"/>
            <w:vAlign w:val="center"/>
          </w:tcPr>
          <w:p>
            <w:pPr>
              <w:ind w:left="55" w:leftChars="26"/>
              <w:jc w:val="center"/>
              <w:rPr>
                <w:rFonts w:ascii="仿宋" w:hAnsi="仿宋" w:eastAsia="仿宋" w:cs="仿宋"/>
                <w:color w:val="000000" w:themeColor="text1"/>
                <w:sz w:val="24"/>
                <w14:textFill>
                  <w14:solidFill>
                    <w14:schemeClr w14:val="tx1"/>
                  </w14:solidFill>
                </w14:textFill>
              </w:rPr>
            </w:pPr>
          </w:p>
        </w:tc>
        <w:tc>
          <w:tcPr>
            <w:tcW w:w="873" w:type="dxa"/>
            <w:vMerge w:val="continue"/>
            <w:vAlign w:val="center"/>
          </w:tcPr>
          <w:p>
            <w:pPr>
              <w:ind w:left="55" w:leftChars="26"/>
              <w:jc w:val="center"/>
              <w:rPr>
                <w:rFonts w:ascii="仿宋" w:hAnsi="仿宋" w:eastAsia="仿宋" w:cs="仿宋"/>
                <w:color w:val="000000" w:themeColor="text1"/>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3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③</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根据投标人对项目实施的重难点问题分析及解决方案进行综合评审</w:t>
            </w:r>
            <w:r>
              <w:rPr>
                <w:rFonts w:hint="eastAsia" w:ascii="仿宋" w:hAnsi="仿宋" w:eastAsia="仿宋" w:cs="仿宋"/>
                <w:color w:val="000000" w:themeColor="text1"/>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0-6</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45" w:type="dxa"/>
            <w:vMerge w:val="restart"/>
            <w:vAlign w:val="center"/>
          </w:tcPr>
          <w:p>
            <w:pPr>
              <w:ind w:left="55" w:leftChars="26"/>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p>
        </w:tc>
        <w:tc>
          <w:tcPr>
            <w:tcW w:w="873" w:type="dxa"/>
            <w:vMerge w:val="restart"/>
            <w:vAlign w:val="center"/>
          </w:tcPr>
          <w:p>
            <w:pPr>
              <w:ind w:left="55" w:leftChars="26"/>
              <w:jc w:val="center"/>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项目组织</w:t>
            </w:r>
          </w:p>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实施方案</w:t>
            </w:r>
          </w:p>
          <w:p>
            <w:pPr>
              <w:ind w:left="55" w:leftChars="26"/>
              <w:jc w:val="center"/>
              <w:rPr>
                <w:rFonts w:ascii="仿宋" w:hAnsi="仿宋" w:eastAsia="仿宋" w:cs="仿宋"/>
                <w:color w:val="000000" w:themeColor="text1"/>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1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根据投标人提出的组织管理体系、项目实施程序、工作职责分工合理性、详尽性进行综合评审</w:t>
            </w:r>
            <w:r>
              <w:rPr>
                <w:rFonts w:hint="eastAsia" w:ascii="仿宋" w:hAnsi="仿宋" w:eastAsia="仿宋" w:cs="仿宋"/>
                <w:color w:val="000000" w:themeColor="text1"/>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0-8</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45" w:type="dxa"/>
            <w:vMerge w:val="continue"/>
            <w:vAlign w:val="center"/>
          </w:tcPr>
          <w:p>
            <w:pPr>
              <w:widowControl/>
              <w:spacing w:line="300" w:lineRule="exact"/>
              <w:ind w:right="145" w:rightChars="69"/>
              <w:jc w:val="center"/>
              <w:rPr>
                <w:rFonts w:ascii="仿宋" w:hAnsi="仿宋" w:eastAsia="仿宋" w:cs="仿宋"/>
                <w:color w:val="000000" w:themeColor="text1"/>
                <w:kern w:val="0"/>
                <w:sz w:val="24"/>
                <w14:textFill>
                  <w14:solidFill>
                    <w14:schemeClr w14:val="tx1"/>
                  </w14:solidFill>
                </w14:textFill>
              </w:rPr>
            </w:pPr>
          </w:p>
        </w:tc>
        <w:tc>
          <w:tcPr>
            <w:tcW w:w="873" w:type="dxa"/>
            <w:vMerge w:val="continue"/>
            <w:vAlign w:val="center"/>
          </w:tcPr>
          <w:p>
            <w:pPr>
              <w:widowControl/>
              <w:spacing w:line="300" w:lineRule="exact"/>
              <w:ind w:right="145" w:rightChars="69"/>
              <w:jc w:val="center"/>
              <w:rPr>
                <w:rFonts w:ascii="仿宋" w:hAnsi="仿宋" w:eastAsia="仿宋" w:cs="仿宋"/>
                <w:color w:val="000000" w:themeColor="text1"/>
                <w:kern w:val="0"/>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2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根据投标人对项目时间进度安排的合理性、计划的可操作性；进度保障措施的合理性、科学性等进行综合评审</w:t>
            </w:r>
            <w:r>
              <w:rPr>
                <w:rFonts w:hint="eastAsia" w:ascii="仿宋" w:hAnsi="仿宋" w:eastAsia="仿宋" w:cs="仿宋"/>
                <w:color w:val="000000" w:themeColor="text1"/>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0-6</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45" w:type="dxa"/>
            <w:vMerge w:val="continue"/>
            <w:vAlign w:val="center"/>
          </w:tcPr>
          <w:p>
            <w:pPr>
              <w:widowControl/>
              <w:spacing w:line="300" w:lineRule="exact"/>
              <w:ind w:right="145" w:rightChars="69"/>
              <w:jc w:val="center"/>
              <w:rPr>
                <w:rFonts w:ascii="仿宋" w:hAnsi="仿宋" w:eastAsia="仿宋" w:cs="仿宋"/>
                <w:color w:val="000000" w:themeColor="text1"/>
                <w:kern w:val="0"/>
                <w:sz w:val="24"/>
                <w14:textFill>
                  <w14:solidFill>
                    <w14:schemeClr w14:val="tx1"/>
                  </w14:solidFill>
                </w14:textFill>
              </w:rPr>
            </w:pPr>
          </w:p>
        </w:tc>
        <w:tc>
          <w:tcPr>
            <w:tcW w:w="873" w:type="dxa"/>
            <w:vMerge w:val="continue"/>
            <w:vAlign w:val="center"/>
          </w:tcPr>
          <w:p>
            <w:pPr>
              <w:widowControl/>
              <w:spacing w:line="300" w:lineRule="exact"/>
              <w:ind w:right="145" w:rightChars="69"/>
              <w:jc w:val="center"/>
              <w:rPr>
                <w:rFonts w:ascii="仿宋" w:hAnsi="仿宋" w:eastAsia="仿宋" w:cs="仿宋"/>
                <w:color w:val="000000" w:themeColor="text1"/>
                <w:kern w:val="0"/>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3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③</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根据投标人的质量管理制度、安全生产制度和保密制度健全程度；质量保障措施、安全</w:t>
            </w:r>
            <w:r>
              <w:rPr>
                <w:rFonts w:hint="eastAsia" w:ascii="仿宋" w:hAnsi="仿宋" w:eastAsia="仿宋" w:cs="仿宋"/>
                <w:color w:val="000000" w:themeColor="text1"/>
                <w:kern w:val="0"/>
                <w:sz w:val="24"/>
                <w14:textFill>
                  <w14:solidFill>
                    <w14:schemeClr w14:val="tx1"/>
                  </w14:solidFill>
                </w14:textFill>
              </w:rPr>
              <w:t>生产措施、保密管理措施可行性进行综合</w:t>
            </w:r>
            <w:r>
              <w:rPr>
                <w:rFonts w:hint="eastAsia" w:ascii="仿宋" w:hAnsi="仿宋" w:eastAsia="仿宋" w:cs="仿宋"/>
                <w:color w:val="000000" w:themeColor="text1"/>
                <w:sz w:val="24"/>
                <w14:textFill>
                  <w14:solidFill>
                    <w14:schemeClr w14:val="tx1"/>
                  </w14:solidFill>
                </w14:textFill>
              </w:rPr>
              <w:t>评审</w:t>
            </w:r>
            <w:r>
              <w:rPr>
                <w:rFonts w:hint="eastAsia" w:ascii="仿宋" w:hAnsi="仿宋" w:eastAsia="仿宋" w:cs="仿宋"/>
                <w:color w:val="000000" w:themeColor="text1"/>
                <w:kern w:val="0"/>
                <w:sz w:val="24"/>
                <w:lang w:val="en-US" w:eastAsia="zh-CN"/>
                <w14:textFill>
                  <w14:solidFill>
                    <w14:schemeClr w14:val="tx1"/>
                  </w14:solidFill>
                </w14:textFill>
              </w:rPr>
              <w:t>打分，</w:t>
            </w:r>
            <w:r>
              <w:rPr>
                <w:rFonts w:hint="eastAsia" w:ascii="仿宋" w:hAnsi="仿宋" w:eastAsia="仿宋" w:cs="仿宋"/>
                <w:bCs/>
                <w:iCs/>
                <w:color w:val="000000" w:themeColor="text1"/>
                <w:sz w:val="24"/>
                <w:lang w:val="en-US" w:eastAsia="zh-CN"/>
                <w14:textFill>
                  <w14:solidFill>
                    <w14:schemeClr w14:val="tx1"/>
                  </w14:solidFill>
                </w14:textFill>
              </w:rPr>
              <w:t>0-6</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45" w:type="dxa"/>
            <w:vAlign w:val="center"/>
          </w:tcPr>
          <w:p>
            <w:pPr>
              <w:widowControl/>
              <w:spacing w:line="300" w:lineRule="exact"/>
              <w:ind w:right="145" w:rightChars="69"/>
              <w:jc w:val="center"/>
              <w:rPr>
                <w:rFonts w:hint="eastAsia" w:ascii="仿宋" w:hAnsi="仿宋" w:eastAsia="仿宋" w:cs="仿宋"/>
                <w:color w:val="000000" w:themeColor="text1"/>
                <w:kern w:val="0"/>
                <w:sz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8</w:t>
            </w:r>
          </w:p>
        </w:tc>
        <w:tc>
          <w:tcPr>
            <w:tcW w:w="873" w:type="dxa"/>
            <w:vAlign w:val="center"/>
          </w:tcPr>
          <w:p>
            <w:pPr>
              <w:widowControl/>
              <w:spacing w:line="300" w:lineRule="exact"/>
              <w:ind w:right="145" w:rightChars="69"/>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项目人员配置</w:t>
            </w:r>
          </w:p>
          <w:p>
            <w:pPr>
              <w:widowControl/>
              <w:spacing w:line="300" w:lineRule="exact"/>
              <w:ind w:right="145" w:rightChars="69"/>
              <w:jc w:val="center"/>
              <w:rPr>
                <w:rFonts w:ascii="仿宋" w:hAnsi="仿宋" w:eastAsia="仿宋" w:cs="仿宋"/>
                <w:color w:val="000000" w:themeColor="text1"/>
                <w:kern w:val="0"/>
                <w:sz w:val="24"/>
                <w14:textFill>
                  <w14:solidFill>
                    <w14:schemeClr w14:val="tx1"/>
                  </w14:solidFill>
                </w14:textFill>
              </w:rPr>
            </w:pPr>
          </w:p>
        </w:tc>
        <w:tc>
          <w:tcPr>
            <w:tcW w:w="7322" w:type="dxa"/>
            <w:vAlign w:val="center"/>
          </w:tcPr>
          <w:p>
            <w:pPr>
              <w:ind w:left="55" w:leftChars="2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拟投入项目技术人员配置：</w:t>
            </w:r>
          </w:p>
          <w:p>
            <w:pPr>
              <w:ind w:left="119"/>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1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项目负责人、技术负责人具有测绘类教授级高级工程师（正高）职称及注册测绘师资格的每人得2分；具有测绘类高级工程师（副高）职称及注册测绘师资格的每人得1分，本项最高得4分。</w:t>
            </w:r>
          </w:p>
          <w:p>
            <w:pPr>
              <w:ind w:left="119"/>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2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项目组成员中（除项目负责人和技术负责人外）具有测绘类高级工程师职称及注册测绘师资格证书，10人以上得2分；6-10人得1分；1-5人得0.5分，本项最高得2分。</w:t>
            </w:r>
          </w:p>
          <w:p>
            <w:pPr>
              <w:ind w:left="119"/>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3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③</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项目组成员中（除项目负责人和技术负责人外）具有民用无人机驾驶员合格证（AOPA）的，10人以上得2分；6-10人得1分；1-5人得0.5分，本项最高得2分。</w:t>
            </w:r>
          </w:p>
          <w:p>
            <w:pPr>
              <w:ind w:left="119"/>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④ 项目组成员中（除项目负责人和技术负责人外）具有测绘涉密或保密知识培训证书的，10人以上得2分；6-10人得1分；1-5人得0.5分，本项最高得2分。</w:t>
            </w:r>
          </w:p>
          <w:p>
            <w:pPr>
              <w:ind w:left="119"/>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⑤ 项目组成员中具有测绘项目管理工程师培训证书的每人得0.5分，最高得2分。</w:t>
            </w:r>
          </w:p>
          <w:p>
            <w:pPr>
              <w:widowControl/>
              <w:ind w:right="145" w:rightChars="69"/>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（提供以上人员相关资格证书扫描件和在投标人单位缴纳的近三个月社保证明复印件并加盖单位公章。）</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645" w:type="dxa"/>
            <w:vAlign w:val="center"/>
          </w:tcPr>
          <w:p>
            <w:pPr>
              <w:pStyle w:val="24"/>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873" w:type="dxa"/>
            <w:vAlign w:val="center"/>
          </w:tcPr>
          <w:p>
            <w:pPr>
              <w:widowControl/>
              <w:spacing w:line="300" w:lineRule="exact"/>
              <w:ind w:right="145" w:rightChars="69"/>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投入硬件设备</w:t>
            </w:r>
          </w:p>
          <w:p>
            <w:pPr>
              <w:pStyle w:val="24"/>
              <w:jc w:val="center"/>
              <w:rPr>
                <w:rFonts w:ascii="仿宋" w:hAnsi="仿宋" w:eastAsia="仿宋" w:cs="仿宋"/>
                <w:color w:val="000000" w:themeColor="text1"/>
                <w:sz w:val="24"/>
                <w14:textFill>
                  <w14:solidFill>
                    <w14:schemeClr w14:val="tx1"/>
                  </w14:solidFill>
                </w14:textFill>
              </w:rPr>
            </w:pPr>
          </w:p>
        </w:tc>
        <w:tc>
          <w:tcPr>
            <w:tcW w:w="732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1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可投入的无人机倾斜摄影系统（包含无人机飞行平台和五镜头倾斜相机）按数量评分：1-5套得0.5分；6-10套得1分；10套以上得2分。</w:t>
            </w: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2 \* GB3 \* MERGEFORMAT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 xml:space="preserve"> 可投入的航摄仪具有五个及以上镜头（单镜头像素不小于1.5亿）且激光单元脉冲频率不小于2MHZ的得2分。</w:t>
            </w:r>
          </w:p>
          <w:p>
            <w:pPr>
              <w:widowControl/>
              <w:spacing w:line="300" w:lineRule="exact"/>
              <w:ind w:right="145" w:rightChars="69"/>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（提供设备购置发票及合同扫描件并加盖单位公章放入投标人文件中，未提供不得分。）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645" w:type="dxa"/>
            <w:vAlign w:val="center"/>
          </w:tcPr>
          <w:p>
            <w:pPr>
              <w:pStyle w:val="24"/>
              <w:spacing w:line="240" w:lineRule="auto"/>
              <w:jc w:val="center"/>
              <w:rPr>
                <w:rFonts w:hint="default" w:ascii="仿宋" w:hAnsi="仿宋" w:eastAsia="仿宋" w:cs="仿宋"/>
                <w:color w:val="000000" w:themeColor="text1"/>
                <w:kern w:val="0"/>
                <w:sz w:val="24"/>
                <w:lang w:val="en-US" w:eastAsia="zh-CN" w:bidi="ar"/>
                <w14:textFill>
                  <w14:solidFill>
                    <w14:schemeClr w14:val="tx1"/>
                  </w14:solidFill>
                </w14:textFill>
              </w:rPr>
            </w:pPr>
            <w:r>
              <w:rPr>
                <w:rFonts w:hint="eastAsia" w:ascii="仿宋" w:hAnsi="仿宋" w:eastAsia="仿宋" w:cs="仿宋"/>
                <w:color w:val="000000" w:themeColor="text1"/>
                <w:kern w:val="0"/>
                <w:sz w:val="24"/>
                <w:lang w:val="en-US" w:eastAsia="zh-CN" w:bidi="ar"/>
                <w14:textFill>
                  <w14:solidFill>
                    <w14:schemeClr w14:val="tx1"/>
                  </w14:solidFill>
                </w14:textFill>
              </w:rPr>
              <w:t>10</w:t>
            </w:r>
          </w:p>
        </w:tc>
        <w:tc>
          <w:tcPr>
            <w:tcW w:w="873" w:type="dxa"/>
            <w:vAlign w:val="center"/>
          </w:tcPr>
          <w:p>
            <w:pPr>
              <w:pStyle w:val="24"/>
              <w:spacing w:line="240" w:lineRule="auto"/>
              <w:jc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投入软件</w:t>
            </w:r>
          </w:p>
          <w:p>
            <w:pPr>
              <w:pStyle w:val="24"/>
              <w:spacing w:line="240" w:lineRule="auto"/>
              <w:jc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设备</w:t>
            </w:r>
          </w:p>
        </w:tc>
        <w:tc>
          <w:tcPr>
            <w:tcW w:w="732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投标人具有基础测绘成图类、基础地理空间信息管理类、点云数据处理类、三维建模类、测绘数据质量控制类、国家2000坐标系转换类软件著作权，每满足一类得0.5分，最高得3分</w:t>
            </w:r>
            <w:r>
              <w:rPr>
                <w:rFonts w:hint="eastAsia" w:ascii="仿宋" w:hAnsi="仿宋" w:eastAsia="仿宋" w:cs="仿宋"/>
                <w:color w:val="000000" w:themeColor="text1"/>
                <w:sz w:val="24"/>
                <w14:textFill>
                  <w14:solidFill>
                    <w14:schemeClr w14:val="tx1"/>
                  </w14:solidFill>
                </w14:textFill>
              </w:rPr>
              <w:t>。</w:t>
            </w:r>
          </w:p>
          <w:p>
            <w:pPr>
              <w:widowControl/>
              <w:spacing w:line="300" w:lineRule="exact"/>
              <w:ind w:right="145" w:rightChars="69"/>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（提供软件著作权证书扫描件加盖单位公章。）</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45" w:type="dxa"/>
            <w:vAlign w:val="center"/>
          </w:tcPr>
          <w:p>
            <w:pPr>
              <w:pStyle w:val="24"/>
              <w:spacing w:line="240" w:lineRule="auto"/>
              <w:jc w:val="center"/>
              <w:rPr>
                <w:rFonts w:hint="default" w:ascii="仿宋" w:hAnsi="仿宋" w:eastAsia="仿宋" w:cs="仿宋"/>
                <w:color w:val="000000" w:themeColor="text1"/>
                <w:kern w:val="0"/>
                <w:sz w:val="24"/>
                <w:lang w:val="en-US" w:eastAsia="zh-CN" w:bidi="ar"/>
                <w14:textFill>
                  <w14:solidFill>
                    <w14:schemeClr w14:val="tx1"/>
                  </w14:solidFill>
                </w14:textFill>
              </w:rPr>
            </w:pPr>
            <w:r>
              <w:rPr>
                <w:rFonts w:hint="eastAsia" w:ascii="仿宋" w:hAnsi="仿宋" w:eastAsia="仿宋" w:cs="仿宋"/>
                <w:color w:val="000000" w:themeColor="text1"/>
                <w:kern w:val="0"/>
                <w:sz w:val="24"/>
                <w:lang w:val="en-US" w:eastAsia="zh-CN" w:bidi="ar"/>
                <w14:textFill>
                  <w14:solidFill>
                    <w14:schemeClr w14:val="tx1"/>
                  </w14:solidFill>
                </w14:textFill>
              </w:rPr>
              <w:t>11</w:t>
            </w:r>
          </w:p>
        </w:tc>
        <w:tc>
          <w:tcPr>
            <w:tcW w:w="873" w:type="dxa"/>
            <w:vAlign w:val="center"/>
          </w:tcPr>
          <w:p>
            <w:pPr>
              <w:pStyle w:val="24"/>
              <w:spacing w:line="240" w:lineRule="auto"/>
              <w:jc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本地化服务方案</w:t>
            </w:r>
          </w:p>
        </w:tc>
        <w:tc>
          <w:tcPr>
            <w:tcW w:w="7322" w:type="dxa"/>
            <w:vAlign w:val="center"/>
          </w:tcPr>
          <w:p>
            <w:pPr>
              <w:widowControl/>
              <w:spacing w:line="300" w:lineRule="exact"/>
              <w:ind w:right="145" w:rightChars="69"/>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iCs/>
                <w:color w:val="000000" w:themeColor="text1"/>
                <w:sz w:val="24"/>
                <w:lang w:val="zh-CN"/>
                <w14:textFill>
                  <w14:solidFill>
                    <w14:schemeClr w14:val="tx1"/>
                  </w14:solidFill>
                </w14:textFill>
              </w:rPr>
              <w:t>根据投标人提供的</w:t>
            </w:r>
            <w:r>
              <w:rPr>
                <w:rFonts w:hint="eastAsia" w:ascii="仿宋" w:hAnsi="仿宋" w:eastAsia="仿宋" w:cs="仿宋"/>
                <w:bCs/>
                <w:iCs/>
                <w:color w:val="000000" w:themeColor="text1"/>
                <w:sz w:val="24"/>
                <w14:textFill>
                  <w14:solidFill>
                    <w14:schemeClr w14:val="tx1"/>
                  </w14:solidFill>
                </w14:textFill>
              </w:rPr>
              <w:t>本地化</w:t>
            </w:r>
            <w:r>
              <w:rPr>
                <w:rFonts w:hint="eastAsia" w:ascii="仿宋" w:hAnsi="仿宋" w:eastAsia="仿宋" w:cs="仿宋"/>
                <w:bCs/>
                <w:iCs/>
                <w:color w:val="000000" w:themeColor="text1"/>
                <w:sz w:val="24"/>
                <w:lang w:val="zh-CN"/>
                <w14:textFill>
                  <w14:solidFill>
                    <w14:schemeClr w14:val="tx1"/>
                  </w14:solidFill>
                </w14:textFill>
              </w:rPr>
              <w:t>服务方案、服务优势及服务响应时间</w:t>
            </w:r>
            <w:r>
              <w:rPr>
                <w:rFonts w:hint="eastAsia" w:ascii="仿宋" w:hAnsi="仿宋" w:eastAsia="仿宋" w:cs="仿宋"/>
                <w:color w:val="000000" w:themeColor="text1"/>
                <w:sz w:val="24"/>
                <w14:textFill>
                  <w14:solidFill>
                    <w14:schemeClr w14:val="tx1"/>
                  </w14:solidFill>
                </w14:textFill>
              </w:rPr>
              <w:t>进行综合评审</w:t>
            </w:r>
            <w:r>
              <w:rPr>
                <w:rFonts w:hint="eastAsia" w:ascii="仿宋" w:hAnsi="仿宋" w:eastAsia="仿宋" w:cs="仿宋"/>
                <w:bCs/>
                <w:iCs/>
                <w:color w:val="000000" w:themeColor="text1"/>
                <w:sz w:val="24"/>
                <w:lang w:val="en-US" w:eastAsia="zh-CN"/>
                <w14:textFill>
                  <w14:solidFill>
                    <w14:schemeClr w14:val="tx1"/>
                  </w14:solidFill>
                </w14:textFill>
              </w:rPr>
              <w:t>打分，0-4</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645" w:type="dxa"/>
            <w:vAlign w:val="center"/>
          </w:tcPr>
          <w:p>
            <w:pPr>
              <w:widowControl/>
              <w:jc w:val="center"/>
              <w:rPr>
                <w:rFonts w:hint="default" w:ascii="仿宋" w:hAnsi="仿宋" w:eastAsia="仿宋" w:cs="仿宋"/>
                <w:color w:val="000000" w:themeColor="text1"/>
                <w:kern w:val="0"/>
                <w:sz w:val="24"/>
                <w:lang w:val="en-US" w:eastAsia="zh-CN" w:bidi="ar"/>
                <w14:textFill>
                  <w14:solidFill>
                    <w14:schemeClr w14:val="tx1"/>
                  </w14:solidFill>
                </w14:textFill>
              </w:rPr>
            </w:pPr>
            <w:r>
              <w:rPr>
                <w:rFonts w:hint="eastAsia" w:ascii="仿宋" w:hAnsi="仿宋" w:eastAsia="仿宋" w:cs="仿宋"/>
                <w:color w:val="000000" w:themeColor="text1"/>
                <w:kern w:val="0"/>
                <w:sz w:val="24"/>
                <w:lang w:val="en-US" w:eastAsia="zh-CN" w:bidi="ar"/>
                <w14:textFill>
                  <w14:solidFill>
                    <w14:schemeClr w14:val="tx1"/>
                  </w14:solidFill>
                </w14:textFill>
              </w:rPr>
              <w:t>12</w:t>
            </w:r>
          </w:p>
        </w:tc>
        <w:tc>
          <w:tcPr>
            <w:tcW w:w="873" w:type="dxa"/>
            <w:vAlign w:val="center"/>
          </w:tcPr>
          <w:p>
            <w:pPr>
              <w:widowControl/>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其他承诺及优惠条件</w:t>
            </w:r>
          </w:p>
        </w:tc>
        <w:tc>
          <w:tcPr>
            <w:tcW w:w="7322" w:type="dxa"/>
            <w:vAlign w:val="center"/>
          </w:tcPr>
          <w:p>
            <w:pPr>
              <w:widowControl/>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投标人针对本项目的其他优惠服务措施及验收后的服务承诺等</w:t>
            </w:r>
            <w:r>
              <w:rPr>
                <w:rFonts w:hint="eastAsia" w:ascii="仿宋" w:hAnsi="仿宋" w:eastAsia="仿宋" w:cs="仿宋"/>
                <w:color w:val="000000" w:themeColor="text1"/>
                <w:sz w:val="24"/>
                <w14:textFill>
                  <w14:solidFill>
                    <w14:schemeClr w14:val="tx1"/>
                  </w14:solidFill>
                </w14:textFill>
              </w:rPr>
              <w:t>进行综合评审</w:t>
            </w:r>
            <w:r>
              <w:rPr>
                <w:rFonts w:hint="eastAsia" w:ascii="仿宋" w:hAnsi="仿宋" w:eastAsia="仿宋" w:cs="仿宋"/>
                <w:bCs/>
                <w:iCs/>
                <w:color w:val="000000" w:themeColor="text1"/>
                <w:sz w:val="24"/>
                <w:lang w:val="en-US" w:eastAsia="zh-CN"/>
                <w14:textFill>
                  <w14:solidFill>
                    <w14:schemeClr w14:val="tx1"/>
                  </w14:solidFill>
                </w14:textFill>
              </w:rPr>
              <w:t>打分，0-3</w:t>
            </w:r>
            <w:r>
              <w:rPr>
                <w:rFonts w:hint="eastAsia" w:ascii="仿宋" w:hAnsi="仿宋" w:eastAsia="仿宋" w:cs="仿宋"/>
                <w:bCs/>
                <w:iCs/>
                <w:color w:val="000000" w:themeColor="text1"/>
                <w:sz w:val="24"/>
                <w14:textFill>
                  <w14:solidFill>
                    <w14:schemeClr w14:val="tx1"/>
                  </w14:solidFill>
                </w14:textFill>
              </w:rPr>
              <w:t>分。</w:t>
            </w:r>
          </w:p>
        </w:tc>
        <w:tc>
          <w:tcPr>
            <w:tcW w:w="689" w:type="dxa"/>
            <w:vAlign w:val="center"/>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bl>
    <w:p>
      <w:pPr>
        <w:snapToGrid w:val="0"/>
        <w:spacing w:line="440" w:lineRule="exact"/>
        <w:rPr>
          <w:rFonts w:hint="eastAsia" w:ascii="仿宋_GB2312" w:hAnsi="仿宋" w:eastAsia="仿宋_GB2312" w:cs="仿宋"/>
          <w:color w:val="000000" w:themeColor="text1"/>
          <w:sz w:val="20"/>
          <w:szCs w:val="20"/>
          <w:shd w:val="clear" w:color="auto" w:fill="FFFFFF"/>
          <w14:textFill>
            <w14:solidFill>
              <w14:schemeClr w14:val="tx1"/>
            </w14:solidFill>
          </w14:textFill>
        </w:rPr>
      </w:pPr>
    </w:p>
    <w:p>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0"/>
          <w:szCs w:val="20"/>
          <w:shd w:val="clear" w:color="auto" w:fill="FFFFFF"/>
          <w14:textFill>
            <w14:solidFill>
              <w14:schemeClr w14:val="tx1"/>
            </w14:solidFill>
          </w14:textFill>
        </w:rPr>
        <w:t> </w:t>
      </w:r>
      <w:r>
        <w:rPr>
          <w:rFonts w:hint="eastAsia" w:ascii="仿宋_GB2312" w:hAnsi="仿宋" w:eastAsia="仿宋_GB2312" w:cs="仿宋"/>
          <w:b/>
          <w:color w:val="000000" w:themeColor="text1"/>
          <w:sz w:val="24"/>
          <w14:textFill>
            <w14:solidFill>
              <w14:schemeClr w14:val="tx1"/>
            </w14:solidFill>
          </w14:textFill>
        </w:rPr>
        <w:t>备注：</w:t>
      </w:r>
      <w:r>
        <w:rPr>
          <w:rFonts w:hint="eastAsia" w:ascii="仿宋_GB2312" w:hAnsi="仿宋" w:eastAsia="仿宋_GB2312"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2.2价格分</w:t>
      </w:r>
      <w:r>
        <w:rPr>
          <w:rFonts w:hint="eastAsia" w:ascii="仿宋_GB2312" w:hAnsi="宋体" w:eastAsia="仿宋_GB2312"/>
          <w:b/>
          <w:bCs/>
          <w:iCs/>
          <w:color w:val="000000" w:themeColor="text1"/>
          <w:sz w:val="24"/>
          <w:lang w:val="en-US" w:eastAsia="zh-CN"/>
          <w14:textFill>
            <w14:solidFill>
              <w14:schemeClr w14:val="tx1"/>
            </w14:solidFill>
          </w14:textFill>
        </w:rPr>
        <w:t>1</w:t>
      </w:r>
      <w:r>
        <w:rPr>
          <w:rFonts w:hint="eastAsia" w:ascii="仿宋_GB2312" w:hAnsi="宋体" w:eastAsia="仿宋_GB2312"/>
          <w:b/>
          <w:bCs/>
          <w:iCs/>
          <w:color w:val="000000" w:themeColor="text1"/>
          <w:sz w:val="24"/>
          <w14:textFill>
            <w14:solidFill>
              <w14:schemeClr w14:val="tx1"/>
            </w14:solidFill>
          </w14:textFill>
        </w:rPr>
        <w:t>0分</w:t>
      </w:r>
    </w:p>
    <w:p>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即：投标报价得分=(评标基准价／投标报价)×</w:t>
      </w:r>
      <w:bookmarkEnd w:id="5"/>
      <w:bookmarkEnd w:id="6"/>
      <w:bookmarkEnd w:id="7"/>
      <w:bookmarkEnd w:id="8"/>
      <w:r>
        <w:rPr>
          <w:rFonts w:hint="eastAsia" w:ascii="仿宋_GB2312" w:hAnsi="宋体" w:eastAsia="仿宋_GB2312"/>
          <w:bCs/>
          <w:iCs/>
          <w:color w:val="000000" w:themeColor="text1"/>
          <w:sz w:val="24"/>
          <w:lang w:val="en-US" w:eastAsia="zh-CN"/>
          <w14:textFill>
            <w14:solidFill>
              <w14:schemeClr w14:val="tx1"/>
            </w14:solidFill>
          </w14:textFill>
        </w:rPr>
        <w:t>1</w:t>
      </w:r>
      <w:r>
        <w:rPr>
          <w:rFonts w:hint="eastAsia" w:ascii="仿宋_GB2312" w:hAnsi="宋体" w:eastAsia="仿宋_GB2312"/>
          <w:bCs/>
          <w:iCs/>
          <w:color w:val="000000" w:themeColor="text1"/>
          <w:sz w:val="24"/>
          <w14:textFill>
            <w14:solidFill>
              <w14:schemeClr w14:val="tx1"/>
            </w14:solidFill>
          </w14:textFill>
        </w:rPr>
        <w:t>0</w:t>
      </w:r>
    </w:p>
    <w:p>
      <w:pPr>
        <w:pageBreakBefore/>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pPr>
        <w:autoSpaceDE w:val="0"/>
        <w:autoSpaceDN w:val="0"/>
        <w:adjustRightInd w:val="0"/>
        <w:spacing w:line="360" w:lineRule="auto"/>
        <w:rPr>
          <w:rFonts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pPr>
        <w:pStyle w:val="25"/>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pPr>
        <w:pStyle w:val="25"/>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pPr>
        <w:rPr>
          <w:rFonts w:ascii="仿宋_GB2312" w:hAnsi="宋体" w:eastAsia="仿宋_GB2312"/>
          <w:b/>
          <w:color w:val="000000" w:themeColor="text1"/>
          <w:sz w:val="30"/>
          <w:szCs w:val="30"/>
          <w14:textFill>
            <w14:solidFill>
              <w14:schemeClr w14:val="tx1"/>
            </w14:solidFill>
          </w14:textFill>
        </w:rPr>
      </w:pPr>
    </w:p>
    <w:p>
      <w:pPr>
        <w:rPr>
          <w:rFonts w:ascii="仿宋_GB2312" w:hAnsi="宋体" w:eastAsia="仿宋_GB2312"/>
          <w:b/>
          <w:color w:val="000000" w:themeColor="text1"/>
          <w:sz w:val="30"/>
          <w:szCs w:val="30"/>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绍兴市自然资源和规划局</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浙江华诚工程管理有限公司</w:t>
      </w: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绍兴市1：2000数字线划图（DLG）生产制作更新</w:t>
      </w:r>
      <w:r>
        <w:rPr>
          <w:rFonts w:hint="eastAsia" w:ascii="仿宋_GB2312" w:hAnsi="仿宋" w:eastAsia="仿宋_GB2312" w:cs="仿宋"/>
          <w:color w:val="000000" w:themeColor="text1"/>
          <w:sz w:val="24"/>
          <w14:textFill>
            <w14:solidFill>
              <w14:schemeClr w14:val="tx1"/>
            </w14:solidFill>
          </w14:textFill>
        </w:rPr>
        <w:t>项目（招标编号:2024-02-0027）政府采购活动，郑重承诺：</w:t>
      </w:r>
    </w:p>
    <w:p>
      <w:pPr>
        <w:snapToGrid w:val="0"/>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pageBreakBefore/>
        <w:widowControl/>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141"/>
        <w:rPr>
          <w:color w:val="000000" w:themeColor="text1"/>
          <w14:textFill>
            <w14:solidFill>
              <w14:schemeClr w14:val="tx1"/>
            </w14:solidFill>
          </w14:textFill>
        </w:rPr>
      </w:pPr>
    </w:p>
    <w:p>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pPr>
        <w:spacing w:line="360" w:lineRule="auto"/>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p>
    <w:p>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_GB2312" w:hAnsi="仿宋" w:eastAsia="仿宋_GB2312" w:cs="仿宋"/>
          <w:b/>
          <w:color w:val="000000" w:themeColor="text1"/>
          <w:kern w:val="0"/>
          <w:sz w:val="24"/>
          <w14:textFill>
            <w14:solidFill>
              <w14:schemeClr w14:val="tx1"/>
            </w14:solidFill>
          </w14:textFill>
        </w:rPr>
      </w:pPr>
    </w:p>
    <w:p>
      <w:pPr>
        <w:spacing w:line="336" w:lineRule="auto"/>
        <w:jc w:val="center"/>
        <w:outlineLvl w:val="0"/>
        <w:rPr>
          <w:rFonts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（7）政府采购供应商廉洁自律承诺书</w:t>
      </w:r>
      <w:r>
        <w:rPr>
          <w:rFonts w:hint="eastAsia" w:cs="仿宋"/>
          <w:color w:val="000000" w:themeColor="text1"/>
          <w14:textFill>
            <w14:solidFill>
              <w14:schemeClr w14:val="tx1"/>
            </w14:solidFill>
          </w14:textFill>
        </w:rPr>
        <w:t>………………………………………… （页码）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pPr>
        <w:pStyle w:val="98"/>
        <w:spacing w:after="120" w:line="336" w:lineRule="auto"/>
        <w:ind w:firstLine="0" w:firstLineChars="0"/>
        <w:rPr>
          <w:rFonts w:hint="eastAsia" w:ascii="仿宋_GB2312" w:hAnsi="仿宋" w:eastAsia="仿宋_GB2312" w:cs="仿宋"/>
          <w:color w:val="000000" w:themeColor="text1"/>
          <w:szCs w:val="24"/>
          <w:lang w:eastAsia="zh-CN"/>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lang w:eastAsia="zh-CN"/>
          <w14:textFill>
            <w14:solidFill>
              <w14:schemeClr w14:val="tx1"/>
            </w14:solidFill>
          </w14:textFill>
        </w:rPr>
        <w:t>绍兴市自然资源和规划局</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u w:val="single"/>
          <w:lang w:eastAsia="zh-CN"/>
          <w14:textFill>
            <w14:solidFill>
              <w14:schemeClr w14:val="tx1"/>
            </w14:solidFill>
          </w14:textFill>
        </w:rPr>
        <w:t>浙江华诚工程管理有限公司</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pPr>
        <w:pStyle w:val="14"/>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pPr>
        <w:pStyle w:val="14"/>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ascii="仿宋_GB2312" w:hAnsi="仿宋" w:eastAsia="仿宋_GB2312" w:cs="仿宋"/>
          <w:color w:val="000000" w:themeColor="text1"/>
          <w:sz w:val="24"/>
          <w14:textFill>
            <w14:solidFill>
              <w14:schemeClr w14:val="tx1"/>
            </w14:solidFill>
          </w14:textFill>
        </w:rPr>
      </w:pPr>
    </w:p>
    <w:p>
      <w:pPr>
        <w:snapToGrid w:val="0"/>
        <w:spacing w:line="336" w:lineRule="auto"/>
        <w:ind w:firstLine="480" w:firstLineChars="200"/>
        <w:jc w:val="left"/>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pageBreakBefore/>
        <w:widowControl/>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pPr>
        <w:jc w:val="center"/>
        <w:rPr>
          <w:rFonts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lang w:eastAsia="zh-CN"/>
          <w14:textFill>
            <w14:solidFill>
              <w14:schemeClr w14:val="tx1"/>
            </w14:solidFill>
          </w14:textFill>
        </w:rPr>
        <w:t>绍兴市自然资源和规划局</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浙江华诚工程管理有限公司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绍兴市1：2000数字线划图（DLG）生产制作更新</w:t>
      </w:r>
      <w:r>
        <w:rPr>
          <w:rFonts w:hint="eastAsia" w:ascii="仿宋_GB2312" w:hAnsi="仿宋" w:eastAsia="仿宋_GB2312" w:cs="仿宋"/>
          <w:color w:val="000000" w:themeColor="text1"/>
          <w:sz w:val="24"/>
          <w:u w:val="single"/>
          <w14:textFill>
            <w14:solidFill>
              <w14:schemeClr w14:val="tx1"/>
            </w14:solidFill>
          </w14:textFill>
        </w:rPr>
        <w:t>项目（招标编号:2024-02-0027）</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法定代表人（签字或盖章）：</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ind w:firstLine="5280" w:firstLineChars="2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pPr>
        <w:ind w:firstLine="4920" w:firstLineChars="2050"/>
        <w:jc w:val="left"/>
        <w:rPr>
          <w:rFonts w:ascii="仿宋_GB2312" w:hAnsi="仿宋" w:eastAsia="仿宋_GB2312" w:cs="仿宋"/>
          <w:color w:val="000000" w:themeColor="text1"/>
          <w:sz w:val="24"/>
          <w14:textFill>
            <w14:solidFill>
              <w14:schemeClr w14:val="tx1"/>
            </w14:solidFill>
          </w14:textFill>
        </w:rPr>
      </w:pPr>
    </w:p>
    <w:p>
      <w:pPr>
        <w:spacing w:line="800" w:lineRule="exact"/>
        <w:rPr>
          <w:rFonts w:ascii="仿宋_GB2312" w:hAnsi="仿宋" w:eastAsia="仿宋_GB2312" w:cs="仿宋"/>
          <w:b/>
          <w:color w:val="000000" w:themeColor="text1"/>
          <w:sz w:val="24"/>
          <w14:textFill>
            <w14:solidFill>
              <w14:schemeClr w14:val="tx1"/>
            </w14:solidFill>
          </w14:textFill>
        </w:rPr>
      </w:pPr>
    </w:p>
    <w:p>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pPr>
        <w:jc w:val="center"/>
        <w:rPr>
          <w:rFonts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single"/>
          <w:lang w:eastAsia="zh-CN"/>
          <w14:textFill>
            <w14:solidFill>
              <w14:schemeClr w14:val="tx1"/>
            </w14:solidFill>
          </w14:textFill>
        </w:rPr>
        <w:t>绍兴市自然资源和规划局</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浙江华诚工程管理有限公司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绍兴市1：2000数字线划图（DLG）生产制作更新</w:t>
      </w:r>
      <w:r>
        <w:rPr>
          <w:rFonts w:hint="eastAsia" w:ascii="仿宋_GB2312" w:hAnsi="仿宋" w:eastAsia="仿宋_GB2312" w:cs="仿宋"/>
          <w:color w:val="000000" w:themeColor="text1"/>
          <w:sz w:val="24"/>
          <w:u w:val="single"/>
          <w14:textFill>
            <w14:solidFill>
              <w14:schemeClr w14:val="tx1"/>
            </w14:solidFill>
          </w14:textFill>
        </w:rPr>
        <w:t>项目（招标编号:2024-02-0027）</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p>
    <w:p>
      <w:pPr>
        <w:rPr>
          <w:rFonts w:ascii="仿宋_GB2312" w:hAnsi="仿宋" w:eastAsia="仿宋_GB2312" w:cs="仿宋"/>
          <w:color w:val="000000" w:themeColor="text1"/>
          <w14:textFill>
            <w14:solidFill>
              <w14:schemeClr w14:val="tx1"/>
            </w14:solidFill>
          </w14:textFill>
        </w:rPr>
      </w:pP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ascii="仿宋_GB2312" w:hAnsi="仿宋" w:eastAsia="仿宋_GB2312" w:cs="仿宋"/>
          <w:b/>
          <w:color w:val="000000" w:themeColor="text1"/>
          <w:kern w:val="0"/>
          <w:sz w:val="32"/>
          <w:szCs w:val="32"/>
          <w:lang w:val="zh-CN"/>
          <w14:textFill>
            <w14:solidFill>
              <w14:schemeClr w14:val="tx1"/>
            </w14:solidFill>
          </w14:textFill>
        </w:rPr>
      </w:pPr>
    </w:p>
    <w:p>
      <w:pPr>
        <w:pageBreakBefore/>
        <w:spacing w:line="80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ascii="仿宋_GB2312" w:hAnsi="仿宋" w:eastAsia="仿宋_GB2312" w:cs="仿宋"/>
          <w:b/>
          <w:color w:val="000000" w:themeColor="text1"/>
          <w:sz w:val="24"/>
          <w14:textFill>
            <w14:solidFill>
              <w14:schemeClr w14:val="tx1"/>
            </w14:solidFill>
          </w14:textFill>
        </w:rPr>
      </w:pPr>
    </w:p>
    <w:p>
      <w:pPr>
        <w:spacing w:line="800" w:lineRule="exact"/>
        <w:rPr>
          <w:rFonts w:ascii="仿宋_GB2312" w:hAnsi="仿宋" w:eastAsia="仿宋_GB2312" w:cs="仿宋"/>
          <w:b/>
          <w:color w:val="000000" w:themeColor="text1"/>
          <w:sz w:val="24"/>
          <w14:textFill>
            <w14:solidFill>
              <w14:schemeClr w14:val="tx1"/>
            </w14:solidFill>
          </w14:textFill>
        </w:rPr>
      </w:pPr>
    </w:p>
    <w:p>
      <w:pPr>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pPr>
        <w:spacing w:line="440" w:lineRule="exact"/>
        <w:rPr>
          <w:rFonts w:ascii="仿宋_GB2312" w:hAnsi="仿宋" w:eastAsia="仿宋_GB2312" w:cs="仿宋"/>
          <w:color w:val="000000" w:themeColor="text1"/>
          <w:sz w:val="24"/>
          <w14:textFill>
            <w14:solidFill>
              <w14:schemeClr w14:val="tx1"/>
            </w14:solidFill>
          </w14:textFill>
        </w:rPr>
      </w:pP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pPr>
        <w:spacing w:line="440" w:lineRule="exact"/>
        <w:ind w:right="480"/>
        <w:rPr>
          <w:rFonts w:ascii="仿宋_GB2312" w:hAnsi="仿宋" w:eastAsia="仿宋_GB2312" w:cs="仿宋"/>
          <w:color w:val="000000" w:themeColor="text1"/>
          <w:sz w:val="24"/>
          <w14:textFill>
            <w14:solidFill>
              <w14:schemeClr w14:val="tx1"/>
            </w14:solidFill>
          </w14:textFill>
        </w:rPr>
      </w:pPr>
    </w:p>
    <w:p>
      <w:pPr>
        <w:spacing w:line="440" w:lineRule="exact"/>
        <w:ind w:right="72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pPr>
        <w:jc w:val="center"/>
        <w:rPr>
          <w:rFonts w:ascii="仿宋_GB2312" w:hAnsi="仿宋" w:eastAsia="仿宋_GB2312" w:cs="仿宋"/>
          <w:b/>
          <w:color w:val="000000" w:themeColor="text1"/>
          <w:kern w:val="0"/>
          <w:sz w:val="32"/>
          <w:szCs w:val="32"/>
          <w14:textFill>
            <w14:solidFill>
              <w14:schemeClr w14:val="tx1"/>
            </w14:solidFill>
          </w14:textFill>
        </w:rPr>
      </w:pPr>
    </w:p>
    <w:p>
      <w:pPr>
        <w:rPr>
          <w:rFonts w:ascii="仿宋_GB2312" w:eastAsia="仿宋_GB2312"/>
          <w:color w:val="000000" w:themeColor="text1"/>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p>
      <w:pPr>
        <w:jc w:val="center"/>
        <w:rPr>
          <w:rFonts w:ascii="仿宋_GB2312" w:hAnsi="仿宋" w:eastAsia="仿宋_GB2312" w:cs="仿宋"/>
          <w:b/>
          <w:color w:val="000000" w:themeColor="text1"/>
          <w:kern w:val="0"/>
          <w:sz w:val="32"/>
          <w:szCs w:val="32"/>
          <w14:textFill>
            <w14:solidFill>
              <w14:schemeClr w14:val="tx1"/>
            </w14:solidFill>
          </w14:textFill>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bl>
    <w:p>
      <w:pPr>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ascii="仿宋_GB2312" w:hAnsi="仿宋" w:eastAsia="仿宋_GB2312" w:cs="仿宋"/>
          <w:b/>
          <w:color w:val="000000" w:themeColor="text1"/>
          <w:kern w:val="0"/>
          <w:sz w:val="32"/>
          <w:szCs w:val="32"/>
          <w14:textFill>
            <w14:solidFill>
              <w14:schemeClr w14:val="tx1"/>
            </w14:solidFill>
          </w14:textFill>
        </w:rPr>
      </w:pP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ind w:firstLine="1911" w:firstLineChars="595"/>
        <w:rPr>
          <w:rFonts w:ascii="仿宋_GB2312" w:hAnsi="仿宋" w:eastAsia="仿宋_GB2312" w:cs="仿宋"/>
          <w:b/>
          <w:bCs/>
          <w:color w:val="000000" w:themeColor="text1"/>
          <w:sz w:val="32"/>
          <w:szCs w:val="32"/>
          <w14:textFill>
            <w14:solidFill>
              <w14:schemeClr w14:val="tx1"/>
            </w14:solidFill>
          </w14:textFill>
        </w:rPr>
      </w:pPr>
    </w:p>
    <w:p>
      <w:pPr>
        <w:widowControl/>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ascii="仿宋_GB2312" w:hAnsi="仿宋" w:eastAsia="仿宋_GB2312" w:cs="仿宋"/>
          <w:color w:val="000000" w:themeColor="text1"/>
          <w:sz w:val="24"/>
          <w14:textFill>
            <w14:solidFill>
              <w14:schemeClr w14:val="tx1"/>
            </w14:solidFill>
          </w14:textFill>
        </w:rPr>
      </w:pPr>
    </w:p>
    <w:p>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绍兴市自然资源和规划局</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浙江华诚工程管理有限公司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pacing w:line="360" w:lineRule="auto"/>
        <w:ind w:left="4620" w:leftChars="2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pPr>
        <w:spacing w:line="360" w:lineRule="auto"/>
        <w:jc w:val="center"/>
        <w:rPr>
          <w:rFonts w:ascii="仿宋_GB2312" w:hAnsi="仿宋" w:eastAsia="仿宋_GB2312" w:cs="仿宋"/>
          <w:b/>
          <w:bCs/>
          <w:color w:val="000000" w:themeColor="text1"/>
          <w:sz w:val="24"/>
          <w14:textFill>
            <w14:solidFill>
              <w14:schemeClr w14:val="tx1"/>
            </w14:solidFill>
          </w14:textFill>
        </w:rPr>
      </w:pP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223"/>
        <w:ind w:firstLine="0"/>
        <w:jc w:val="both"/>
        <w:rPr>
          <w:rFonts w:hAnsi="仿宋_GB2312" w:cs="仿宋_GB2312"/>
          <w:color w:val="000000" w:themeColor="text1"/>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1pt;width:443.5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1pt;width:440.85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141"/>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141"/>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p>
    <w:p>
      <w:pPr>
        <w:pStyle w:val="141"/>
        <w:rPr>
          <w:color w:val="000000" w:themeColor="text1"/>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141"/>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141"/>
        <w:rPr>
          <w:color w:val="000000" w:themeColor="text1"/>
          <w14:textFill>
            <w14:solidFill>
              <w14:schemeClr w14:val="tx1"/>
            </w14:solidFill>
          </w14:textFill>
        </w:rPr>
      </w:pPr>
    </w:p>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pageBreakBefore/>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24"/>
          <w14:textFill>
            <w14:solidFill>
              <w14:schemeClr w14:val="tx1"/>
            </w14:solidFill>
          </w14:textFill>
        </w:rPr>
      </w:pPr>
    </w:p>
    <w:p>
      <w:pPr>
        <w:pStyle w:val="141"/>
        <w:rPr>
          <w:color w:val="000000" w:themeColor="text1"/>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316"/>
        <w:rPr>
          <w:rFonts w:ascii="仿宋_GB2312" w:eastAsia="仿宋_GB2312"/>
          <w:color w:val="000000" w:themeColor="text1"/>
          <w14:textFill>
            <w14:solidFill>
              <w14:schemeClr w14:val="tx1"/>
            </w14:solidFill>
          </w14:textFill>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rPr>
          <w:rFonts w:ascii="仿宋_GB2312" w:hAnsi="仿宋" w:eastAsia="仿宋_GB2312" w:cs="仿宋"/>
          <w:b/>
          <w:color w:val="000000" w:themeColor="text1"/>
          <w:kern w:val="0"/>
          <w:sz w:val="32"/>
          <w:szCs w:val="32"/>
          <w14:textFill>
            <w14:solidFill>
              <w14:schemeClr w14:val="tx1"/>
            </w14:solidFill>
          </w14:textFill>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绍兴市自然资源和规划局</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浙江华诚工程管理有限公司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482"/>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lang w:eastAsia="zh-CN"/>
          <w14:textFill>
            <w14:solidFill>
              <w14:schemeClr w14:val="tx1"/>
            </w14:solidFill>
          </w14:textFill>
        </w:rPr>
        <w:t>绍兴市1：2000数字线划图（DLG）生产制作更新</w:t>
      </w:r>
      <w:r>
        <w:rPr>
          <w:rFonts w:hint="eastAsia" w:ascii="仿宋_GB2312" w:hAnsi="仿宋" w:eastAsia="仿宋_GB2312" w:cs="仿宋"/>
          <w:color w:val="000000" w:themeColor="text1"/>
          <w:sz w:val="24"/>
          <w14:textFill>
            <w14:solidFill>
              <w14:schemeClr w14:val="tx1"/>
            </w14:solidFill>
          </w14:textFill>
        </w:rPr>
        <w:t>项目（招标编号:2024-02-0027）的实施</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名称</w:t>
            </w:r>
          </w:p>
        </w:tc>
        <w:tc>
          <w:tcPr>
            <w:tcW w:w="1843" w:type="dxa"/>
          </w:tcPr>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服务范围</w:t>
            </w:r>
          </w:p>
        </w:tc>
        <w:tc>
          <w:tcPr>
            <w:tcW w:w="2693"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服务要求</w:t>
            </w:r>
          </w:p>
        </w:tc>
        <w:tc>
          <w:tcPr>
            <w:tcW w:w="2410"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服务时间</w:t>
            </w:r>
          </w:p>
        </w:tc>
        <w:tc>
          <w:tcPr>
            <w:tcW w:w="1843"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服务标准</w:t>
            </w:r>
          </w:p>
        </w:tc>
        <w:tc>
          <w:tcPr>
            <w:tcW w:w="1701" w:type="dxa"/>
          </w:tcPr>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服务人数</w:t>
            </w:r>
          </w:p>
        </w:tc>
        <w:tc>
          <w:tcPr>
            <w:tcW w:w="2126"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备注（如果有）</w:t>
            </w:r>
          </w:p>
          <w:p>
            <w:pPr>
              <w:spacing w:line="360" w:lineRule="auto"/>
              <w:jc w:val="center"/>
              <w:rPr>
                <w:rFonts w:ascii="仿宋_GB2312" w:hAnsi="仿宋" w:eastAsia="仿宋_GB2312"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6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410"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701"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126"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6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410"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701"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126"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6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410"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701"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126"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6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410"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701"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2126"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投标报价（小写）</w:t>
            </w:r>
          </w:p>
        </w:tc>
        <w:tc>
          <w:tcPr>
            <w:tcW w:w="8080" w:type="dxa"/>
            <w:gridSpan w:val="4"/>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投标报价（大写）</w:t>
            </w:r>
          </w:p>
        </w:tc>
        <w:tc>
          <w:tcPr>
            <w:tcW w:w="8080" w:type="dxa"/>
            <w:gridSpan w:val="4"/>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bl>
    <w:p>
      <w:pPr>
        <w:snapToGrid w:val="0"/>
        <w:spacing w:line="360" w:lineRule="auto"/>
        <w:ind w:left="480"/>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000000" w:themeColor="text1"/>
          <w:kern w:val="0"/>
          <w:sz w:val="24"/>
          <w14:textFill>
            <w14:solidFill>
              <w14:schemeClr w14:val="tx1"/>
            </w14:solidFill>
          </w14:textFill>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39"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39"/>
    </w:p>
    <w:p>
      <w:pPr>
        <w:widowControl/>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rPr>
          <w:rFonts w:hAnsi="仿宋" w:cs="仿宋"/>
          <w:b/>
          <w:color w:val="000000" w:themeColor="text1"/>
          <w14:textFill>
            <w14:solidFill>
              <w14:schemeClr w14:val="tx1"/>
            </w14:solidFill>
          </w14:textFill>
        </w:rPr>
      </w:pPr>
    </w:p>
    <w:p>
      <w:pPr>
        <w:pStyle w:val="316"/>
        <w:rPr>
          <w:rFonts w:ascii="仿宋_GB2312" w:hAnsi="仿宋" w:eastAsia="仿宋_GB2312" w:cs="仿宋"/>
          <w:b/>
          <w:color w:val="000000" w:themeColor="text1"/>
          <w:sz w:val="24"/>
          <w14:textFill>
            <w14:solidFill>
              <w14:schemeClr w14:val="tx1"/>
            </w14:solidFill>
          </w14:textFill>
        </w:rPr>
      </w:pPr>
    </w:p>
    <w:p>
      <w:pPr>
        <w:rPr>
          <w:rFonts w:ascii="仿宋_GB2312" w:hAnsi="仿宋" w:eastAsia="仿宋_GB2312" w:cs="仿宋"/>
          <w:b/>
          <w:color w:val="000000" w:themeColor="text1"/>
          <w:sz w:val="24"/>
          <w14:textFill>
            <w14:solidFill>
              <w14:schemeClr w14:val="tx1"/>
            </w14:solidFill>
          </w14:textFill>
        </w:rPr>
      </w:pPr>
    </w:p>
    <w:p>
      <w:pPr>
        <w:pStyle w:val="141"/>
        <w:rPr>
          <w:rFonts w:hAnsi="仿宋" w:cs="仿宋"/>
          <w:b/>
          <w:color w:val="000000" w:themeColor="text1"/>
          <w14:textFill>
            <w14:solidFill>
              <w14:schemeClr w14:val="tx1"/>
            </w14:solidFill>
          </w14:textFill>
        </w:rPr>
      </w:pPr>
    </w:p>
    <w:p>
      <w:pPr>
        <w:pStyle w:val="316"/>
        <w:rPr>
          <w:rFonts w:ascii="仿宋_GB2312" w:eastAsia="仿宋_GB2312"/>
          <w:color w:val="000000" w:themeColor="text1"/>
          <w14:textFill>
            <w14:solidFill>
              <w14:schemeClr w14:val="tx1"/>
            </w14:solidFill>
          </w14:textFill>
        </w:rPr>
      </w:pPr>
    </w:p>
    <w:p>
      <w:pPr>
        <w:pStyle w:val="316"/>
        <w:rPr>
          <w:rFonts w:ascii="仿宋_GB2312" w:eastAsia="仿宋_GB2312"/>
          <w:color w:val="000000" w:themeColor="text1"/>
          <w14:textFill>
            <w14:solidFill>
              <w14:schemeClr w14:val="tx1"/>
            </w14:solidFill>
          </w14:textFill>
        </w:rPr>
      </w:pPr>
    </w:p>
    <w:p>
      <w:pPr>
        <w:widowControl/>
        <w:spacing w:line="360" w:lineRule="auto"/>
        <w:ind w:firstLine="161" w:firstLineChars="50"/>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pPr>
        <w:pStyle w:val="141"/>
        <w:widowControl/>
        <w:spacing w:line="360" w:lineRule="auto"/>
        <w:ind w:firstLine="120" w:firstLineChars="50"/>
        <w:rPr>
          <w:rFonts w:hAnsi="仿宋" w:cs="仿宋"/>
          <w:b/>
          <w:color w:val="000000" w:themeColor="text1"/>
          <w14:textFill>
            <w14:solidFill>
              <w14:schemeClr w14:val="tx1"/>
            </w14:solidFill>
          </w14:textFill>
        </w:rPr>
      </w:pPr>
    </w:p>
    <w:p>
      <w:pPr>
        <w:pStyle w:val="316"/>
        <w:spacing w:line="360" w:lineRule="auto"/>
        <w:ind w:left="0" w:firstLine="120" w:firstLineChars="50"/>
        <w:jc w:val="left"/>
        <w:rPr>
          <w:rFonts w:ascii="仿宋_GB2312" w:hAnsi="仿宋" w:eastAsia="仿宋_GB2312" w:cs="仿宋"/>
          <w:b/>
          <w:color w:val="000000" w:themeColor="text1"/>
          <w:sz w:val="24"/>
          <w14:textFill>
            <w14:solidFill>
              <w14:schemeClr w14:val="tx1"/>
            </w14:solidFill>
          </w14:textFill>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000000" w:themeColor="text1"/>
          <w:sz w:val="32"/>
          <w:szCs w:val="32"/>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pStyle w:val="2"/>
        <w:keepNext w:val="0"/>
        <w:keepLines w:val="0"/>
        <w:pageBreakBefore/>
        <w:widowControl/>
        <w:numPr>
          <w:ilvl w:val="0"/>
          <w:numId w:val="0"/>
        </w:numPr>
        <w:spacing w:before="100" w:beforeAutospacing="1" w:after="100" w:afterAutospacing="1" w:line="360" w:lineRule="auto"/>
        <w:jc w:val="center"/>
        <w:rPr>
          <w:rFonts w:ascii="仿宋_GB2312" w:hAnsi="仿宋" w:cs="仿宋"/>
          <w:color w:val="000000" w:themeColor="text1"/>
          <w14:textFill>
            <w14:solidFill>
              <w14:schemeClr w14:val="tx1"/>
            </w14:solidFill>
          </w14:textFill>
        </w:rPr>
      </w:pPr>
      <w:bookmarkStart w:id="140" w:name="_Toc465665161"/>
      <w:bookmarkStart w:id="145" w:name="_GoBack"/>
      <w:bookmarkEnd w:id="145"/>
      <w:r>
        <w:rPr>
          <w:rFonts w:hint="eastAsia" w:ascii="仿宋_GB2312" w:hAnsi="仿宋" w:cs="仿宋"/>
          <w:color w:val="000000" w:themeColor="text1"/>
          <w14:textFill>
            <w14:solidFill>
              <w14:schemeClr w14:val="tx1"/>
            </w14:solidFill>
          </w14:textFill>
        </w:rPr>
        <w:t>附件</w:t>
      </w:r>
      <w:bookmarkEnd w:id="140"/>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pPr>
        <w:snapToGrid w:val="0"/>
        <w:spacing w:beforeLines="100"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jc w:val="center"/>
        <w:rPr>
          <w:rFonts w:ascii="仿宋_GB2312" w:hAnsi="仿宋" w:eastAsia="仿宋_GB2312" w:cs="仿宋"/>
          <w:b/>
          <w:bCs/>
          <w:color w:val="000000" w:themeColor="text1"/>
          <w:sz w:val="24"/>
          <w14:textFill>
            <w14:solidFill>
              <w14:schemeClr w14:val="tx1"/>
            </w14:solidFill>
          </w14:textFill>
        </w:rPr>
      </w:pPr>
    </w:p>
    <w:p>
      <w:pPr>
        <w:spacing w:line="360" w:lineRule="auto"/>
        <w:rPr>
          <w:rFonts w:ascii="仿宋_GB2312" w:hAnsi="仿宋" w:eastAsia="仿宋_GB2312" w:cs="仿宋"/>
          <w:b/>
          <w:color w:val="000000" w:themeColor="text1"/>
          <w:sz w:val="24"/>
          <w14:textFill>
            <w14:solidFill>
              <w14:schemeClr w14:val="tx1"/>
            </w14:solidFill>
          </w14:textFill>
        </w:rPr>
      </w:pPr>
    </w:p>
    <w:p>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000000" w:themeColor="text1"/>
          <w:sz w:val="30"/>
          <w:szCs w:val="30"/>
          <w14:textFill>
            <w14:solidFill>
              <w14:schemeClr w14:val="tx1"/>
            </w14:solidFill>
          </w14:textFill>
        </w:rPr>
      </w:pP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tabs>
          <w:tab w:val="left" w:pos="6510"/>
        </w:tabs>
        <w:spacing w:line="360" w:lineRule="auto"/>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tabs>
          <w:tab w:val="left" w:pos="6510"/>
        </w:tabs>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pPr>
        <w:spacing w:line="360" w:lineRule="auto"/>
        <w:ind w:firstLine="480" w:firstLineChars="200"/>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rPr>
          <w:rFonts w:ascii="仿宋_GB2312" w:hAnsi="仿宋" w:eastAsia="仿宋_GB2312" w:cs="仿宋"/>
          <w:b/>
          <w:color w:val="000000" w:themeColor="text1"/>
          <w:sz w:val="24"/>
          <w14:textFill>
            <w14:solidFill>
              <w14:schemeClr w14:val="tx1"/>
            </w14:solidFill>
          </w14:textFill>
        </w:rPr>
      </w:pPr>
    </w:p>
    <w:p>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pPr>
        <w:widowControl/>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pPr>
        <w:spacing w:line="360" w:lineRule="auto"/>
        <w:rPr>
          <w:rFonts w:ascii="仿宋_GB2312" w:hAnsi="仿宋" w:eastAsia="仿宋_GB2312" w:cs="仿宋"/>
          <w:color w:val="000000" w:themeColor="text1"/>
          <w:sz w:val="24"/>
          <w:u w:val="single"/>
          <w14:textFill>
            <w14:solidFill>
              <w14:schemeClr w14:val="tx1"/>
            </w14:solidFill>
          </w14:textFill>
        </w:rPr>
      </w:pP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pPr>
        <w:spacing w:line="360" w:lineRule="auto"/>
        <w:ind w:firstLine="494"/>
        <w:rPr>
          <w:rFonts w:ascii="仿宋_GB2312" w:hAnsi="仿宋" w:eastAsia="仿宋_GB2312" w:cs="仿宋"/>
          <w:color w:val="000000" w:themeColor="text1"/>
          <w:sz w:val="24"/>
          <w14:textFill>
            <w14:solidFill>
              <w14:schemeClr w14:val="tx1"/>
            </w14:solidFill>
          </w14:textFill>
        </w:rPr>
      </w:pPr>
    </w:p>
    <w:p>
      <w:pPr>
        <w:spacing w:line="360" w:lineRule="auto"/>
        <w:ind w:firstLine="494"/>
        <w:rPr>
          <w:rFonts w:ascii="仿宋_GB2312" w:hAnsi="仿宋" w:eastAsia="仿宋_GB2312" w:cs="仿宋"/>
          <w:color w:val="000000" w:themeColor="text1"/>
          <w:sz w:val="24"/>
          <w14:textFill>
            <w14:solidFill>
              <w14:schemeClr w14:val="tx1"/>
            </w14:solidFill>
          </w14:textFill>
        </w:rPr>
      </w:pPr>
    </w:p>
    <w:p>
      <w:pPr>
        <w:spacing w:line="360" w:lineRule="auto"/>
        <w:ind w:firstLine="494"/>
        <w:rPr>
          <w:rFonts w:ascii="仿宋_GB2312" w:hAnsi="仿宋" w:eastAsia="仿宋_GB2312" w:cs="仿宋"/>
          <w:color w:val="000000" w:themeColor="text1"/>
          <w:sz w:val="24"/>
          <w14:textFill>
            <w14:solidFill>
              <w14:schemeClr w14:val="tx1"/>
            </w14:solidFill>
          </w14:textFill>
        </w:rPr>
      </w:pPr>
    </w:p>
    <w:p>
      <w:pPr>
        <w:spacing w:line="360" w:lineRule="auto"/>
        <w:ind w:right="480" w:firstLine="4080" w:firstLineChars="17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pPr>
        <w:ind w:right="1440" w:firstLine="494"/>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141"/>
        <w:rPr>
          <w:color w:val="000000" w:themeColor="text1"/>
          <w14:textFill>
            <w14:solidFill>
              <w14:schemeClr w14:val="tx1"/>
            </w14:solidFill>
          </w14:textFill>
        </w:rPr>
      </w:pPr>
    </w:p>
    <w:p>
      <w:pP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pPr>
        <w:spacing w:line="360" w:lineRule="auto"/>
        <w:rPr>
          <w:rFonts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adjustRightInd w:val="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pPr>
        <w:widowControl/>
        <w:spacing w:line="42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pPr>
        <w:snapToGrid w:val="0"/>
        <w:spacing w:line="42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w:t>
      </w:r>
      <w:bookmarkStart w:id="141" w:name="_Hlk101131882"/>
      <w:r>
        <w:rPr>
          <w:rFonts w:hint="eastAsia" w:ascii="仿宋_GB2312" w:hAnsi="仿宋" w:eastAsia="仿宋_GB2312" w:cs="仿宋"/>
          <w:color w:val="000000" w:themeColor="text1"/>
          <w:kern w:val="0"/>
          <w:sz w:val="24"/>
          <w:u w:val="single"/>
          <w14:textFill>
            <w14:solidFill>
              <w14:schemeClr w14:val="tx1"/>
            </w14:solidFill>
          </w14:textFill>
        </w:rPr>
        <w:t>联合体成员X,……</w:t>
      </w:r>
      <w:bookmarkEnd w:id="141"/>
      <w:r>
        <w:rPr>
          <w:rFonts w:hint="eastAsia" w:ascii="仿宋_GB2312" w:hAnsi="仿宋" w:eastAsia="仿宋_GB2312" w:cs="仿宋"/>
          <w:color w:val="000000" w:themeColor="text1"/>
          <w:kern w:val="0"/>
          <w:sz w:val="24"/>
          <w:u w:val="single"/>
          <w14:textFill>
            <w14:solidFill>
              <w14:schemeClr w14:val="tx1"/>
            </w14:solidFill>
          </w14:textFill>
        </w:rPr>
        <w:t>）</w:t>
      </w:r>
      <w:r>
        <w:rPr>
          <w:rFonts w:hint="eastAsia" w:ascii="仿宋_GB2312" w:hAnsi="仿宋" w:eastAsia="仿宋_GB2312" w:cs="仿宋"/>
          <w:color w:val="000000" w:themeColor="text1"/>
          <w:kern w:val="0"/>
          <w:sz w:val="24"/>
          <w14:textFill>
            <w14:solidFill>
              <w14:schemeClr w14:val="tx1"/>
            </w14:solidFill>
          </w14:textFill>
        </w:rPr>
        <w:t>提供的服务由小微企业承接，其合同份额占到合同总金额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w:t>
      </w:r>
      <w:bookmarkStart w:id="142" w:name="_Hlk101133598"/>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bookmarkEnd w:id="142"/>
      <w:r>
        <w:rPr>
          <w:rFonts w:hint="eastAsia" w:ascii="仿宋_GB2312" w:hAnsi="仿宋" w:eastAsia="仿宋_GB2312" w:cs="仿宋"/>
          <w:b/>
          <w:color w:val="000000" w:themeColor="text1"/>
          <w:kern w:val="0"/>
          <w:sz w:val="24"/>
          <w:lang w:val="zh-CN"/>
          <w14:textFill>
            <w14:solidFill>
              <w14:schemeClr w14:val="tx1"/>
            </w14:solidFill>
          </w14:textFill>
        </w:rPr>
        <w:t>）</w:t>
      </w:r>
    </w:p>
    <w:p>
      <w:pPr>
        <w:spacing w:line="42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pageBreakBefore/>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pPr>
        <w:widowControl/>
        <w:spacing w:line="440" w:lineRule="exact"/>
        <w:ind w:firstLine="120" w:firstLineChars="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（分包供应商2名称），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pPr>
        <w:snapToGrid w:val="0"/>
        <w:spacing w:line="440" w:lineRule="exact"/>
        <w:ind w:firstLine="576"/>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pPr>
        <w:spacing w:line="440" w:lineRule="exac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lang w:val="zh-CN"/>
          <w14:textFill>
            <w14:solidFill>
              <w14:schemeClr w14:val="tx1"/>
            </w14:solidFill>
          </w14:textFill>
        </w:rPr>
        <w:t xml:space="preserve"> </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pPr>
        <w:snapToGrid w:val="0"/>
        <w:spacing w:line="44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（分包供应商X,……）提供的服务全部由小微企业承接，</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pacing w:line="44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pPr>
        <w:snapToGrid w:val="0"/>
        <w:spacing w:line="440" w:lineRule="exact"/>
        <w:ind w:firstLine="576"/>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八、其他</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 </w:t>
      </w:r>
    </w:p>
    <w:p>
      <w:pPr>
        <w:snapToGrid w:val="0"/>
        <w:spacing w:line="360" w:lineRule="auto"/>
        <w:ind w:left="5758" w:leftChars="342" w:hanging="5040" w:hanging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wordWrap w:val="0"/>
        <w:snapToGrid w:val="0"/>
        <w:spacing w:line="360" w:lineRule="auto"/>
        <w:ind w:left="5758" w:leftChars="342" w:hanging="5040" w:hangingChars="2100"/>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投标人名称(电子签名)：        </w:t>
      </w:r>
    </w:p>
    <w:p>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pStyle w:val="141"/>
        <w:rPr>
          <w:rFonts w:hAnsi="仿宋" w:cs="仿宋"/>
          <w:b/>
          <w:color w:val="000000" w:themeColor="text1"/>
          <w:spacing w:val="6"/>
          <w:sz w:val="32"/>
          <w:szCs w:val="32"/>
          <w14:textFill>
            <w14:solidFill>
              <w14:schemeClr w14:val="tx1"/>
            </w14:solidFill>
          </w14:textFill>
        </w:rPr>
      </w:pPr>
    </w:p>
    <w:p>
      <w:pPr>
        <w:pStyle w:val="316"/>
        <w:rPr>
          <w:rFonts w:ascii="仿宋_GB2312" w:hAnsi="仿宋" w:eastAsia="仿宋_GB2312" w:cs="仿宋"/>
          <w:b/>
          <w:color w:val="000000" w:themeColor="text1"/>
          <w:spacing w:val="6"/>
          <w:sz w:val="32"/>
          <w:szCs w:val="32"/>
          <w14:textFill>
            <w14:solidFill>
              <w14:schemeClr w14:val="tx1"/>
            </w14:solidFill>
          </w14:textFill>
        </w:rPr>
      </w:pPr>
    </w:p>
    <w:p>
      <w:pPr>
        <w:rPr>
          <w:rFonts w:ascii="仿宋_GB2312" w:hAnsi="仿宋" w:eastAsia="仿宋_GB2312" w:cs="仿宋"/>
          <w:b/>
          <w:color w:val="000000" w:themeColor="text1"/>
          <w:spacing w:val="6"/>
          <w:sz w:val="32"/>
          <w:szCs w:val="32"/>
          <w14:textFill>
            <w14:solidFill>
              <w14:schemeClr w14:val="tx1"/>
            </w14:solidFill>
          </w14:textFill>
        </w:rPr>
      </w:pPr>
    </w:p>
    <w:p>
      <w:pPr>
        <w:pStyle w:val="141"/>
        <w:rPr>
          <w:rFonts w:hAnsi="仿宋" w:cs="仿宋"/>
          <w:b/>
          <w:color w:val="000000" w:themeColor="text1"/>
          <w:spacing w:val="6"/>
          <w:sz w:val="32"/>
          <w:szCs w:val="32"/>
          <w14:textFill>
            <w14:solidFill>
              <w14:schemeClr w14:val="tx1"/>
            </w14:solidFill>
          </w14:textFill>
        </w:rPr>
      </w:pPr>
    </w:p>
    <w:p>
      <w:pPr>
        <w:pStyle w:val="316"/>
        <w:rPr>
          <w:rFonts w:ascii="仿宋_GB2312" w:eastAsia="仿宋_GB2312"/>
          <w:color w:val="000000" w:themeColor="text1"/>
          <w14:textFill>
            <w14:solidFill>
              <w14:schemeClr w14:val="tx1"/>
            </w14:solidFill>
          </w14:textFill>
        </w:rPr>
      </w:pPr>
    </w:p>
    <w:p>
      <w:pPr>
        <w:spacing w:line="360" w:lineRule="auto"/>
        <w:rPr>
          <w:rFonts w:ascii="仿宋_GB2312" w:hAnsi="仿宋" w:eastAsia="仿宋_GB2312" w:cs="仿宋"/>
          <w:b/>
          <w:color w:val="000000" w:themeColor="text1"/>
          <w:spacing w:val="6"/>
          <w:sz w:val="32"/>
          <w:szCs w:val="32"/>
          <w14:textFill>
            <w14:solidFill>
              <w14:schemeClr w14:val="tx1"/>
            </w14:solidFill>
          </w14:textFill>
        </w:rPr>
      </w:pPr>
      <w:bookmarkStart w:id="143" w:name="OLE_LINK14"/>
      <w:bookmarkStart w:id="144" w:name="OLE_LINK13"/>
    </w:p>
    <w:p>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附件6：残疾人福利性单位声明函</w:t>
      </w:r>
    </w:p>
    <w:bookmarkEnd w:id="143"/>
    <w:bookmarkEnd w:id="144"/>
    <w:p>
      <w:pPr>
        <w:spacing w:line="360" w:lineRule="auto"/>
        <w:rPr>
          <w:rFonts w:ascii="仿宋_GB2312" w:hAnsi="仿宋" w:eastAsia="仿宋_GB2312" w:cs="仿宋"/>
          <w:b/>
          <w:color w:val="000000" w:themeColor="text1"/>
          <w:spacing w:val="6"/>
          <w:sz w:val="30"/>
          <w:szCs w:val="30"/>
          <w14:textFill>
            <w14:solidFill>
              <w14:schemeClr w14:val="tx1"/>
            </w14:solidFill>
          </w14:textFill>
        </w:rPr>
      </w:pP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r>
        <w:rPr>
          <w:rFonts w:hint="eastAsia" w:ascii="仿宋_GB2312" w:hAnsi="仿宋" w:eastAsia="仿宋_GB2312" w:cs="仿宋"/>
          <w:b/>
          <w:color w:val="000000" w:themeColor="text1"/>
          <w:kern w:val="0"/>
          <w:sz w:val="32"/>
          <w:szCs w:val="32"/>
          <w14:textFill>
            <w14:solidFill>
              <w14:schemeClr w14:val="tx1"/>
            </w14:solidFill>
          </w14:textFill>
        </w:rPr>
        <w:t>中小企业声明函</w:t>
      </w:r>
    </w:p>
    <w:p>
      <w:pPr>
        <w:spacing w:line="360" w:lineRule="auto"/>
        <w:jc w:val="center"/>
        <w:rPr>
          <w:rFonts w:ascii="仿宋_GB2312" w:hAnsi="仿宋" w:eastAsia="仿宋_GB2312" w:cs="仿宋"/>
          <w:color w:val="000000" w:themeColor="text1"/>
          <w:sz w:val="24"/>
          <w:u w:val="single"/>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中小企业声明函（服务）</w:t>
      </w:r>
    </w:p>
    <w:p>
      <w:pPr>
        <w:spacing w:line="360" w:lineRule="auto"/>
        <w:ind w:firstLine="360" w:firstLineChars="1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的</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，属于</w:t>
      </w:r>
      <w:r>
        <w:rPr>
          <w:rFonts w:hint="eastAsia" w:ascii="仿宋_GB2312" w:hAnsi="仿宋" w:eastAsia="仿宋_GB2312" w:cs="仿宋"/>
          <w:color w:val="000000" w:themeColor="text1"/>
          <w:sz w:val="24"/>
          <w:u w:val="single"/>
          <w14:textFill>
            <w14:solidFill>
              <w14:schemeClr w14:val="tx1"/>
            </w14:solidFill>
          </w14:textFill>
        </w:rPr>
        <w:t xml:space="preserve"> （采购文件中明确的所属行业）</w:t>
      </w:r>
      <w:r>
        <w:rPr>
          <w:rFonts w:hint="eastAsia" w:ascii="仿宋_GB2312" w:hAnsi="仿宋" w:eastAsia="仿宋_GB2312" w:cs="仿宋"/>
          <w:color w:val="000000" w:themeColor="text1"/>
          <w:sz w:val="24"/>
          <w14:textFill>
            <w14:solidFill>
              <w14:schemeClr w14:val="tx1"/>
            </w14:solidFill>
          </w14:textFill>
        </w:rPr>
        <w:t xml:space="preserve"> ；承建（承接）企业为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sz w:val="24"/>
          <w:u w:val="single"/>
          <w14:textFill>
            <w14:solidFill>
              <w14:schemeClr w14:val="tx1"/>
            </w14:solidFill>
          </w14:textFill>
        </w:rPr>
        <w:t xml:space="preserve"> （标的名称），</w:t>
      </w:r>
      <w:r>
        <w:rPr>
          <w:rFonts w:hint="eastAsia" w:ascii="仿宋_GB2312" w:hAnsi="仿宋" w:eastAsia="仿宋_GB2312" w:cs="仿宋"/>
          <w:color w:val="000000" w:themeColor="text1"/>
          <w:sz w:val="24"/>
          <w14:textFill>
            <w14:solidFill>
              <w14:schemeClr w14:val="tx1"/>
            </w14:solidFill>
          </w14:textFill>
        </w:rPr>
        <w:t xml:space="preserve">属于 </w:t>
      </w:r>
      <w:r>
        <w:rPr>
          <w:rFonts w:hint="eastAsia" w:ascii="仿宋_GB2312" w:hAnsi="仿宋" w:eastAsia="仿宋_GB2312" w:cs="仿宋"/>
          <w:color w:val="000000" w:themeColor="text1"/>
          <w:sz w:val="24"/>
          <w:u w:val="single"/>
          <w14:textFill>
            <w14:solidFill>
              <w14:schemeClr w14:val="tx1"/>
            </w14:solidFill>
          </w14:textFill>
        </w:rPr>
        <w:t xml:space="preserve">（采购文件中明确的所属行业） </w:t>
      </w:r>
      <w:r>
        <w:rPr>
          <w:rFonts w:hint="eastAsia" w:ascii="仿宋_GB2312" w:hAnsi="仿宋" w:eastAsia="仿宋_GB2312" w:cs="仿宋"/>
          <w:color w:val="000000" w:themeColor="text1"/>
          <w:sz w:val="24"/>
          <w14:textFill>
            <w14:solidFill>
              <w14:schemeClr w14:val="tx1"/>
            </w14:solidFill>
          </w14:textFill>
        </w:rPr>
        <w:t xml:space="preserve">；承建（承接）企业为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pPr>
        <w:spacing w:line="360" w:lineRule="auto"/>
        <w:ind w:right="176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投标人名称（电子签名）：</w:t>
      </w:r>
    </w:p>
    <w:p>
      <w:pPr>
        <w:spacing w:line="360" w:lineRule="auto"/>
        <w:ind w:right="1120" w:firstLine="4680" w:firstLineChars="19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 期：</w:t>
      </w:r>
    </w:p>
    <w:p>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p>
    <w:p>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r>
        <w:rPr>
          <w:rFonts w:hint="eastAsia" w:ascii="仿宋_GB2312" w:hAnsi="仿宋" w:eastAsia="仿宋_GB2312" w:cs="仿宋"/>
          <w:b/>
          <w:color w:val="000000" w:themeColor="text1"/>
          <w:szCs w:val="21"/>
          <w14:textFill>
            <w14:solidFill>
              <w14:schemeClr w14:val="tx1"/>
            </w14:solidFill>
          </w14:textFill>
        </w:rPr>
        <w:t>从业人员、营业收入、资产总额填报上一年度数据，无上一年度数据的新成立企业可不填报。</w:t>
      </w:r>
    </w:p>
    <w:p>
      <w:pPr>
        <w:spacing w:line="360" w:lineRule="auto"/>
        <w:ind w:right="420"/>
        <w:rPr>
          <w:rFonts w:ascii="仿宋_GB2312" w:hAnsi="仿宋" w:eastAsia="仿宋_GB2312" w:cs="仿宋"/>
          <w:color w:val="000000" w:themeColor="text1"/>
          <w:sz w:val="24"/>
          <w14:textFill>
            <w14:solidFill>
              <w14:schemeClr w14:val="tx1"/>
            </w14:solidFill>
          </w14:textFill>
        </w:rPr>
      </w:pP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注：</w:t>
      </w:r>
    </w:p>
    <w:p>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pPr>
        <w:pStyle w:val="24"/>
        <w:spacing w:line="240" w:lineRule="auto"/>
        <w:rPr>
          <w:rFonts w:ascii="仿宋_GB2312"/>
          <w:color w:val="000000" w:themeColor="text1"/>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pPr>
        <w:widowControl/>
        <w:jc w:val="left"/>
        <w:rPr>
          <w:rFonts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pPr>
        <w:widowControl/>
        <w:jc w:val="left"/>
        <w:rPr>
          <w:rFonts w:ascii="仿宋_GB2312" w:hAnsi="仿宋" w:eastAsia="仿宋_GB2312" w:cs="仿宋"/>
          <w:color w:val="000000" w:themeColor="text1"/>
          <w:kern w:val="0"/>
          <w:sz w:val="24"/>
          <w14:textFill>
            <w14:solidFill>
              <w14:schemeClr w14:val="tx1"/>
            </w14:solidFill>
          </w14:textFill>
        </w:rPr>
      </w:pPr>
    </w:p>
    <w:p>
      <w:pPr>
        <w:widowControl/>
        <w:jc w:val="left"/>
        <w:rPr>
          <w:rFonts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000000" w:themeColor="text1"/>
          <w:kern w:val="0"/>
          <w:sz w:val="18"/>
          <w:szCs w:val="18"/>
          <w14:textFill>
            <w14:solidFill>
              <w14:schemeClr w14:val="tx1"/>
            </w14:solidFill>
          </w14:textFill>
        </w:rPr>
      </w:pPr>
    </w:p>
    <w:p>
      <w:pPr>
        <w:widowControl/>
        <w:jc w:val="left"/>
        <w:rPr>
          <w:rFonts w:ascii="仿宋_GB2312" w:hAnsi="仿宋" w:eastAsia="仿宋_GB2312" w:cs="仿宋"/>
          <w:color w:val="000000" w:themeColor="text1"/>
          <w:kern w:val="0"/>
          <w:sz w:val="18"/>
          <w:szCs w:val="18"/>
          <w14:textFill>
            <w14:solidFill>
              <w14:schemeClr w14:val="tx1"/>
            </w14:solidFill>
          </w14:textFill>
        </w:rPr>
      </w:pPr>
    </w:p>
    <w:p>
      <w:pPr>
        <w:widowControl/>
        <w:jc w:val="left"/>
        <w:rPr>
          <w:rFonts w:ascii="仿宋_GB2312" w:hAnsi="仿宋" w:eastAsia="仿宋_GB2312"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pPr>
        <w:spacing w:line="360" w:lineRule="auto"/>
        <w:rPr>
          <w:rFonts w:ascii="仿宋_GB2312" w:hAnsi="仿宋" w:eastAsia="仿宋_GB2312" w:cs="仿宋"/>
          <w:color w:val="000000" w:themeColor="text1"/>
          <w:sz w:val="24"/>
          <w14:textFill>
            <w14:solidFill>
              <w14:schemeClr w14:val="tx1"/>
            </w14:solidFill>
          </w14:textFill>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VBTYM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W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UFNg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jec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zCN5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lh4NMg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I6&#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YeDT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default" w:eastAsia="宋体"/>
        <w:lang w:val="en-US" w:eastAsia="zh-CN"/>
      </w:rPr>
    </w:pPr>
    <w:r>
      <w:rPr>
        <w:rFonts w:hint="eastAsia"/>
        <w:lang w:eastAsia="zh-CN"/>
      </w:rPr>
      <w:t>浙江华诚工程管理有限公司</w:t>
    </w:r>
    <w:r>
      <w:rPr>
        <w:rFonts w:hint="eastAsia"/>
      </w:rPr>
      <w:t xml:space="preserve">                                招标文件招标编号</w:t>
    </w:r>
    <w:r>
      <w:rPr>
        <w:rFonts w:hint="eastAsia"/>
        <w:lang w:eastAsia="zh-CN"/>
      </w:rPr>
      <w:t xml:space="preserve">：CGSHZJ-2024-N000975-1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E11BCC"/>
    <w:multiLevelType w:val="singleLevel"/>
    <w:tmpl w:val="FBE11BCC"/>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503DEB6"/>
    <w:multiLevelType w:val="singleLevel"/>
    <w:tmpl w:val="0503DEB6"/>
    <w:lvl w:ilvl="0" w:tentative="0">
      <w:start w:val="2"/>
      <w:numFmt w:val="decimal"/>
      <w:suff w:val="nothing"/>
      <w:lvlText w:val="（%1）"/>
      <w:lvlJc w:val="left"/>
    </w:lvl>
  </w:abstractNum>
  <w:abstractNum w:abstractNumId="6">
    <w:nsid w:val="08DA4A9B"/>
    <w:multiLevelType w:val="multilevel"/>
    <w:tmpl w:val="08DA4A9B"/>
    <w:lvl w:ilvl="0" w:tentative="0">
      <w:start w:val="1"/>
      <w:numFmt w:val="decimal"/>
      <w:lvlText w:val="（%1）"/>
      <w:lvlJc w:val="left"/>
      <w:pPr>
        <w:ind w:left="3114" w:hanging="4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0D331171"/>
    <w:multiLevelType w:val="multilevel"/>
    <w:tmpl w:val="0D331171"/>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3B65511E"/>
    <w:multiLevelType w:val="singleLevel"/>
    <w:tmpl w:val="3B65511E"/>
    <w:lvl w:ilvl="0" w:tentative="0">
      <w:start w:val="1"/>
      <w:numFmt w:val="decimal"/>
      <w:lvlText w:val="（%1）"/>
      <w:lvlJc w:val="left"/>
      <w:pPr>
        <w:ind w:left="920" w:hanging="440"/>
      </w:pPr>
      <w:rPr>
        <w:rFonts w:hint="eastAsia"/>
      </w:rPr>
    </w:lvl>
  </w:abstractNum>
  <w:abstractNum w:abstractNumId="9">
    <w:nsid w:val="573B2955"/>
    <w:multiLevelType w:val="singleLevel"/>
    <w:tmpl w:val="573B2955"/>
    <w:lvl w:ilvl="0" w:tentative="0">
      <w:start w:val="1"/>
      <w:numFmt w:val="decimal"/>
      <w:suff w:val="nothing"/>
      <w:lvlText w:val="%1、"/>
      <w:lvlJc w:val="left"/>
    </w:lvl>
  </w:abstractNum>
  <w:abstractNum w:abstractNumId="10">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11">
    <w:nsid w:val="68ED2974"/>
    <w:multiLevelType w:val="singleLevel"/>
    <w:tmpl w:val="68ED2974"/>
    <w:lvl w:ilvl="0" w:tentative="0">
      <w:start w:val="1"/>
      <w:numFmt w:val="decimal"/>
      <w:suff w:val="nothing"/>
      <w:lvlText w:val="%1、"/>
      <w:lvlJc w:val="left"/>
    </w:lvl>
  </w:abstractNum>
  <w:abstractNum w:abstractNumId="12">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3">
    <w:nsid w:val="763F1430"/>
    <w:multiLevelType w:val="multilevel"/>
    <w:tmpl w:val="763F1430"/>
    <w:lvl w:ilvl="0" w:tentative="0">
      <w:start w:val="1"/>
      <w:numFmt w:val="decimal"/>
      <w:lvlText w:val="（%1）"/>
      <w:lvlJc w:val="left"/>
      <w:pPr>
        <w:ind w:left="92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0"/>
  </w:num>
  <w:num w:numId="2">
    <w:abstractNumId w:val="3"/>
  </w:num>
  <w:num w:numId="3">
    <w:abstractNumId w:val="2"/>
  </w:num>
  <w:num w:numId="4">
    <w:abstractNumId w:val="12"/>
  </w:num>
  <w:num w:numId="5">
    <w:abstractNumId w:val="1"/>
  </w:num>
  <w:num w:numId="6">
    <w:abstractNumId w:val="6"/>
  </w:num>
  <w:num w:numId="7">
    <w:abstractNumId w:val="0"/>
  </w:num>
  <w:num w:numId="8">
    <w:abstractNumId w:val="5"/>
  </w:num>
  <w:num w:numId="9">
    <w:abstractNumId w:val="13"/>
  </w:num>
  <w:num w:numId="10">
    <w:abstractNumId w:val="11"/>
  </w:num>
  <w:num w:numId="11">
    <w:abstractNumId w:val="7"/>
  </w:num>
  <w:num w:numId="12">
    <w:abstractNumId w:val="9"/>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NDk2ODE4YzI5MzRlZTJjOGM3MDlkZDg5NWFmM2E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BF5BA4"/>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BB66081"/>
    <w:rsid w:val="0CCC0614"/>
    <w:rsid w:val="0CDF7698"/>
    <w:rsid w:val="0D8D3FD6"/>
    <w:rsid w:val="0EC73CBB"/>
    <w:rsid w:val="10E13271"/>
    <w:rsid w:val="12193AF4"/>
    <w:rsid w:val="12673BDD"/>
    <w:rsid w:val="12E77EAF"/>
    <w:rsid w:val="132A7240"/>
    <w:rsid w:val="13CD449C"/>
    <w:rsid w:val="143C4CC3"/>
    <w:rsid w:val="14FB4CF0"/>
    <w:rsid w:val="156A779B"/>
    <w:rsid w:val="158A7367"/>
    <w:rsid w:val="16610A3D"/>
    <w:rsid w:val="16FD2A66"/>
    <w:rsid w:val="171A4BA4"/>
    <w:rsid w:val="173575B8"/>
    <w:rsid w:val="17C0774A"/>
    <w:rsid w:val="188E21BF"/>
    <w:rsid w:val="191017CD"/>
    <w:rsid w:val="19A84266"/>
    <w:rsid w:val="1C1B6A4E"/>
    <w:rsid w:val="1C630679"/>
    <w:rsid w:val="1D2E539D"/>
    <w:rsid w:val="1E7A5314"/>
    <w:rsid w:val="1F783D50"/>
    <w:rsid w:val="1FAB1479"/>
    <w:rsid w:val="20343288"/>
    <w:rsid w:val="20DC375B"/>
    <w:rsid w:val="20E96F35"/>
    <w:rsid w:val="218A3D29"/>
    <w:rsid w:val="21C30966"/>
    <w:rsid w:val="237F5946"/>
    <w:rsid w:val="23AD2E0D"/>
    <w:rsid w:val="24160A64"/>
    <w:rsid w:val="24BE55D5"/>
    <w:rsid w:val="250A361A"/>
    <w:rsid w:val="27CF28C5"/>
    <w:rsid w:val="281403AA"/>
    <w:rsid w:val="28C05D8B"/>
    <w:rsid w:val="2A32099D"/>
    <w:rsid w:val="2B0648B2"/>
    <w:rsid w:val="2B710F04"/>
    <w:rsid w:val="2B7A20E1"/>
    <w:rsid w:val="2BCE6AC7"/>
    <w:rsid w:val="2CBD087C"/>
    <w:rsid w:val="2D786D19"/>
    <w:rsid w:val="2EBC13E0"/>
    <w:rsid w:val="2F344436"/>
    <w:rsid w:val="326775CE"/>
    <w:rsid w:val="331F385F"/>
    <w:rsid w:val="34242317"/>
    <w:rsid w:val="34C71A6F"/>
    <w:rsid w:val="34F33640"/>
    <w:rsid w:val="35D421F1"/>
    <w:rsid w:val="364A0C05"/>
    <w:rsid w:val="37F12C1A"/>
    <w:rsid w:val="38176E9C"/>
    <w:rsid w:val="38D86FBA"/>
    <w:rsid w:val="38E10FE0"/>
    <w:rsid w:val="39A8144C"/>
    <w:rsid w:val="3BEF62E9"/>
    <w:rsid w:val="3C26660B"/>
    <w:rsid w:val="3C592EDE"/>
    <w:rsid w:val="3E1744A2"/>
    <w:rsid w:val="3F50734C"/>
    <w:rsid w:val="43576875"/>
    <w:rsid w:val="43931164"/>
    <w:rsid w:val="44353810"/>
    <w:rsid w:val="44945928"/>
    <w:rsid w:val="459375CB"/>
    <w:rsid w:val="47E67918"/>
    <w:rsid w:val="48237E23"/>
    <w:rsid w:val="48F30A4A"/>
    <w:rsid w:val="4A202174"/>
    <w:rsid w:val="4A7B59BB"/>
    <w:rsid w:val="4C011499"/>
    <w:rsid w:val="4E815F28"/>
    <w:rsid w:val="4ED701A0"/>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767973"/>
    <w:rsid w:val="63D26282"/>
    <w:rsid w:val="63E16B9C"/>
    <w:rsid w:val="65B25CA0"/>
    <w:rsid w:val="65EE2DCE"/>
    <w:rsid w:val="66B04EF4"/>
    <w:rsid w:val="677A34E3"/>
    <w:rsid w:val="68637E6E"/>
    <w:rsid w:val="69A56BA1"/>
    <w:rsid w:val="69B965BF"/>
    <w:rsid w:val="6AE6492D"/>
    <w:rsid w:val="6B6D5621"/>
    <w:rsid w:val="6EA10013"/>
    <w:rsid w:val="719A0F60"/>
    <w:rsid w:val="72E87C49"/>
    <w:rsid w:val="73C07F58"/>
    <w:rsid w:val="74CD5690"/>
    <w:rsid w:val="75273C7A"/>
    <w:rsid w:val="755A45F7"/>
    <w:rsid w:val="763A3561"/>
    <w:rsid w:val="766F48A1"/>
    <w:rsid w:val="7B4103A5"/>
    <w:rsid w:val="7BC039E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3">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7">
    <w:name w:val="Normal Indent"/>
    <w:basedOn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8"/>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7"/>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next w:val="1"/>
    <w:link w:val="231"/>
    <w:qFormat/>
    <w:uiPriority w:val="0"/>
    <w:pPr>
      <w:spacing w:after="120" w:line="240" w:lineRule="auto"/>
      <w:ind w:firstLine="420" w:firstLineChars="100"/>
    </w:pPr>
    <w:rPr>
      <w:rFonts w:eastAsia="宋体"/>
      <w:sz w:val="21"/>
    </w:rPr>
  </w:style>
  <w:style w:type="paragraph" w:styleId="63">
    <w:name w:val="Body Text First Indent 2"/>
    <w:basedOn w:val="25"/>
    <w:link w:val="232"/>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2"/>
    <w:qFormat/>
    <w:uiPriority w:val="0"/>
    <w:rPr>
      <w:rFonts w:eastAsia="仿宋_GB2312"/>
      <w:b/>
      <w:kern w:val="44"/>
      <w:sz w:val="44"/>
      <w:lang w:val="en-US" w:eastAsia="zh-CN" w:bidi="ar-SA"/>
    </w:rPr>
  </w:style>
  <w:style w:type="character" w:customStyle="1" w:styleId="82">
    <w:name w:val="正文缩进 Char"/>
    <w:link w:val="7"/>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4"/>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6"/>
    <w:qFormat/>
    <w:uiPriority w:val="0"/>
    <w:rPr>
      <w:rFonts w:ascii="Arial" w:hAnsi="Arial" w:eastAsia="黑体"/>
      <w:b/>
      <w:kern w:val="2"/>
      <w:sz w:val="28"/>
      <w:lang w:val="en-US" w:eastAsia="zh-CN" w:bidi="ar-SA"/>
    </w:rPr>
  </w:style>
  <w:style w:type="character" w:customStyle="1" w:styleId="87">
    <w:name w:val="标题 5 Char1"/>
    <w:link w:val="8"/>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7"/>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39"/>
    <w:qFormat/>
    <w:uiPriority w:val="0"/>
    <w:rPr>
      <w:kern w:val="2"/>
      <w:sz w:val="18"/>
      <w:szCs w:val="18"/>
    </w:rPr>
  </w:style>
  <w:style w:type="character" w:customStyle="1" w:styleId="228">
    <w:name w:val="正文文本缩进 3 Char"/>
    <w:basedOn w:val="71"/>
    <w:link w:val="53"/>
    <w:qFormat/>
    <w:uiPriority w:val="0"/>
    <w:rPr>
      <w:kern w:val="2"/>
      <w:sz w:val="16"/>
      <w:szCs w:val="16"/>
    </w:rPr>
  </w:style>
  <w:style w:type="character" w:customStyle="1" w:styleId="229">
    <w:name w:val="HTML 预设格式 Char"/>
    <w:basedOn w:val="71"/>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4"/>
    <w:link w:val="63"/>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emf"/><Relationship Id="rId23" Type="http://schemas.openxmlformats.org/officeDocument/2006/relationships/oleObject" Target="embeddings/oleObject2.bin"/><Relationship Id="rId22" Type="http://schemas.openxmlformats.org/officeDocument/2006/relationships/image" Target="media/image8.emf"/><Relationship Id="rId21" Type="http://schemas.openxmlformats.org/officeDocument/2006/relationships/oleObject" Target="embeddings/oleObject1.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8807</Words>
  <Characters>50203</Characters>
  <Lines>418</Lines>
  <Paragraphs>117</Paragraphs>
  <TotalTime>40</TotalTime>
  <ScaleCrop>false</ScaleCrop>
  <LinksUpToDate>false</LinksUpToDate>
  <CharactersWithSpaces>58893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2024-04-09T09:10:00Z</cp:lastPrinted>
  <dcterms:modified xsi:type="dcterms:W3CDTF">2024-04-10T10:04:38Z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