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ascii="隶书" w:hAnsi="Arial" w:eastAsia="隶书" w:cs="Arial"/>
          <w:b/>
          <w:color w:val="0000FF"/>
          <w:sz w:val="48"/>
          <w:szCs w:val="48"/>
        </w:rPr>
      </w:pPr>
      <w:r>
        <w:rPr>
          <w:rFonts w:hint="eastAsia" w:ascii="隶书" w:hAnsi="Arial" w:eastAsia="隶书" w:cs="Arial"/>
          <w:b/>
          <w:color w:val="0000FF"/>
          <w:sz w:val="48"/>
          <w:szCs w:val="48"/>
        </w:rPr>
        <w:t>绍兴市自然资源和规划局网络安全重保</w:t>
      </w:r>
    </w:p>
    <w:p>
      <w:pPr>
        <w:spacing w:line="312" w:lineRule="auto"/>
        <w:ind w:firstLine="241" w:firstLineChars="50"/>
        <w:jc w:val="center"/>
        <w:outlineLvl w:val="0"/>
        <w:rPr>
          <w:rFonts w:ascii="隶书" w:hAnsi="Arial" w:eastAsia="隶书" w:cs="Arial"/>
          <w:b/>
          <w:color w:val="0000FF"/>
          <w:sz w:val="48"/>
          <w:szCs w:val="48"/>
        </w:rPr>
      </w:pPr>
      <w:r>
        <w:rPr>
          <w:rFonts w:hint="eastAsia" w:ascii="隶书" w:hAnsi="Arial" w:eastAsia="隶书" w:cs="Arial"/>
          <w:b/>
          <w:color w:val="0000FF"/>
          <w:sz w:val="48"/>
          <w:szCs w:val="48"/>
        </w:rPr>
        <w:t>技术服务项目</w:t>
      </w:r>
    </w:p>
    <w:p>
      <w:pPr>
        <w:spacing w:line="312" w:lineRule="auto"/>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ascii="隶书" w:eastAsia="隶书"/>
          <w:b/>
          <w:color w:val="0000FF"/>
          <w:sz w:val="28"/>
          <w:szCs w:val="28"/>
        </w:rPr>
      </w:pPr>
      <w:r>
        <w:rPr>
          <w:rFonts w:hint="eastAsia" w:ascii="隶书" w:eastAsia="隶书"/>
          <w:b/>
          <w:color w:val="0000FF"/>
          <w:sz w:val="28"/>
          <w:szCs w:val="28"/>
        </w:rPr>
        <w:t>招标编号:HC2022-05-06</w:t>
      </w:r>
    </w:p>
    <w:tbl>
      <w:tblPr>
        <w:tblStyle w:val="27"/>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color w:val="0000FF"/>
                <w:sz w:val="28"/>
                <w:szCs w:val="28"/>
              </w:rPr>
              <w:t>绍兴市自然资源大数据中心</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浙江华诚工程管理有限公司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二二年五月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tbl>
      <w:tblPr>
        <w:tblStyle w:val="27"/>
        <w:tblW w:w="9026" w:type="dxa"/>
        <w:tblInd w:w="0" w:type="dxa"/>
        <w:tblLayout w:type="fixed"/>
        <w:tblCellMar>
          <w:top w:w="0" w:type="dxa"/>
          <w:left w:w="0" w:type="dxa"/>
          <w:bottom w:w="0" w:type="dxa"/>
          <w:right w:w="0" w:type="dxa"/>
        </w:tblCellMar>
      </w:tblPr>
      <w:tblGrid>
        <w:gridCol w:w="9026"/>
      </w:tblGrid>
      <w:tr>
        <w:tblPrEx>
          <w:tblCellMar>
            <w:top w:w="0" w:type="dxa"/>
            <w:left w:w="0" w:type="dxa"/>
            <w:bottom w:w="0" w:type="dxa"/>
            <w:right w:w="0" w:type="dxa"/>
          </w:tblCellMar>
        </w:tblPrEx>
        <w:trPr>
          <w:trHeight w:val="13883" w:hRule="atLeast"/>
        </w:trPr>
        <w:tc>
          <w:tcPr>
            <w:tcW w:w="9026" w:type="dxa"/>
            <w:vAlign w:val="center"/>
          </w:tcPr>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br w:type="page"/>
            </w:r>
          </w:p>
          <w:tbl>
            <w:tblPr>
              <w:tblStyle w:val="2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绍兴市自然资源和规划局网络安全重保技术服务的潜在供应商应在http://www.zcygov.cn/ 获取（下载）采购文件，并于</w:t>
                  </w:r>
                  <w:r>
                    <w:rPr>
                      <w:rFonts w:hint="eastAsia" w:ascii="仿宋" w:hAnsi="仿宋" w:eastAsia="仿宋" w:cs="仿宋"/>
                      <w:color w:val="0000FF"/>
                      <w:kern w:val="0"/>
                      <w:sz w:val="24"/>
                    </w:rPr>
                    <w:t>2022年 月 日</w:t>
                  </w:r>
                  <w:r>
                    <w:rPr>
                      <w:rFonts w:hint="eastAsia" w:ascii="仿宋" w:hAnsi="仿宋" w:eastAsia="仿宋" w:cs="仿宋"/>
                      <w:color w:val="0000FF"/>
                      <w:kern w:val="0"/>
                      <w:sz w:val="24"/>
                      <w:lang w:val="en-US" w:eastAsia="zh-CN"/>
                    </w:rPr>
                    <w:t>9</w:t>
                  </w:r>
                  <w:r>
                    <w:rPr>
                      <w:rFonts w:hint="eastAsia" w:ascii="仿宋" w:hAnsi="仿宋" w:eastAsia="仿宋" w:cs="仿宋"/>
                      <w:color w:val="0000FF"/>
                      <w:kern w:val="0"/>
                      <w:sz w:val="24"/>
                    </w:rPr>
                    <w:t>:00</w:t>
                  </w:r>
                  <w:r>
                    <w:rPr>
                      <w:rFonts w:hint="eastAsia" w:ascii="仿宋" w:hAnsi="仿宋" w:eastAsia="仿宋" w:cs="仿宋"/>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w:t>
            </w:r>
            <w:r>
              <w:rPr>
                <w:rFonts w:hint="eastAsia" w:ascii="仿宋" w:hAnsi="仿宋" w:eastAsia="仿宋" w:cs="仿宋"/>
                <w:color w:val="0000FF"/>
                <w:kern w:val="0"/>
                <w:sz w:val="24"/>
              </w:rPr>
              <w:t>HC2022-05-06</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项目名称：绍兴市自然资源和规划局网络安全重保技术服务</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采购方式：公开招标</w:t>
            </w:r>
          </w:p>
          <w:p>
            <w:pPr>
              <w:widowControl/>
              <w:snapToGrid w:val="0"/>
              <w:spacing w:line="288" w:lineRule="auto"/>
              <w:ind w:firstLine="480" w:firstLineChars="200"/>
              <w:rPr>
                <w:rFonts w:ascii="仿宋" w:hAnsi="仿宋" w:eastAsia="仿宋" w:cs="仿宋"/>
                <w:color w:val="0000FF"/>
                <w:kern w:val="0"/>
                <w:sz w:val="24"/>
              </w:rPr>
            </w:pPr>
            <w:r>
              <w:rPr>
                <w:rFonts w:hint="eastAsia" w:ascii="仿宋" w:hAnsi="仿宋" w:eastAsia="仿宋" w:cs="仿宋"/>
                <w:color w:val="0000FF"/>
                <w:kern w:val="0"/>
                <w:sz w:val="24"/>
              </w:rPr>
              <w:t>预算金额（元）：</w:t>
            </w:r>
            <w:r>
              <w:rPr>
                <w:rFonts w:hint="eastAsia" w:ascii="仿宋" w:hAnsi="仿宋" w:eastAsia="仿宋" w:cs="仿宋"/>
                <w:color w:val="0000FF"/>
                <w:kern w:val="0"/>
                <w:sz w:val="24"/>
                <w:lang w:val="en-US" w:eastAsia="zh-CN"/>
              </w:rPr>
              <w:t>3500</w:t>
            </w:r>
            <w:r>
              <w:rPr>
                <w:rFonts w:hint="eastAsia" w:ascii="仿宋" w:hAnsi="仿宋" w:eastAsia="仿宋" w:cs="仿宋"/>
                <w:color w:val="0000FF"/>
                <w:kern w:val="0"/>
                <w:sz w:val="24"/>
              </w:rPr>
              <w:t>00.00</w:t>
            </w:r>
          </w:p>
          <w:p>
            <w:pPr>
              <w:widowControl/>
              <w:snapToGrid w:val="0"/>
              <w:spacing w:line="288" w:lineRule="auto"/>
              <w:ind w:firstLine="480" w:firstLineChars="200"/>
              <w:rPr>
                <w:rFonts w:ascii="仿宋" w:hAnsi="仿宋" w:eastAsia="仿宋" w:cs="仿宋"/>
                <w:color w:val="0000FF"/>
                <w:kern w:val="0"/>
                <w:sz w:val="24"/>
              </w:rPr>
            </w:pPr>
            <w:r>
              <w:rPr>
                <w:rFonts w:hint="eastAsia" w:ascii="仿宋" w:hAnsi="仿宋" w:eastAsia="仿宋" w:cs="仿宋"/>
                <w:color w:val="0000FF"/>
                <w:kern w:val="0"/>
                <w:sz w:val="24"/>
              </w:rPr>
              <w:t>最高限价（元）：3</w:t>
            </w:r>
            <w:r>
              <w:rPr>
                <w:rFonts w:hint="eastAsia" w:ascii="仿宋" w:hAnsi="仿宋" w:eastAsia="仿宋" w:cs="仿宋"/>
                <w:color w:val="0000FF"/>
                <w:kern w:val="0"/>
                <w:sz w:val="24"/>
                <w:lang w:val="en-US" w:eastAsia="zh-CN"/>
              </w:rPr>
              <w:t>425</w:t>
            </w:r>
            <w:r>
              <w:rPr>
                <w:rFonts w:hint="eastAsia" w:ascii="仿宋" w:hAnsi="仿宋" w:eastAsia="仿宋" w:cs="仿宋"/>
                <w:color w:val="0000FF"/>
                <w:kern w:val="0"/>
                <w:sz w:val="24"/>
              </w:rPr>
              <w:t>00.00</w:t>
            </w:r>
          </w:p>
          <w:p>
            <w:pPr>
              <w:widowControl/>
              <w:snapToGrid w:val="0"/>
              <w:spacing w:line="288" w:lineRule="auto"/>
              <w:ind w:firstLine="480" w:firstLineChars="200"/>
              <w:rPr>
                <w:rFonts w:ascii="仿宋" w:hAnsi="仿宋" w:eastAsia="仿宋" w:cs="仿宋"/>
                <w:strike/>
                <w:dstrike w:val="0"/>
                <w:color w:val="auto"/>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6"/>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w:t>
            </w:r>
            <w:r>
              <w:rPr>
                <w:rFonts w:hint="eastAsia" w:ascii="仿宋" w:hAnsi="仿宋" w:eastAsia="仿宋" w:cs="仿宋"/>
                <w:color w:val="0000FF"/>
                <w:kern w:val="0"/>
                <w:sz w:val="24"/>
              </w:rPr>
              <w:t>2022年 月 日，</w:t>
            </w:r>
            <w:r>
              <w:rPr>
                <w:rFonts w:hint="eastAsia" w:ascii="仿宋" w:hAnsi="仿宋" w:eastAsia="仿宋" w:cs="仿宋"/>
                <w:kern w:val="0"/>
                <w:sz w:val="24"/>
              </w:rPr>
              <w:t>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w:t>
            </w:r>
            <w:r>
              <w:rPr>
                <w:rFonts w:hint="eastAsia" w:ascii="仿宋" w:hAnsi="仿宋" w:eastAsia="仿宋" w:cs="仿宋"/>
                <w:color w:val="0000FF"/>
                <w:kern w:val="0"/>
                <w:sz w:val="24"/>
              </w:rPr>
              <w:t>2022年 月  日</w:t>
            </w:r>
            <w:r>
              <w:rPr>
                <w:rFonts w:hint="eastAsia" w:ascii="仿宋" w:hAnsi="仿宋" w:eastAsia="仿宋" w:cs="仿宋"/>
                <w:color w:val="0000FF"/>
                <w:kern w:val="0"/>
                <w:sz w:val="24"/>
                <w:lang w:val="en-US" w:eastAsia="zh-CN"/>
              </w:rPr>
              <w:t>9</w:t>
            </w:r>
            <w:r>
              <w:rPr>
                <w:rFonts w:hint="eastAsia" w:ascii="仿宋" w:hAnsi="仿宋" w:eastAsia="仿宋" w:cs="仿宋"/>
                <w:color w:val="0000FF"/>
                <w:kern w:val="0"/>
                <w:sz w:val="24"/>
              </w:rPr>
              <w:t>:00（</w:t>
            </w:r>
            <w:r>
              <w:rPr>
                <w:rFonts w:hint="eastAsia" w:ascii="仿宋" w:hAnsi="仿宋" w:eastAsia="仿宋" w:cs="仿宋"/>
                <w:kern w:val="0"/>
                <w:sz w:val="24"/>
              </w:rPr>
              <w:t>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w:t>
            </w:r>
            <w:r>
              <w:rPr>
                <w:rFonts w:hint="eastAsia" w:ascii="仿宋" w:hAnsi="仿宋" w:eastAsia="仿宋" w:cs="仿宋"/>
                <w:color w:val="0000FF"/>
                <w:kern w:val="0"/>
                <w:sz w:val="24"/>
              </w:rPr>
              <w:t>：2022年 月 日</w:t>
            </w:r>
            <w:r>
              <w:rPr>
                <w:rFonts w:hint="eastAsia" w:ascii="仿宋" w:hAnsi="仿宋" w:eastAsia="仿宋" w:cs="仿宋"/>
                <w:color w:val="0000FF"/>
                <w:kern w:val="0"/>
                <w:sz w:val="24"/>
                <w:lang w:val="en-US" w:eastAsia="zh-CN"/>
              </w:rPr>
              <w:t>9</w:t>
            </w:r>
            <w:r>
              <w:rPr>
                <w:rFonts w:hint="eastAsia" w:ascii="仿宋" w:hAnsi="仿宋" w:eastAsia="仿宋" w:cs="仿宋"/>
                <w:color w:val="0000FF"/>
                <w:kern w:val="0"/>
                <w:sz w:val="24"/>
              </w:rPr>
              <w:t>:</w:t>
            </w:r>
            <w:r>
              <w:rPr>
                <w:rFonts w:hint="eastAsia" w:ascii="仿宋" w:hAnsi="仿宋" w:eastAsia="仿宋" w:cs="仿宋"/>
                <w:color w:val="0000FF"/>
                <w:kern w:val="0"/>
                <w:sz w:val="24"/>
                <w:lang w:val="en-US" w:eastAsia="zh-CN"/>
              </w:rPr>
              <w:t>0</w:t>
            </w:r>
            <w:r>
              <w:rPr>
                <w:rFonts w:hint="eastAsia" w:ascii="仿宋" w:hAnsi="仿宋" w:eastAsia="仿宋" w:cs="仿宋"/>
                <w:color w:val="0000FF"/>
                <w:kern w:val="0"/>
                <w:sz w:val="24"/>
              </w:rPr>
              <w:t>0（北京时</w:t>
            </w:r>
            <w:r>
              <w:rPr>
                <w:rFonts w:hint="eastAsia" w:ascii="仿宋" w:hAnsi="仿宋" w:eastAsia="仿宋" w:cs="仿宋"/>
                <w:kern w:val="0"/>
                <w:sz w:val="24"/>
              </w:rPr>
              <w:t>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开标地点（网址）：浙江华诚工程管理有限公司（绍兴市越城区罗东公寓22幢2楼203</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名称：绍兴市自然资源和规划局网络安全重保技术服务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地址：绍兴市解放大道99号</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 吕俊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项目联系方式（询问）：0575-89181725</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 钱年余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质疑联系方式：0575-85143304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名称：浙江华诚工程管理有限公司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地址：绍兴市越城区罗东公寓22幢2楼</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项目联系人（询问）：黄雅萍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项目联系方式（询问）：13735205277</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质疑联系人：陈兴涛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w:t>
            </w:r>
            <w:r>
              <w:rPr>
                <w:rFonts w:hint="eastAsia" w:ascii="仿宋" w:hAnsi="仿宋" w:eastAsia="仿宋" w:cs="仿宋"/>
                <w:color w:val="auto"/>
                <w:kern w:val="0"/>
                <w:sz w:val="24"/>
                <w:lang w:val="en-US" w:eastAsia="zh-CN"/>
              </w:rPr>
              <w:t>13567218980</w:t>
            </w:r>
            <w:r>
              <w:rPr>
                <w:rFonts w:hint="eastAsia" w:ascii="仿宋" w:hAnsi="仿宋" w:eastAsia="仿宋" w:cs="仿宋"/>
                <w:color w:val="auto"/>
                <w:kern w:val="0"/>
                <w:sz w:val="24"/>
              </w:rPr>
              <w:t>　　　</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　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联系人：宋晓琳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监督投诉电话：</w:t>
            </w:r>
            <w:r>
              <w:rPr>
                <w:rFonts w:hint="eastAsia" w:ascii="仿宋" w:hAnsi="仿宋" w:eastAsia="仿宋"/>
                <w:kern w:val="0"/>
                <w:sz w:val="24"/>
              </w:rPr>
              <w:t>0575-85209697 </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ind w:firstLine="3253" w:firstLineChars="900"/>
        <w:jc w:val="left"/>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7"/>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营业执照复印件、上一年度资产负债表等财务报表资料文件、依法缴纳税收和社会保障资金的良好记录证明、参加本次政府采购活动前三年内，在经营活动中没有重大违法记录的声明（详见格式范例）。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color w:val="0000FF"/>
                <w:sz w:val="24"/>
              </w:rPr>
            </w:pPr>
            <w:r>
              <w:rPr>
                <w:rFonts w:hint="eastAsia" w:ascii="仿宋" w:hAnsi="仿宋" w:eastAsia="仿宋" w:cs="仿宋"/>
                <w:color w:val="0000FF"/>
                <w:sz w:val="24"/>
              </w:rPr>
              <w:t>7</w:t>
            </w:r>
          </w:p>
        </w:tc>
        <w:tc>
          <w:tcPr>
            <w:tcW w:w="8371" w:type="dxa"/>
            <w:gridSpan w:val="2"/>
            <w:vAlign w:val="center"/>
          </w:tcPr>
          <w:p>
            <w:pPr>
              <w:spacing w:line="288" w:lineRule="auto"/>
              <w:rPr>
                <w:rFonts w:ascii="仿宋" w:hAnsi="仿宋" w:eastAsia="仿宋" w:cs="仿宋"/>
                <w:b/>
                <w:color w:val="0000FF"/>
                <w:sz w:val="24"/>
              </w:rPr>
            </w:pPr>
            <w:r>
              <w:rPr>
                <w:rFonts w:hint="eastAsia" w:ascii="仿宋" w:hAnsi="仿宋" w:eastAsia="仿宋" w:cs="仿宋"/>
                <w:b/>
                <w:color w:val="0000FF"/>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不诚信参加公共资源交易活动，扰乱市场秩序，被绍兴市越城区公共资源交易平台责令整改、暂停交易的投标人，在此期间将被拒绝参与政府采购活动。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更正补充公告请自行登录浙江政府采购网或绍兴市越城区公共资源交易网查看下载。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4"/>
                <w:rFonts w:hint="eastAsia" w:ascii="仿宋" w:hAnsi="仿宋" w:eastAsia="仿宋" w:cs="仿宋"/>
                <w:color w:val="auto"/>
                <w:sz w:val="24"/>
              </w:rPr>
              <w:t>https://help.zcygov.cn/web/site_2/2018/12-28/2573.html</w:t>
            </w:r>
            <w:r>
              <w:rPr>
                <w:rStyle w:val="34"/>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rPr>
          <w:rFonts w:ascii="仿宋" w:hAnsi="仿宋" w:eastAsia="仿宋" w:cs="仿宋"/>
          <w:b/>
          <w:sz w:val="36"/>
          <w:szCs w:val="36"/>
        </w:rPr>
      </w:pPr>
    </w:p>
    <w:p>
      <w:pPr>
        <w:pStyle w:val="2"/>
        <w:numPr>
          <w:ilvl w:val="0"/>
          <w:numId w:val="0"/>
        </w:numPr>
        <w:ind w:leftChars="0"/>
      </w:pPr>
    </w:p>
    <w:p/>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ascii="仿宋" w:hAnsi="仿宋" w:eastAsia="仿宋" w:cs="仿宋"/>
          <w:sz w:val="24"/>
        </w:rPr>
      </w:pPr>
      <w:r>
        <w:rPr>
          <w:rFonts w:hint="eastAsia" w:ascii="仿宋" w:hAnsi="仿宋" w:eastAsia="仿宋" w:cs="仿宋"/>
          <w:b/>
          <w:bCs/>
          <w:sz w:val="24"/>
        </w:rPr>
        <w:t>1. 项目说明</w:t>
      </w:r>
    </w:p>
    <w:p>
      <w:pPr>
        <w:snapToGrid w:val="0"/>
        <w:spacing w:line="288"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cs="仿宋"/>
          <w:b/>
          <w:sz w:val="24"/>
        </w:rPr>
      </w:pPr>
      <w:r>
        <w:rPr>
          <w:rFonts w:hint="eastAsia" w:ascii="仿宋" w:hAnsi="仿宋" w:eastAsia="仿宋" w:cs="仿宋"/>
          <w:b/>
          <w:sz w:val="24"/>
        </w:rPr>
        <w:t>2.定义</w:t>
      </w:r>
    </w:p>
    <w:p>
      <w:pPr>
        <w:snapToGrid w:val="0"/>
        <w:spacing w:line="288"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color w:val="0000FF"/>
          <w:sz w:val="24"/>
        </w:rPr>
        <w:t>绍兴市自然资源大数据中心为本项目的采购人</w:t>
      </w:r>
      <w:r>
        <w:rPr>
          <w:rFonts w:hint="eastAsia" w:ascii="仿宋" w:hAnsi="仿宋" w:eastAsia="仿宋" w:cs="仿宋"/>
          <w:sz w:val="24"/>
        </w:rPr>
        <w:t>（合同中的甲方），浙江华诚工程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trike/>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trike/>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4"/>
        <w:spacing w:line="288" w:lineRule="auto"/>
        <w:ind w:firstLine="480" w:firstLineChars="200"/>
        <w:rPr>
          <w:rFonts w:ascii="仿宋" w:hAnsi="仿宋" w:eastAsia="仿宋" w:cs="仿宋"/>
          <w:sz w:val="24"/>
        </w:rPr>
      </w:pPr>
      <w:bookmarkStart w:id="0" w:name="_Hlt68072998"/>
      <w:bookmarkEnd w:id="0"/>
      <w:bookmarkStart w:id="1" w:name="_Hlt68403820"/>
      <w:bookmarkEnd w:id="1"/>
      <w:bookmarkStart w:id="2" w:name="_Hlt68073093"/>
      <w:bookmarkEnd w:id="2"/>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（2）2020年度资产负债表等财务报表资料文件(新成立的公司提供情况证明)；</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r>
        <w:rPr>
          <w:rFonts w:hint="eastAsia" w:ascii="仿宋" w:hAnsi="仿宋" w:eastAsia="仿宋" w:cs="仿宋"/>
          <w:sz w:val="24"/>
          <w:szCs w:val="20"/>
        </w:rPr>
        <w:t>；</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pacing w:line="288" w:lineRule="auto"/>
        <w:ind w:firstLine="480" w:firstLineChars="200"/>
        <w:jc w:val="left"/>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①中小企业声明函（格式见第六部分附件）；</w:t>
      </w:r>
    </w:p>
    <w:p>
      <w:pPr>
        <w:snapToGrid w:val="0"/>
        <w:spacing w:line="288" w:lineRule="auto"/>
        <w:ind w:firstLine="480" w:firstLineChars="200"/>
        <w:rPr>
          <w:rFonts w:ascii="仿宋" w:hAnsi="仿宋" w:eastAsia="仿宋" w:cs="仿宋"/>
          <w:sz w:val="24"/>
        </w:rPr>
      </w:pPr>
      <w:r>
        <w:rPr>
          <w:rFonts w:hint="eastAsia" w:ascii="仿宋" w:hAnsi="仿宋" w:eastAsia="仿宋" w:cs="仿宋"/>
          <w:color w:val="000000" w:themeColor="text1"/>
          <w:sz w:val="24"/>
        </w:rPr>
        <w:t>②残疾人福利性单位声明函（如有，格式见第六部分附件）。</w:t>
      </w:r>
    </w:p>
    <w:p>
      <w:pPr>
        <w:pStyle w:val="14"/>
        <w:snapToGrid w:val="0"/>
        <w:spacing w:line="288" w:lineRule="auto"/>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2.2.13培训计划；（如果有）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2.2.14验收方案；</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ascii="仿宋" w:hAnsi="仿宋" w:eastAsia="仿宋" w:cs="仿宋"/>
          <w:kern w:val="0"/>
          <w:sz w:val="24"/>
        </w:rPr>
      </w:pPr>
      <w:r>
        <w:rPr>
          <w:rFonts w:hint="eastAsia" w:ascii="仿宋" w:hAnsi="仿宋" w:eastAsia="仿宋" w:cs="仿宋"/>
          <w:sz w:val="24"/>
          <w:lang w:val="zh-CN"/>
        </w:rPr>
        <w:t>2.2.16廉政承诺书</w:t>
      </w:r>
      <w:r>
        <w:rPr>
          <w:rFonts w:hint="eastAsia" w:ascii="仿宋" w:hAnsi="仿宋" w:eastAsia="仿宋" w:cs="仿宋"/>
          <w:sz w:val="24"/>
        </w:rPr>
        <w:t>（格式见第六部分附件）；</w:t>
      </w:r>
    </w:p>
    <w:p>
      <w:pPr>
        <w:snapToGrid w:val="0"/>
        <w:spacing w:line="288" w:lineRule="auto"/>
        <w:jc w:val="left"/>
        <w:rPr>
          <w:rFonts w:ascii="仿宋" w:hAnsi="仿宋" w:eastAsia="仿宋" w:cs="仿宋"/>
          <w:sz w:val="24"/>
        </w:rPr>
      </w:pPr>
      <w:r>
        <w:rPr>
          <w:rFonts w:hint="eastAsia" w:ascii="仿宋" w:hAnsi="仿宋" w:eastAsia="仿宋" w:cs="仿宋"/>
          <w:sz w:val="24"/>
        </w:rPr>
        <w:t>2.2.17</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2.2.18投标人需要说明的其他文件和说明（格式自拟）。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6.7.2根据财政部发布的《政府采购促进中小企业发展管理办法》（财库〔2020〕46号）规定，对于非专门面向中小企业的项目，对小型和微型企业产品的价格给予一定的扣除，用扣除后的价格参与评审。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6.8评标委员会依据招标文件规定的评标标准和方法，对投标文件进行评审和比较后，向浙江华诚工程管理有限公司提供书面评标报告，并按得分高低排序推荐中标候选供应商。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rPr>
      </w:pPr>
      <w:bookmarkStart w:id="3" w:name="_Toc81372953"/>
      <w:bookmarkStart w:id="4" w:name="_Toc81372776"/>
      <w:bookmarkStart w:id="5" w:name="_Toc84325929"/>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7"/>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fldChar w:fldCharType="begin"/>
      </w:r>
      <w:r>
        <w:instrText xml:space="preserve"> HYPERLINK "http://zfcg.czt.zj.gov.cn/" </w:instrText>
      </w:r>
      <w:r>
        <w:fldChar w:fldCharType="separate"/>
      </w:r>
      <w:r>
        <w:rPr>
          <w:rStyle w:val="34"/>
          <w:rFonts w:hint="eastAsia" w:ascii="仿宋" w:hAnsi="仿宋" w:eastAsia="仿宋" w:cs="仿宋"/>
          <w:color w:val="000000" w:themeColor="text1"/>
          <w:szCs w:val="24"/>
        </w:rPr>
        <w:t>http://zfcg.czt.zj.gov.cn</w:t>
      </w:r>
      <w:r>
        <w:rPr>
          <w:rStyle w:val="34"/>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000000" w:themeColor="text1"/>
        </w:rPr>
        <w:t>http://ggb.sx.gov.cn</w:t>
      </w:r>
      <w:r>
        <w:rPr>
          <w:rStyle w:val="34"/>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pacing w:line="288" w:lineRule="auto"/>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报浙江华诚工程管理有限公司备案。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14"/>
        <w:spacing w:line="288"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4"/>
        <w:adjustRightInd/>
        <w:spacing w:line="288" w:lineRule="auto"/>
        <w:ind w:firstLine="480" w:firstLineChars="200"/>
        <w:rPr>
          <w:rFonts w:ascii="仿宋" w:hAnsi="仿宋" w:eastAsia="仿宋" w:cs="仿宋"/>
          <w:b/>
          <w:sz w:val="36"/>
          <w:szCs w:val="36"/>
        </w:rPr>
      </w:pPr>
      <w:r>
        <w:rPr>
          <w:rFonts w:hint="eastAsia" w:ascii="仿宋" w:hAnsi="仿宋" w:eastAsia="仿宋" w:cs="仿宋"/>
          <w:sz w:val="24"/>
        </w:rPr>
        <w:t>7.质疑函范本、投诉书范本请到浙江政府采购网下载专区下载。</w:t>
      </w:r>
    </w:p>
    <w:p>
      <w:pPr>
        <w:pStyle w:val="14"/>
        <w:adjustRightInd/>
        <w:spacing w:line="288" w:lineRule="auto"/>
        <w:jc w:val="center"/>
        <w:rPr>
          <w:rFonts w:ascii="仿宋" w:hAnsi="仿宋" w:eastAsia="仿宋" w:cs="仿宋"/>
          <w:b/>
          <w:sz w:val="36"/>
          <w:szCs w:val="36"/>
        </w:rPr>
      </w:pPr>
    </w:p>
    <w:p>
      <w:pPr>
        <w:pStyle w:val="14"/>
        <w:adjustRightInd/>
        <w:spacing w:line="288" w:lineRule="auto"/>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项目建设背景、目标和服务要求</w:t>
      </w:r>
    </w:p>
    <w:p>
      <w:pPr>
        <w:spacing w:line="460" w:lineRule="exact"/>
        <w:ind w:firstLine="562" w:firstLineChars="200"/>
        <w:rPr>
          <w:rFonts w:hint="eastAsia" w:ascii="仿宋" w:hAnsi="仿宋" w:eastAsia="仿宋" w:cs="仿宋"/>
          <w:b/>
          <w:bCs/>
          <w:sz w:val="28"/>
          <w:szCs w:val="28"/>
        </w:rPr>
      </w:pPr>
      <w:bookmarkStart w:id="6" w:name="_Toc93172442"/>
      <w:r>
        <w:rPr>
          <w:rFonts w:hint="eastAsia" w:ascii="仿宋" w:hAnsi="仿宋" w:eastAsia="仿宋" w:cs="仿宋"/>
          <w:b/>
          <w:bCs/>
          <w:sz w:val="28"/>
          <w:szCs w:val="28"/>
        </w:rPr>
        <w:t>一、项目建设背景</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中华人民共和国网络安全法》第三十一条规定：“国家对公共通信和信息服务、能源、交通、水利、金融、公共服务、电子政务等重要行业和领域，以及其他一旦遭到破坏、丧失功能或者数据泄露，可能严重危害国家安全、国计民生、公共利益的关键信息基础设施，在网络安全等级保护制度的基础上，实行重点保护。”，省自然资源厅、市网络安全相关监管部门多次发文要求做好网络安全的基础性防护工作，重点要求保障各重大活动期间的安保服务，并组织网络安全攻防演练和检查。</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绍兴市自然资源和规划局承担着自然资源数据生产、管理、存储和应用等职责，拥有基础地理信息数据、规划数据、林业地矿和不动产权调、登记等大量重要的关键数据，其中基础地理信息数据安全关系到国家安全战略，不动产权调、登记等数据关系到国计民生。保障这些数据在网络上的安全存储、传输、应用责任重大，需要专业技术团队提供安全服务支撑，进行安全风险的管控。为进一步加强绍兴市自然资源和规划局网络安全的防护能力，做好各类重大活动期间的安全保障任务，计划开展本项目建设。</w:t>
      </w:r>
    </w:p>
    <w:p>
      <w:pPr>
        <w:spacing w:line="460" w:lineRule="exact"/>
        <w:ind w:firstLine="562" w:firstLineChars="200"/>
        <w:rPr>
          <w:rFonts w:hint="eastAsia" w:ascii="仿宋" w:hAnsi="仿宋" w:eastAsia="仿宋" w:cs="仿宋"/>
          <w:b/>
          <w:bCs/>
          <w:sz w:val="24"/>
        </w:rPr>
      </w:pPr>
      <w:r>
        <w:rPr>
          <w:rFonts w:hint="eastAsia" w:ascii="仿宋" w:hAnsi="仿宋" w:eastAsia="仿宋" w:cs="仿宋"/>
          <w:b/>
          <w:bCs/>
          <w:sz w:val="28"/>
          <w:szCs w:val="28"/>
        </w:rPr>
        <w:t>二、项目建设目标</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通过本项目建设将构建如下网络安全体系：</w:t>
      </w:r>
    </w:p>
    <w:p>
      <w:pPr>
        <w:spacing w:line="460" w:lineRule="exact"/>
        <w:ind w:firstLine="482" w:firstLineChars="200"/>
        <w:rPr>
          <w:rFonts w:hint="eastAsia" w:ascii="仿宋" w:hAnsi="仿宋" w:eastAsia="仿宋" w:cs="仿宋"/>
          <w:sz w:val="24"/>
        </w:rPr>
      </w:pPr>
      <w:r>
        <w:rPr>
          <w:rFonts w:hint="eastAsia" w:ascii="仿宋" w:hAnsi="仿宋" w:eastAsia="仿宋" w:cs="仿宋"/>
          <w:b/>
          <w:bCs/>
          <w:sz w:val="24"/>
        </w:rPr>
        <w:t>1.构建纵深防御的网络安全架构体系</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贯彻以人为本的管理理念，引进国际先进的安全管理的技术体系、管理标准，补充和完善所需的设备和系统，以ISO27001、等保三级为建设基准，构筑立体化、纵深、可追溯的网络安全预警防控系统，形成安全、合规、全面、稳定、高效网络安全纵深防御体系，充分发挥和全面提升存量系统的作用，夯实网络安全的基本防线。</w:t>
      </w:r>
    </w:p>
    <w:p>
      <w:pPr>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2.建立全面完整的网络安全防控体系</w:t>
      </w:r>
    </w:p>
    <w:p>
      <w:pPr>
        <w:spacing w:line="460" w:lineRule="exact"/>
        <w:ind w:firstLine="480" w:firstLineChars="200"/>
        <w:rPr>
          <w:sz w:val="24"/>
        </w:rPr>
      </w:pPr>
      <w:r>
        <w:rPr>
          <w:rFonts w:hint="eastAsia" w:ascii="仿宋" w:hAnsi="仿宋" w:eastAsia="仿宋" w:cs="仿宋"/>
          <w:sz w:val="24"/>
          <w:lang w:val="en"/>
        </w:rPr>
        <w:t>引进国际领先的DFI，DPI技术体系，建立网络安全态势感知和攻击溯源系统，形成纵深、立体化、可追溯的网络安全预警防控体系，全面提升存量系统、增量系统安全设备的整体能力，形成全面完整的异常流量、入侵检测、系统漏洞、网站安全和僵木蠕检测等全面的预警防控态势；有效解决每天数百万计的入侵检测日志看不了、不会看的问题；全面提高网络安全风险评估、风险排查，以及网络安全事件，特别是蠕虫病毒、APT等未知类型的网络攻击的溯源能力；全面解决全时段、全流量、全端口的网络流</w:t>
      </w:r>
      <w:r>
        <w:rPr>
          <w:rFonts w:hint="eastAsia"/>
          <w:sz w:val="24"/>
        </w:rPr>
        <w:t>量</w:t>
      </w:r>
      <w:r>
        <w:rPr>
          <w:rFonts w:hint="eastAsia" w:ascii="仿宋" w:hAnsi="仿宋" w:eastAsia="仿宋" w:cs="仿宋"/>
          <w:sz w:val="24"/>
          <w:lang w:val="en"/>
        </w:rPr>
        <w:t>日志长期保存的问题。</w:t>
      </w:r>
    </w:p>
    <w:p>
      <w:pPr>
        <w:spacing w:line="460" w:lineRule="exact"/>
        <w:ind w:firstLine="482" w:firstLineChars="200"/>
        <w:rPr>
          <w:rFonts w:hint="eastAsia" w:ascii="仿宋" w:hAnsi="仿宋" w:eastAsia="仿宋" w:cs="仿宋"/>
          <w:sz w:val="24"/>
        </w:rPr>
      </w:pPr>
      <w:r>
        <w:rPr>
          <w:rFonts w:hint="eastAsia" w:ascii="仿宋" w:hAnsi="仿宋" w:eastAsia="仿宋" w:cs="仿宋"/>
          <w:b/>
          <w:bCs/>
          <w:sz w:val="24"/>
        </w:rPr>
        <w:t>3.建立全面完整的运行维护防控体系</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构建以关键资产为运维中心的全面、完整和可视化的预警防控系统，全面、完整、及时地掌控网络和安全设备，以及账号、业务应用等安全运行态势；一揽子解决已经建立的存量系统，以及在建、拟建的增量系统的智能运维问题；有效防范管理人员、运维人员利用账号口令管理漏洞造成安全风险，形成IT基础设施账号安全管理、设备稳定运行、系统安全运维全面完整的运维防控体系。</w:t>
      </w:r>
    </w:p>
    <w:p>
      <w:pPr>
        <w:spacing w:line="460" w:lineRule="exact"/>
        <w:ind w:firstLine="482" w:firstLineChars="200"/>
        <w:rPr>
          <w:rFonts w:hint="eastAsia" w:ascii="仿宋" w:hAnsi="仿宋" w:eastAsia="仿宋" w:cs="仿宋"/>
          <w:b/>
          <w:bCs/>
          <w:sz w:val="24"/>
        </w:rPr>
      </w:pPr>
      <w:r>
        <w:rPr>
          <w:rFonts w:hint="eastAsia" w:ascii="仿宋" w:hAnsi="仿宋" w:eastAsia="仿宋" w:cs="仿宋"/>
          <w:b/>
          <w:bCs/>
          <w:sz w:val="24"/>
        </w:rPr>
        <w:t>4.构建立体化的病毒威胁防控体系</w:t>
      </w:r>
    </w:p>
    <w:p>
      <w:pPr>
        <w:spacing w:line="460" w:lineRule="exact"/>
        <w:ind w:firstLine="480" w:firstLineChars="200"/>
        <w:rPr>
          <w:rFonts w:ascii="仿宋" w:hAnsi="仿宋" w:eastAsia="仿宋" w:cs="仿宋"/>
          <w:sz w:val="24"/>
          <w:lang w:val="en"/>
        </w:rPr>
      </w:pPr>
      <w:r>
        <w:rPr>
          <w:rFonts w:hint="eastAsia" w:ascii="仿宋" w:hAnsi="仿宋" w:eastAsia="仿宋" w:cs="仿宋"/>
          <w:sz w:val="24"/>
          <w:lang w:val="en"/>
        </w:rPr>
        <w:t>建立以蠕虫病毒攻击溯源技术为手段，能防能治的立体化、大纵深，应对新型威胁如勒索病毒攻击的防控体系，及时阻拦异常进程、主动关闭网络端口，利用信息安全态势感知系统的进程管理态势追溯可疑进程，利用流量溯源系统全面、及时地发现已经发生的攻击事件，及时进行治理，防止发生大规模、灾难性网络安全事件，有效应对勒索病毒和其它未知类型的APT攻击等风险。</w:t>
      </w:r>
    </w:p>
    <w:p>
      <w:pPr>
        <w:spacing w:line="46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三、项目建设内容和技术指标</w:t>
      </w:r>
    </w:p>
    <w:p>
      <w:pPr>
        <w:spacing w:line="460" w:lineRule="exact"/>
        <w:ind w:firstLine="480" w:firstLineChars="200"/>
        <w:rPr>
          <w:rFonts w:ascii="仿宋" w:hAnsi="仿宋" w:eastAsia="仿宋" w:cs="仿宋"/>
          <w:sz w:val="24"/>
        </w:rPr>
      </w:pPr>
      <w:r>
        <w:rPr>
          <w:rFonts w:hint="eastAsia" w:ascii="仿宋" w:hAnsi="仿宋" w:eastAsia="仿宋" w:cs="仿宋"/>
          <w:sz w:val="24"/>
          <w:lang w:val="en"/>
        </w:rPr>
        <w:t>本项目建设</w:t>
      </w:r>
      <w:r>
        <w:rPr>
          <w:rFonts w:hint="eastAsia" w:ascii="仿宋" w:hAnsi="仿宋" w:eastAsia="仿宋" w:cs="仿宋"/>
          <w:sz w:val="24"/>
        </w:rPr>
        <w:t>主要</w:t>
      </w:r>
      <w:r>
        <w:rPr>
          <w:rFonts w:hint="eastAsia" w:ascii="仿宋" w:hAnsi="仿宋" w:eastAsia="仿宋" w:cs="仿宋"/>
          <w:sz w:val="24"/>
          <w:lang w:val="en"/>
        </w:rPr>
        <w:t>内容</w:t>
      </w:r>
      <w:r>
        <w:rPr>
          <w:rFonts w:hint="eastAsia" w:ascii="仿宋" w:hAnsi="仿宋" w:eastAsia="仿宋" w:cs="仿宋"/>
          <w:sz w:val="24"/>
        </w:rPr>
        <w:t>包括：云主机流量数据采集组件</w:t>
      </w:r>
      <w:r>
        <w:rPr>
          <w:rFonts w:hint="eastAsia" w:ascii="仿宋" w:hAnsi="仿宋" w:eastAsia="仿宋" w:cs="仿宋"/>
          <w:sz w:val="24"/>
          <w:lang w:val="en"/>
        </w:rPr>
        <w:t>和</w:t>
      </w:r>
      <w:r>
        <w:rPr>
          <w:rFonts w:hint="eastAsia" w:ascii="仿宋" w:hAnsi="仿宋" w:eastAsia="仿宋" w:cs="仿宋"/>
          <w:sz w:val="24"/>
        </w:rPr>
        <w:t>渗透测试、漏洞（Web漏洞）扫描、基线检查等服务，同时提供安全规划咨询、重大活动期间网络安全值守和安全意识培训等。</w:t>
      </w:r>
    </w:p>
    <w:p>
      <w:pPr>
        <w:spacing w:line="460" w:lineRule="exact"/>
        <w:ind w:firstLine="482" w:firstLineChars="200"/>
        <w:rPr>
          <w:rFonts w:ascii="仿宋" w:hAnsi="仿宋" w:eastAsia="仿宋" w:cs="仿宋"/>
          <w:b/>
          <w:sz w:val="24"/>
        </w:rPr>
      </w:pPr>
      <w:r>
        <w:rPr>
          <w:rFonts w:hint="eastAsia" w:ascii="仿宋" w:hAnsi="仿宋" w:eastAsia="仿宋" w:cs="仿宋"/>
          <w:b/>
          <w:sz w:val="24"/>
        </w:rPr>
        <w:t>1. 云主机流量数据采集组件</w:t>
      </w:r>
    </w:p>
    <w:p>
      <w:pPr>
        <w:spacing w:line="460" w:lineRule="exact"/>
        <w:ind w:firstLine="482" w:firstLineChars="200"/>
        <w:rPr>
          <w:rFonts w:ascii="仿宋" w:hAnsi="仿宋" w:eastAsia="仿宋" w:cs="仿宋"/>
          <w:b/>
          <w:sz w:val="24"/>
        </w:rPr>
      </w:pPr>
      <w:r>
        <w:rPr>
          <w:rFonts w:hint="eastAsia" w:ascii="仿宋" w:hAnsi="仿宋" w:eastAsia="仿宋" w:cs="仿宋"/>
          <w:b/>
          <w:sz w:val="24"/>
        </w:rPr>
        <w:t>1.1 建设内容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改变传统终端安全威胁的事后检测及单例检测模式，通过云主机流量数据采集组件，对云上终端持续不断的信息采集来驱动安全威胁检测，通过安全威胁检测驱动安全事件关联分析及响应以及对于所有终端发生过和正在发生中的安全事件进行可视化呈现并溯源，帮助用户“看到”“看清”“看全”安全威胁。</w:t>
      </w:r>
    </w:p>
    <w:p>
      <w:pPr>
        <w:spacing w:line="460" w:lineRule="exact"/>
        <w:ind w:firstLine="480" w:firstLineChars="200"/>
        <w:rPr>
          <w:rFonts w:ascii="仿宋" w:hAnsi="仿宋" w:eastAsia="仿宋" w:cs="仿宋"/>
          <w:sz w:val="24"/>
        </w:rPr>
      </w:pPr>
      <w:r>
        <w:rPr>
          <w:rFonts w:hint="eastAsia" w:ascii="仿宋" w:hAnsi="仿宋" w:eastAsia="仿宋" w:cs="仿宋"/>
          <w:sz w:val="24"/>
        </w:rPr>
        <w:t>（1）信息采集驱动威胁检测</w:t>
      </w:r>
    </w:p>
    <w:p>
      <w:pPr>
        <w:spacing w:line="460" w:lineRule="exact"/>
        <w:ind w:firstLine="480" w:firstLineChars="200"/>
        <w:rPr>
          <w:rFonts w:ascii="仿宋" w:hAnsi="仿宋" w:eastAsia="仿宋" w:cs="仿宋"/>
          <w:sz w:val="24"/>
        </w:rPr>
      </w:pPr>
      <w:r>
        <w:rPr>
          <w:rFonts w:hint="eastAsia" w:ascii="仿宋" w:hAnsi="仿宋" w:eastAsia="仿宋" w:cs="仿宋"/>
          <w:sz w:val="24"/>
        </w:rPr>
        <w:t>通过组件对于终端所包含的信息进行全量化采集，无论终端信息是判定为威胁信息还是普通的运行信息，将所有采集到的信息与安全运营中心内威胁样本库进行碰撞比对，判断当前运行信息中的安全性，对于单点威胁进行多重检测。</w:t>
      </w:r>
    </w:p>
    <w:p>
      <w:pPr>
        <w:spacing w:line="460" w:lineRule="exact"/>
        <w:ind w:firstLine="480" w:firstLineChars="200"/>
        <w:rPr>
          <w:rFonts w:ascii="仿宋" w:hAnsi="仿宋" w:eastAsia="仿宋" w:cs="仿宋"/>
          <w:sz w:val="24"/>
        </w:rPr>
      </w:pPr>
      <w:r>
        <w:rPr>
          <w:rFonts w:hint="eastAsia" w:ascii="仿宋" w:hAnsi="仿宋" w:eastAsia="仿宋" w:cs="仿宋"/>
          <w:sz w:val="24"/>
        </w:rPr>
        <w:t>（2）威胁检测驱动关联分析</w:t>
      </w:r>
    </w:p>
    <w:p>
      <w:pPr>
        <w:spacing w:line="460" w:lineRule="exact"/>
        <w:ind w:firstLine="480" w:firstLineChars="200"/>
        <w:rPr>
          <w:rFonts w:ascii="仿宋" w:hAnsi="仿宋" w:eastAsia="仿宋" w:cs="仿宋"/>
          <w:sz w:val="24"/>
        </w:rPr>
      </w:pPr>
      <w:r>
        <w:rPr>
          <w:rFonts w:hint="eastAsia" w:ascii="仿宋" w:hAnsi="仿宋" w:eastAsia="仿宋" w:cs="仿宋"/>
          <w:sz w:val="24"/>
        </w:rPr>
        <w:t>组件内置完善的安全威胁关联分析模型，对于有预谋的安全威胁以及高潜伏性质的安全威胁进行关联分析，将所有单点并不致命或者安全威胁比较低的信息串成一条线，发现高级持续性安全风险，对于终端所面临的潜在威胁进行可视化呈现。</w:t>
      </w:r>
    </w:p>
    <w:p>
      <w:pPr>
        <w:spacing w:line="460" w:lineRule="exact"/>
        <w:ind w:firstLine="480" w:firstLineChars="200"/>
        <w:rPr>
          <w:rFonts w:ascii="仿宋" w:hAnsi="仿宋" w:eastAsia="仿宋" w:cs="仿宋"/>
          <w:sz w:val="24"/>
        </w:rPr>
      </w:pPr>
      <w:r>
        <w:rPr>
          <w:rFonts w:hint="eastAsia" w:ascii="仿宋" w:hAnsi="仿宋" w:eastAsia="仿宋" w:cs="仿宋"/>
          <w:sz w:val="24"/>
        </w:rPr>
        <w:t>（3）关联分析驱动安全抑制</w:t>
      </w:r>
    </w:p>
    <w:p>
      <w:pPr>
        <w:spacing w:line="460" w:lineRule="exact"/>
        <w:ind w:firstLine="480" w:firstLineChars="200"/>
        <w:rPr>
          <w:rFonts w:ascii="仿宋" w:hAnsi="仿宋" w:eastAsia="仿宋" w:cs="仿宋"/>
          <w:sz w:val="24"/>
        </w:rPr>
      </w:pPr>
      <w:r>
        <w:rPr>
          <w:rFonts w:hint="eastAsia" w:ascii="仿宋" w:hAnsi="仿宋" w:eastAsia="仿宋" w:cs="仿宋"/>
          <w:sz w:val="24"/>
        </w:rPr>
        <w:t>组件对于安全风险具备精确的处置能力，对于安全威胁可以进行有效的抑制，控制安全威胁蔓延的同时最小化对终端影响并形成一处风险、全网响应。</w:t>
      </w:r>
    </w:p>
    <w:p>
      <w:pPr>
        <w:spacing w:line="460" w:lineRule="exact"/>
        <w:ind w:firstLine="480" w:firstLineChars="200"/>
        <w:rPr>
          <w:rFonts w:ascii="仿宋" w:hAnsi="仿宋" w:eastAsia="仿宋" w:cs="仿宋"/>
          <w:sz w:val="24"/>
        </w:rPr>
      </w:pPr>
      <w:r>
        <w:rPr>
          <w:rFonts w:hint="eastAsia" w:ascii="仿宋" w:hAnsi="仿宋" w:eastAsia="仿宋" w:cs="仿宋"/>
          <w:sz w:val="24"/>
        </w:rPr>
        <w:t>（4）安全抑制驱动威胁溯源</w:t>
      </w:r>
    </w:p>
    <w:p>
      <w:pPr>
        <w:spacing w:line="460" w:lineRule="exact"/>
        <w:ind w:firstLine="480" w:firstLineChars="200"/>
        <w:rPr>
          <w:rFonts w:ascii="仿宋" w:hAnsi="仿宋" w:eastAsia="仿宋" w:cs="仿宋"/>
          <w:sz w:val="24"/>
        </w:rPr>
      </w:pPr>
      <w:r>
        <w:rPr>
          <w:rFonts w:hint="eastAsia" w:ascii="仿宋" w:hAnsi="仿宋" w:eastAsia="仿宋" w:cs="仿宋"/>
          <w:sz w:val="24"/>
        </w:rPr>
        <w:t>任何发生过的安全事件都需要进行完整的记录，便于事后审计追溯，在追责时提供有力证据，安全事件记录在保证完整的同时还要保证准确性，可通过对于安全威胁事件进行完整回放，明确终端安全的入口、方式、危害以及扩散范围，给后期安全能力改进提供有力的支撑。</w:t>
      </w:r>
    </w:p>
    <w:p>
      <w:pPr>
        <w:spacing w:line="460" w:lineRule="exact"/>
        <w:ind w:firstLine="482" w:firstLineChars="200"/>
        <w:rPr>
          <w:rFonts w:ascii="仿宋" w:hAnsi="仿宋" w:eastAsia="仿宋" w:cs="仿宋"/>
          <w:sz w:val="24"/>
        </w:rPr>
      </w:pPr>
      <w:r>
        <w:rPr>
          <w:rFonts w:hint="eastAsia" w:ascii="仿宋" w:hAnsi="仿宋" w:eastAsia="仿宋" w:cs="仿宋"/>
          <w:b/>
          <w:bCs/>
          <w:sz w:val="24"/>
        </w:rPr>
        <w:t>1.2 功能技术要求及参数</w:t>
      </w:r>
    </w:p>
    <w:tbl>
      <w:tblPr>
        <w:tblStyle w:val="27"/>
        <w:tblW w:w="91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1266"/>
        <w:gridCol w:w="7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55" w:hRule="atLeast"/>
          <w:jc w:val="center"/>
        </w:trPr>
        <w:tc>
          <w:tcPr>
            <w:tcW w:w="1266" w:type="dxa"/>
            <w:vMerge w:val="restar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要求类别</w:t>
            </w:r>
          </w:p>
        </w:tc>
        <w:tc>
          <w:tcPr>
            <w:tcW w:w="7863"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功能及技术参数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32" w:hRule="atLeast"/>
          <w:jc w:val="center"/>
        </w:trPr>
        <w:tc>
          <w:tcPr>
            <w:tcW w:w="1266" w:type="dxa"/>
            <w:vMerge w:val="restart"/>
            <w:tcBorders>
              <w:top w:val="single" w:color="auto" w:sz="4" w:space="0"/>
            </w:tcBorders>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产品部署要求</w:t>
            </w:r>
          </w:p>
        </w:tc>
        <w:tc>
          <w:tcPr>
            <w:tcW w:w="7863" w:type="dxa"/>
            <w:tcBorders>
              <w:top w:val="single" w:color="auto" w:sz="4" w:space="0"/>
            </w:tcBorders>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★产品形态：纯软件交付，包含管理控制中心软件及终端客户端软件，其中管理控制中心可云化部署，本次共提供100个组件接入授权。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▲管理控制中心要求：单一管理控制中心可统一管理分别部署在Win服务器、Linux服务器及国产服务器（国产操作系统）的客户端软件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5"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服务器客户端支持：Windows Server 2008 sp2-32、sp2-64/Windows Server 2008 R2 x64/Windows Server 2012 x64/Windows Server 2012 R2/Windows Server 2016 R2/Windows Server 2019 x64；</w:t>
            </w:r>
          </w:p>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CentOS 5,6,7/Ubuntu 10-18/Debian 6-9/RHEL 5,6,7；</w:t>
            </w:r>
          </w:p>
          <w:p>
            <w:pPr>
              <w:widowControl/>
              <w:spacing w:after="156"/>
              <w:jc w:val="left"/>
              <w:rPr>
                <w:rFonts w:ascii="仿宋" w:hAnsi="仿宋" w:eastAsia="仿宋" w:cs="仿宋"/>
                <w:sz w:val="24"/>
              </w:rPr>
            </w:pPr>
            <w:r>
              <w:rPr>
                <w:rFonts w:hint="eastAsia" w:ascii="仿宋" w:hAnsi="仿宋" w:eastAsia="仿宋" w:cs="仿宋"/>
                <w:color w:val="000000"/>
                <w:kern w:val="0"/>
                <w:sz w:val="24"/>
              </w:rPr>
              <w:t>银河麒麟、中标麒麟、统信UOS、中科方德。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32" w:hRule="atLeast"/>
          <w:jc w:val="center"/>
        </w:trPr>
        <w:tc>
          <w:tcPr>
            <w:tcW w:w="1266" w:type="dxa"/>
            <w:vMerge w:val="restart"/>
            <w:tcBorders>
              <w:top w:val="single" w:color="000000" w:sz="4" w:space="0"/>
              <w:left w:val="single" w:color="000000" w:sz="4" w:space="0"/>
              <w:right w:val="single" w:color="000000" w:sz="4" w:space="0"/>
            </w:tcBorders>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终端采集</w:t>
            </w:r>
          </w:p>
        </w:tc>
        <w:tc>
          <w:tcPr>
            <w:tcW w:w="78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支持详细记录终端进程每一次变动信息，包括：进程ID、进程名、动作（启动、退出）、进程路径、父进程ID、父进程名、进程命令行参数、启动或退出时间。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tcBorders>
              <w:left w:val="single" w:color="000000" w:sz="4" w:space="0"/>
              <w:right w:val="single" w:color="000000" w:sz="4" w:space="0"/>
            </w:tcBorders>
            <w:shd w:val="clear" w:color="auto" w:fill="FFFFFF" w:themeFill="background1"/>
            <w:vAlign w:val="center"/>
          </w:tcPr>
          <w:p>
            <w:pPr>
              <w:widowControl/>
              <w:spacing w:after="156"/>
              <w:jc w:val="center"/>
              <w:rPr>
                <w:rFonts w:ascii="仿宋" w:hAnsi="仿宋" w:eastAsia="仿宋" w:cs="仿宋"/>
                <w:color w:val="000000"/>
                <w:kern w:val="0"/>
                <w:sz w:val="24"/>
                <w:highlight w:val="yellow"/>
              </w:rPr>
            </w:pPr>
          </w:p>
        </w:tc>
        <w:tc>
          <w:tcPr>
            <w:tcW w:w="7863" w:type="dxa"/>
            <w:tcBorders>
              <w:top w:val="single" w:color="000000" w:sz="4" w:space="0"/>
              <w:left w:val="single" w:color="000000" w:sz="4" w:space="0"/>
              <w:right w:val="single" w:color="000000" w:sz="4" w:space="0"/>
            </w:tcBorders>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支持详细记录终端每一次网络连接信息，包括：本地ip、本地端口、远端IP、远端端口、连入与连出方向、协议（TCP/UDP）、进程ID、进程名称、进程执行文件路径、进程MD5。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90" w:hRule="atLeast"/>
          <w:jc w:val="center"/>
        </w:trPr>
        <w:tc>
          <w:tcPr>
            <w:tcW w:w="1266" w:type="dxa"/>
            <w:vMerge w:val="continue"/>
            <w:tcBorders>
              <w:left w:val="single" w:color="000000" w:sz="4" w:space="0"/>
              <w:right w:val="single" w:color="000000" w:sz="4" w:space="0"/>
            </w:tcBorders>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支持详细记录终端服务变动信息，包括：服务名、服务描述、服务类型、服务启动类型、服务运行状态、服务上一次运行状态、服务操作类型、可执行文件路径、服务命令行参数。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08" w:hRule="atLeast"/>
          <w:jc w:val="center"/>
        </w:trPr>
        <w:tc>
          <w:tcPr>
            <w:tcW w:w="1266" w:type="dxa"/>
            <w:vMerge w:val="continue"/>
            <w:tcBorders>
              <w:left w:val="single" w:color="000000" w:sz="4" w:space="0"/>
              <w:right w:val="single" w:color="000000" w:sz="4" w:space="0"/>
            </w:tcBorders>
            <w:shd w:val="clear" w:color="auto" w:fill="FFFFFF" w:themeFill="background1"/>
            <w:vAlign w:val="center"/>
          </w:tcPr>
          <w:p>
            <w:pPr>
              <w:spacing w:after="156"/>
              <w:jc w:val="center"/>
              <w:rPr>
                <w:rFonts w:ascii="仿宋" w:hAnsi="仿宋" w:eastAsia="仿宋" w:cs="仿宋"/>
                <w:color w:val="000000"/>
                <w:kern w:val="0"/>
                <w:sz w:val="24"/>
              </w:rPr>
            </w:pPr>
          </w:p>
        </w:tc>
        <w:tc>
          <w:tcPr>
            <w:tcW w:w="7863" w:type="dxa"/>
            <w:tcBorders>
              <w:top w:val="single" w:color="auto" w:sz="4" w:space="0"/>
              <w:left w:val="single" w:color="000000" w:sz="4" w:space="0"/>
              <w:right w:val="single" w:color="000000" w:sz="4" w:space="0"/>
            </w:tcBorders>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支持详细记录终端文件变化情况，包括：文件名、文件路径、文件MD5、文件大小、操作类型、操作时间、原文件名称、文件所属用户。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32" w:hRule="atLeast"/>
          <w:jc w:val="center"/>
        </w:trPr>
        <w:tc>
          <w:tcPr>
            <w:tcW w:w="1266" w:type="dxa"/>
            <w:vMerge w:val="restart"/>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安全核查</w:t>
            </w:r>
          </w:p>
        </w:tc>
        <w:tc>
          <w:tcPr>
            <w:tcW w:w="7863" w:type="dxa"/>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支持对终端脆弱性扫描和统计呈现，并可对漏洞等级按照通知、低危、中危、高危进行统计分类。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支持终端基线检查，检查内容包括：补丁版本、防火墙状态、远程桌面状态、共享目录状态、打印机共享权限、IPC共享权限、屏保状态、高危端口、密码复杂度、密码长度、密码使用期限检查、弱密码。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支持中间件安装检查、数据库安装检查、防病毒软件安装检查、其他常用软件安装检查。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92" w:hRule="atLeast"/>
          <w:jc w:val="center"/>
        </w:trPr>
        <w:tc>
          <w:tcPr>
            <w:tcW w:w="1266" w:type="dxa"/>
            <w:vMerge w:val="restart"/>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威胁检测</w:t>
            </w: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支持勒索病毒专项检测防护能力；支持挖矿病毒专项检测防护能力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32"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支持非法外联检查，当检测到外联行为时，可对主机进行断网、外设封禁等响应能力。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5"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支持端口扫描检测能力并自动封禁远端扫描IP；支持IP白名单例外。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20"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支持webshell后门检查能力；支持自定义检测目录及白名单例外；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75"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支持根据进程特征和脚本执行对反弹shell检测；支持记录或终止的响应能力。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25"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支持对系统命令或系统应用等关键文件的防篡改；支持自定义防护目录。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61"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spacing w:after="156"/>
              <w:rPr>
                <w:rFonts w:ascii="仿宋" w:hAnsi="仿宋" w:eastAsia="仿宋" w:cs="仿宋"/>
                <w:color w:val="000000"/>
                <w:kern w:val="0"/>
                <w:sz w:val="24"/>
              </w:rPr>
            </w:pPr>
            <w:r>
              <w:rPr>
                <w:rFonts w:hint="eastAsia" w:ascii="仿宋" w:hAnsi="仿宋" w:eastAsia="仿宋" w:cs="仿宋"/>
                <w:color w:val="000000"/>
                <w:kern w:val="0"/>
                <w:sz w:val="24"/>
              </w:rPr>
              <w:t>支持基于ATT&amp;CK攻击矩阵，展示可疑行为。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1" w:hRule="atLeast"/>
          <w:jc w:val="center"/>
        </w:trPr>
        <w:tc>
          <w:tcPr>
            <w:tcW w:w="1266" w:type="dxa"/>
            <w:vMerge w:val="restart"/>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威胁处置</w:t>
            </w:r>
          </w:p>
        </w:tc>
        <w:tc>
          <w:tcPr>
            <w:tcW w:w="7863" w:type="dxa"/>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支持基于黑白名单的进程控制，基于进程名称、路径、MD5、签名组成进程管控能力，保障业务正常运转。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32" w:hRule="atLeast"/>
          <w:jc w:val="center"/>
        </w:trPr>
        <w:tc>
          <w:tcPr>
            <w:tcW w:w="1266" w:type="dxa"/>
            <w:vMerge w:val="continue"/>
            <w:shd w:val="clear" w:color="auto" w:fill="FFFFFF" w:themeFill="background1"/>
            <w:vAlign w:val="center"/>
          </w:tcPr>
          <w:p>
            <w:pPr>
              <w:widowControl/>
              <w:spacing w:after="156"/>
              <w:jc w:val="center"/>
              <w:rPr>
                <w:rFonts w:ascii="仿宋" w:hAnsi="仿宋" w:eastAsia="仿宋" w:cs="仿宋"/>
                <w:color w:val="000000"/>
                <w:kern w:val="0"/>
                <w:sz w:val="24"/>
              </w:rPr>
            </w:pPr>
          </w:p>
        </w:tc>
        <w:tc>
          <w:tcPr>
            <w:tcW w:w="7863" w:type="dxa"/>
            <w:shd w:val="clear" w:color="auto" w:fill="FFFFFF" w:themeFill="background1"/>
            <w:vAlign w:val="center"/>
          </w:tcPr>
          <w:p>
            <w:pPr>
              <w:widowControl/>
              <w:spacing w:after="156"/>
              <w:rPr>
                <w:rFonts w:ascii="仿宋" w:hAnsi="仿宋" w:eastAsia="仿宋" w:cs="仿宋"/>
                <w:color w:val="000000"/>
                <w:kern w:val="0"/>
                <w:sz w:val="24"/>
              </w:rPr>
            </w:pPr>
            <w:r>
              <w:rPr>
                <w:rFonts w:hint="eastAsia" w:ascii="仿宋" w:hAnsi="仿宋" w:eastAsia="仿宋" w:cs="仿宋"/>
                <w:color w:val="000000"/>
                <w:kern w:val="0"/>
                <w:sz w:val="24"/>
              </w:rPr>
              <w:t>支持bat、sh脚本文件扩展安全响应能力；支持立即执行、周期执行、定期执行。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产品资质</w:t>
            </w: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产品具备公安部颁发的销售许可证。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restart"/>
            <w:shd w:val="clear" w:color="auto" w:fill="FFFFFF" w:themeFill="background1"/>
            <w:vAlign w:val="center"/>
          </w:tcPr>
          <w:p>
            <w:pPr>
              <w:widowControl/>
              <w:spacing w:after="156"/>
              <w:jc w:val="center"/>
              <w:rPr>
                <w:rFonts w:ascii="仿宋" w:hAnsi="仿宋" w:eastAsia="仿宋" w:cs="仿宋"/>
                <w:color w:val="000000"/>
                <w:kern w:val="0"/>
                <w:sz w:val="24"/>
              </w:rPr>
            </w:pPr>
            <w:r>
              <w:rPr>
                <w:rFonts w:hint="eastAsia" w:ascii="仿宋" w:hAnsi="仿宋" w:eastAsia="仿宋" w:cs="仿宋"/>
                <w:color w:val="000000"/>
                <w:kern w:val="0"/>
                <w:sz w:val="24"/>
              </w:rPr>
              <w:t>厂商资质要求</w:t>
            </w:r>
          </w:p>
        </w:tc>
        <w:tc>
          <w:tcPr>
            <w:tcW w:w="7863" w:type="dxa"/>
            <w:shd w:val="clear" w:color="auto" w:fill="FFFFFF" w:themeFill="background1"/>
            <w:vAlign w:val="center"/>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厂商具备研发能力CMMI L5认证。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tcPr>
          <w:p>
            <w:pPr>
              <w:widowControl/>
              <w:spacing w:after="156"/>
              <w:jc w:val="left"/>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厂商属于国家互联网应急响应中心网络安全应急服务国家级支撑单位。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tcPr>
          <w:p>
            <w:pPr>
              <w:widowControl/>
              <w:spacing w:after="156"/>
              <w:jc w:val="left"/>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厂商属于国家信息安全漏洞共享平台(CNVD)技术组成员。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21" w:hRule="atLeast"/>
          <w:jc w:val="center"/>
        </w:trPr>
        <w:tc>
          <w:tcPr>
            <w:tcW w:w="1266" w:type="dxa"/>
            <w:vMerge w:val="continue"/>
            <w:shd w:val="clear" w:color="auto" w:fill="FFFFFF" w:themeFill="background1"/>
          </w:tcPr>
          <w:p>
            <w:pPr>
              <w:widowControl/>
              <w:spacing w:after="156"/>
              <w:jc w:val="left"/>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厂商属于微软安全响应中心（Microsoft Security Response Center）发起的MAPP（Microsoft Active Protection Program）计划成员，可在微软发布每月安全公告之前获得微软产品的详细漏洞信息，为用户提供更及时的安全防护。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3" w:hRule="atLeast"/>
          <w:jc w:val="center"/>
        </w:trPr>
        <w:tc>
          <w:tcPr>
            <w:tcW w:w="1266" w:type="dxa"/>
            <w:vMerge w:val="continue"/>
            <w:shd w:val="clear" w:color="auto" w:fill="FFFFFF" w:themeFill="background1"/>
          </w:tcPr>
          <w:p>
            <w:pPr>
              <w:widowControl/>
              <w:spacing w:after="156"/>
              <w:jc w:val="left"/>
              <w:rPr>
                <w:rFonts w:ascii="仿宋" w:hAnsi="仿宋" w:eastAsia="仿宋" w:cs="仿宋"/>
                <w:color w:val="000000"/>
                <w:kern w:val="0"/>
                <w:sz w:val="24"/>
              </w:rPr>
            </w:pPr>
          </w:p>
        </w:tc>
        <w:tc>
          <w:tcPr>
            <w:tcW w:w="7863" w:type="dxa"/>
            <w:shd w:val="clear" w:color="auto" w:fill="FFFFFF" w:themeFill="background1"/>
          </w:tcPr>
          <w:p>
            <w:pPr>
              <w:widowControl/>
              <w:spacing w:after="156"/>
              <w:jc w:val="left"/>
              <w:rPr>
                <w:rFonts w:ascii="仿宋" w:hAnsi="仿宋" w:eastAsia="仿宋" w:cs="仿宋"/>
                <w:color w:val="000000"/>
                <w:kern w:val="0"/>
                <w:sz w:val="24"/>
              </w:rPr>
            </w:pPr>
            <w:r>
              <w:rPr>
                <w:rFonts w:hint="eastAsia" w:ascii="仿宋" w:hAnsi="仿宋" w:eastAsia="仿宋" w:cs="仿宋"/>
                <w:color w:val="000000"/>
                <w:kern w:val="0"/>
                <w:sz w:val="24"/>
              </w:rPr>
              <w:t>厂商属于CSA云安全联盟会员单位。</w:t>
            </w:r>
          </w:p>
        </w:tc>
      </w:tr>
    </w:tbl>
    <w:p>
      <w:pPr>
        <w:spacing w:after="156"/>
        <w:rPr>
          <w:rFonts w:ascii="仿宋" w:hAnsi="仿宋" w:eastAsia="仿宋" w:cs="仿宋"/>
        </w:rPr>
      </w:pPr>
    </w:p>
    <w:p>
      <w:pPr>
        <w:spacing w:line="460" w:lineRule="exact"/>
        <w:ind w:firstLine="482" w:firstLineChars="200"/>
        <w:rPr>
          <w:rFonts w:ascii="仿宋" w:hAnsi="仿宋" w:eastAsia="仿宋" w:cs="仿宋"/>
          <w:b/>
          <w:bCs/>
          <w:sz w:val="24"/>
        </w:rPr>
      </w:pPr>
      <w:r>
        <w:rPr>
          <w:rFonts w:hint="eastAsia" w:ascii="仿宋" w:hAnsi="仿宋" w:eastAsia="仿宋" w:cs="仿宋"/>
          <w:b/>
          <w:bCs/>
          <w:sz w:val="24"/>
        </w:rPr>
        <w:t>2.安全服务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安全服务总体需求清单</w:t>
      </w:r>
    </w:p>
    <w:tbl>
      <w:tblPr>
        <w:tblStyle w:val="27"/>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3029"/>
        <w:gridCol w:w="2287"/>
        <w:gridCol w:w="219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1" w:type="dxa"/>
            <w:shd w:val="clear" w:color="000000" w:fill="8EA9DB"/>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3029" w:type="dxa"/>
            <w:shd w:val="clear" w:color="000000" w:fill="8EA9DB"/>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服务名称</w:t>
            </w:r>
          </w:p>
        </w:tc>
        <w:tc>
          <w:tcPr>
            <w:tcW w:w="2287" w:type="dxa"/>
            <w:shd w:val="clear" w:color="000000" w:fill="8EA9DB"/>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服务范围</w:t>
            </w:r>
          </w:p>
        </w:tc>
        <w:tc>
          <w:tcPr>
            <w:tcW w:w="2195" w:type="dxa"/>
            <w:shd w:val="clear" w:color="000000" w:fill="8EA9DB"/>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服务频率</w:t>
            </w:r>
          </w:p>
        </w:tc>
        <w:tc>
          <w:tcPr>
            <w:tcW w:w="975" w:type="dxa"/>
            <w:shd w:val="clear" w:color="000000" w:fill="8EA9DB"/>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1</w:t>
            </w:r>
          </w:p>
        </w:tc>
        <w:tc>
          <w:tcPr>
            <w:tcW w:w="3029" w:type="dxa"/>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系统环境漏洞扫描服务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不少于10个重要IT信息资产</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≥2次/年</w:t>
            </w:r>
          </w:p>
        </w:tc>
        <w:tc>
          <w:tcPr>
            <w:tcW w:w="975" w:type="dxa"/>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2</w:t>
            </w:r>
          </w:p>
        </w:tc>
        <w:tc>
          <w:tcPr>
            <w:tcW w:w="3029" w:type="dxa"/>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web系统漏洞扫描服务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不少于5个B/S架构业务系统</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≥2次/年</w:t>
            </w:r>
          </w:p>
        </w:tc>
        <w:tc>
          <w:tcPr>
            <w:tcW w:w="975" w:type="dxa"/>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3</w:t>
            </w:r>
          </w:p>
        </w:tc>
        <w:tc>
          <w:tcPr>
            <w:tcW w:w="3029" w:type="dxa"/>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渗透测试服务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不多于6个主要业务系统</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≥30人天</w:t>
            </w:r>
          </w:p>
        </w:tc>
        <w:tc>
          <w:tcPr>
            <w:tcW w:w="975" w:type="dxa"/>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4</w:t>
            </w:r>
          </w:p>
        </w:tc>
        <w:tc>
          <w:tcPr>
            <w:tcW w:w="3029" w:type="dxa"/>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安全巡检服务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不少于5个重要IT信息资产</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≥2次/年</w:t>
            </w:r>
          </w:p>
        </w:tc>
        <w:tc>
          <w:tcPr>
            <w:tcW w:w="975" w:type="dxa"/>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5</w:t>
            </w:r>
          </w:p>
        </w:tc>
        <w:tc>
          <w:tcPr>
            <w:tcW w:w="3029" w:type="dxa"/>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安全规划咨询服务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≥2次/年</w:t>
            </w:r>
          </w:p>
        </w:tc>
        <w:tc>
          <w:tcPr>
            <w:tcW w:w="975" w:type="dxa"/>
            <w:shd w:val="clear" w:color="auto" w:fill="auto"/>
            <w:vAlign w:val="center"/>
          </w:tcPr>
          <w:p>
            <w:pPr>
              <w:widowControl/>
              <w:jc w:val="center"/>
              <w:rPr>
                <w:rFonts w:ascii="仿宋" w:hAnsi="仿宋" w:eastAsia="仿宋" w:cs="仿宋"/>
                <w:color w:val="000000"/>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71" w:type="dxa"/>
            <w:vMerge w:val="restart"/>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6</w:t>
            </w:r>
          </w:p>
        </w:tc>
        <w:tc>
          <w:tcPr>
            <w:tcW w:w="3029" w:type="dxa"/>
            <w:vMerge w:val="restart"/>
            <w:shd w:val="clear" w:color="auto" w:fill="auto"/>
            <w:vAlign w:val="center"/>
          </w:tcPr>
          <w:p>
            <w:pPr>
              <w:widowControl/>
              <w:spacing w:after="156"/>
              <w:jc w:val="center"/>
              <w:textAlignment w:val="center"/>
              <w:rPr>
                <w:rFonts w:ascii="仿宋" w:hAnsi="仿宋" w:eastAsia="仿宋" w:cs="仿宋"/>
                <w:b/>
                <w:bCs/>
                <w:color w:val="000000"/>
                <w:kern w:val="0"/>
                <w:sz w:val="24"/>
              </w:rPr>
            </w:pPr>
            <w:r>
              <w:rPr>
                <w:rFonts w:hint="eastAsia" w:ascii="仿宋" w:hAnsi="仿宋" w:eastAsia="仿宋" w:cs="仿宋"/>
                <w:b/>
                <w:bCs/>
                <w:color w:val="000000"/>
                <w:kern w:val="0"/>
                <w:sz w:val="24"/>
                <w:lang w:bidi="ar"/>
              </w:rPr>
              <w:t>安全运营服务</w:t>
            </w:r>
          </w:p>
        </w:tc>
        <w:tc>
          <w:tcPr>
            <w:tcW w:w="2287" w:type="dxa"/>
            <w:vAlign w:val="center"/>
          </w:tcPr>
          <w:p>
            <w:pPr>
              <w:widowControl/>
              <w:jc w:val="center"/>
              <w:rPr>
                <w:rFonts w:ascii="仿宋" w:hAnsi="仿宋" w:eastAsia="仿宋" w:cs="仿宋"/>
                <w:sz w:val="24"/>
              </w:rPr>
            </w:pPr>
            <w:r>
              <w:rPr>
                <w:rFonts w:hint="eastAsia" w:ascii="仿宋" w:hAnsi="仿宋" w:eastAsia="仿宋" w:cs="仿宋"/>
                <w:sz w:val="24"/>
              </w:rPr>
              <w:t>平台及组件租赁服务</w:t>
            </w:r>
          </w:p>
        </w:tc>
        <w:tc>
          <w:tcPr>
            <w:tcW w:w="2195"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sz w:val="24"/>
              </w:rPr>
              <w:t>7*24小时</w:t>
            </w:r>
          </w:p>
        </w:tc>
        <w:tc>
          <w:tcPr>
            <w:tcW w:w="975" w:type="dxa"/>
            <w:vMerge w:val="restart"/>
            <w:shd w:val="clear" w:color="auto" w:fill="auto"/>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71" w:type="dxa"/>
            <w:vMerge w:val="continue"/>
            <w:shd w:val="clear" w:color="auto" w:fill="auto"/>
            <w:vAlign w:val="center"/>
          </w:tcPr>
          <w:p>
            <w:pPr>
              <w:widowControl/>
              <w:jc w:val="center"/>
              <w:rPr>
                <w:rFonts w:ascii="仿宋" w:hAnsi="仿宋" w:eastAsia="仿宋" w:cs="仿宋"/>
              </w:rPr>
            </w:pPr>
          </w:p>
        </w:tc>
        <w:tc>
          <w:tcPr>
            <w:tcW w:w="3029" w:type="dxa"/>
            <w:vMerge w:val="continue"/>
            <w:shd w:val="clear" w:color="auto" w:fill="auto"/>
            <w:vAlign w:val="center"/>
          </w:tcPr>
          <w:p>
            <w:pPr>
              <w:widowControl/>
              <w:jc w:val="center"/>
              <w:rPr>
                <w:rFonts w:ascii="仿宋" w:hAnsi="仿宋" w:eastAsia="仿宋" w:cs="仿宋"/>
              </w:rPr>
            </w:pPr>
          </w:p>
        </w:tc>
        <w:tc>
          <w:tcPr>
            <w:tcW w:w="2287" w:type="dxa"/>
            <w:vAlign w:val="center"/>
          </w:tcPr>
          <w:p>
            <w:pPr>
              <w:widowControl/>
              <w:jc w:val="center"/>
              <w:rPr>
                <w:rFonts w:ascii="仿宋" w:hAnsi="仿宋" w:eastAsia="仿宋" w:cs="仿宋"/>
                <w:sz w:val="24"/>
              </w:rPr>
            </w:pPr>
            <w:r>
              <w:rPr>
                <w:rFonts w:hint="eastAsia" w:ascii="仿宋" w:hAnsi="仿宋" w:eastAsia="仿宋" w:cs="仿宋"/>
                <w:sz w:val="24"/>
              </w:rPr>
              <w:t>/</w:t>
            </w:r>
          </w:p>
        </w:tc>
        <w:tc>
          <w:tcPr>
            <w:tcW w:w="2195" w:type="dxa"/>
            <w:vAlign w:val="center"/>
          </w:tcPr>
          <w:p>
            <w:pPr>
              <w:widowControl/>
              <w:jc w:val="center"/>
              <w:rPr>
                <w:rFonts w:ascii="仿宋" w:hAnsi="仿宋" w:eastAsia="仿宋" w:cs="仿宋"/>
                <w:sz w:val="24"/>
              </w:rPr>
            </w:pPr>
            <w:r>
              <w:rPr>
                <w:rFonts w:hint="eastAsia" w:ascii="仿宋" w:hAnsi="仿宋" w:eastAsia="仿宋" w:cs="仿宋"/>
                <w:sz w:val="24"/>
              </w:rPr>
              <w:t>人工驻场，线下处置：25天</w:t>
            </w:r>
          </w:p>
        </w:tc>
        <w:tc>
          <w:tcPr>
            <w:tcW w:w="975" w:type="dxa"/>
            <w:vMerge w:val="continue"/>
            <w:shd w:val="clear" w:color="auto" w:fill="auto"/>
            <w:vAlign w:val="center"/>
          </w:tcPr>
          <w:p>
            <w:pPr>
              <w:widowControl/>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71" w:type="dxa"/>
            <w:vMerge w:val="continue"/>
            <w:shd w:val="clear" w:color="auto" w:fill="auto"/>
            <w:vAlign w:val="center"/>
          </w:tcPr>
          <w:p>
            <w:pPr>
              <w:widowControl/>
              <w:jc w:val="center"/>
              <w:rPr>
                <w:rFonts w:ascii="仿宋" w:hAnsi="仿宋" w:eastAsia="仿宋" w:cs="仿宋"/>
                <w:sz w:val="24"/>
              </w:rPr>
            </w:pPr>
          </w:p>
        </w:tc>
        <w:tc>
          <w:tcPr>
            <w:tcW w:w="3029" w:type="dxa"/>
            <w:vMerge w:val="continue"/>
            <w:shd w:val="clear" w:color="auto" w:fill="auto"/>
            <w:vAlign w:val="center"/>
          </w:tcPr>
          <w:p>
            <w:pPr>
              <w:widowControl/>
              <w:jc w:val="center"/>
              <w:rPr>
                <w:rFonts w:ascii="仿宋" w:hAnsi="仿宋" w:eastAsia="仿宋" w:cs="仿宋"/>
                <w:sz w:val="24"/>
              </w:rPr>
            </w:pPr>
          </w:p>
        </w:tc>
        <w:tc>
          <w:tcPr>
            <w:tcW w:w="2287" w:type="dxa"/>
            <w:vAlign w:val="center"/>
          </w:tcPr>
          <w:p>
            <w:pPr>
              <w:widowControl/>
              <w:jc w:val="center"/>
              <w:rPr>
                <w:rFonts w:ascii="仿宋" w:hAnsi="仿宋" w:eastAsia="仿宋" w:cs="仿宋"/>
                <w:sz w:val="24"/>
              </w:rPr>
            </w:pPr>
            <w:r>
              <w:rPr>
                <w:rFonts w:hint="eastAsia" w:ascii="仿宋" w:hAnsi="仿宋" w:eastAsia="仿宋" w:cs="仿宋"/>
                <w:sz w:val="24"/>
              </w:rPr>
              <w:t>/</w:t>
            </w:r>
          </w:p>
        </w:tc>
        <w:tc>
          <w:tcPr>
            <w:tcW w:w="2195" w:type="dxa"/>
            <w:vAlign w:val="center"/>
          </w:tcPr>
          <w:p>
            <w:pPr>
              <w:widowControl/>
              <w:jc w:val="center"/>
              <w:rPr>
                <w:rFonts w:ascii="仿宋" w:hAnsi="仿宋" w:eastAsia="仿宋" w:cs="仿宋"/>
                <w:sz w:val="24"/>
              </w:rPr>
            </w:pPr>
            <w:r>
              <w:rPr>
                <w:rFonts w:hint="eastAsia" w:ascii="仿宋" w:hAnsi="仿宋" w:eastAsia="仿宋" w:cs="仿宋"/>
                <w:sz w:val="24"/>
              </w:rPr>
              <w:t>重大事件应急响应：2次/年</w:t>
            </w:r>
          </w:p>
        </w:tc>
        <w:tc>
          <w:tcPr>
            <w:tcW w:w="975" w:type="dxa"/>
            <w:vMerge w:val="continue"/>
            <w:shd w:val="clear" w:color="auto" w:fill="auto"/>
            <w:vAlign w:val="center"/>
          </w:tcPr>
          <w:p>
            <w:pPr>
              <w:widowControl/>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71" w:type="dxa"/>
            <w:vMerge w:val="continue"/>
            <w:shd w:val="clear" w:color="auto" w:fill="auto"/>
            <w:vAlign w:val="center"/>
          </w:tcPr>
          <w:p>
            <w:pPr>
              <w:widowControl/>
              <w:jc w:val="center"/>
              <w:rPr>
                <w:rFonts w:ascii="仿宋" w:hAnsi="仿宋" w:eastAsia="仿宋" w:cs="仿宋"/>
                <w:sz w:val="24"/>
              </w:rPr>
            </w:pPr>
          </w:p>
        </w:tc>
        <w:tc>
          <w:tcPr>
            <w:tcW w:w="3029" w:type="dxa"/>
            <w:vMerge w:val="continue"/>
            <w:shd w:val="clear" w:color="auto" w:fill="auto"/>
            <w:vAlign w:val="center"/>
          </w:tcPr>
          <w:p>
            <w:pPr>
              <w:widowControl/>
              <w:jc w:val="center"/>
              <w:rPr>
                <w:rFonts w:ascii="仿宋" w:hAnsi="仿宋" w:eastAsia="仿宋" w:cs="仿宋"/>
                <w:sz w:val="24"/>
              </w:rPr>
            </w:pPr>
          </w:p>
        </w:tc>
        <w:tc>
          <w:tcPr>
            <w:tcW w:w="2287" w:type="dxa"/>
            <w:vAlign w:val="center"/>
          </w:tcPr>
          <w:p>
            <w:pPr>
              <w:widowControl/>
              <w:jc w:val="center"/>
              <w:rPr>
                <w:rFonts w:ascii="仿宋" w:hAnsi="仿宋" w:eastAsia="仿宋" w:cs="仿宋"/>
                <w:sz w:val="24"/>
              </w:rPr>
            </w:pPr>
            <w:r>
              <w:rPr>
                <w:rFonts w:hint="eastAsia" w:ascii="仿宋" w:hAnsi="仿宋" w:eastAsia="仿宋" w:cs="仿宋"/>
                <w:sz w:val="24"/>
              </w:rPr>
              <w:t>远程技术支持</w:t>
            </w:r>
          </w:p>
        </w:tc>
        <w:tc>
          <w:tcPr>
            <w:tcW w:w="2195" w:type="dxa"/>
            <w:vAlign w:val="center"/>
          </w:tcPr>
          <w:p>
            <w:pPr>
              <w:widowControl/>
              <w:jc w:val="center"/>
              <w:rPr>
                <w:rFonts w:ascii="仿宋" w:hAnsi="仿宋" w:eastAsia="仿宋" w:cs="仿宋"/>
                <w:sz w:val="24"/>
              </w:rPr>
            </w:pPr>
            <w:r>
              <w:rPr>
                <w:rFonts w:hint="eastAsia" w:ascii="仿宋" w:hAnsi="仿宋" w:eastAsia="仿宋" w:cs="仿宋"/>
                <w:sz w:val="24"/>
              </w:rPr>
              <w:t>7*24小时</w:t>
            </w:r>
          </w:p>
        </w:tc>
        <w:tc>
          <w:tcPr>
            <w:tcW w:w="975" w:type="dxa"/>
            <w:shd w:val="clear" w:color="auto" w:fill="auto"/>
            <w:vAlign w:val="center"/>
          </w:tcPr>
          <w:p>
            <w:pPr>
              <w:widowControl/>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1" w:type="dxa"/>
            <w:shd w:val="clear" w:color="auto" w:fill="auto"/>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7</w:t>
            </w:r>
          </w:p>
        </w:tc>
        <w:tc>
          <w:tcPr>
            <w:tcW w:w="3029" w:type="dxa"/>
            <w:shd w:val="clear" w:color="auto" w:fill="auto"/>
            <w:vAlign w:val="center"/>
          </w:tcPr>
          <w:p>
            <w:pPr>
              <w:widowControl/>
              <w:spacing w:after="156"/>
              <w:jc w:val="center"/>
              <w:textAlignment w:val="center"/>
              <w:rPr>
                <w:rFonts w:ascii="仿宋" w:hAnsi="仿宋" w:eastAsia="仿宋" w:cs="仿宋"/>
                <w:b/>
                <w:bCs/>
                <w:sz w:val="24"/>
              </w:rPr>
            </w:pPr>
            <w:r>
              <w:rPr>
                <w:rFonts w:hint="eastAsia" w:ascii="仿宋" w:hAnsi="仿宋" w:eastAsia="仿宋" w:cs="仿宋"/>
                <w:b/>
                <w:bCs/>
                <w:color w:val="000000"/>
                <w:kern w:val="0"/>
                <w:sz w:val="24"/>
                <w:lang w:bidi="ar"/>
              </w:rPr>
              <w:t>安全意识培训服务</w:t>
            </w:r>
          </w:p>
        </w:tc>
        <w:tc>
          <w:tcPr>
            <w:tcW w:w="2287" w:type="dxa"/>
            <w:vAlign w:val="center"/>
          </w:tcPr>
          <w:p>
            <w:pPr>
              <w:widowControl/>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人员招标方指定</w:t>
            </w:r>
          </w:p>
        </w:tc>
        <w:tc>
          <w:tcPr>
            <w:tcW w:w="2195" w:type="dxa"/>
            <w:vAlign w:val="center"/>
          </w:tcPr>
          <w:p>
            <w:pPr>
              <w:widowControl/>
              <w:jc w:val="center"/>
              <w:rPr>
                <w:rFonts w:ascii="仿宋" w:hAnsi="仿宋" w:eastAsia="仿宋" w:cs="仿宋"/>
                <w:sz w:val="24"/>
              </w:rPr>
            </w:pPr>
            <w:r>
              <w:rPr>
                <w:rFonts w:hint="eastAsia" w:ascii="仿宋" w:hAnsi="仿宋" w:eastAsia="仿宋" w:cs="仿宋"/>
                <w:color w:val="000000"/>
                <w:kern w:val="0"/>
                <w:sz w:val="22"/>
                <w:szCs w:val="22"/>
              </w:rPr>
              <w:t>2次/年</w:t>
            </w:r>
          </w:p>
        </w:tc>
        <w:tc>
          <w:tcPr>
            <w:tcW w:w="975" w:type="dxa"/>
            <w:shd w:val="clear" w:color="auto" w:fill="auto"/>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1年</w:t>
            </w:r>
          </w:p>
        </w:tc>
      </w:tr>
    </w:tbl>
    <w:p>
      <w:pPr>
        <w:spacing w:line="460" w:lineRule="exact"/>
        <w:ind w:firstLine="482" w:firstLineChars="200"/>
        <w:rPr>
          <w:rFonts w:ascii="仿宋" w:hAnsi="仿宋" w:eastAsia="仿宋" w:cs="仿宋"/>
          <w:sz w:val="24"/>
        </w:rPr>
      </w:pPr>
      <w:r>
        <w:rPr>
          <w:rFonts w:hint="eastAsia" w:ascii="仿宋" w:hAnsi="仿宋" w:eastAsia="仿宋" w:cs="仿宋"/>
          <w:b/>
          <w:bCs/>
          <w:sz w:val="24"/>
        </w:rPr>
        <w:t>2.1系统环境漏洞扫描服务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2.1.1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使用漏洞扫描工具对系统环境的安全漏洞扫描检测，客观分析安全风险等级，并根据检测结果和危害分析，协助修复安全漏洞和系统中的错误设置，在黑客攻击前开展防范措施，提高黑客的攻击成本，拉长黑客的攻击周期。</w:t>
      </w:r>
    </w:p>
    <w:p>
      <w:pPr>
        <w:spacing w:line="460" w:lineRule="exact"/>
        <w:ind w:firstLine="480" w:firstLineChars="200"/>
        <w:rPr>
          <w:rFonts w:ascii="仿宋" w:hAnsi="仿宋" w:eastAsia="仿宋" w:cs="仿宋"/>
          <w:sz w:val="24"/>
        </w:rPr>
      </w:pPr>
      <w:r>
        <w:rPr>
          <w:rFonts w:hint="eastAsia" w:ascii="仿宋" w:hAnsi="仿宋" w:eastAsia="仿宋" w:cs="仿宋"/>
          <w:sz w:val="24"/>
        </w:rPr>
        <w:t>（1）服务人数：≥2人/次，服务方式：现场服务，频率：≥2次/年，时间要求：每次不少于2天，服务成果：《漏洞评估报告》；</w:t>
      </w:r>
    </w:p>
    <w:p>
      <w:pPr>
        <w:spacing w:line="460" w:lineRule="exact"/>
        <w:ind w:firstLine="480" w:firstLineChars="200"/>
        <w:rPr>
          <w:rFonts w:ascii="仿宋" w:hAnsi="仿宋" w:eastAsia="仿宋" w:cs="仿宋"/>
          <w:sz w:val="24"/>
        </w:rPr>
      </w:pPr>
      <w:r>
        <w:rPr>
          <w:rFonts w:hint="eastAsia" w:ascii="仿宋" w:hAnsi="仿宋" w:eastAsia="仿宋" w:cs="仿宋"/>
          <w:sz w:val="24"/>
        </w:rPr>
        <w:t>（2）安全漏洞检测：如操作系统、中间件、B/S业务系统、数据库等漏洞；</w:t>
      </w:r>
    </w:p>
    <w:p>
      <w:pPr>
        <w:spacing w:line="460" w:lineRule="exact"/>
        <w:ind w:firstLine="480" w:firstLineChars="200"/>
        <w:rPr>
          <w:rFonts w:ascii="仿宋" w:hAnsi="仿宋" w:eastAsia="仿宋" w:cs="仿宋"/>
          <w:sz w:val="24"/>
        </w:rPr>
      </w:pPr>
      <w:r>
        <w:rPr>
          <w:rFonts w:hint="eastAsia" w:ascii="仿宋" w:hAnsi="仿宋" w:eastAsia="仿宋" w:cs="仿宋"/>
          <w:sz w:val="24"/>
        </w:rPr>
        <w:t>（3）业务逻辑漏洞检测：如后台登录处存在逻辑错误，登陆时没有错误次数限制用户登录，并且没有判断验证码过期，导致验证码可以重复使用，可被爆破用户名密码或撞库；</w:t>
      </w:r>
    </w:p>
    <w:p>
      <w:pPr>
        <w:spacing w:line="460" w:lineRule="exact"/>
        <w:ind w:firstLine="480" w:firstLineChars="200"/>
        <w:rPr>
          <w:rFonts w:ascii="仿宋" w:hAnsi="仿宋" w:eastAsia="仿宋" w:cs="仿宋"/>
          <w:sz w:val="24"/>
        </w:rPr>
      </w:pPr>
      <w:r>
        <w:rPr>
          <w:rFonts w:hint="eastAsia" w:ascii="仿宋" w:hAnsi="仿宋" w:eastAsia="仿宋" w:cs="仿宋"/>
          <w:sz w:val="24"/>
        </w:rPr>
        <w:t>（4）弱口令核查，复用口令核查。</w:t>
      </w:r>
    </w:p>
    <w:p>
      <w:pPr>
        <w:spacing w:line="460" w:lineRule="exact"/>
        <w:ind w:firstLine="480" w:firstLineChars="200"/>
        <w:rPr>
          <w:rFonts w:ascii="仿宋" w:hAnsi="仿宋" w:eastAsia="仿宋" w:cs="仿宋"/>
          <w:sz w:val="24"/>
        </w:rPr>
      </w:pPr>
      <w:r>
        <w:rPr>
          <w:rFonts w:hint="eastAsia" w:ascii="仿宋" w:hAnsi="仿宋" w:eastAsia="仿宋" w:cs="仿宋"/>
          <w:sz w:val="24"/>
        </w:rPr>
        <w:t>2.1.2 服务技术要求</w:t>
      </w:r>
    </w:p>
    <w:tbl>
      <w:tblPr>
        <w:tblStyle w:val="28"/>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6975"/>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40" w:lineRule="exact"/>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975"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40" w:lineRule="exact"/>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服务技术要求</w:t>
            </w:r>
          </w:p>
        </w:tc>
        <w:tc>
          <w:tcPr>
            <w:tcW w:w="899"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40" w:lineRule="exact"/>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工具具备分布式部署提供远端扫描引擎列表，列表需对设备状态、策略同步、规则同步、引擎类型等状态提供最直观的展示效果（请提供相应截图证明）。</w:t>
            </w:r>
          </w:p>
        </w:tc>
        <w:tc>
          <w:tcPr>
            <w:tcW w:w="899" w:type="dxa"/>
            <w:tcBorders>
              <w:top w:val="single" w:color="auto" w:sz="4" w:space="0"/>
              <w:left w:val="single" w:color="auto" w:sz="4" w:space="0"/>
              <w:right w:val="single" w:color="auto" w:sz="4" w:space="0"/>
            </w:tcBorders>
            <w:shd w:val="clear" w:color="auto" w:fill="auto"/>
            <w:vAlign w:val="center"/>
          </w:tcPr>
          <w:p>
            <w:pPr>
              <w:spacing w:line="240" w:lineRule="exact"/>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工具需支持多种扫描方式，提供对IP、域名、安全域、批量检测等目标扫描方式。</w:t>
            </w:r>
          </w:p>
        </w:tc>
        <w:tc>
          <w:tcPr>
            <w:tcW w:w="899" w:type="dxa"/>
            <w:tcBorders>
              <w:top w:val="single" w:color="auto" w:sz="4" w:space="0"/>
              <w:left w:val="single" w:color="auto" w:sz="4" w:space="0"/>
              <w:right w:val="single" w:color="auto" w:sz="4" w:space="0"/>
            </w:tcBorders>
            <w:shd w:val="clear" w:color="auto" w:fill="auto"/>
            <w:vAlign w:val="center"/>
          </w:tcPr>
          <w:p>
            <w:pPr>
              <w:spacing w:line="240" w:lineRule="exact"/>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工具应具备操作系统、数据库、网络设备等主流系统的漏洞库列表，并提供至少20种以上的漏洞库分类。</w:t>
            </w:r>
          </w:p>
        </w:tc>
        <w:tc>
          <w:tcPr>
            <w:tcW w:w="899"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仿宋" w:hAnsi="仿宋" w:eastAsia="仿宋" w:cs="仿宋"/>
                <w:color w:val="000000" w:themeColor="text1"/>
                <w:kern w:val="0"/>
                <w:sz w:val="24"/>
                <w:szCs w:val="20"/>
              </w:rPr>
            </w:pPr>
          </w:p>
          <w:p>
            <w:pPr>
              <w:pStyle w:val="4"/>
              <w:spacing w:line="240" w:lineRule="exact"/>
              <w:rPr>
                <w:rFonts w:ascii="仿宋" w:hAnsi="仿宋" w:eastAsia="仿宋" w:cs="仿宋"/>
              </w:rPr>
            </w:pPr>
          </w:p>
          <w:p>
            <w:pPr>
              <w:pStyle w:val="4"/>
              <w:spacing w:line="240" w:lineRule="exact"/>
              <w:rPr>
                <w:rFonts w:ascii="仿宋" w:hAnsi="仿宋" w:eastAsia="仿宋" w:cs="仿宋"/>
              </w:rPr>
            </w:pPr>
          </w:p>
          <w:p>
            <w:pPr>
              <w:pStyle w:val="4"/>
              <w:spacing w:line="240" w:lineRule="exact"/>
              <w:rPr>
                <w:rFonts w:ascii="仿宋" w:hAnsi="仿宋" w:eastAsia="仿宋" w:cs="仿宋"/>
              </w:rPr>
            </w:pPr>
          </w:p>
          <w:p>
            <w:pPr>
              <w:pStyle w:val="4"/>
              <w:spacing w:line="240" w:lineRule="exact"/>
              <w:ind w:firstLine="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仿宋" w:hAnsi="仿宋" w:eastAsia="仿宋" w:cs="仿宋"/>
                <w:color w:val="000000"/>
                <w:kern w:val="0"/>
                <w:sz w:val="22"/>
                <w:szCs w:val="22"/>
              </w:rPr>
            </w:pPr>
            <w:r>
              <w:rPr>
                <w:rFonts w:hint="eastAsia" w:ascii="仿宋" w:hAnsi="仿宋" w:eastAsia="仿宋" w:cs="仿宋"/>
                <w:color w:val="000000" w:themeColor="text1"/>
                <w:sz w:val="24"/>
              </w:rPr>
              <w:t>▲</w:t>
            </w:r>
            <w:r>
              <w:rPr>
                <w:rFonts w:hint="eastAsia" w:ascii="仿宋" w:hAnsi="仿宋" w:eastAsia="仿宋" w:cs="仿宋"/>
                <w:color w:val="000000"/>
                <w:kern w:val="0"/>
                <w:sz w:val="22"/>
                <w:szCs w:val="22"/>
              </w:rPr>
              <w:t>工具具备对DNS服务的安全漏洞检查，包括DNS缓存中毒、DNS拒绝服务漏洞、签名欺骗等至少100种以上的相关漏洞库（请提供相应截图证明）。</w:t>
            </w:r>
          </w:p>
        </w:tc>
        <w:tc>
          <w:tcPr>
            <w:tcW w:w="899" w:type="dxa"/>
            <w:vMerge w:val="continue"/>
            <w:tcBorders>
              <w:top w:val="single" w:color="auto" w:sz="4" w:space="0"/>
              <w:left w:val="single" w:color="auto" w:sz="4" w:space="0"/>
              <w:right w:val="single" w:color="auto" w:sz="4" w:space="0"/>
            </w:tcBorders>
            <w:shd w:val="clear" w:color="auto" w:fill="auto"/>
            <w:vAlign w:val="center"/>
          </w:tcPr>
          <w:p>
            <w:pPr>
              <w:spacing w:line="240" w:lineRule="exact"/>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仿宋" w:hAnsi="仿宋" w:eastAsia="仿宋" w:cs="仿宋"/>
                <w:color w:val="000000"/>
                <w:kern w:val="0"/>
                <w:sz w:val="22"/>
                <w:szCs w:val="22"/>
              </w:rPr>
            </w:pPr>
            <w:r>
              <w:rPr>
                <w:rFonts w:hint="eastAsia" w:ascii="仿宋" w:hAnsi="仿宋" w:eastAsia="仿宋" w:cs="仿宋"/>
                <w:color w:val="000000" w:themeColor="text1"/>
                <w:sz w:val="24"/>
              </w:rPr>
              <w:t>▲</w:t>
            </w:r>
            <w:r>
              <w:rPr>
                <w:rFonts w:hint="eastAsia" w:ascii="仿宋" w:hAnsi="仿宋" w:eastAsia="仿宋" w:cs="仿宋"/>
                <w:color w:val="000000"/>
                <w:kern w:val="0"/>
                <w:sz w:val="22"/>
                <w:szCs w:val="22"/>
              </w:rPr>
              <w:t>工具具备对后门检测的安全漏洞检查，包括对Microsoft IIS特洛伊木马检测、Mac OS X恶意程序等常见后门漏洞的安全检测，并提供至少100种以上的相关漏洞库（请提供相应截图证明）。</w:t>
            </w:r>
          </w:p>
        </w:tc>
        <w:tc>
          <w:tcPr>
            <w:tcW w:w="899" w:type="dxa"/>
            <w:tcBorders>
              <w:top w:val="single" w:color="auto" w:sz="4" w:space="0"/>
              <w:left w:val="single" w:color="auto" w:sz="4" w:space="0"/>
              <w:right w:val="single" w:color="auto" w:sz="4" w:space="0"/>
            </w:tcBorders>
            <w:shd w:val="clear" w:color="auto" w:fill="auto"/>
            <w:vAlign w:val="center"/>
          </w:tcPr>
          <w:p>
            <w:pPr>
              <w:spacing w:line="240" w:lineRule="exact"/>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6"/>
              </w:numPr>
              <w:spacing w:line="240" w:lineRule="exact"/>
              <w:ind w:left="726" w:hanging="432"/>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仿宋" w:hAnsi="仿宋" w:eastAsia="仿宋" w:cs="仿宋"/>
                <w:color w:val="000000" w:themeColor="text1"/>
                <w:sz w:val="24"/>
              </w:rPr>
            </w:pPr>
            <w:r>
              <w:rPr>
                <w:rFonts w:hint="eastAsia" w:ascii="仿宋" w:hAnsi="仿宋" w:eastAsia="仿宋" w:cs="仿宋"/>
                <w:color w:val="000000"/>
                <w:kern w:val="0"/>
                <w:sz w:val="22"/>
                <w:szCs w:val="22"/>
              </w:rPr>
              <w:t>计算机信息系统安全专用销售许可证（网络脆弱性扫描（增强级））。</w:t>
            </w:r>
          </w:p>
        </w:tc>
        <w:tc>
          <w:tcPr>
            <w:tcW w:w="899" w:type="dxa"/>
            <w:tcBorders>
              <w:top w:val="single" w:color="auto" w:sz="4" w:space="0"/>
              <w:left w:val="single" w:color="auto" w:sz="4" w:space="0"/>
              <w:right w:val="single" w:color="auto" w:sz="4" w:space="0"/>
            </w:tcBorders>
            <w:shd w:val="clear" w:color="auto" w:fill="auto"/>
            <w:vAlign w:val="center"/>
          </w:tcPr>
          <w:p>
            <w:pPr>
              <w:spacing w:line="240" w:lineRule="exact"/>
              <w:rPr>
                <w:rFonts w:ascii="仿宋" w:hAnsi="仿宋" w:eastAsia="仿宋" w:cs="仿宋"/>
                <w:color w:val="000000" w:themeColor="text1"/>
                <w:kern w:val="0"/>
                <w:sz w:val="24"/>
                <w:szCs w:val="20"/>
              </w:rPr>
            </w:pPr>
          </w:p>
        </w:tc>
      </w:tr>
    </w:tbl>
    <w:p>
      <w:pPr>
        <w:rPr>
          <w:rFonts w:ascii="仿宋" w:hAnsi="仿宋" w:eastAsia="仿宋" w:cs="仿宋"/>
        </w:rPr>
      </w:pPr>
    </w:p>
    <w:p>
      <w:pPr>
        <w:spacing w:line="460" w:lineRule="exact"/>
        <w:ind w:firstLine="482" w:firstLineChars="200"/>
        <w:rPr>
          <w:rFonts w:ascii="仿宋" w:hAnsi="仿宋" w:eastAsia="仿宋" w:cs="仿宋"/>
          <w:b/>
          <w:bCs/>
          <w:sz w:val="24"/>
        </w:rPr>
      </w:pPr>
      <w:r>
        <w:rPr>
          <w:rFonts w:hint="eastAsia" w:ascii="仿宋" w:hAnsi="仿宋" w:eastAsia="仿宋" w:cs="仿宋"/>
          <w:b/>
          <w:bCs/>
          <w:sz w:val="24"/>
        </w:rPr>
        <w:t>2.2  web系统漏洞扫描服务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2.2.1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使用web漏洞扫描工具对web系统进行扫描，通过扫描工具准确识别业务系统中的安全漏洞，全面检测并发现业务应用安全隐患，协助客户修复。</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服务人数：≥2人/次，服务方式：现场服务，频率：≥2次/年，时间要求：每次不少于2天，服务成果：《web系统漏洞扫描报告》。</w:t>
      </w:r>
    </w:p>
    <w:p>
      <w:pPr>
        <w:spacing w:line="460" w:lineRule="exact"/>
        <w:ind w:firstLine="480" w:firstLineChars="200"/>
        <w:rPr>
          <w:rFonts w:ascii="仿宋" w:hAnsi="仿宋" w:eastAsia="仿宋" w:cs="仿宋"/>
          <w:sz w:val="24"/>
        </w:rPr>
      </w:pPr>
      <w:r>
        <w:rPr>
          <w:rFonts w:hint="eastAsia" w:ascii="仿宋" w:hAnsi="仿宋" w:eastAsia="仿宋" w:cs="仿宋"/>
          <w:sz w:val="24"/>
        </w:rPr>
        <w:t>2.2.2 服务技术要求</w:t>
      </w:r>
    </w:p>
    <w:tbl>
      <w:tblPr>
        <w:tblStyle w:val="116"/>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733"/>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63"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733"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服务技术要求</w:t>
            </w:r>
          </w:p>
        </w:tc>
        <w:tc>
          <w:tcPr>
            <w:tcW w:w="104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7"/>
              </w:numPr>
              <w:rPr>
                <w:rFonts w:ascii="仿宋" w:hAnsi="仿宋" w:eastAsia="仿宋" w:cs="仿宋"/>
                <w:color w:val="000000"/>
                <w:kern w:val="0"/>
                <w:sz w:val="22"/>
                <w:szCs w:val="22"/>
              </w:rPr>
            </w:pPr>
          </w:p>
        </w:tc>
        <w:tc>
          <w:tcPr>
            <w:tcW w:w="67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7"/>
              <w:widowControl/>
              <w:ind w:firstLine="0" w:firstLineChars="0"/>
              <w:rPr>
                <w:rFonts w:ascii="仿宋" w:hAnsi="仿宋" w:eastAsia="仿宋" w:cs="仿宋"/>
                <w:color w:val="000000"/>
                <w:kern w:val="0"/>
                <w:sz w:val="22"/>
                <w:szCs w:val="22"/>
              </w:rPr>
            </w:pPr>
            <w:r>
              <w:rPr>
                <w:rFonts w:hint="eastAsia" w:ascii="仿宋" w:hAnsi="仿宋" w:eastAsia="仿宋" w:cs="仿宋"/>
                <w:color w:val="000000"/>
                <w:kern w:val="0"/>
                <w:sz w:val="22"/>
                <w:szCs w:val="22"/>
              </w:rPr>
              <w:t>工具适用于Windows、Linux及国产操作系统等</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7"/>
              </w:numPr>
              <w:rPr>
                <w:rFonts w:ascii="仿宋" w:hAnsi="仿宋" w:eastAsia="仿宋" w:cs="仿宋"/>
                <w:color w:val="000000"/>
                <w:kern w:val="0"/>
                <w:sz w:val="22"/>
                <w:szCs w:val="22"/>
              </w:rPr>
            </w:pPr>
          </w:p>
        </w:tc>
        <w:tc>
          <w:tcPr>
            <w:tcW w:w="67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7"/>
              <w:widowControl/>
              <w:ind w:firstLine="0" w:firstLineChars="0"/>
              <w:rPr>
                <w:rFonts w:ascii="仿宋" w:hAnsi="仿宋" w:eastAsia="仿宋" w:cs="仿宋"/>
                <w:color w:val="000000"/>
                <w:kern w:val="0"/>
                <w:sz w:val="22"/>
                <w:szCs w:val="22"/>
              </w:rPr>
            </w:pPr>
            <w:r>
              <w:rPr>
                <w:rFonts w:hint="eastAsia" w:ascii="仿宋" w:hAnsi="仿宋" w:eastAsia="仿宋" w:cs="仿宋"/>
                <w:color w:val="000000"/>
                <w:kern w:val="0"/>
                <w:sz w:val="22"/>
                <w:szCs w:val="22"/>
              </w:rPr>
              <w:t>web漏洞包括但不限于：注入式缺陷、跨站脚本攻击、非法链接跳转、信息泄露、异常处理等。</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bl>
    <w:p>
      <w:pPr>
        <w:spacing w:line="460" w:lineRule="exact"/>
        <w:ind w:firstLine="482" w:firstLineChars="200"/>
        <w:rPr>
          <w:rFonts w:ascii="仿宋" w:hAnsi="仿宋" w:eastAsia="仿宋" w:cs="仿宋"/>
          <w:b/>
          <w:bCs/>
          <w:sz w:val="24"/>
        </w:rPr>
      </w:pPr>
      <w:r>
        <w:rPr>
          <w:rFonts w:hint="eastAsia" w:ascii="仿宋" w:hAnsi="仿宋" w:eastAsia="仿宋" w:cs="仿宋"/>
          <w:b/>
          <w:bCs/>
          <w:sz w:val="24"/>
        </w:rPr>
        <w:t>2.3 渗透测试服务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2.3.1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作为漏洞评估服务的重要补充，渗透测试服务注重漏洞被利用后对全网造成的影响和损失程度。以黑客视角，实战化演练，采用无害攻击手段，模拟黑客真实的攻击行为，深度检验网络安全防线效果。尝试验证每一个漏洞的真实威胁，同时查清漏洞的成因，做到自主可控可防，测试完成后，提出专业修复建议，协助解决安全问题。</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服务人数：按需评估，服务方式：现场及远程服务，频率：按需提供，时间要求：1年内提供30人天，服务成果：《渗透测试报告》。</w:t>
      </w:r>
    </w:p>
    <w:p>
      <w:pPr>
        <w:spacing w:line="460" w:lineRule="exact"/>
        <w:ind w:firstLine="480" w:firstLineChars="200"/>
        <w:rPr>
          <w:rFonts w:ascii="仿宋" w:hAnsi="仿宋" w:eastAsia="仿宋" w:cs="仿宋"/>
          <w:sz w:val="24"/>
        </w:rPr>
      </w:pPr>
      <w:r>
        <w:rPr>
          <w:rFonts w:hint="eastAsia" w:ascii="仿宋" w:hAnsi="仿宋" w:eastAsia="仿宋" w:cs="仿宋"/>
          <w:sz w:val="24"/>
        </w:rPr>
        <w:t>2.3.2服务技术要求</w:t>
      </w:r>
    </w:p>
    <w:tbl>
      <w:tblPr>
        <w:tblStyle w:val="28"/>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6975"/>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9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服务技术要求</w:t>
            </w:r>
          </w:p>
        </w:tc>
        <w:tc>
          <w:tcPr>
            <w:tcW w:w="854"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Windows 系列操作系统渗透测试包括：</w:t>
            </w:r>
          </w:p>
          <w:p>
            <w:pPr>
              <w:spacing w:after="156" w:line="360" w:lineRule="auto"/>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1) 端口扫描；2) NetBIOS name service 测试；3) RFC 漏洞攻击；4) SMB 漏洞攻击；5) Windows DNS 测试；6) Snmp 漏洞测试；7) 活动目录测试；8) Sql Server 弱口令测试；9) 系统弱口令测试；10) 终端服务弱口令测试；11) IIS 权限及溢出测试；12) Exchange server 漏洞测试；13) ftp 弱口令测试。</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*nix (Linux, Unix等)系列主机操作系统渗透测试包括：</w:t>
            </w:r>
          </w:p>
          <w:p>
            <w:pPr>
              <w:spacing w:after="156" w:line="360" w:lineRule="auto"/>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1) 端口扫描；2) ssh 弱口令测试；3) telnet 弱口令测试；4) Ftp 弱口令测试；5) Samba 弱口令测试；6) RPc 枚举和漏洞测试；7) NFS 漏洞测试；8) Snmp 漏洞测试；9) DNS 漏洞测试；10) rlogin,rsh 漏洞测试。</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数据库系统的渗透测试包括：</w:t>
            </w:r>
          </w:p>
          <w:p>
            <w:pPr>
              <w:spacing w:after="156" w:line="360" w:lineRule="auto"/>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1）数据库包括 MS-SQL、ORACLE、MYSQL、DB2 等；2) 默认账号及弱口令攻击；2) 存储过程漏洞攻击；3) 数据库运行权限探测；4) 提权漏洞攻击；5) 低版本溢出漏洞攻击。</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WEB应用系统的渗透测试包括：</w:t>
            </w:r>
          </w:p>
          <w:p>
            <w:pPr>
              <w:spacing w:line="360" w:lineRule="auto"/>
              <w:rPr>
                <w:rFonts w:ascii="仿宋" w:hAnsi="仿宋" w:eastAsia="仿宋" w:cs="仿宋"/>
                <w:color w:val="000000"/>
                <w:kern w:val="0"/>
                <w:sz w:val="22"/>
                <w:szCs w:val="22"/>
              </w:rPr>
            </w:pPr>
            <w:r>
              <w:rPr>
                <w:rFonts w:hint="eastAsia" w:ascii="仿宋" w:hAnsi="仿宋" w:eastAsia="仿宋" w:cs="仿宋"/>
                <w:bCs/>
                <w:color w:val="000000"/>
                <w:kern w:val="0"/>
                <w:sz w:val="22"/>
                <w:szCs w:val="22"/>
              </w:rPr>
              <w:t>1）</w:t>
            </w:r>
            <w:r>
              <w:rPr>
                <w:rFonts w:hint="eastAsia" w:ascii="仿宋" w:hAnsi="仿宋" w:eastAsia="仿宋" w:cs="仿宋"/>
                <w:color w:val="000000"/>
                <w:kern w:val="0"/>
                <w:sz w:val="22"/>
                <w:szCs w:val="22"/>
              </w:rPr>
              <w:t>对渗透目标提供的各种应用，如 JSP、PHP 等组成的 WEB 应用；2）检查应用系统架构、防止用户绕过系统直接修改数据库；3）检查身份认证模块，防止非法用户绕过身份认证；3）检查数据库接口模块，防止用户获取系统权限；4）检查文件接口模块，防止用户获取系统文件；5） 检查其他安全威胁。</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网络设备的渗透测试包括：</w:t>
            </w:r>
          </w:p>
          <w:p>
            <w:pPr>
              <w:spacing w:line="360" w:lineRule="auto"/>
              <w:rPr>
                <w:rFonts w:ascii="仿宋" w:hAnsi="仿宋" w:eastAsia="仿宋" w:cs="仿宋"/>
                <w:color w:val="000000"/>
                <w:kern w:val="0"/>
                <w:sz w:val="22"/>
                <w:szCs w:val="22"/>
              </w:rPr>
            </w:pPr>
            <w:r>
              <w:rPr>
                <w:rFonts w:hint="eastAsia" w:ascii="仿宋" w:hAnsi="仿宋" w:eastAsia="仿宋" w:cs="仿宋"/>
                <w:color w:val="000000"/>
                <w:kern w:val="0"/>
                <w:sz w:val="22"/>
                <w:szCs w:val="22"/>
              </w:rPr>
              <w:t>1）设备包括防火墙、入侵检测系统、网络设备等；2) tftp 获取配置攻击；3) 管理界面默认账号密码；4) snmp 读写权限攻击；5) telnet,ssh 默认账号弱口令攻击；6) 低版本溢出漏洞攻击。</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其他方面的渗透测试：</w:t>
            </w:r>
          </w:p>
          <w:p>
            <w:pPr>
              <w:spacing w:line="360" w:lineRule="auto"/>
              <w:rPr>
                <w:rFonts w:ascii="仿宋" w:hAnsi="仿宋" w:eastAsia="仿宋" w:cs="仿宋"/>
                <w:color w:val="000000"/>
                <w:kern w:val="0"/>
                <w:sz w:val="22"/>
                <w:szCs w:val="22"/>
              </w:rPr>
            </w:pPr>
            <w:r>
              <w:rPr>
                <w:rFonts w:hint="eastAsia" w:ascii="仿宋" w:hAnsi="仿宋" w:eastAsia="仿宋" w:cs="仿宋"/>
                <w:color w:val="000000"/>
                <w:kern w:val="0"/>
                <w:sz w:val="22"/>
                <w:szCs w:val="22"/>
              </w:rPr>
              <w:t>除了上述的测试手段外，使用的其他的技术：</w:t>
            </w:r>
          </w:p>
          <w:p>
            <w:pPr>
              <w:spacing w:after="156" w:line="360" w:lineRule="auto"/>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1) 社会工程学；2) 客户端攻击；3) 拒绝服务攻击；4) 中间人攻击；5）口令猜解。</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8"/>
              </w:numPr>
              <w:rPr>
                <w:rFonts w:ascii="仿宋" w:hAnsi="仿宋" w:eastAsia="仿宋" w:cs="仿宋"/>
                <w:color w:val="000000"/>
                <w:kern w:val="0"/>
                <w:sz w:val="22"/>
                <w:szCs w:val="22"/>
              </w:rPr>
            </w:pPr>
          </w:p>
        </w:tc>
        <w:tc>
          <w:tcPr>
            <w:tcW w:w="6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▲提供国产操作系统渗透测试服务。</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bl>
    <w:p>
      <w:pPr>
        <w:spacing w:after="156"/>
        <w:rPr>
          <w:rFonts w:ascii="仿宋" w:hAnsi="仿宋" w:eastAsia="仿宋" w:cs="仿宋"/>
        </w:rPr>
      </w:pPr>
    </w:p>
    <w:p>
      <w:pPr>
        <w:spacing w:line="460" w:lineRule="exact"/>
        <w:ind w:firstLine="482" w:firstLineChars="200"/>
        <w:rPr>
          <w:rFonts w:ascii="仿宋" w:hAnsi="仿宋" w:eastAsia="仿宋" w:cs="仿宋"/>
          <w:b/>
          <w:bCs/>
          <w:sz w:val="24"/>
        </w:rPr>
      </w:pPr>
      <w:r>
        <w:rPr>
          <w:rFonts w:hint="eastAsia" w:ascii="仿宋" w:hAnsi="仿宋" w:eastAsia="仿宋" w:cs="仿宋"/>
          <w:b/>
          <w:bCs/>
          <w:sz w:val="24"/>
        </w:rPr>
        <w:t>2.4 安全巡检服务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2.4.1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通过人工现场巡查方式对重要信息系统（业务系统、安全系统、网络系统）的运行状态、安全策略以及日志等风险进行识别、分析和定位，提出可行性修复建议，协助现场处置。</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服务人数：≥2人/次，服务方式：现场服务，频率：≥2次/年，时间要求：每次不少于2天。</w:t>
      </w:r>
    </w:p>
    <w:p>
      <w:pPr>
        <w:spacing w:line="460" w:lineRule="exact"/>
        <w:ind w:firstLine="480" w:firstLineChars="200"/>
        <w:rPr>
          <w:rFonts w:ascii="仿宋" w:hAnsi="仿宋" w:eastAsia="仿宋" w:cs="仿宋"/>
          <w:sz w:val="24"/>
        </w:rPr>
      </w:pPr>
      <w:r>
        <w:rPr>
          <w:rFonts w:hint="eastAsia" w:ascii="仿宋" w:hAnsi="仿宋" w:eastAsia="仿宋" w:cs="仿宋"/>
          <w:sz w:val="24"/>
        </w:rPr>
        <w:t>2.4.2 服务技术要求</w:t>
      </w:r>
    </w:p>
    <w:tbl>
      <w:tblPr>
        <w:tblStyle w:val="116"/>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3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83"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703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服务技术要求</w:t>
            </w:r>
          </w:p>
        </w:tc>
        <w:tc>
          <w:tcPr>
            <w:tcW w:w="104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312"/>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rPr>
                <w:rFonts w:ascii="仿宋" w:hAnsi="仿宋" w:eastAsia="仿宋" w:cs="仿宋"/>
                <w:b/>
                <w:bCs/>
                <w:color w:val="000000"/>
                <w:kern w:val="0"/>
                <w:sz w:val="22"/>
                <w:szCs w:val="22"/>
              </w:rPr>
            </w:pPr>
            <w:r>
              <w:rPr>
                <w:rFonts w:hint="eastAsia" w:ascii="仿宋" w:hAnsi="仿宋" w:eastAsia="仿宋" w:cs="仿宋"/>
                <w:b/>
                <w:bCs/>
                <w:color w:val="000000" w:themeColor="text1"/>
                <w:kern w:val="0"/>
                <w:sz w:val="22"/>
                <w:szCs w:val="22"/>
              </w:rPr>
              <w:t>运行检查：</w:t>
            </w:r>
            <w:r>
              <w:rPr>
                <w:rFonts w:hint="eastAsia" w:ascii="仿宋" w:hAnsi="仿宋" w:eastAsia="仿宋" w:cs="仿宋"/>
                <w:bCs/>
                <w:color w:val="000000" w:themeColor="text1"/>
                <w:kern w:val="0"/>
                <w:sz w:val="22"/>
                <w:szCs w:val="22"/>
              </w:rPr>
              <w:t>对软硬件系统的运行状态进行检查，发现安全隐患，提供巡检报告，提供修复建议，协助用户恢复。</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ind w:left="312"/>
              <w:rPr>
                <w:rFonts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rPr>
                <w:rFonts w:ascii="仿宋" w:hAnsi="仿宋" w:eastAsia="仿宋" w:cs="仿宋"/>
                <w:bCs/>
                <w:color w:val="000000" w:themeColor="text1"/>
                <w:kern w:val="0"/>
                <w:sz w:val="22"/>
                <w:szCs w:val="22"/>
              </w:rPr>
            </w:pPr>
            <w:r>
              <w:rPr>
                <w:rFonts w:hint="eastAsia" w:ascii="仿宋" w:hAnsi="仿宋" w:eastAsia="仿宋" w:cs="仿宋"/>
                <w:b/>
                <w:bCs/>
                <w:color w:val="000000" w:themeColor="text1"/>
                <w:kern w:val="0"/>
                <w:sz w:val="22"/>
                <w:szCs w:val="22"/>
              </w:rPr>
              <w:t>策略检查：</w:t>
            </w:r>
            <w:r>
              <w:rPr>
                <w:rFonts w:hint="eastAsia" w:ascii="仿宋" w:hAnsi="仿宋" w:eastAsia="仿宋" w:cs="仿宋"/>
                <w:bCs/>
                <w:color w:val="000000" w:themeColor="text1"/>
                <w:kern w:val="0"/>
                <w:sz w:val="22"/>
                <w:szCs w:val="22"/>
              </w:rPr>
              <w:t>针对现有系统的安全策略和事件日志进行检查，对检查结果进行深入分析，提供优化建议，协助用户整改。</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ind w:left="312"/>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7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rPr>
                <w:rFonts w:ascii="仿宋" w:hAnsi="仿宋" w:eastAsia="仿宋" w:cs="仿宋"/>
                <w:bCs/>
                <w:color w:val="000000" w:themeColor="text1"/>
                <w:kern w:val="0"/>
                <w:sz w:val="22"/>
                <w:szCs w:val="22"/>
              </w:rPr>
            </w:pPr>
            <w:r>
              <w:rPr>
                <w:rFonts w:hint="eastAsia" w:ascii="仿宋" w:hAnsi="仿宋" w:eastAsia="仿宋" w:cs="仿宋"/>
                <w:b/>
                <w:bCs/>
                <w:color w:val="000000" w:themeColor="text1"/>
                <w:kern w:val="0"/>
                <w:sz w:val="22"/>
                <w:szCs w:val="22"/>
              </w:rPr>
              <w:t>日志分析：</w:t>
            </w:r>
            <w:r>
              <w:rPr>
                <w:rFonts w:hint="eastAsia" w:ascii="仿宋" w:hAnsi="仿宋" w:eastAsia="仿宋" w:cs="仿宋"/>
                <w:bCs/>
                <w:color w:val="000000" w:themeColor="text1"/>
                <w:kern w:val="0"/>
                <w:sz w:val="22"/>
                <w:szCs w:val="22"/>
              </w:rPr>
              <w:t>针对现有的安全设备系统进行日志分析，通过分析，明确安全设备的策略配置，防止因为安全配置不充分导致系统存在安全隐患，确保设备的安全性和完整性。</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2"/>
                <w:szCs w:val="22"/>
              </w:rPr>
            </w:pPr>
          </w:p>
        </w:tc>
      </w:tr>
    </w:tbl>
    <w:p>
      <w:pPr>
        <w:spacing w:line="460" w:lineRule="exact"/>
        <w:ind w:firstLine="480" w:firstLineChars="200"/>
        <w:rPr>
          <w:rFonts w:ascii="仿宋" w:hAnsi="仿宋" w:eastAsia="仿宋" w:cs="仿宋"/>
          <w:sz w:val="24"/>
        </w:rPr>
      </w:pPr>
      <w:r>
        <w:rPr>
          <w:rFonts w:hint="eastAsia" w:ascii="仿宋" w:hAnsi="仿宋" w:eastAsia="仿宋" w:cs="仿宋"/>
          <w:sz w:val="24"/>
        </w:rPr>
        <w:t>2.5 安全规划咨询服务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2.5.1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依据国家/国际信息安全标准、信息安全策略及行业发展动态，在对项目建设单位安全现状进行风险评估、差距分析的基础上，从安全技术、安全管理、安全运营三个角度帮助客户构建短期、中期与长期的信息安全规划，协助招标方完成“绍兴市自然资源和规划局未来三年网络安全体系规划方案”，将信息安全的单点风险控制转变为全面的安全规划，进而推动有效的信息安全建设并建立完整的信息安全保障体系。</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服务人数：≥1人/次，服务方式：现场服务，频率：≥1次/年，服务成果：《信息系统差距分析报告》、《信息系统安全设计方案》、《信息安全体系规划方案》。</w:t>
      </w:r>
    </w:p>
    <w:p>
      <w:pPr>
        <w:spacing w:line="460" w:lineRule="exact"/>
        <w:ind w:firstLine="480" w:firstLineChars="200"/>
        <w:rPr>
          <w:rFonts w:ascii="仿宋" w:hAnsi="仿宋" w:eastAsia="仿宋" w:cs="仿宋"/>
          <w:sz w:val="24"/>
        </w:rPr>
      </w:pPr>
      <w:r>
        <w:rPr>
          <w:rFonts w:hint="eastAsia" w:ascii="仿宋" w:hAnsi="仿宋" w:eastAsia="仿宋" w:cs="仿宋"/>
          <w:sz w:val="24"/>
        </w:rPr>
        <w:t>2.5.2 服务技术要求</w:t>
      </w:r>
    </w:p>
    <w:tbl>
      <w:tblPr>
        <w:tblStyle w:val="28"/>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89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89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服务技术要求</w:t>
            </w:r>
          </w:p>
        </w:tc>
        <w:tc>
          <w:tcPr>
            <w:tcW w:w="1044"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3"/>
              <w:widowControl/>
              <w:numPr>
                <w:ilvl w:val="0"/>
                <w:numId w:val="9"/>
              </w:numPr>
              <w:rPr>
                <w:rFonts w:ascii="仿宋" w:hAnsi="仿宋" w:eastAsia="仿宋" w:cs="仿宋"/>
                <w:color w:val="000000"/>
                <w:kern w:val="0"/>
                <w:sz w:val="22"/>
                <w:szCs w:val="22"/>
              </w:rPr>
            </w:pPr>
          </w:p>
        </w:tc>
        <w:tc>
          <w:tcPr>
            <w:tcW w:w="68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仿宋" w:hAnsi="仿宋" w:eastAsia="仿宋" w:cs="仿宋"/>
                <w:color w:val="000000"/>
                <w:kern w:val="0"/>
                <w:sz w:val="22"/>
                <w:szCs w:val="22"/>
              </w:rPr>
            </w:pPr>
            <w:r>
              <w:rPr>
                <w:rFonts w:hint="eastAsia" w:ascii="仿宋" w:hAnsi="仿宋" w:eastAsia="仿宋" w:cs="仿宋"/>
                <w:color w:val="000000"/>
                <w:kern w:val="0"/>
                <w:sz w:val="22"/>
                <w:szCs w:val="22"/>
              </w:rPr>
              <w:t>服务包括三个部分：现状与差距分析、风险评估、体系规划与设计。</w:t>
            </w:r>
          </w:p>
        </w:tc>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tbl>
    <w:p>
      <w:pPr>
        <w:spacing w:line="460" w:lineRule="exact"/>
        <w:ind w:firstLine="480" w:firstLineChars="200"/>
        <w:rPr>
          <w:rFonts w:ascii="仿宋" w:hAnsi="仿宋" w:eastAsia="仿宋" w:cs="仿宋"/>
          <w:sz w:val="24"/>
        </w:rPr>
      </w:pPr>
      <w:r>
        <w:rPr>
          <w:rFonts w:hint="eastAsia" w:ascii="仿宋" w:hAnsi="仿宋" w:eastAsia="仿宋" w:cs="仿宋"/>
          <w:sz w:val="24"/>
        </w:rPr>
        <w:t>2.6  安全运营服务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2.6.1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基于网络安全风险管控，充分利用服务单位三级安全专家的能力与经验、人工智能平台提供7*24小时人机共智保护招标方的信息资产安全。服务以保障网络安全“持续有效”为目标，围绕资产、漏洞、威胁、事件四个要素，通过“人机共智”的模式整合技术、专家和流程开展持续化的网络安全保障工作，构筑持续（7*24小时）、主动、闭环的安全运营能力。</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3人/次，服务方式：现场+远程；7*24小时远程技术支持，服务年限及频率：（1）安全托管式运营不少于半年；（2）人工驻场、线下处置：不少于25天；（3）重大事件应急响应：≥2次/年，服务成果：《安全威胁、事件预警与处置报告》、《安全运营日、月、季、年报》等。</w:t>
      </w:r>
    </w:p>
    <w:p>
      <w:pPr>
        <w:spacing w:line="460" w:lineRule="exact"/>
        <w:ind w:firstLine="480" w:firstLineChars="200"/>
        <w:rPr>
          <w:rFonts w:ascii="仿宋" w:hAnsi="仿宋" w:eastAsia="仿宋" w:cs="仿宋"/>
          <w:sz w:val="24"/>
        </w:rPr>
      </w:pPr>
      <w:r>
        <w:rPr>
          <w:rFonts w:hint="eastAsia" w:ascii="仿宋" w:hAnsi="仿宋" w:eastAsia="仿宋" w:cs="仿宋"/>
          <w:sz w:val="24"/>
        </w:rPr>
        <w:t>2.6.2 服务技术要求</w:t>
      </w:r>
    </w:p>
    <w:tbl>
      <w:tblPr>
        <w:tblStyle w:val="27"/>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7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04" w:type="dxa"/>
            <w:shd w:val="clear" w:color="auto" w:fill="D7D7D7" w:themeFill="background1" w:themeFillShade="D8"/>
            <w:vAlign w:val="center"/>
          </w:tcPr>
          <w:p>
            <w:pPr>
              <w:widowControl/>
              <w:snapToGrid w:val="0"/>
              <w:spacing w:after="156"/>
              <w:jc w:val="center"/>
              <w:rPr>
                <w:rFonts w:ascii="仿宋" w:hAnsi="仿宋" w:eastAsia="仿宋" w:cs="仿宋"/>
                <w:b/>
                <w:kern w:val="0"/>
                <w:sz w:val="22"/>
                <w:szCs w:val="22"/>
              </w:rPr>
            </w:pPr>
            <w:r>
              <w:rPr>
                <w:rFonts w:hint="eastAsia" w:ascii="仿宋" w:hAnsi="仿宋" w:eastAsia="仿宋" w:cs="仿宋"/>
                <w:b/>
                <w:kern w:val="0"/>
                <w:sz w:val="22"/>
                <w:szCs w:val="22"/>
              </w:rPr>
              <w:t>服务类型</w:t>
            </w:r>
          </w:p>
        </w:tc>
        <w:tc>
          <w:tcPr>
            <w:tcW w:w="7860" w:type="dxa"/>
            <w:shd w:val="clear" w:color="auto" w:fill="D7D7D7" w:themeFill="background1" w:themeFillShade="D8"/>
            <w:vAlign w:val="center"/>
          </w:tcPr>
          <w:p>
            <w:pPr>
              <w:widowControl/>
              <w:snapToGrid w:val="0"/>
              <w:spacing w:after="156"/>
              <w:jc w:val="center"/>
              <w:rPr>
                <w:rFonts w:ascii="仿宋" w:hAnsi="仿宋" w:eastAsia="仿宋" w:cs="仿宋"/>
                <w:b/>
                <w:kern w:val="0"/>
                <w:sz w:val="22"/>
                <w:szCs w:val="22"/>
              </w:rPr>
            </w:pPr>
            <w:r>
              <w:rPr>
                <w:rFonts w:hint="eastAsia" w:ascii="仿宋" w:hAnsi="仿宋" w:eastAsia="仿宋" w:cs="仿宋"/>
                <w:b/>
                <w:kern w:val="0"/>
                <w:sz w:val="22"/>
                <w:szCs w:val="22"/>
              </w:rPr>
              <w:t>服务技术要求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kern w:val="0"/>
                <w:sz w:val="22"/>
              </w:rPr>
              <w:t>★</w:t>
            </w:r>
            <w:r>
              <w:rPr>
                <w:rFonts w:hint="eastAsia" w:ascii="仿宋" w:hAnsi="仿宋" w:eastAsia="仿宋" w:cs="仿宋"/>
                <w:color w:val="000000"/>
                <w:kern w:val="0"/>
                <w:sz w:val="22"/>
                <w:szCs w:val="22"/>
              </w:rPr>
              <w:t>服务形态</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本次服务需提供不少于100个资产（IP）接入授权，服务期限不少于半年；提供7*24小时远程技术支持服务；人工驻场、线下处置：≥25天；重大事件应急响应：≥2次/年。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6"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安全现状评估</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（1）弱口令扫描：实现信息化资产不同应用弱口令猜解检测，如：SMB、Mssql、Mysql、Oracle、smtp、VNC、ftp、telnet、ssh、mysql、tomcat等；</w:t>
            </w:r>
          </w:p>
          <w:p>
            <w:pPr>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（2）基线配置核查：检查支撑信息化业务的主机操作系统、数据库、中间件的基线配置情况，确保达到相应的安全防护要求。</w:t>
            </w:r>
          </w:p>
          <w:p>
            <w:pPr>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 xml:space="preserve">（3）勒索病毒事件分析：需分析判断主机是否感染了勒索病毒；是否已感染勒索病毒文件； </w:t>
            </w:r>
          </w:p>
          <w:p>
            <w:pPr>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（4）挖矿病毒事件分析：需分析是否感染了挖矿病毒/木马；是否处于挖矿状态。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kern w:val="0"/>
                <w:sz w:val="22"/>
              </w:rPr>
              <w:t>★</w:t>
            </w:r>
            <w:r>
              <w:rPr>
                <w:rFonts w:hint="eastAsia" w:ascii="仿宋" w:hAnsi="仿宋" w:eastAsia="仿宋" w:cs="仿宋"/>
                <w:color w:val="000000"/>
                <w:kern w:val="0"/>
                <w:sz w:val="22"/>
                <w:szCs w:val="22"/>
              </w:rPr>
              <w:t>人员驻场</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为保障安全运营服务质量，拟派驻场人员应具备以下条件及证书：投标单位资深技术人员，并在投标单位连续工作一年及以上者；具有网络信息安全工程师证书。（工作年限提供社保证明）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04" w:type="dxa"/>
            <w:vAlign w:val="center"/>
          </w:tcPr>
          <w:p>
            <w:pPr>
              <w:widowControl/>
              <w:spacing w:after="156"/>
              <w:jc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问题处置</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服务方需对发现的问题进行处置，包含内网脆弱性问题，病毒类事件，入侵行为，勒索、挖矿类事件等。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漏洞管理</w:t>
            </w:r>
          </w:p>
        </w:tc>
        <w:tc>
          <w:tcPr>
            <w:tcW w:w="7860" w:type="dxa"/>
            <w:vAlign w:val="center"/>
          </w:tcPr>
          <w:p>
            <w:pPr>
              <w:widowControl/>
              <w:spacing w:after="156"/>
              <w:jc w:val="left"/>
              <w:rPr>
                <w:rFonts w:ascii="仿宋" w:hAnsi="仿宋" w:eastAsia="仿宋" w:cs="仿宋"/>
                <w:bCs/>
                <w:color w:val="000000"/>
                <w:kern w:val="0"/>
                <w:sz w:val="22"/>
                <w:szCs w:val="22"/>
              </w:rPr>
            </w:pPr>
            <w:r>
              <w:rPr>
                <w:rFonts w:hint="eastAsia" w:ascii="仿宋" w:hAnsi="仿宋" w:eastAsia="仿宋" w:cs="仿宋"/>
                <w:bCs/>
                <w:kern w:val="0"/>
                <w:sz w:val="22"/>
                <w:szCs w:val="22"/>
              </w:rPr>
              <w:t>（1）漏洞优先级排序：</w:t>
            </w:r>
            <w:r>
              <w:rPr>
                <w:rFonts w:hint="eastAsia" w:ascii="仿宋" w:hAnsi="仿宋" w:eastAsia="仿宋" w:cs="仿宋"/>
                <w:bCs/>
                <w:color w:val="000000"/>
                <w:kern w:val="0"/>
                <w:sz w:val="22"/>
                <w:szCs w:val="22"/>
              </w:rPr>
              <w:t>服务方需提供客观的漏洞修复优先级指导，不能以漏洞危害等级作为唯一的修复优先级排序依据。排序依据包含但不限于资产重要性、漏洞等级以及威胁情报（漏洞被利用的可能性）三个维度；</w:t>
            </w:r>
          </w:p>
          <w:p>
            <w:pPr>
              <w:spacing w:after="156"/>
              <w:jc w:val="left"/>
              <w:rPr>
                <w:rFonts w:ascii="仿宋" w:hAnsi="仿宋" w:eastAsia="仿宋" w:cs="仿宋"/>
                <w:bCs/>
                <w:color w:val="000000"/>
                <w:kern w:val="0"/>
                <w:sz w:val="22"/>
                <w:szCs w:val="22"/>
              </w:rPr>
            </w:pPr>
            <w:r>
              <w:rPr>
                <w:rFonts w:hint="eastAsia" w:ascii="仿宋" w:hAnsi="仿宋" w:eastAsia="仿宋" w:cs="仿宋"/>
                <w:bCs/>
                <w:kern w:val="0"/>
                <w:sz w:val="22"/>
                <w:szCs w:val="22"/>
              </w:rPr>
              <w:t>（2）漏洞验证：</w:t>
            </w:r>
            <w:r>
              <w:rPr>
                <w:rFonts w:hint="eastAsia" w:ascii="仿宋" w:hAnsi="仿宋" w:eastAsia="仿宋" w:cs="仿宋"/>
                <w:bCs/>
                <w:color w:val="000000"/>
                <w:kern w:val="0"/>
                <w:sz w:val="22"/>
                <w:szCs w:val="22"/>
              </w:rPr>
              <w:t>提供漏洞验证服务，针对发现的漏洞进行验证，验证漏洞在已有的安全体系发生的风险及分析发生后可造成的危害。针对已经验证的漏洞，自动生成漏洞工单，安全专家跟进漏洞状态，各个处理进度透明，方便招标方清晰了解当前漏洞的处置状态，将漏洞处理工作可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威胁管理</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针对分析得到的勒索病毒、挖矿病毒、篡改事件、webshell、僵尸网络等安全事件，通过工具和方法对恶意文件、代码进行根除，帮助招标方快速恢复业务，消除或减轻影响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服务平台能力</w:t>
            </w:r>
          </w:p>
        </w:tc>
        <w:tc>
          <w:tcPr>
            <w:tcW w:w="7860"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kern w:val="0"/>
                <w:sz w:val="22"/>
              </w:rPr>
              <w:t>★</w:t>
            </w:r>
            <w:r>
              <w:rPr>
                <w:rFonts w:hint="eastAsia" w:ascii="仿宋" w:hAnsi="仿宋" w:eastAsia="仿宋" w:cs="仿宋"/>
                <w:color w:val="000000"/>
                <w:kern w:val="0"/>
                <w:sz w:val="22"/>
                <w:szCs w:val="22"/>
              </w:rPr>
              <w:t>（1）提供平台使用权1年，并在招标方指定机房部署，实现与云主机流量数据采集组件组件联动，同时协助完成安全问题的分析、整改等工作。</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（2）用于和安全运营支撑平台的各项功能进行信息关联，将资产的未整改漏洞、安全事件及各类扫描引擎结果进行关联，精细化管理资产对象的安全属性及相关安全状态； 资产管理模块需支持资产与相关事件与漏洞的索引检索能力。</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3）安全漏洞分析流程管理能力：漏洞管理模块为持续性脆弱性管理工作提供闭环管理过程，脆弱性管理团队的分析人员在该模块的运营流程要求驱动下，完成漏洞从提报到处置、复测的闭环处理流程。该模块提供脆弱性相关的创建、多级审核、复测等功能.；</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4）系统应预定义漏洞提报相关字段，如漏洞名称、漏洞地址、漏洞等级、漏洞类型、相关系统、漏洞描述、修复建议等，以要求分析人员进行漏洞内容的详细性填写提报。并由上级分析师对漏洞提报成果进行审核确认，确保成果准确；</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5）安全事件分析流程管理能力：为持续性威胁管理工作提供全过程支撑，安全分析师在该模块所提供的运营脚本的驱动下，完成威胁分析与威胁防御动作，实现对所有安全事件的闭环处置。该模块提供事件相关的运营脚本管理，事件创建、卷宗维护、多级审核等功能。要求系统能够针对事件的分析过程，对不同的安全威胁事件类型的分析步骤进行拆解，并支持预置为事件分析模板，要求安全运营人员按照分析模板进行分析工作。并由分析师对每个步骤分析结果进行审核确认，确保分析准确性；</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（6）要求分析过程中对威胁事件的相关元素进行上传保存、包括且不限于威胁情报碰撞结果、可能存在的病毒分析结论、分析过程报告、恶意IP、漏洞利用情况、影响资产范围等。</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7）所有分析过程应通过运营支撑系统编写分析记录，系统的记录字段应至少包含事件标题、事件级别、事件描述、标签、部门、推断发生时间、受影响资产、相关漏洞、可疑对象等，系统应可将威胁事件从检测、分析至处置的全过程保存为卷宗模式存储，确保安全动作可基于记录复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Merge w:val="restart"/>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服务水平协议（SLA）</w:t>
            </w:r>
          </w:p>
        </w:tc>
        <w:tc>
          <w:tcPr>
            <w:tcW w:w="7860" w:type="dxa"/>
            <w:vAlign w:val="center"/>
          </w:tcPr>
          <w:p>
            <w:pPr>
              <w:widowControl/>
              <w:spacing w:after="156"/>
              <w:jc w:val="left"/>
              <w:rPr>
                <w:rFonts w:ascii="仿宋" w:hAnsi="仿宋" w:eastAsia="仿宋" w:cs="仿宋"/>
                <w:b/>
                <w:color w:val="000000"/>
                <w:kern w:val="0"/>
                <w:sz w:val="22"/>
                <w:szCs w:val="22"/>
              </w:rPr>
            </w:pPr>
            <w:r>
              <w:rPr>
                <w:rFonts w:hint="eastAsia" w:ascii="仿宋" w:hAnsi="仿宋" w:eastAsia="仿宋" w:cs="仿宋"/>
                <w:b/>
                <w:color w:val="000000"/>
                <w:kern w:val="0"/>
                <w:sz w:val="22"/>
                <w:szCs w:val="22"/>
              </w:rPr>
              <w:t>服务质量监控：</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服务方提供的服务监控门户（或用户portal）应具备服务质量可视化展示，服务方能通过可视化的数据，清晰的了解安全专家的服务水平，至少包括漏洞闭环率、漏洞平均响应时长、漏洞平均闭环时长、威胁闭环率、威胁平均响应时长、威胁平均闭环时长、事件闭环率、事件平均闭环时长，已验证服务方所承诺的服务S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Merge w:val="continue"/>
            <w:vAlign w:val="center"/>
          </w:tcPr>
          <w:p>
            <w:pPr>
              <w:widowControl/>
              <w:spacing w:after="156"/>
              <w:jc w:val="left"/>
              <w:rPr>
                <w:rFonts w:ascii="仿宋" w:hAnsi="仿宋" w:eastAsia="仿宋" w:cs="仿宋"/>
                <w:color w:val="000000"/>
                <w:kern w:val="0"/>
                <w:sz w:val="22"/>
                <w:szCs w:val="22"/>
              </w:rPr>
            </w:pPr>
          </w:p>
        </w:tc>
        <w:tc>
          <w:tcPr>
            <w:tcW w:w="7860" w:type="dxa"/>
            <w:vAlign w:val="center"/>
          </w:tcPr>
          <w:p>
            <w:pPr>
              <w:widowControl/>
              <w:spacing w:after="156"/>
              <w:jc w:val="left"/>
              <w:rPr>
                <w:rFonts w:ascii="仿宋" w:hAnsi="仿宋" w:eastAsia="仿宋" w:cs="仿宋"/>
                <w:b/>
                <w:color w:val="000000"/>
                <w:kern w:val="0"/>
                <w:sz w:val="22"/>
                <w:szCs w:val="22"/>
              </w:rPr>
            </w:pPr>
            <w:r>
              <w:rPr>
                <w:rFonts w:hint="eastAsia" w:ascii="仿宋" w:hAnsi="仿宋" w:eastAsia="仿宋" w:cs="仿宋"/>
                <w:b/>
                <w:color w:val="000000"/>
                <w:kern w:val="0"/>
                <w:sz w:val="22"/>
                <w:szCs w:val="22"/>
              </w:rPr>
              <w:t>通过服务水平协议（SLA）对安全事件服务水平作出承诺：</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（1）从安全日志产生到事件通告给招标方的时间方面，按照国际标准对安全事件的分类分级指南，重大安全事件和较大安全事件的通告时间小于30分钟，一般事件的通告时间少于1小时。</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（2）在未配备服务方的边界防护服务组件和终端防护服务组件的情况下，运营服务对于重大安全事件和较大安全事件的遏制影响和处置完成时间小于4小时，对于一般事件的遏制影响和处置完成时间小于24小时。</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（3）安全事件经过服务人员的确认后，各类安全事件的判断准确率不低于99%。</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（4）在配备了服务方的边界防护服务组件和终端防护服务组件的情况下，安全事件的闭环处置比例达到100%。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Merge w:val="continue"/>
            <w:vAlign w:val="center"/>
          </w:tcPr>
          <w:p>
            <w:pPr>
              <w:widowControl/>
              <w:spacing w:after="156"/>
              <w:jc w:val="left"/>
              <w:rPr>
                <w:rFonts w:ascii="仿宋" w:hAnsi="仿宋" w:eastAsia="仿宋" w:cs="仿宋"/>
                <w:color w:val="000000"/>
                <w:kern w:val="0"/>
                <w:sz w:val="22"/>
                <w:szCs w:val="22"/>
              </w:rPr>
            </w:pPr>
          </w:p>
        </w:tc>
        <w:tc>
          <w:tcPr>
            <w:tcW w:w="7860" w:type="dxa"/>
            <w:vAlign w:val="center"/>
          </w:tcPr>
          <w:p>
            <w:pPr>
              <w:widowControl/>
              <w:spacing w:after="156"/>
              <w:jc w:val="left"/>
              <w:rPr>
                <w:rFonts w:ascii="仿宋" w:hAnsi="仿宋" w:eastAsia="仿宋" w:cs="仿宋"/>
                <w:b/>
                <w:color w:val="000000"/>
                <w:kern w:val="0"/>
                <w:sz w:val="22"/>
                <w:szCs w:val="22"/>
              </w:rPr>
            </w:pPr>
            <w:r>
              <w:rPr>
                <w:rFonts w:hint="eastAsia" w:ascii="仿宋" w:hAnsi="仿宋" w:eastAsia="仿宋" w:cs="仿宋"/>
                <w:b/>
                <w:color w:val="000000"/>
                <w:kern w:val="0"/>
                <w:sz w:val="22"/>
                <w:szCs w:val="22"/>
              </w:rPr>
              <w:t>通过SLA对安全威胁服务水平作出承诺：</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（1）从安全日志产生到威胁通告给招标方的时间方面，高级威胁的通告时间少于30分钟，一般威胁的通告时间少于1小时。</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（2）在未配备服务方的边界防护服务组件和终端防护服务组件的情况下，高级威胁和一般威胁的处置完成时间少于24小时；</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（3）安全威胁经过服务人员的确认后，高级威胁和一般威胁的判断准确率不低于99%。</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（4）在配备了服务方的边界防护服务组件和终端防护服务组件的情况下，高级威胁和一般威胁的闭环处置比例达到100%。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Merge w:val="continue"/>
            <w:vAlign w:val="center"/>
          </w:tcPr>
          <w:p>
            <w:pPr>
              <w:widowControl/>
              <w:spacing w:after="156"/>
              <w:jc w:val="left"/>
              <w:rPr>
                <w:rFonts w:ascii="仿宋" w:hAnsi="仿宋" w:eastAsia="仿宋" w:cs="仿宋"/>
                <w:color w:val="000000"/>
                <w:kern w:val="0"/>
                <w:sz w:val="22"/>
                <w:szCs w:val="22"/>
              </w:rPr>
            </w:pPr>
          </w:p>
        </w:tc>
        <w:tc>
          <w:tcPr>
            <w:tcW w:w="7860" w:type="dxa"/>
            <w:vAlign w:val="center"/>
          </w:tcPr>
          <w:p>
            <w:pPr>
              <w:widowControl/>
              <w:spacing w:after="156"/>
              <w:jc w:val="left"/>
              <w:rPr>
                <w:rFonts w:ascii="仿宋" w:hAnsi="仿宋" w:eastAsia="仿宋" w:cs="仿宋"/>
                <w:b/>
                <w:color w:val="000000"/>
                <w:kern w:val="0"/>
                <w:sz w:val="22"/>
                <w:szCs w:val="22"/>
              </w:rPr>
            </w:pPr>
            <w:r>
              <w:rPr>
                <w:rFonts w:hint="eastAsia" w:ascii="仿宋" w:hAnsi="仿宋" w:eastAsia="仿宋" w:cs="仿宋"/>
                <w:b/>
                <w:color w:val="000000"/>
                <w:kern w:val="0"/>
                <w:sz w:val="22"/>
                <w:szCs w:val="22"/>
              </w:rPr>
              <w:t>通过SLA对安全漏洞服务水平作出承诺：</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（1）高危可利用漏洞从发现到完成闭环处置的时间少于7个工作日；</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（2）高危可利用漏洞经服务人员确认后的准确率不低于99%。</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（3）高危可利用漏洞的闭环处置比例达到100%。</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（4）对于0day漏洞和最新漏洞，从发现漏洞到通告给招标方的时间少于8小时。</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（5）在配备服务方的边界防护服务组件和终端防护服务组件的情况下，对于0day漏洞和最新漏洞，在发布相应的攻击POC之后，运营服务将在24小时内遏制漏洞的影响；</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（6）0day漏洞经过服务人员确认后的准确率不低于99%。</w:t>
            </w:r>
          </w:p>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（7）在配备了服务方的边界防护服务组件和终端防护服务组件的情况下，0day漏洞的闭环处置比例达到100%。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交付成果</w:t>
            </w:r>
          </w:p>
        </w:tc>
        <w:tc>
          <w:tcPr>
            <w:tcW w:w="7860" w:type="dxa"/>
            <w:vAlign w:val="center"/>
          </w:tcPr>
          <w:p>
            <w:pPr>
              <w:widowControl/>
              <w:spacing w:after="156"/>
              <w:jc w:val="left"/>
              <w:rPr>
                <w:rFonts w:ascii="仿宋" w:hAnsi="仿宋" w:eastAsia="仿宋" w:cs="仿宋"/>
                <w:kern w:val="0"/>
                <w:sz w:val="22"/>
                <w:szCs w:val="22"/>
              </w:rPr>
            </w:pPr>
            <w:r>
              <w:rPr>
                <w:rFonts w:hint="eastAsia" w:ascii="仿宋" w:hAnsi="仿宋" w:eastAsia="仿宋" w:cs="仿宋"/>
                <w:kern w:val="0"/>
                <w:sz w:val="22"/>
                <w:szCs w:val="22"/>
              </w:rPr>
              <w:t>（1）《安全服务运营报告》，报告频率：每周一次</w:t>
            </w:r>
          </w:p>
          <w:p>
            <w:pPr>
              <w:widowControl/>
              <w:spacing w:after="156"/>
              <w:jc w:val="left"/>
              <w:rPr>
                <w:rFonts w:ascii="仿宋" w:hAnsi="仿宋" w:eastAsia="仿宋" w:cs="仿宋"/>
                <w:kern w:val="0"/>
                <w:sz w:val="22"/>
                <w:szCs w:val="22"/>
              </w:rPr>
            </w:pPr>
            <w:r>
              <w:rPr>
                <w:rFonts w:hint="eastAsia" w:ascii="仿宋" w:hAnsi="仿宋" w:eastAsia="仿宋" w:cs="仿宋"/>
                <w:kern w:val="0"/>
                <w:sz w:val="22"/>
                <w:szCs w:val="22"/>
              </w:rPr>
              <w:t>（2）《首次威胁分析与处置报告》，报告频率：一次</w:t>
            </w:r>
          </w:p>
          <w:p>
            <w:pPr>
              <w:widowControl/>
              <w:spacing w:after="156"/>
              <w:jc w:val="left"/>
              <w:rPr>
                <w:rFonts w:ascii="仿宋" w:hAnsi="仿宋" w:eastAsia="仿宋" w:cs="仿宋"/>
                <w:kern w:val="0"/>
                <w:sz w:val="22"/>
                <w:szCs w:val="22"/>
              </w:rPr>
            </w:pPr>
            <w:r>
              <w:rPr>
                <w:rFonts w:hint="eastAsia" w:ascii="仿宋" w:hAnsi="仿宋" w:eastAsia="仿宋" w:cs="仿宋"/>
                <w:kern w:val="0"/>
                <w:sz w:val="22"/>
                <w:szCs w:val="22"/>
              </w:rPr>
              <w:t>（3）《事件分析与处置报告》，报告频率：按需触发，不限次数</w:t>
            </w:r>
          </w:p>
          <w:p>
            <w:pPr>
              <w:widowControl/>
              <w:spacing w:after="156"/>
              <w:jc w:val="left"/>
              <w:rPr>
                <w:rFonts w:ascii="仿宋" w:hAnsi="仿宋" w:eastAsia="仿宋" w:cs="仿宋"/>
                <w:kern w:val="0"/>
                <w:sz w:val="22"/>
                <w:szCs w:val="22"/>
              </w:rPr>
            </w:pPr>
            <w:r>
              <w:rPr>
                <w:rFonts w:hint="eastAsia" w:ascii="仿宋" w:hAnsi="仿宋" w:eastAsia="仿宋" w:cs="仿宋"/>
                <w:kern w:val="0"/>
                <w:sz w:val="22"/>
                <w:szCs w:val="22"/>
              </w:rPr>
              <w:t>（4）《安全通告》，报告频率：按需触发，不限次数</w:t>
            </w:r>
          </w:p>
          <w:p>
            <w:pPr>
              <w:widowControl/>
              <w:spacing w:after="156"/>
              <w:jc w:val="left"/>
              <w:rPr>
                <w:rFonts w:ascii="仿宋" w:hAnsi="仿宋" w:eastAsia="仿宋" w:cs="仿宋"/>
                <w:kern w:val="0"/>
                <w:sz w:val="22"/>
                <w:szCs w:val="22"/>
              </w:rPr>
            </w:pPr>
            <w:r>
              <w:rPr>
                <w:rFonts w:hint="eastAsia" w:ascii="仿宋" w:hAnsi="仿宋" w:eastAsia="仿宋" w:cs="仿宋"/>
                <w:kern w:val="0"/>
                <w:sz w:val="22"/>
                <w:szCs w:val="22"/>
              </w:rPr>
              <w:t>（5）《综合分析报告/运营月报》，报告频率：每月一次交</w:t>
            </w:r>
          </w:p>
          <w:p>
            <w:pPr>
              <w:widowControl/>
              <w:spacing w:after="156"/>
              <w:jc w:val="left"/>
              <w:rPr>
                <w:rFonts w:ascii="仿宋" w:hAnsi="仿宋" w:eastAsia="仿宋" w:cs="仿宋"/>
                <w:color w:val="000000"/>
                <w:kern w:val="0"/>
                <w:sz w:val="22"/>
                <w:szCs w:val="22"/>
              </w:rPr>
            </w:pPr>
            <w:r>
              <w:rPr>
                <w:rFonts w:hint="eastAsia" w:ascii="仿宋" w:hAnsi="仿宋" w:eastAsia="仿宋" w:cs="仿宋"/>
                <w:kern w:val="0"/>
                <w:sz w:val="22"/>
                <w:szCs w:val="22"/>
              </w:rPr>
              <w:t>▲中标后招标方有权要求中标方严格按照上述频率要求提供服务交付物，确保满足招标方安全需求。如中标方未能按时提供，招标方有权终止服务合同，中间产生任何费用由中标方自行承担。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04" w:type="dxa"/>
            <w:vAlign w:val="center"/>
          </w:tcPr>
          <w:p>
            <w:pPr>
              <w:widowControl/>
              <w:spacing w:after="156"/>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服务资质</w:t>
            </w:r>
          </w:p>
        </w:tc>
        <w:tc>
          <w:tcPr>
            <w:tcW w:w="7860" w:type="dxa"/>
            <w:vAlign w:val="center"/>
          </w:tcPr>
          <w:p>
            <w:pPr>
              <w:widowControl/>
              <w:spacing w:after="156"/>
              <w:jc w:val="left"/>
              <w:rPr>
                <w:rFonts w:ascii="仿宋" w:hAnsi="仿宋" w:eastAsia="仿宋" w:cs="仿宋"/>
                <w:kern w:val="0"/>
                <w:sz w:val="22"/>
                <w:szCs w:val="22"/>
              </w:rPr>
            </w:pPr>
            <w:r>
              <w:rPr>
                <w:rFonts w:hint="eastAsia" w:ascii="仿宋" w:hAnsi="仿宋" w:eastAsia="仿宋" w:cs="仿宋"/>
                <w:color w:val="000000"/>
                <w:kern w:val="0"/>
                <w:sz w:val="22"/>
                <w:szCs w:val="22"/>
              </w:rPr>
              <w:t>7*24小时持续服务专家需持有CISP国家注册信息安全专业认证。</w:t>
            </w:r>
          </w:p>
        </w:tc>
      </w:tr>
    </w:tbl>
    <w:p>
      <w:pPr>
        <w:spacing w:line="460" w:lineRule="exact"/>
        <w:ind w:firstLine="480" w:firstLineChars="200"/>
        <w:rPr>
          <w:rFonts w:ascii="仿宋" w:hAnsi="仿宋" w:eastAsia="仿宋" w:cs="仿宋"/>
          <w:sz w:val="24"/>
        </w:rPr>
      </w:pPr>
      <w:r>
        <w:rPr>
          <w:rFonts w:hint="eastAsia" w:ascii="仿宋" w:hAnsi="仿宋" w:eastAsia="仿宋" w:cs="仿宋"/>
          <w:sz w:val="24"/>
        </w:rPr>
        <w:t>2.7 安全意识培训服务</w:t>
      </w:r>
    </w:p>
    <w:p>
      <w:pPr>
        <w:spacing w:line="460" w:lineRule="exact"/>
        <w:ind w:firstLine="480" w:firstLineChars="200"/>
        <w:rPr>
          <w:rFonts w:ascii="仿宋" w:hAnsi="仿宋" w:eastAsia="仿宋" w:cs="仿宋"/>
          <w:sz w:val="24"/>
        </w:rPr>
      </w:pPr>
      <w:r>
        <w:rPr>
          <w:rFonts w:hint="eastAsia" w:ascii="仿宋" w:hAnsi="仿宋" w:eastAsia="仿宋" w:cs="仿宋"/>
          <w:sz w:val="24"/>
        </w:rPr>
        <w:t>2.7.1 服务内容</w:t>
      </w:r>
    </w:p>
    <w:p>
      <w:pPr>
        <w:spacing w:line="460" w:lineRule="exact"/>
        <w:ind w:firstLine="480" w:firstLineChars="200"/>
        <w:rPr>
          <w:rFonts w:ascii="仿宋" w:hAnsi="仿宋" w:eastAsia="仿宋" w:cs="仿宋"/>
          <w:sz w:val="24"/>
        </w:rPr>
      </w:pPr>
      <w:r>
        <w:rPr>
          <w:rFonts w:hint="eastAsia" w:ascii="仿宋" w:hAnsi="仿宋" w:eastAsia="仿宋" w:cs="仿宋"/>
          <w:sz w:val="24"/>
        </w:rPr>
        <w:t>开展安全意识培训是我单位信息安全体系建设的基础性工作之一。培训服务内容包括但不限于（1）网站访问安全；（2）电子邮件安全；（3）通信安全；（4）移动设备安全；（5）物理环境安全；（6）IT人员信息安全；（7）密码安全。</w:t>
      </w:r>
    </w:p>
    <w:p>
      <w:pPr>
        <w:spacing w:line="460" w:lineRule="exact"/>
        <w:ind w:firstLine="480" w:firstLineChars="200"/>
        <w:rPr>
          <w:rFonts w:ascii="仿宋" w:hAnsi="仿宋" w:eastAsia="仿宋" w:cs="仿宋"/>
          <w:sz w:val="24"/>
        </w:rPr>
      </w:pPr>
      <w:r>
        <w:rPr>
          <w:rFonts w:hint="eastAsia" w:ascii="仿宋" w:hAnsi="仿宋" w:eastAsia="仿宋" w:cs="仿宋"/>
          <w:sz w:val="24"/>
        </w:rPr>
        <w:t>服务人数：≥1人/次，服务方式：现场，服务对象：招标方指定，服务频率：≥2次/年，时间要求：≥45分钟课程，服务成果：《信息安全培训教材》、《信息安全培训记录》。</w:t>
      </w:r>
    </w:p>
    <w:p>
      <w:pPr>
        <w:spacing w:line="460" w:lineRule="exact"/>
        <w:ind w:firstLine="480" w:firstLineChars="200"/>
        <w:rPr>
          <w:rFonts w:ascii="仿宋" w:hAnsi="仿宋" w:eastAsia="仿宋" w:cs="仿宋"/>
          <w:sz w:val="24"/>
        </w:rPr>
      </w:pPr>
      <w:r>
        <w:rPr>
          <w:rFonts w:hint="eastAsia" w:ascii="仿宋" w:hAnsi="仿宋" w:eastAsia="仿宋" w:cs="仿宋"/>
          <w:sz w:val="24"/>
        </w:rPr>
        <w:t>2.7.2 服务技术要求</w:t>
      </w:r>
    </w:p>
    <w:tbl>
      <w:tblPr>
        <w:tblStyle w:val="11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6402"/>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797"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402"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ind w:firstLine="482"/>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招标参数要求</w:t>
            </w:r>
          </w:p>
        </w:tc>
        <w:tc>
          <w:tcPr>
            <w:tcW w:w="1043"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仿宋" w:hAnsi="仿宋" w:eastAsia="仿宋" w:cs="仿宋"/>
                <w:b/>
                <w:bCs/>
                <w:color w:val="000000"/>
                <w:kern w:val="0"/>
                <w:sz w:val="22"/>
                <w:szCs w:val="22"/>
              </w:rPr>
            </w:pPr>
            <w:r>
              <w:rPr>
                <w:rFonts w:hint="eastAsia" w:ascii="仿宋" w:hAnsi="仿宋" w:eastAsia="仿宋" w:cs="仿宋"/>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10"/>
              </w:numPr>
              <w:ind w:left="726" w:hanging="432"/>
              <w:rPr>
                <w:rFonts w:ascii="仿宋" w:hAnsi="仿宋" w:eastAsia="仿宋" w:cs="仿宋"/>
                <w:color w:val="000000"/>
                <w:kern w:val="0"/>
                <w:sz w:val="22"/>
                <w:szCs w:val="22"/>
              </w:rPr>
            </w:pPr>
          </w:p>
        </w:tc>
        <w:tc>
          <w:tcPr>
            <w:tcW w:w="640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rPr>
                <w:rFonts w:ascii="仿宋" w:hAnsi="仿宋" w:eastAsia="仿宋" w:cs="仿宋"/>
                <w:b/>
                <w:bCs/>
                <w:color w:val="000000"/>
                <w:kern w:val="0"/>
                <w:sz w:val="22"/>
                <w:szCs w:val="22"/>
              </w:rPr>
            </w:pPr>
            <w:r>
              <w:rPr>
                <w:rFonts w:hint="eastAsia" w:ascii="仿宋" w:hAnsi="仿宋" w:eastAsia="仿宋" w:cs="仿宋"/>
                <w:color w:val="000000"/>
                <w:kern w:val="0"/>
                <w:sz w:val="22"/>
                <w:szCs w:val="22"/>
              </w:rPr>
              <w:t>使用自研的信息安全意识培训教材包、信息安全意识培训素材包、安全意识验证教材包。</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156" w:line="360" w:lineRule="auto"/>
              <w:ind w:firstLine="480"/>
              <w:jc w:val="center"/>
              <w:rPr>
                <w:rFonts w:ascii="仿宋" w:hAnsi="仿宋" w:eastAsia="仿宋" w:cs="仿宋"/>
                <w:color w:val="000000" w:themeColor="text1"/>
                <w:kern w:val="0"/>
                <w:sz w:val="24"/>
                <w:szCs w:val="20"/>
              </w:rPr>
            </w:pPr>
          </w:p>
        </w:tc>
      </w:tr>
      <w:bookmarkEnd w:id="6"/>
    </w:tbl>
    <w:p>
      <w:pPr>
        <w:spacing w:line="288" w:lineRule="auto"/>
        <w:rPr>
          <w:rFonts w:ascii="仿宋" w:hAnsi="仿宋" w:eastAsia="仿宋" w:cs="仿宋"/>
          <w:b/>
          <w:sz w:val="24"/>
        </w:rPr>
      </w:pPr>
      <w:r>
        <w:rPr>
          <w:rFonts w:hint="eastAsia" w:ascii="仿宋" w:hAnsi="仿宋" w:eastAsia="仿宋" w:cs="仿宋"/>
          <w:b/>
          <w:sz w:val="24"/>
          <w:lang w:eastAsia="zh-CN"/>
        </w:rPr>
        <w:t>四</w:t>
      </w:r>
      <w:r>
        <w:rPr>
          <w:rFonts w:hint="eastAsia" w:ascii="仿宋" w:hAnsi="仿宋" w:eastAsia="仿宋" w:cs="仿宋"/>
          <w:b/>
          <w:sz w:val="24"/>
        </w:rPr>
        <w:t>、其他要求</w:t>
      </w:r>
    </w:p>
    <w:p>
      <w:pPr>
        <w:spacing w:line="288" w:lineRule="auto"/>
        <w:jc w:val="left"/>
        <w:rPr>
          <w:rFonts w:ascii="仿宋" w:hAnsi="仿宋" w:eastAsia="仿宋" w:cs="仿宋"/>
          <w:bCs/>
          <w:sz w:val="24"/>
        </w:rPr>
      </w:pPr>
      <w:r>
        <w:rPr>
          <w:rFonts w:hint="eastAsia" w:ascii="仿宋" w:hAnsi="仿宋" w:eastAsia="仿宋" w:cs="仿宋"/>
          <w:bCs/>
          <w:sz w:val="24"/>
        </w:rPr>
        <w:t>1.中标人必须有可靠的售后服务保障应包括但不限于（在绍兴附近有固定的维修服务点，能提供正常的技术、备品备件服务；中标人在接到招标人通知后，2小时内派人赴现场处理质量问题；24小时内不能修复的，则无偿提供备品供采购人使用）。</w:t>
      </w:r>
    </w:p>
    <w:p>
      <w:pPr>
        <w:tabs>
          <w:tab w:val="left" w:pos="1632"/>
        </w:tabs>
        <w:spacing w:line="288" w:lineRule="auto"/>
        <w:rPr>
          <w:rFonts w:hint="eastAsia" w:ascii="仿宋" w:hAnsi="仿宋" w:eastAsia="仿宋" w:cs="仿宋"/>
          <w:bCs/>
          <w:sz w:val="24"/>
        </w:rPr>
      </w:pPr>
      <w:r>
        <w:rPr>
          <w:rFonts w:hint="eastAsia" w:ascii="仿宋" w:hAnsi="仿宋" w:eastAsia="仿宋" w:cs="仿宋"/>
          <w:bCs/>
          <w:sz w:val="24"/>
        </w:rPr>
        <w:t>2.验收：验收按国家有关规范标准（国家无验收规范标准的按双方合同规定的要求）进行。采购人保留邀请参加本项目的其他投标人或者第三方机构或相关技术专家参与验收的权利。参与验收的投标人或者第三方机构的意见作为验收书的参考资料一并存档。</w:t>
      </w:r>
    </w:p>
    <w:p>
      <w:pPr>
        <w:tabs>
          <w:tab w:val="left" w:pos="1632"/>
        </w:tabs>
        <w:spacing w:line="288" w:lineRule="auto"/>
        <w:rPr>
          <w:rFonts w:hint="default" w:eastAsia="仿宋"/>
          <w:sz w:val="24"/>
          <w:szCs w:val="24"/>
          <w:lang w:val="en-US" w:eastAsia="zh-CN"/>
        </w:rPr>
      </w:pPr>
      <w:r>
        <w:rPr>
          <w:rFonts w:hint="eastAsia" w:ascii="仿宋" w:hAnsi="仿宋" w:eastAsia="仿宋" w:cs="仿宋"/>
          <w:bCs/>
          <w:sz w:val="24"/>
          <w:lang w:val="en-US" w:eastAsia="zh-CN"/>
        </w:rPr>
        <w:t>3.付款方式：按《浙江省财政厅关于坚决打赢疫情防控阻击战进一步做好政府采购资金支持企业发展工作的通知》（浙财采监〔2020〕3号）和《浙江省财政厅关于进一步发挥政府采购政策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14"/>
        <w:spacing w:line="800" w:lineRule="exact"/>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8" w:name="_GoBack"/>
      <w:bookmarkEnd w:id="8"/>
      <w:bookmarkStart w:id="7" w:name="OLE_LINK1"/>
      <w:r>
        <w:rPr>
          <w:rFonts w:hint="eastAsia" w:ascii="仿宋" w:hAnsi="仿宋" w:eastAsia="仿宋" w:cs="仿宋"/>
          <w:b/>
          <w:bCs/>
          <w:sz w:val="24"/>
        </w:rPr>
        <w:t>范围</w:t>
      </w:r>
      <w:bookmarkEnd w:id="7"/>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8"/>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2.1.1供货地点：招标人指定地点</w:t>
      </w:r>
    </w:p>
    <w:p>
      <w:pPr>
        <w:snapToGrid w:val="0"/>
        <w:spacing w:line="288" w:lineRule="auto"/>
        <w:jc w:val="left"/>
        <w:rPr>
          <w:rFonts w:ascii="仿宋" w:hAnsi="仿宋" w:eastAsia="仿宋" w:cs="仿宋"/>
          <w:sz w:val="24"/>
        </w:rPr>
      </w:pPr>
      <w:r>
        <w:rPr>
          <w:rFonts w:hint="eastAsia" w:ascii="仿宋" w:hAnsi="仿宋" w:eastAsia="仿宋" w:cs="仿宋"/>
          <w:sz w:val="24"/>
        </w:rPr>
        <w:t>2.1.2供货日期：按标项内具体要求执行。</w:t>
      </w:r>
    </w:p>
    <w:p>
      <w:pPr>
        <w:pStyle w:val="7"/>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5.商品包装和快递包装要求</w:t>
      </w:r>
    </w:p>
    <w:p>
      <w:pPr>
        <w:snapToGrid w:val="0"/>
        <w:spacing w:line="288" w:lineRule="auto"/>
        <w:ind w:firstLine="480" w:firstLineChars="200"/>
        <w:jc w:val="left"/>
        <w:rPr>
          <w:rFonts w:ascii="仿宋" w:hAnsi="仿宋" w:eastAsia="仿宋" w:cs="仿宋"/>
          <w:color w:val="FF0000"/>
          <w:sz w:val="24"/>
        </w:rPr>
      </w:pPr>
      <w:r>
        <w:rPr>
          <w:rFonts w:hint="eastAsia" w:ascii="仿宋" w:hAnsi="仿宋" w:eastAsia="仿宋" w:cs="仿宋"/>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color w:val="FF0000"/>
          <w:sz w:val="24"/>
        </w:rPr>
      </w:pPr>
      <w:r>
        <w:rPr>
          <w:rFonts w:hint="eastAsia" w:ascii="仿宋" w:hAnsi="仿宋" w:eastAsia="仿宋" w:cs="仿宋"/>
          <w:color w:val="FF0000"/>
          <w:sz w:val="24"/>
        </w:rPr>
        <w:t>8.2 中标人和采购人签订合同，按合同规定完成相关服务内容。逾期或违约按合同约定对中标人采取相应处罚措施。</w:t>
      </w:r>
    </w:p>
    <w:p>
      <w:pPr>
        <w:snapToGrid w:val="0"/>
        <w:spacing w:line="288" w:lineRule="auto"/>
        <w:jc w:val="left"/>
        <w:rPr>
          <w:rFonts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ascii="仿宋" w:hAnsi="仿宋" w:eastAsia="仿宋" w:cs="仿宋"/>
          <w:sz w:val="24"/>
        </w:rPr>
      </w:pPr>
      <w:r>
        <w:rPr>
          <w:rFonts w:hint="eastAsia" w:ascii="仿宋" w:hAnsi="仿宋" w:eastAsia="仿宋" w:cs="仿宋"/>
          <w:sz w:val="24"/>
        </w:rPr>
        <w:t>10.4合同应在双方签字盖章后开始生效。</w:t>
      </w:r>
    </w:p>
    <w:p>
      <w:pPr>
        <w:snapToGrid w:val="0"/>
        <w:spacing w:line="288" w:lineRule="auto"/>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共100分，其中商务技术分80分，价格分20分。评分依下述所列为评标打分依据，分值如下（计算分值时，按其算术平均值保留小数2位）。</w:t>
      </w:r>
    </w:p>
    <w:p>
      <w:pPr>
        <w:adjustRightInd/>
        <w:spacing w:line="288" w:lineRule="auto"/>
        <w:rPr>
          <w:rFonts w:ascii="仿宋" w:hAnsi="仿宋" w:eastAsia="仿宋" w:cs="仿宋"/>
          <w:b/>
          <w:b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（80分）</w:t>
      </w:r>
    </w:p>
    <w:tbl>
      <w:tblPr>
        <w:tblStyle w:val="27"/>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1201"/>
        <w:gridCol w:w="613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spacing w:after="156"/>
              <w:jc w:val="center"/>
              <w:rPr>
                <w:rFonts w:ascii="仿宋" w:hAnsi="仿宋" w:eastAsia="仿宋" w:cs="仿宋_GB2312"/>
                <w:b/>
                <w:bCs/>
                <w:kern w:val="0"/>
                <w:sz w:val="24"/>
                <w:lang w:val="zh-CN"/>
              </w:rPr>
            </w:pPr>
            <w:r>
              <w:rPr>
                <w:rFonts w:hint="eastAsia" w:ascii="仿宋" w:hAnsi="仿宋" w:eastAsia="仿宋" w:cs="仿宋_GB2312"/>
                <w:b/>
                <w:bCs/>
                <w:kern w:val="0"/>
                <w:sz w:val="24"/>
                <w:lang w:val="zh-CN"/>
              </w:rPr>
              <w:t>序号</w:t>
            </w:r>
          </w:p>
        </w:tc>
        <w:tc>
          <w:tcPr>
            <w:tcW w:w="1201" w:type="dxa"/>
            <w:tcBorders>
              <w:top w:val="single" w:color="auto" w:sz="4" w:space="0"/>
              <w:left w:val="single" w:color="auto" w:sz="4" w:space="0"/>
              <w:bottom w:val="single" w:color="auto" w:sz="4" w:space="0"/>
              <w:right w:val="single" w:color="auto" w:sz="4" w:space="0"/>
            </w:tcBorders>
            <w:shd w:val="clear" w:color="auto" w:fill="D8D8D8" w:themeFill="background1" w:themeFillShade="D9"/>
            <w:tcMar>
              <w:top w:w="15" w:type="dxa"/>
              <w:left w:w="15" w:type="dxa"/>
              <w:bottom w:w="0" w:type="dxa"/>
              <w:right w:w="15" w:type="dxa"/>
            </w:tcMar>
            <w:vAlign w:val="center"/>
          </w:tcPr>
          <w:p>
            <w:pPr>
              <w:autoSpaceDE w:val="0"/>
              <w:autoSpaceDN w:val="0"/>
              <w:spacing w:after="156"/>
              <w:jc w:val="center"/>
              <w:rPr>
                <w:rFonts w:ascii="仿宋" w:hAnsi="仿宋" w:eastAsia="仿宋" w:cs="仿宋_GB2312"/>
                <w:b/>
                <w:bCs/>
                <w:kern w:val="0"/>
                <w:sz w:val="24"/>
                <w:lang w:val="zh-CN"/>
              </w:rPr>
            </w:pPr>
            <w:r>
              <w:rPr>
                <w:rFonts w:hint="eastAsia" w:ascii="仿宋" w:hAnsi="仿宋" w:eastAsia="仿宋" w:cs="仿宋_GB2312"/>
                <w:b/>
                <w:bCs/>
                <w:kern w:val="0"/>
                <w:sz w:val="24"/>
                <w:lang w:val="zh-CN"/>
              </w:rPr>
              <w:t>评分项目</w:t>
            </w:r>
          </w:p>
        </w:tc>
        <w:tc>
          <w:tcPr>
            <w:tcW w:w="613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Mar>
              <w:top w:w="15" w:type="dxa"/>
              <w:left w:w="15" w:type="dxa"/>
              <w:bottom w:w="0" w:type="dxa"/>
              <w:right w:w="15" w:type="dxa"/>
            </w:tcMar>
            <w:vAlign w:val="center"/>
          </w:tcPr>
          <w:p>
            <w:pPr>
              <w:tabs>
                <w:tab w:val="left" w:pos="9165"/>
              </w:tabs>
              <w:autoSpaceDE w:val="0"/>
              <w:autoSpaceDN w:val="0"/>
              <w:spacing w:after="156"/>
              <w:jc w:val="center"/>
              <w:rPr>
                <w:rFonts w:ascii="仿宋" w:hAnsi="仿宋" w:eastAsia="仿宋" w:cs="仿宋_GB2312"/>
                <w:b/>
                <w:bCs/>
                <w:kern w:val="0"/>
                <w:sz w:val="24"/>
                <w:lang w:val="zh-CN"/>
              </w:rPr>
            </w:pPr>
            <w:r>
              <w:rPr>
                <w:rFonts w:hint="eastAsia" w:ascii="仿宋" w:hAnsi="仿宋" w:eastAsia="仿宋" w:cs="仿宋_GB2312"/>
                <w:b/>
                <w:bCs/>
                <w:kern w:val="0"/>
                <w:sz w:val="24"/>
                <w:lang w:val="zh-CN"/>
              </w:rPr>
              <w:t>评分细则</w:t>
            </w:r>
          </w:p>
        </w:tc>
        <w:tc>
          <w:tcPr>
            <w:tcW w:w="75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spacing w:after="156"/>
              <w:jc w:val="center"/>
              <w:rPr>
                <w:rFonts w:ascii="仿宋" w:hAnsi="仿宋" w:eastAsia="仿宋" w:cs="仿宋_GB2312"/>
                <w:b/>
                <w:bCs/>
                <w:kern w:val="0"/>
                <w:sz w:val="24"/>
                <w:lang w:val="zh-CN"/>
              </w:rPr>
            </w:pPr>
            <w:r>
              <w:rPr>
                <w:rFonts w:hint="eastAsia" w:ascii="仿宋" w:hAnsi="仿宋" w:eastAsia="仿宋" w:cs="仿宋_GB2312"/>
                <w:b/>
                <w:bCs/>
                <w:kern w:val="0"/>
                <w:sz w:val="24"/>
                <w:lang w:val="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5" w:hRule="atLeast"/>
          <w:jc w:val="center"/>
        </w:trPr>
        <w:tc>
          <w:tcPr>
            <w:tcW w:w="708" w:type="dxa"/>
            <w:tcBorders>
              <w:top w:val="single" w:color="auto" w:sz="4" w:space="0"/>
              <w:left w:val="single" w:color="auto" w:sz="4" w:space="0"/>
              <w:right w:val="single" w:color="auto" w:sz="4" w:space="0"/>
            </w:tcBorders>
            <w:vAlign w:val="center"/>
          </w:tcPr>
          <w:p>
            <w:pPr>
              <w:widowControl/>
              <w:numPr>
                <w:ilvl w:val="0"/>
                <w:numId w:val="11"/>
              </w:numPr>
              <w:rPr>
                <w:rFonts w:ascii="仿宋" w:hAnsi="仿宋" w:eastAsia="仿宋" w:cs="仿宋_GB2312"/>
                <w:kern w:val="0"/>
                <w:sz w:val="24"/>
                <w:lang w:val="zh-CN"/>
              </w:rPr>
            </w:pPr>
          </w:p>
        </w:tc>
        <w:tc>
          <w:tcPr>
            <w:tcW w:w="1201"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autoSpaceDE w:val="0"/>
              <w:autoSpaceDN w:val="0"/>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技术服务指标响应</w:t>
            </w:r>
          </w:p>
        </w:tc>
        <w:tc>
          <w:tcPr>
            <w:tcW w:w="6132"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after="156" w:line="360" w:lineRule="auto"/>
              <w:jc w:val="left"/>
              <w:rPr>
                <w:rFonts w:ascii="仿宋" w:hAnsi="仿宋" w:eastAsia="仿宋"/>
                <w:color w:val="000000"/>
                <w:sz w:val="22"/>
                <w:szCs w:val="22"/>
              </w:rPr>
            </w:pPr>
            <w:r>
              <w:rPr>
                <w:rFonts w:hint="eastAsia" w:ascii="仿宋" w:hAnsi="仿宋" w:eastAsia="仿宋"/>
                <w:color w:val="000000" w:themeColor="text1"/>
                <w:sz w:val="24"/>
              </w:rPr>
              <w:t>完全满足招标文件中技术参数指标项目要求的，得基本分2</w:t>
            </w:r>
            <w:r>
              <w:rPr>
                <w:rFonts w:ascii="仿宋" w:hAnsi="仿宋" w:eastAsia="仿宋"/>
                <w:color w:val="000000" w:themeColor="text1"/>
                <w:sz w:val="24"/>
              </w:rPr>
              <w:t>0</w:t>
            </w:r>
            <w:r>
              <w:rPr>
                <w:rFonts w:hint="eastAsia" w:ascii="仿宋" w:hAnsi="仿宋" w:eastAsia="仿宋"/>
                <w:color w:val="000000" w:themeColor="text1"/>
                <w:sz w:val="24"/>
              </w:rPr>
              <w:t>分。指标项目中打“★”的为实质性指标，负偏离或不响应则本技术分作零分处理；打“▲”的如出现负偏离，每一项扣</w:t>
            </w:r>
            <w:r>
              <w:rPr>
                <w:rFonts w:ascii="仿宋" w:hAnsi="仿宋" w:eastAsia="仿宋"/>
                <w:color w:val="000000" w:themeColor="text1"/>
                <w:sz w:val="24"/>
              </w:rPr>
              <w:t>2</w:t>
            </w:r>
            <w:r>
              <w:rPr>
                <w:rFonts w:hint="eastAsia" w:ascii="仿宋" w:hAnsi="仿宋" w:eastAsia="仿宋"/>
                <w:color w:val="000000" w:themeColor="text1"/>
                <w:sz w:val="24"/>
              </w:rPr>
              <w:t>分；其他指标项目出现负偏离的，每一项扣1分</w:t>
            </w:r>
            <w:r>
              <w:rPr>
                <w:rFonts w:ascii="仿宋" w:hAnsi="仿宋" w:eastAsia="仿宋"/>
                <w:color w:val="000000" w:themeColor="text1"/>
                <w:sz w:val="24"/>
                <w:lang w:val="en"/>
              </w:rPr>
              <w:t>，</w:t>
            </w:r>
            <w:r>
              <w:rPr>
                <w:rFonts w:ascii="仿宋" w:hAnsi="仿宋" w:eastAsia="仿宋"/>
                <w:color w:val="000000" w:themeColor="text1"/>
                <w:sz w:val="24"/>
              </w:rPr>
              <w:t>扣完为止</w:t>
            </w:r>
            <w:r>
              <w:rPr>
                <w:rFonts w:hint="eastAsia" w:ascii="仿宋" w:hAnsi="仿宋" w:eastAsia="仿宋"/>
                <w:color w:val="000000" w:themeColor="text1"/>
                <w:sz w:val="24"/>
              </w:rPr>
              <w:t>。</w:t>
            </w:r>
            <w:r>
              <w:rPr>
                <w:rFonts w:hint="eastAsia" w:ascii="仿宋" w:hAnsi="仿宋" w:eastAsia="仿宋"/>
                <w:color w:val="000000"/>
                <w:sz w:val="22"/>
                <w:szCs w:val="22"/>
              </w:rPr>
              <w:t xml:space="preserve"> </w:t>
            </w:r>
          </w:p>
        </w:tc>
        <w:tc>
          <w:tcPr>
            <w:tcW w:w="752" w:type="dxa"/>
            <w:tcBorders>
              <w:top w:val="single" w:color="auto" w:sz="4" w:space="0"/>
              <w:left w:val="single" w:color="auto" w:sz="4" w:space="0"/>
              <w:right w:val="single" w:color="auto" w:sz="4" w:space="0"/>
            </w:tcBorders>
            <w:vAlign w:val="center"/>
          </w:tcPr>
          <w:p>
            <w:pPr>
              <w:autoSpaceDE w:val="0"/>
              <w:autoSpaceDN w:val="0"/>
              <w:spacing w:after="156"/>
              <w:jc w:val="center"/>
              <w:rPr>
                <w:rFonts w:ascii="仿宋" w:hAnsi="仿宋" w:eastAsia="仿宋" w:cs="仿宋_GB2312"/>
                <w:kern w:val="0"/>
                <w:sz w:val="24"/>
                <w:lang w:val="zh-CN"/>
              </w:rPr>
            </w:pPr>
            <w:r>
              <w:rPr>
                <w:rFonts w:ascii="仿宋" w:hAnsi="仿宋" w:eastAsia="仿宋" w:cs="仿宋_GB2312"/>
                <w:kern w:val="0"/>
                <w:sz w:val="24"/>
                <w:lang w:val="zh-CN"/>
              </w:rPr>
              <w:t>20</w:t>
            </w:r>
            <w:r>
              <w:rPr>
                <w:rFonts w:hint="eastAsia" w:ascii="仿宋" w:hAnsi="仿宋" w:eastAsia="仿宋" w:cs="仿宋_GB2312"/>
                <w:kern w:val="0"/>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5" w:hRule="atLeast"/>
          <w:jc w:val="center"/>
        </w:trPr>
        <w:tc>
          <w:tcPr>
            <w:tcW w:w="708" w:type="dxa"/>
            <w:tcBorders>
              <w:top w:val="single" w:color="auto" w:sz="4" w:space="0"/>
              <w:left w:val="single" w:color="auto" w:sz="4" w:space="0"/>
              <w:right w:val="single" w:color="auto" w:sz="4" w:space="0"/>
            </w:tcBorders>
            <w:vAlign w:val="center"/>
          </w:tcPr>
          <w:p>
            <w:pPr>
              <w:widowControl/>
              <w:numPr>
                <w:ilvl w:val="0"/>
                <w:numId w:val="11"/>
              </w:numPr>
              <w:rPr>
                <w:rFonts w:ascii="仿宋" w:hAnsi="仿宋" w:eastAsia="仿宋" w:cs="仿宋_GB2312"/>
                <w:kern w:val="0"/>
                <w:sz w:val="24"/>
                <w:lang w:val="zh-CN"/>
              </w:rPr>
            </w:pPr>
          </w:p>
        </w:tc>
        <w:tc>
          <w:tcPr>
            <w:tcW w:w="1201"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autoSpaceDE w:val="0"/>
              <w:autoSpaceDN w:val="0"/>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投标人</w:t>
            </w:r>
          </w:p>
          <w:p>
            <w:pPr>
              <w:autoSpaceDE w:val="0"/>
              <w:autoSpaceDN w:val="0"/>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实力</w:t>
            </w:r>
          </w:p>
        </w:tc>
        <w:tc>
          <w:tcPr>
            <w:tcW w:w="6132"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spacing w:after="156" w:line="360" w:lineRule="auto"/>
              <w:jc w:val="left"/>
              <w:rPr>
                <w:rFonts w:ascii="仿宋" w:hAnsi="仿宋" w:eastAsia="仿宋"/>
                <w:sz w:val="24"/>
              </w:rPr>
            </w:pPr>
            <w:r>
              <w:rPr>
                <w:rFonts w:hint="eastAsia" w:ascii="仿宋" w:hAnsi="仿宋" w:eastAsia="仿宋"/>
                <w:sz w:val="24"/>
              </w:rPr>
              <w:t>1</w:t>
            </w:r>
            <w:r>
              <w:rPr>
                <w:rFonts w:ascii="仿宋" w:hAnsi="仿宋" w:eastAsia="仿宋"/>
                <w:sz w:val="24"/>
                <w:lang w:val="en"/>
              </w:rPr>
              <w:t>.</w:t>
            </w:r>
            <w:r>
              <w:rPr>
                <w:rFonts w:hint="eastAsia" w:ascii="仿宋" w:hAnsi="仿宋" w:eastAsia="仿宋"/>
                <w:sz w:val="24"/>
              </w:rPr>
              <w:t>投标人具有信息安全管理体系认证证书（ISO</w:t>
            </w:r>
            <w:r>
              <w:rPr>
                <w:rFonts w:ascii="仿宋" w:hAnsi="仿宋" w:eastAsia="仿宋"/>
                <w:sz w:val="24"/>
              </w:rPr>
              <w:t>27001</w:t>
            </w:r>
            <w:r>
              <w:rPr>
                <w:rFonts w:hint="eastAsia" w:ascii="仿宋" w:hAnsi="仿宋" w:eastAsia="仿宋"/>
                <w:sz w:val="24"/>
              </w:rPr>
              <w:t>），信息技术服务管理体系证书（I</w:t>
            </w:r>
            <w:r>
              <w:rPr>
                <w:rFonts w:ascii="仿宋" w:hAnsi="仿宋" w:eastAsia="仿宋"/>
                <w:sz w:val="24"/>
              </w:rPr>
              <w:t>SO20000</w:t>
            </w:r>
            <w:r>
              <w:rPr>
                <w:rFonts w:hint="eastAsia" w:ascii="仿宋" w:hAnsi="仿宋" w:eastAsia="仿宋"/>
                <w:sz w:val="24"/>
              </w:rPr>
              <w:t>），环境管理体系认证证书（I</w:t>
            </w:r>
            <w:r>
              <w:rPr>
                <w:rFonts w:ascii="仿宋" w:hAnsi="仿宋" w:eastAsia="仿宋"/>
                <w:sz w:val="24"/>
              </w:rPr>
              <w:t>SO14001</w:t>
            </w:r>
            <w:r>
              <w:rPr>
                <w:rFonts w:hint="eastAsia" w:ascii="仿宋" w:hAnsi="仿宋" w:eastAsia="仿宋"/>
                <w:sz w:val="24"/>
              </w:rPr>
              <w:t>），职业健康安全管理体系认证证书（I</w:t>
            </w:r>
            <w:r>
              <w:rPr>
                <w:rFonts w:ascii="仿宋" w:hAnsi="仿宋" w:eastAsia="仿宋"/>
                <w:sz w:val="24"/>
              </w:rPr>
              <w:t>SO</w:t>
            </w:r>
            <w:r>
              <w:rPr>
                <w:rFonts w:hint="eastAsia" w:ascii="仿宋" w:hAnsi="仿宋" w:eastAsia="仿宋"/>
                <w:sz w:val="24"/>
              </w:rPr>
              <w:t>45001），质量管理体系认证证书（I</w:t>
            </w:r>
            <w:r>
              <w:rPr>
                <w:rFonts w:ascii="仿宋" w:hAnsi="仿宋" w:eastAsia="仿宋"/>
                <w:sz w:val="24"/>
              </w:rPr>
              <w:t>SO</w:t>
            </w:r>
            <w:r>
              <w:rPr>
                <w:rFonts w:hint="eastAsia" w:ascii="仿宋" w:hAnsi="仿宋" w:eastAsia="仿宋"/>
                <w:sz w:val="24"/>
              </w:rPr>
              <w:t>9001），每个得</w:t>
            </w:r>
            <w:r>
              <w:rPr>
                <w:rFonts w:ascii="仿宋" w:hAnsi="仿宋" w:eastAsia="仿宋"/>
                <w:sz w:val="24"/>
              </w:rPr>
              <w:t>1</w:t>
            </w:r>
            <w:r>
              <w:rPr>
                <w:rFonts w:hint="eastAsia" w:ascii="仿宋" w:hAnsi="仿宋" w:eastAsia="仿宋"/>
                <w:sz w:val="24"/>
              </w:rPr>
              <w:t>分，此项最高得5</w:t>
            </w:r>
            <w:r>
              <w:rPr>
                <w:rFonts w:ascii="仿宋" w:hAnsi="仿宋" w:eastAsia="仿宋"/>
                <w:sz w:val="24"/>
              </w:rPr>
              <w:t>分</w:t>
            </w:r>
            <w:r>
              <w:rPr>
                <w:rFonts w:hint="eastAsia" w:ascii="仿宋" w:hAnsi="仿宋" w:eastAsia="仿宋"/>
                <w:sz w:val="24"/>
              </w:rPr>
              <w:t>。</w:t>
            </w:r>
          </w:p>
          <w:p>
            <w:pPr>
              <w:spacing w:after="156" w:line="360" w:lineRule="auto"/>
              <w:jc w:val="left"/>
              <w:rPr>
                <w:rFonts w:ascii="仿宋" w:hAnsi="仿宋" w:eastAsia="仿宋"/>
                <w:sz w:val="24"/>
              </w:rPr>
            </w:pPr>
            <w:r>
              <w:rPr>
                <w:rFonts w:ascii="仿宋" w:hAnsi="仿宋" w:eastAsia="仿宋"/>
                <w:sz w:val="24"/>
              </w:rPr>
              <w:t>2</w:t>
            </w:r>
            <w:r>
              <w:rPr>
                <w:rFonts w:ascii="仿宋" w:hAnsi="仿宋" w:eastAsia="仿宋"/>
                <w:sz w:val="24"/>
                <w:lang w:val="en"/>
              </w:rPr>
              <w:t>.</w:t>
            </w:r>
            <w:r>
              <w:rPr>
                <w:rFonts w:hint="eastAsia" w:ascii="仿宋" w:hAnsi="仿宋" w:eastAsia="仿宋"/>
                <w:sz w:val="24"/>
              </w:rPr>
              <w:t>投标人具有中国网络安全审查技术与认证中心（简称：C</w:t>
            </w:r>
            <w:r>
              <w:rPr>
                <w:rFonts w:ascii="仿宋" w:hAnsi="仿宋" w:eastAsia="仿宋"/>
                <w:sz w:val="24"/>
              </w:rPr>
              <w:t>CRC</w:t>
            </w:r>
            <w:r>
              <w:rPr>
                <w:rFonts w:hint="eastAsia" w:ascii="仿宋" w:hAnsi="仿宋" w:eastAsia="仿宋"/>
                <w:sz w:val="24"/>
              </w:rPr>
              <w:t>）颁发的信息安全“风险评估”服务资质、“安全集成”服务资质、“安全运维”服务资质、“应急响应”服务资质证书，每个得1分，此项</w:t>
            </w:r>
            <w:r>
              <w:rPr>
                <w:rFonts w:ascii="仿宋" w:hAnsi="仿宋" w:eastAsia="仿宋"/>
                <w:sz w:val="24"/>
              </w:rPr>
              <w:t>最高</w:t>
            </w:r>
            <w:r>
              <w:rPr>
                <w:rFonts w:hint="eastAsia" w:ascii="仿宋" w:hAnsi="仿宋" w:eastAsia="仿宋"/>
                <w:sz w:val="24"/>
              </w:rPr>
              <w:t>得4分。</w:t>
            </w:r>
          </w:p>
          <w:p>
            <w:pPr>
              <w:spacing w:after="156" w:line="360" w:lineRule="auto"/>
              <w:jc w:val="left"/>
              <w:rPr>
                <w:rFonts w:ascii="仿宋" w:hAnsi="仿宋" w:eastAsia="仿宋"/>
                <w:sz w:val="24"/>
              </w:rPr>
            </w:pPr>
            <w:r>
              <w:rPr>
                <w:rFonts w:ascii="仿宋" w:hAnsi="仿宋" w:eastAsia="仿宋"/>
                <w:sz w:val="24"/>
              </w:rPr>
              <w:t>3</w:t>
            </w:r>
            <w:r>
              <w:rPr>
                <w:rFonts w:ascii="仿宋" w:hAnsi="仿宋" w:eastAsia="仿宋"/>
                <w:sz w:val="24"/>
                <w:lang w:val="en"/>
              </w:rPr>
              <w:t>.</w:t>
            </w:r>
            <w:r>
              <w:rPr>
                <w:rFonts w:hint="eastAsia" w:ascii="仿宋" w:hAnsi="仿宋" w:eastAsia="仿宋"/>
                <w:sz w:val="24"/>
              </w:rPr>
              <w:t>投标人应得到国家相关网络安全监管部门的能力认可，入选市级（含）以上网信办、公安部门技术支撑单位的，得2分。</w:t>
            </w:r>
          </w:p>
          <w:p>
            <w:pPr>
              <w:spacing w:after="156" w:line="360" w:lineRule="auto"/>
              <w:jc w:val="left"/>
              <w:rPr>
                <w:rFonts w:ascii="仿宋" w:hAnsi="仿宋" w:eastAsia="仿宋"/>
                <w:sz w:val="24"/>
              </w:rPr>
            </w:pPr>
            <w:r>
              <w:rPr>
                <w:rFonts w:ascii="仿宋" w:hAnsi="仿宋" w:eastAsia="仿宋"/>
                <w:sz w:val="24"/>
              </w:rPr>
              <w:t>4</w:t>
            </w:r>
            <w:r>
              <w:rPr>
                <w:rFonts w:ascii="仿宋" w:hAnsi="仿宋" w:eastAsia="仿宋"/>
                <w:sz w:val="24"/>
                <w:lang w:val="en"/>
              </w:rPr>
              <w:t>.</w:t>
            </w:r>
            <w:r>
              <w:rPr>
                <w:rFonts w:ascii="仿宋" w:hAnsi="仿宋" w:eastAsia="仿宋"/>
                <w:sz w:val="24"/>
              </w:rPr>
              <w:t>投标人应得到国家相关监管部门的能力认可，拥有覆盖全省范围的</w:t>
            </w:r>
            <w:r>
              <w:rPr>
                <w:rFonts w:ascii="仿宋" w:hAnsi="仿宋" w:eastAsia="仿宋"/>
                <w:sz w:val="24"/>
                <w:lang w:val="en"/>
              </w:rPr>
              <w:t>关键基础</w:t>
            </w:r>
            <w:r>
              <w:rPr>
                <w:rFonts w:ascii="仿宋" w:hAnsi="仿宋" w:eastAsia="仿宋"/>
                <w:sz w:val="24"/>
              </w:rPr>
              <w:t>网络安全应急技术支撑能力，具有国家计算机网络应急技术处理协调中心</w:t>
            </w:r>
            <w:r>
              <w:rPr>
                <w:rFonts w:hint="eastAsia" w:ascii="仿宋" w:hAnsi="仿宋" w:eastAsia="仿宋"/>
                <w:sz w:val="24"/>
              </w:rPr>
              <w:t>市级以上</w:t>
            </w:r>
            <w:r>
              <w:rPr>
                <w:rFonts w:ascii="仿宋" w:hAnsi="仿宋" w:eastAsia="仿宋"/>
                <w:sz w:val="24"/>
              </w:rPr>
              <w:t>分中心颁发的合作支撑单位证书（有效期内），得</w:t>
            </w:r>
            <w:r>
              <w:rPr>
                <w:rFonts w:hint="eastAsia" w:ascii="仿宋" w:hAnsi="仿宋" w:eastAsia="仿宋"/>
                <w:sz w:val="24"/>
              </w:rPr>
              <w:t>2</w:t>
            </w:r>
            <w:r>
              <w:rPr>
                <w:rFonts w:ascii="仿宋" w:hAnsi="仿宋" w:eastAsia="仿宋"/>
                <w:sz w:val="24"/>
              </w:rPr>
              <w:t>分</w:t>
            </w:r>
            <w:r>
              <w:rPr>
                <w:rFonts w:hint="eastAsia" w:ascii="仿宋" w:hAnsi="仿宋" w:eastAsia="仿宋"/>
                <w:sz w:val="24"/>
              </w:rPr>
              <w:t>。</w:t>
            </w:r>
          </w:p>
          <w:p>
            <w:pPr>
              <w:spacing w:after="156" w:line="360" w:lineRule="auto"/>
              <w:jc w:val="left"/>
              <w:rPr>
                <w:rFonts w:ascii="仿宋" w:hAnsi="仿宋" w:eastAsia="仿宋"/>
                <w:sz w:val="24"/>
              </w:rPr>
            </w:pPr>
            <w:r>
              <w:rPr>
                <w:rFonts w:hint="eastAsia" w:ascii="仿宋" w:hAnsi="仿宋" w:eastAsia="仿宋"/>
                <w:sz w:val="24"/>
              </w:rPr>
              <w:t>5</w:t>
            </w:r>
            <w:r>
              <w:rPr>
                <w:rFonts w:ascii="仿宋" w:hAnsi="仿宋" w:eastAsia="仿宋"/>
                <w:sz w:val="24"/>
              </w:rPr>
              <w:t>、为更好的保证关键基础设施的安全和稳定运行，投标人应具备优秀的攻防实战能力</w:t>
            </w:r>
            <w:r>
              <w:rPr>
                <w:rFonts w:ascii="仿宋" w:hAnsi="仿宋" w:eastAsia="仿宋"/>
                <w:sz w:val="24"/>
                <w:lang w:val="en"/>
              </w:rPr>
              <w:t>，</w:t>
            </w:r>
            <w:r>
              <w:rPr>
                <w:rFonts w:ascii="仿宋" w:hAnsi="仿宋" w:eastAsia="仿宋"/>
                <w:sz w:val="24"/>
              </w:rPr>
              <w:t>荣获市级（含）以上网络安全攻防演习前三等奖成绩的，</w:t>
            </w:r>
            <w:r>
              <w:rPr>
                <w:rFonts w:ascii="仿宋" w:hAnsi="仿宋" w:eastAsia="仿宋"/>
                <w:sz w:val="24"/>
                <w:lang w:val="en"/>
              </w:rPr>
              <w:t>获</w:t>
            </w:r>
            <w:r>
              <w:rPr>
                <w:rFonts w:ascii="仿宋" w:hAnsi="仿宋" w:eastAsia="仿宋"/>
                <w:sz w:val="24"/>
              </w:rPr>
              <w:t>一等奖</w:t>
            </w:r>
            <w:r>
              <w:rPr>
                <w:rFonts w:ascii="仿宋" w:hAnsi="仿宋" w:eastAsia="仿宋"/>
                <w:sz w:val="24"/>
                <w:lang w:val="en"/>
              </w:rPr>
              <w:t>的</w:t>
            </w:r>
            <w:r>
              <w:rPr>
                <w:rFonts w:ascii="仿宋" w:hAnsi="仿宋" w:eastAsia="仿宋"/>
                <w:sz w:val="24"/>
              </w:rPr>
              <w:t>每个得</w:t>
            </w:r>
            <w:r>
              <w:rPr>
                <w:rFonts w:hint="eastAsia" w:ascii="仿宋" w:hAnsi="仿宋" w:eastAsia="仿宋"/>
                <w:sz w:val="24"/>
              </w:rPr>
              <w:t>3</w:t>
            </w:r>
            <w:r>
              <w:rPr>
                <w:rFonts w:ascii="仿宋" w:hAnsi="仿宋" w:eastAsia="仿宋"/>
                <w:sz w:val="24"/>
              </w:rPr>
              <w:t>分</w:t>
            </w:r>
            <w:r>
              <w:rPr>
                <w:rFonts w:ascii="仿宋" w:hAnsi="仿宋" w:eastAsia="仿宋"/>
                <w:sz w:val="24"/>
                <w:lang w:val="en"/>
              </w:rPr>
              <w:t>、获</w:t>
            </w:r>
            <w:r>
              <w:rPr>
                <w:rFonts w:ascii="仿宋" w:hAnsi="仿宋" w:eastAsia="仿宋"/>
                <w:sz w:val="24"/>
              </w:rPr>
              <w:t>二等奖</w:t>
            </w:r>
            <w:r>
              <w:rPr>
                <w:rFonts w:ascii="仿宋" w:hAnsi="仿宋" w:eastAsia="仿宋"/>
                <w:sz w:val="24"/>
                <w:lang w:val="en"/>
              </w:rPr>
              <w:t>的</w:t>
            </w:r>
            <w:r>
              <w:rPr>
                <w:rFonts w:ascii="仿宋" w:hAnsi="仿宋" w:eastAsia="仿宋"/>
                <w:sz w:val="24"/>
              </w:rPr>
              <w:t>每个得</w:t>
            </w:r>
            <w:r>
              <w:rPr>
                <w:rFonts w:hint="eastAsia" w:ascii="仿宋" w:hAnsi="仿宋" w:eastAsia="仿宋"/>
                <w:sz w:val="24"/>
              </w:rPr>
              <w:t>2分</w:t>
            </w:r>
            <w:r>
              <w:rPr>
                <w:rFonts w:ascii="仿宋" w:hAnsi="仿宋" w:eastAsia="仿宋"/>
                <w:sz w:val="24"/>
                <w:lang w:val="en"/>
              </w:rPr>
              <w:t>、获</w:t>
            </w:r>
            <w:r>
              <w:rPr>
                <w:rFonts w:hint="eastAsia" w:ascii="仿宋" w:hAnsi="仿宋" w:eastAsia="仿宋"/>
                <w:sz w:val="24"/>
              </w:rPr>
              <w:t>三等奖</w:t>
            </w:r>
            <w:r>
              <w:rPr>
                <w:rFonts w:ascii="仿宋" w:hAnsi="仿宋" w:eastAsia="仿宋"/>
                <w:sz w:val="24"/>
                <w:lang w:val="en"/>
              </w:rPr>
              <w:t>的</w:t>
            </w:r>
            <w:r>
              <w:rPr>
                <w:rFonts w:hint="eastAsia" w:ascii="仿宋" w:hAnsi="仿宋" w:eastAsia="仿宋"/>
                <w:sz w:val="24"/>
              </w:rPr>
              <w:t>每个得1分，</w:t>
            </w:r>
            <w:r>
              <w:rPr>
                <w:rFonts w:ascii="仿宋" w:hAnsi="仿宋" w:eastAsia="仿宋"/>
                <w:sz w:val="24"/>
              </w:rPr>
              <w:t>此项最高得</w:t>
            </w:r>
            <w:r>
              <w:rPr>
                <w:rFonts w:hint="eastAsia" w:ascii="仿宋" w:hAnsi="仿宋" w:eastAsia="仿宋"/>
                <w:sz w:val="24"/>
              </w:rPr>
              <w:t>6</w:t>
            </w:r>
            <w:r>
              <w:rPr>
                <w:rFonts w:ascii="仿宋" w:hAnsi="仿宋" w:eastAsia="仿宋"/>
                <w:sz w:val="24"/>
              </w:rPr>
              <w:t>分。</w:t>
            </w:r>
          </w:p>
          <w:p>
            <w:pPr>
              <w:pStyle w:val="4"/>
              <w:spacing w:after="156"/>
              <w:ind w:firstLine="0"/>
            </w:pPr>
            <w:r>
              <w:rPr>
                <w:rFonts w:hint="eastAsia" w:ascii="仿宋" w:hAnsi="仿宋" w:eastAsia="仿宋"/>
                <w:b/>
                <w:bCs/>
                <w:sz w:val="24"/>
              </w:rPr>
              <w:t>(投标文件中提供上述证书复印件并加盖投标人公章，上述证书需在有效期内，否则不得分)。</w:t>
            </w:r>
          </w:p>
        </w:tc>
        <w:tc>
          <w:tcPr>
            <w:tcW w:w="752" w:type="dxa"/>
            <w:tcBorders>
              <w:top w:val="single" w:color="auto" w:sz="4" w:space="0"/>
              <w:left w:val="single" w:color="auto" w:sz="4" w:space="0"/>
              <w:right w:val="single" w:color="auto" w:sz="4" w:space="0"/>
            </w:tcBorders>
            <w:vAlign w:val="center"/>
          </w:tcPr>
          <w:p>
            <w:pPr>
              <w:autoSpaceDE w:val="0"/>
              <w:autoSpaceDN w:val="0"/>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19分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2" w:hRule="atLeast"/>
          <w:jc w:val="center"/>
        </w:trPr>
        <w:tc>
          <w:tcPr>
            <w:tcW w:w="708" w:type="dxa"/>
            <w:tcBorders>
              <w:left w:val="single" w:color="auto" w:sz="4" w:space="0"/>
              <w:right w:val="single" w:color="auto" w:sz="4" w:space="0"/>
            </w:tcBorders>
            <w:vAlign w:val="center"/>
          </w:tcPr>
          <w:p>
            <w:pPr>
              <w:numPr>
                <w:ilvl w:val="0"/>
                <w:numId w:val="11"/>
              </w:numPr>
              <w:spacing w:after="156"/>
              <w:rPr>
                <w:rFonts w:ascii="仿宋" w:hAnsi="仿宋" w:eastAsia="仿宋" w:cs="仿宋_GB2312"/>
                <w:kern w:val="0"/>
                <w:sz w:val="24"/>
                <w:lang w:val="zh-CN"/>
              </w:rPr>
            </w:pPr>
          </w:p>
        </w:tc>
        <w:tc>
          <w:tcPr>
            <w:tcW w:w="1201" w:type="dxa"/>
            <w:tcBorders>
              <w:left w:val="single" w:color="auto" w:sz="4" w:space="0"/>
              <w:right w:val="single" w:color="auto" w:sz="4" w:space="0"/>
            </w:tcBorders>
            <w:tcMar>
              <w:top w:w="15" w:type="dxa"/>
              <w:left w:w="15" w:type="dxa"/>
              <w:bottom w:w="0" w:type="dxa"/>
              <w:right w:w="15" w:type="dxa"/>
            </w:tcMar>
            <w:vAlign w:val="center"/>
          </w:tcPr>
          <w:p>
            <w:pPr>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投标人</w:t>
            </w:r>
          </w:p>
          <w:p>
            <w:pPr>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业绩</w:t>
            </w:r>
          </w:p>
        </w:tc>
        <w:tc>
          <w:tcPr>
            <w:tcW w:w="61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156" w:line="360" w:lineRule="auto"/>
              <w:rPr>
                <w:rFonts w:ascii="仿宋" w:hAnsi="仿宋" w:eastAsia="仿宋"/>
                <w:sz w:val="24"/>
              </w:rPr>
            </w:pPr>
            <w:r>
              <w:rPr>
                <w:rFonts w:hint="eastAsia" w:ascii="仿宋" w:hAnsi="仿宋" w:eastAsia="仿宋"/>
                <w:sz w:val="24"/>
              </w:rPr>
              <w:t>投标人在网络安全服务领域具备扎实的技术实力和品牌影响力，投标人出具近三年内承担的“网络安全服务”案例，每个案例得0.5</w:t>
            </w:r>
            <w:r>
              <w:rPr>
                <w:rFonts w:ascii="仿宋" w:hAnsi="仿宋" w:eastAsia="仿宋"/>
                <w:sz w:val="24"/>
              </w:rPr>
              <w:t>分，最高得</w:t>
            </w:r>
            <w:r>
              <w:rPr>
                <w:rFonts w:hint="eastAsia" w:ascii="仿宋" w:hAnsi="仿宋" w:eastAsia="仿宋"/>
                <w:sz w:val="24"/>
              </w:rPr>
              <w:t>2</w:t>
            </w:r>
            <w:r>
              <w:rPr>
                <w:rFonts w:ascii="仿宋" w:hAnsi="仿宋" w:eastAsia="仿宋"/>
                <w:sz w:val="24"/>
              </w:rPr>
              <w:t>分</w:t>
            </w:r>
            <w:r>
              <w:rPr>
                <w:rFonts w:hint="eastAsia" w:ascii="仿宋" w:hAnsi="仿宋" w:eastAsia="仿宋"/>
                <w:sz w:val="24"/>
              </w:rPr>
              <w:t>。</w:t>
            </w:r>
          </w:p>
          <w:p>
            <w:pPr>
              <w:spacing w:after="156" w:line="360" w:lineRule="auto"/>
              <w:jc w:val="left"/>
              <w:rPr>
                <w:rFonts w:ascii="仿宋" w:hAnsi="仿宋" w:eastAsia="仿宋"/>
                <w:sz w:val="24"/>
              </w:rPr>
            </w:pPr>
            <w:r>
              <w:rPr>
                <w:rFonts w:hint="eastAsia" w:ascii="仿宋" w:hAnsi="仿宋" w:eastAsia="仿宋"/>
                <w:b/>
                <w:sz w:val="24"/>
              </w:rPr>
              <w:t>(投标文件中提供上述证书复印件并加盖投标人公章，</w:t>
            </w:r>
            <w:r>
              <w:rPr>
                <w:rFonts w:hint="eastAsia" w:ascii="仿宋" w:hAnsi="仿宋" w:eastAsia="仿宋"/>
                <w:b/>
                <w:bCs/>
                <w:sz w:val="24"/>
              </w:rPr>
              <w:t>否则作不得分处理</w:t>
            </w:r>
            <w:r>
              <w:rPr>
                <w:rFonts w:hint="eastAsia" w:ascii="仿宋" w:hAnsi="仿宋" w:eastAsia="仿宋"/>
                <w:b/>
                <w:sz w:val="24"/>
              </w:rPr>
              <w:t>)。</w:t>
            </w:r>
          </w:p>
        </w:tc>
        <w:tc>
          <w:tcPr>
            <w:tcW w:w="752" w:type="dxa"/>
            <w:tcBorders>
              <w:top w:val="single" w:color="auto" w:sz="4" w:space="0"/>
              <w:left w:val="single" w:color="auto" w:sz="4" w:space="0"/>
              <w:right w:val="single" w:color="auto" w:sz="4" w:space="0"/>
            </w:tcBorders>
            <w:vAlign w:val="center"/>
          </w:tcPr>
          <w:p>
            <w:pPr>
              <w:spacing w:after="156"/>
              <w:jc w:val="center"/>
              <w:rPr>
                <w:rFonts w:ascii="仿宋" w:hAnsi="仿宋" w:eastAsia="仿宋"/>
                <w:sz w:val="24"/>
              </w:rPr>
            </w:pPr>
            <w:r>
              <w:rPr>
                <w:rFonts w:hint="eastAsia" w:ascii="仿宋" w:hAnsi="仿宋" w:eastAsia="仿宋"/>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08" w:type="dxa"/>
            <w:vAlign w:val="center"/>
          </w:tcPr>
          <w:p>
            <w:pPr>
              <w:widowControl/>
              <w:numPr>
                <w:ilvl w:val="0"/>
                <w:numId w:val="11"/>
              </w:numPr>
              <w:rPr>
                <w:rFonts w:ascii="仿宋" w:hAnsi="仿宋" w:eastAsia="仿宋" w:cs="仿宋_GB2312"/>
                <w:kern w:val="0"/>
                <w:sz w:val="24"/>
                <w:lang w:val="zh-CN"/>
              </w:rPr>
            </w:pPr>
          </w:p>
        </w:tc>
        <w:tc>
          <w:tcPr>
            <w:tcW w:w="1201" w:type="dxa"/>
            <w:tcMar>
              <w:top w:w="15" w:type="dxa"/>
              <w:left w:w="15" w:type="dxa"/>
              <w:bottom w:w="0" w:type="dxa"/>
              <w:right w:w="15" w:type="dxa"/>
            </w:tcMar>
            <w:vAlign w:val="center"/>
          </w:tcPr>
          <w:p>
            <w:pPr>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安全人员实力及服务响应</w:t>
            </w:r>
          </w:p>
        </w:tc>
        <w:tc>
          <w:tcPr>
            <w:tcW w:w="6132" w:type="dxa"/>
            <w:vAlign w:val="center"/>
          </w:tcPr>
          <w:p>
            <w:pPr>
              <w:spacing w:after="156" w:line="360" w:lineRule="auto"/>
              <w:jc w:val="left"/>
              <w:rPr>
                <w:rFonts w:ascii="仿宋" w:hAnsi="仿宋" w:eastAsia="仿宋"/>
                <w:sz w:val="24"/>
                <w:lang w:val="en"/>
              </w:rPr>
            </w:pPr>
            <w:r>
              <w:rPr>
                <w:rFonts w:hint="eastAsia" w:ascii="仿宋" w:hAnsi="仿宋" w:eastAsia="仿宋"/>
                <w:sz w:val="22"/>
                <w:szCs w:val="22"/>
              </w:rPr>
              <w:t>1</w:t>
            </w:r>
            <w:r>
              <w:rPr>
                <w:rFonts w:ascii="仿宋" w:hAnsi="仿宋" w:eastAsia="仿宋"/>
                <w:sz w:val="22"/>
                <w:szCs w:val="22"/>
                <w:lang w:val="en"/>
              </w:rPr>
              <w:t>.</w:t>
            </w:r>
            <w:r>
              <w:rPr>
                <w:rFonts w:hint="eastAsia" w:ascii="仿宋" w:hAnsi="仿宋" w:eastAsia="仿宋"/>
                <w:sz w:val="24"/>
              </w:rPr>
              <w:t>投标人技术团队中拥有地市级及以上网信办、公安部门聘任的网络安全专家，并具有权威聘任证书的（非协会、联盟等组织颁发证书），每个证书得1分，最高得4分</w:t>
            </w:r>
            <w:r>
              <w:rPr>
                <w:rFonts w:ascii="仿宋" w:hAnsi="仿宋" w:eastAsia="仿宋"/>
                <w:sz w:val="24"/>
                <w:lang w:val="en"/>
              </w:rPr>
              <w:t>。</w:t>
            </w:r>
          </w:p>
          <w:p>
            <w:pPr>
              <w:spacing w:after="156" w:line="360" w:lineRule="auto"/>
              <w:jc w:val="left"/>
              <w:rPr>
                <w:rFonts w:ascii="仿宋" w:hAnsi="仿宋" w:eastAsia="仿宋"/>
                <w:sz w:val="24"/>
              </w:rPr>
            </w:pPr>
            <w:r>
              <w:rPr>
                <w:rFonts w:ascii="仿宋" w:hAnsi="仿宋" w:eastAsia="仿宋"/>
                <w:sz w:val="24"/>
              </w:rPr>
              <w:t>2</w:t>
            </w:r>
            <w:r>
              <w:rPr>
                <w:rFonts w:ascii="仿宋" w:hAnsi="仿宋" w:eastAsia="仿宋"/>
                <w:sz w:val="24"/>
                <w:lang w:val="en"/>
              </w:rPr>
              <w:t>.</w:t>
            </w:r>
            <w:r>
              <w:rPr>
                <w:rFonts w:hint="eastAsia"/>
              </w:rPr>
              <w:t xml:space="preserve"> </w:t>
            </w:r>
            <w:r>
              <w:rPr>
                <w:rFonts w:hint="eastAsia" w:ascii="仿宋" w:hAnsi="仿宋" w:eastAsia="仿宋"/>
                <w:sz w:val="24"/>
                <w:lang w:val="en"/>
              </w:rPr>
              <w:t>拟派项目经理应具备以下证书：国家注册信息安全人员（</w:t>
            </w:r>
            <w:r>
              <w:rPr>
                <w:rFonts w:ascii="仿宋" w:hAnsi="仿宋" w:eastAsia="仿宋"/>
                <w:sz w:val="24"/>
                <w:lang w:val="en"/>
              </w:rPr>
              <w:t>CISP）证书、国际信息系统审计师（CISA）证书、国家信息安全保障人员（CISAW）“安全集成”方向证书、信息系统安全认证专业人员（CISSP）证书、注册信息安全经理（CISM）证书，上述证书每个得1分，最高得5分</w:t>
            </w:r>
            <w:r>
              <w:rPr>
                <w:rFonts w:hint="eastAsia" w:ascii="仿宋" w:hAnsi="仿宋" w:eastAsia="仿宋"/>
                <w:sz w:val="24"/>
              </w:rPr>
              <w:t>。</w:t>
            </w:r>
          </w:p>
          <w:p>
            <w:pPr>
              <w:spacing w:after="156" w:line="360" w:lineRule="auto"/>
              <w:jc w:val="left"/>
              <w:rPr>
                <w:rFonts w:ascii="仿宋" w:hAnsi="仿宋" w:eastAsia="仿宋"/>
                <w:sz w:val="24"/>
              </w:rPr>
            </w:pPr>
            <w:r>
              <w:rPr>
                <w:rFonts w:hint="eastAsia" w:ascii="仿宋" w:hAnsi="仿宋" w:eastAsia="仿宋"/>
                <w:sz w:val="24"/>
              </w:rPr>
              <w:t>3</w:t>
            </w:r>
            <w:r>
              <w:rPr>
                <w:rFonts w:ascii="仿宋" w:hAnsi="仿宋" w:eastAsia="仿宋"/>
                <w:sz w:val="24"/>
                <w:lang w:val="en"/>
              </w:rPr>
              <w:t>.</w:t>
            </w:r>
            <w:r>
              <w:rPr>
                <w:rFonts w:hint="eastAsia" w:ascii="仿宋" w:hAnsi="仿宋" w:eastAsia="仿宋"/>
                <w:sz w:val="24"/>
              </w:rPr>
              <w:t>为保障漏洞评估、渗透测试、安全产品巡检</w:t>
            </w:r>
            <w:r>
              <w:rPr>
                <w:rFonts w:ascii="仿宋" w:hAnsi="仿宋" w:eastAsia="仿宋"/>
                <w:sz w:val="24"/>
                <w:lang w:val="en"/>
              </w:rPr>
              <w:t>、</w:t>
            </w:r>
            <w:r>
              <w:rPr>
                <w:rFonts w:ascii="仿宋" w:hAnsi="仿宋" w:eastAsia="仿宋"/>
                <w:sz w:val="24"/>
              </w:rPr>
              <w:t>安全运营、驻场服务</w:t>
            </w:r>
            <w:r>
              <w:rPr>
                <w:rFonts w:hint="eastAsia" w:ascii="仿宋" w:hAnsi="仿宋" w:eastAsia="仿宋"/>
                <w:sz w:val="24"/>
              </w:rPr>
              <w:t>等各项服务的整体实施效果，投标人项目成员中还应具备</w:t>
            </w:r>
            <w:r>
              <w:rPr>
                <w:rFonts w:ascii="仿宋" w:hAnsi="仿宋" w:eastAsia="仿宋"/>
                <w:sz w:val="24"/>
              </w:rPr>
              <w:t>国家注册信息安全专业人员（CISP）证书</w:t>
            </w:r>
            <w:r>
              <w:rPr>
                <w:rFonts w:hint="eastAsia" w:ascii="仿宋" w:hAnsi="仿宋" w:eastAsia="仿宋"/>
                <w:sz w:val="24"/>
              </w:rPr>
              <w:t>、国家信息安全保障人员（</w:t>
            </w:r>
            <w:r>
              <w:rPr>
                <w:rFonts w:ascii="仿宋" w:hAnsi="仿宋" w:eastAsia="仿宋"/>
                <w:sz w:val="24"/>
              </w:rPr>
              <w:t>CISAW）“风险</w:t>
            </w:r>
            <w:r>
              <w:rPr>
                <w:rFonts w:hint="eastAsia" w:ascii="仿宋" w:hAnsi="仿宋" w:eastAsia="仿宋"/>
                <w:sz w:val="24"/>
              </w:rPr>
              <w:t>管理</w:t>
            </w:r>
            <w:r>
              <w:rPr>
                <w:rFonts w:ascii="仿宋" w:hAnsi="仿宋" w:eastAsia="仿宋"/>
                <w:sz w:val="24"/>
              </w:rPr>
              <w:t>”方向证书、国家信息安全保障人员（CISAW）“安全集成”方向证书</w:t>
            </w:r>
            <w:r>
              <w:rPr>
                <w:rFonts w:hint="eastAsia" w:ascii="仿宋" w:hAnsi="仿宋" w:eastAsia="仿宋"/>
                <w:sz w:val="24"/>
              </w:rPr>
              <w:t>，国家信息安全保障人员（</w:t>
            </w:r>
            <w:r>
              <w:rPr>
                <w:rFonts w:ascii="仿宋" w:hAnsi="仿宋" w:eastAsia="仿宋"/>
                <w:sz w:val="24"/>
              </w:rPr>
              <w:t>CISAW）“安全运维”方向证书，</w:t>
            </w:r>
            <w:r>
              <w:rPr>
                <w:rFonts w:hint="eastAsia" w:ascii="仿宋" w:hAnsi="仿宋" w:eastAsia="仿宋"/>
                <w:sz w:val="24"/>
              </w:rPr>
              <w:t>ITSS服务工程师证书，</w:t>
            </w:r>
            <w:r>
              <w:rPr>
                <w:rFonts w:ascii="仿宋" w:hAnsi="仿宋" w:eastAsia="仿宋"/>
                <w:sz w:val="24"/>
                <w:lang w:val="en"/>
              </w:rPr>
              <w:t>上述证书每个得1分，最高得5分</w:t>
            </w:r>
            <w:r>
              <w:rPr>
                <w:rFonts w:hint="eastAsia" w:ascii="仿宋" w:hAnsi="仿宋" w:eastAsia="仿宋"/>
                <w:sz w:val="24"/>
              </w:rPr>
              <w:t>。（</w:t>
            </w:r>
            <w:r>
              <w:rPr>
                <w:rFonts w:hint="eastAsia" w:ascii="仿宋" w:hAnsi="仿宋" w:eastAsia="仿宋"/>
                <w:b/>
                <w:bCs/>
                <w:sz w:val="24"/>
              </w:rPr>
              <w:t>说明：证书不能与拟派项目经理证书重复使用</w:t>
            </w:r>
            <w:r>
              <w:rPr>
                <w:rFonts w:hint="eastAsia" w:ascii="仿宋" w:hAnsi="仿宋" w:eastAsia="仿宋"/>
                <w:sz w:val="24"/>
              </w:rPr>
              <w:t>）</w:t>
            </w:r>
          </w:p>
          <w:p>
            <w:pPr>
              <w:spacing w:after="156" w:line="360" w:lineRule="auto"/>
              <w:jc w:val="left"/>
              <w:rPr>
                <w:rFonts w:ascii="仿宋" w:hAnsi="仿宋" w:eastAsia="仿宋"/>
                <w:sz w:val="24"/>
              </w:rPr>
            </w:pPr>
            <w:r>
              <w:rPr>
                <w:rFonts w:hint="eastAsia" w:ascii="仿宋" w:hAnsi="仿宋" w:eastAsia="仿宋"/>
                <w:sz w:val="24"/>
              </w:rPr>
              <w:t>4</w:t>
            </w:r>
            <w:r>
              <w:rPr>
                <w:rFonts w:ascii="仿宋" w:hAnsi="仿宋" w:eastAsia="仿宋"/>
                <w:sz w:val="24"/>
              </w:rPr>
              <w:t>.安全托管式运营服务基本要求为半年服务期，投标单位承诺中标后提供延长服务期限的，每延长一个月</w:t>
            </w:r>
            <w:r>
              <w:rPr>
                <w:rFonts w:ascii="仿宋" w:hAnsi="仿宋" w:eastAsia="仿宋"/>
                <w:sz w:val="24"/>
                <w:lang w:val="en"/>
              </w:rPr>
              <w:t>的</w:t>
            </w:r>
            <w:r>
              <w:rPr>
                <w:rFonts w:ascii="仿宋" w:hAnsi="仿宋" w:eastAsia="仿宋"/>
                <w:sz w:val="24"/>
              </w:rPr>
              <w:t>得1分，最高得6分。</w:t>
            </w:r>
          </w:p>
          <w:p>
            <w:pPr>
              <w:spacing w:after="156" w:line="360" w:lineRule="auto"/>
              <w:jc w:val="left"/>
              <w:rPr>
                <w:rFonts w:ascii="仿宋" w:hAnsi="仿宋" w:eastAsia="仿宋"/>
                <w:sz w:val="24"/>
              </w:rPr>
            </w:pPr>
            <w:r>
              <w:rPr>
                <w:rFonts w:hint="eastAsia" w:ascii="仿宋" w:hAnsi="仿宋" w:eastAsia="仿宋"/>
                <w:sz w:val="24"/>
              </w:rPr>
              <w:t>5</w:t>
            </w:r>
            <w:r>
              <w:rPr>
                <w:rFonts w:ascii="仿宋" w:hAnsi="仿宋" w:eastAsia="仿宋"/>
                <w:sz w:val="24"/>
              </w:rPr>
              <w:t>. 渗透测试服务基本要求为30</w:t>
            </w:r>
            <w:r>
              <w:rPr>
                <w:rFonts w:hint="eastAsia" w:ascii="仿宋" w:hAnsi="仿宋" w:eastAsia="仿宋"/>
                <w:sz w:val="24"/>
              </w:rPr>
              <w:t>人天</w:t>
            </w:r>
            <w:r>
              <w:rPr>
                <w:rFonts w:ascii="仿宋" w:hAnsi="仿宋" w:eastAsia="仿宋"/>
                <w:sz w:val="24"/>
              </w:rPr>
              <w:t>，投标单位承诺中标后额外提供渗透测试服务</w:t>
            </w:r>
            <w:r>
              <w:rPr>
                <w:rFonts w:hint="eastAsia" w:ascii="仿宋" w:hAnsi="仿宋" w:eastAsia="仿宋"/>
                <w:sz w:val="24"/>
              </w:rPr>
              <w:t>工时</w:t>
            </w:r>
            <w:r>
              <w:rPr>
                <w:rFonts w:ascii="仿宋" w:hAnsi="仿宋" w:eastAsia="仿宋"/>
                <w:sz w:val="24"/>
              </w:rPr>
              <w:t>的，每增加</w:t>
            </w:r>
            <w:r>
              <w:rPr>
                <w:rFonts w:hint="eastAsia" w:ascii="仿宋" w:hAnsi="仿宋" w:eastAsia="仿宋"/>
                <w:sz w:val="24"/>
              </w:rPr>
              <w:t>2人天</w:t>
            </w:r>
            <w:r>
              <w:rPr>
                <w:rFonts w:hint="eastAsia" w:ascii="仿宋" w:hAnsi="仿宋" w:eastAsia="仿宋"/>
                <w:sz w:val="24"/>
                <w:lang w:val="en"/>
              </w:rPr>
              <w:t>可</w:t>
            </w:r>
            <w:r>
              <w:rPr>
                <w:rFonts w:ascii="仿宋" w:hAnsi="仿宋" w:eastAsia="仿宋"/>
                <w:sz w:val="24"/>
              </w:rPr>
              <w:t>得</w:t>
            </w:r>
            <w:r>
              <w:rPr>
                <w:rFonts w:hint="eastAsia" w:ascii="仿宋" w:hAnsi="仿宋" w:eastAsia="仿宋"/>
                <w:sz w:val="24"/>
              </w:rPr>
              <w:t>2</w:t>
            </w:r>
            <w:r>
              <w:rPr>
                <w:rFonts w:ascii="仿宋" w:hAnsi="仿宋" w:eastAsia="仿宋"/>
                <w:sz w:val="24"/>
              </w:rPr>
              <w:t>分，最高得</w:t>
            </w:r>
            <w:r>
              <w:rPr>
                <w:rFonts w:hint="eastAsia" w:ascii="仿宋" w:hAnsi="仿宋" w:eastAsia="仿宋"/>
                <w:sz w:val="24"/>
              </w:rPr>
              <w:t>10</w:t>
            </w:r>
            <w:r>
              <w:rPr>
                <w:rFonts w:ascii="仿宋" w:hAnsi="仿宋" w:eastAsia="仿宋"/>
                <w:sz w:val="24"/>
              </w:rPr>
              <w:t>分。</w:t>
            </w:r>
          </w:p>
          <w:p>
            <w:pPr>
              <w:spacing w:after="156" w:line="360" w:lineRule="auto"/>
              <w:jc w:val="left"/>
              <w:rPr>
                <w:rFonts w:ascii="仿宋" w:hAnsi="仿宋" w:eastAsia="仿宋"/>
                <w:sz w:val="24"/>
              </w:rPr>
            </w:pPr>
            <w:r>
              <w:rPr>
                <w:rFonts w:hint="eastAsia" w:ascii="仿宋" w:hAnsi="仿宋" w:eastAsia="仿宋"/>
                <w:b/>
                <w:bCs/>
                <w:sz w:val="24"/>
              </w:rPr>
              <w:t>注：以上须提供相关证书复印件并加盖公章，原件备查，并提供为相关人员（驻场人员除外）近期</w:t>
            </w:r>
            <w:r>
              <w:rPr>
                <w:rFonts w:ascii="仿宋" w:hAnsi="仿宋" w:eastAsia="仿宋"/>
                <w:b/>
                <w:bCs/>
                <w:sz w:val="24"/>
              </w:rPr>
              <w:t>3个月缴纳社保的证明，未提供或材料不合格者不得分。</w:t>
            </w:r>
          </w:p>
        </w:tc>
        <w:tc>
          <w:tcPr>
            <w:tcW w:w="752" w:type="dxa"/>
            <w:vAlign w:val="center"/>
          </w:tcPr>
          <w:p>
            <w:pPr>
              <w:autoSpaceDE w:val="0"/>
              <w:autoSpaceDN w:val="0"/>
              <w:spacing w:after="156"/>
              <w:jc w:val="center"/>
              <w:rPr>
                <w:rFonts w:ascii="仿宋" w:hAnsi="仿宋" w:eastAsia="仿宋" w:cs="仿宋_GB2312"/>
                <w:kern w:val="0"/>
                <w:sz w:val="24"/>
                <w:lang w:val="zh-CN"/>
              </w:rPr>
            </w:pPr>
            <w:r>
              <w:rPr>
                <w:rFonts w:hint="eastAsia" w:ascii="仿宋" w:hAnsi="仿宋" w:eastAsia="仿宋" w:cs="仿宋_GB2312"/>
                <w:kern w:val="0"/>
                <w:sz w:val="24"/>
                <w:lang w:val="zh-CN"/>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08" w:type="dxa"/>
            <w:vAlign w:val="center"/>
          </w:tcPr>
          <w:p>
            <w:pPr>
              <w:widowControl/>
              <w:ind w:left="312"/>
              <w:rPr>
                <w:rFonts w:ascii="仿宋" w:hAnsi="仿宋" w:eastAsia="仿宋" w:cs="仿宋_GB2312"/>
                <w:kern w:val="0"/>
                <w:sz w:val="24"/>
                <w:lang w:val="zh-CN"/>
              </w:rPr>
            </w:pPr>
            <w:r>
              <w:rPr>
                <w:rFonts w:hint="eastAsia" w:ascii="仿宋" w:hAnsi="仿宋" w:eastAsia="仿宋"/>
                <w:color w:val="000000" w:themeColor="text1"/>
                <w:sz w:val="24"/>
              </w:rPr>
              <w:t>5</w:t>
            </w:r>
          </w:p>
        </w:tc>
        <w:tc>
          <w:tcPr>
            <w:tcW w:w="1201" w:type="dxa"/>
            <w:tcMar>
              <w:top w:w="15" w:type="dxa"/>
              <w:left w:w="15" w:type="dxa"/>
              <w:bottom w:w="0" w:type="dxa"/>
              <w:right w:w="15" w:type="dxa"/>
            </w:tcMar>
            <w:vAlign w:val="center"/>
          </w:tcPr>
          <w:p>
            <w:pPr>
              <w:spacing w:after="156" w:line="360" w:lineRule="auto"/>
              <w:jc w:val="center"/>
              <w:rPr>
                <w:rFonts w:ascii="仿宋" w:hAnsi="仿宋" w:eastAsia="仿宋"/>
                <w:color w:val="000000" w:themeColor="text1"/>
                <w:sz w:val="24"/>
              </w:rPr>
            </w:pPr>
            <w:r>
              <w:rPr>
                <w:rFonts w:hint="eastAsia" w:ascii="仿宋" w:hAnsi="仿宋" w:eastAsia="仿宋"/>
                <w:color w:val="000000" w:themeColor="text1"/>
                <w:sz w:val="24"/>
              </w:rPr>
              <w:t>整体方案</w:t>
            </w:r>
          </w:p>
        </w:tc>
        <w:tc>
          <w:tcPr>
            <w:tcW w:w="6132" w:type="dxa"/>
            <w:vAlign w:val="center"/>
          </w:tcPr>
          <w:p>
            <w:pPr>
              <w:spacing w:after="156" w:line="360" w:lineRule="auto"/>
              <w:jc w:val="left"/>
              <w:rPr>
                <w:rFonts w:ascii="仿宋" w:hAnsi="仿宋" w:eastAsia="仿宋"/>
                <w:color w:val="000000"/>
                <w:sz w:val="22"/>
                <w:szCs w:val="22"/>
              </w:rPr>
            </w:pPr>
            <w:r>
              <w:rPr>
                <w:rFonts w:hint="eastAsia" w:ascii="仿宋" w:hAnsi="仿宋" w:eastAsia="仿宋"/>
                <w:color w:val="000000" w:themeColor="text1"/>
                <w:sz w:val="24"/>
              </w:rPr>
              <w:t>根据项目整体设计方案与招标书的吻合程度，提供对重要系统具有针对性的技术方案、实施方案、培训方案等，从整体维护设计方案的创新性、合理性、可行性及可靠性进行打分</w:t>
            </w:r>
            <w:r>
              <w:rPr>
                <w:rFonts w:ascii="仿宋" w:hAnsi="仿宋" w:eastAsia="仿宋"/>
                <w:color w:val="000000" w:themeColor="text1"/>
                <w:sz w:val="24"/>
                <w:lang w:val="en"/>
              </w:rPr>
              <w:t>，</w:t>
            </w:r>
            <w:r>
              <w:rPr>
                <w:rFonts w:hint="eastAsia" w:ascii="仿宋" w:hAnsi="仿宋" w:eastAsia="仿宋"/>
                <w:color w:val="000000" w:themeColor="text1"/>
                <w:sz w:val="24"/>
              </w:rPr>
              <w:t>一般</w:t>
            </w:r>
            <w:r>
              <w:rPr>
                <w:rFonts w:ascii="仿宋" w:hAnsi="仿宋" w:eastAsia="仿宋"/>
                <w:color w:val="000000" w:themeColor="text1"/>
                <w:sz w:val="24"/>
                <w:lang w:val="en"/>
              </w:rPr>
              <w:t>的</w:t>
            </w:r>
            <w:r>
              <w:rPr>
                <w:rFonts w:hint="eastAsia" w:ascii="仿宋" w:hAnsi="仿宋" w:eastAsia="仿宋"/>
                <w:color w:val="000000" w:themeColor="text1"/>
                <w:sz w:val="24"/>
              </w:rPr>
              <w:t>得</w:t>
            </w:r>
            <w:r>
              <w:rPr>
                <w:rFonts w:ascii="仿宋" w:hAnsi="仿宋" w:eastAsia="仿宋"/>
                <w:color w:val="000000" w:themeColor="text1"/>
                <w:sz w:val="24"/>
              </w:rPr>
              <w:t>0-</w:t>
            </w:r>
            <w:r>
              <w:rPr>
                <w:rFonts w:hint="eastAsia" w:ascii="仿宋" w:hAnsi="仿宋" w:eastAsia="仿宋"/>
                <w:color w:val="000000" w:themeColor="text1"/>
                <w:sz w:val="24"/>
              </w:rPr>
              <w:t>2</w:t>
            </w:r>
            <w:r>
              <w:rPr>
                <w:rFonts w:ascii="仿宋" w:hAnsi="仿宋" w:eastAsia="仿宋"/>
                <w:color w:val="000000" w:themeColor="text1"/>
                <w:sz w:val="24"/>
              </w:rPr>
              <w:t>分</w:t>
            </w:r>
            <w:r>
              <w:rPr>
                <w:rFonts w:ascii="仿宋" w:hAnsi="仿宋" w:eastAsia="仿宋"/>
                <w:color w:val="000000" w:themeColor="text1"/>
                <w:sz w:val="24"/>
                <w:lang w:val="en"/>
              </w:rPr>
              <w:t>、</w:t>
            </w:r>
            <w:r>
              <w:rPr>
                <w:rFonts w:ascii="仿宋" w:hAnsi="仿宋" w:eastAsia="仿宋"/>
                <w:color w:val="000000" w:themeColor="text1"/>
                <w:sz w:val="24"/>
              </w:rPr>
              <w:t>良好</w:t>
            </w:r>
            <w:r>
              <w:rPr>
                <w:rFonts w:ascii="仿宋" w:hAnsi="仿宋" w:eastAsia="仿宋"/>
                <w:color w:val="000000" w:themeColor="text1"/>
                <w:sz w:val="24"/>
                <w:lang w:val="en"/>
              </w:rPr>
              <w:t>的</w:t>
            </w:r>
            <w:r>
              <w:rPr>
                <w:rFonts w:ascii="仿宋" w:hAnsi="仿宋" w:eastAsia="仿宋"/>
                <w:color w:val="000000" w:themeColor="text1"/>
                <w:sz w:val="24"/>
              </w:rPr>
              <w:t>得</w:t>
            </w:r>
            <w:r>
              <w:rPr>
                <w:rFonts w:hint="eastAsia" w:ascii="仿宋" w:hAnsi="仿宋" w:eastAsia="仿宋"/>
                <w:color w:val="000000" w:themeColor="text1"/>
                <w:sz w:val="24"/>
              </w:rPr>
              <w:t>2</w:t>
            </w:r>
            <w:r>
              <w:rPr>
                <w:rFonts w:ascii="仿宋" w:hAnsi="仿宋" w:eastAsia="仿宋"/>
                <w:color w:val="000000" w:themeColor="text1"/>
                <w:sz w:val="24"/>
              </w:rPr>
              <w:t>.1-</w:t>
            </w:r>
            <w:r>
              <w:rPr>
                <w:rFonts w:hint="eastAsia" w:ascii="仿宋" w:hAnsi="仿宋" w:eastAsia="仿宋"/>
                <w:color w:val="000000" w:themeColor="text1"/>
                <w:sz w:val="24"/>
              </w:rPr>
              <w:t>4</w:t>
            </w:r>
            <w:r>
              <w:rPr>
                <w:rFonts w:ascii="仿宋" w:hAnsi="仿宋" w:eastAsia="仿宋"/>
                <w:color w:val="000000" w:themeColor="text1"/>
                <w:sz w:val="24"/>
              </w:rPr>
              <w:t>分</w:t>
            </w:r>
            <w:r>
              <w:rPr>
                <w:rFonts w:ascii="仿宋" w:hAnsi="仿宋" w:eastAsia="仿宋"/>
                <w:color w:val="000000" w:themeColor="text1"/>
                <w:sz w:val="24"/>
                <w:lang w:val="en"/>
              </w:rPr>
              <w:t>、</w:t>
            </w:r>
            <w:r>
              <w:rPr>
                <w:rFonts w:ascii="仿宋" w:hAnsi="仿宋" w:eastAsia="仿宋"/>
                <w:color w:val="000000" w:themeColor="text1"/>
                <w:sz w:val="24"/>
              </w:rPr>
              <w:t>优秀</w:t>
            </w:r>
            <w:r>
              <w:rPr>
                <w:rFonts w:ascii="仿宋" w:hAnsi="仿宋" w:eastAsia="仿宋"/>
                <w:color w:val="000000" w:themeColor="text1"/>
                <w:sz w:val="24"/>
                <w:lang w:val="en"/>
              </w:rPr>
              <w:t>的</w:t>
            </w:r>
            <w:r>
              <w:rPr>
                <w:rFonts w:ascii="仿宋" w:hAnsi="仿宋" w:eastAsia="仿宋"/>
                <w:color w:val="000000" w:themeColor="text1"/>
                <w:sz w:val="24"/>
              </w:rPr>
              <w:t>得</w:t>
            </w:r>
            <w:r>
              <w:rPr>
                <w:rFonts w:hint="eastAsia" w:ascii="仿宋" w:hAnsi="仿宋" w:eastAsia="仿宋"/>
                <w:color w:val="000000" w:themeColor="text1"/>
                <w:sz w:val="24"/>
              </w:rPr>
              <w:t>4</w:t>
            </w:r>
            <w:r>
              <w:rPr>
                <w:rFonts w:ascii="仿宋" w:hAnsi="仿宋" w:eastAsia="仿宋"/>
                <w:color w:val="000000" w:themeColor="text1"/>
                <w:sz w:val="24"/>
              </w:rPr>
              <w:t>.1-</w:t>
            </w:r>
            <w:r>
              <w:rPr>
                <w:rFonts w:hint="eastAsia" w:ascii="仿宋" w:hAnsi="仿宋" w:eastAsia="仿宋"/>
                <w:color w:val="000000" w:themeColor="text1"/>
                <w:sz w:val="24"/>
              </w:rPr>
              <w:t>6</w:t>
            </w:r>
            <w:r>
              <w:rPr>
                <w:rFonts w:ascii="仿宋" w:hAnsi="仿宋" w:eastAsia="仿宋"/>
                <w:color w:val="000000" w:themeColor="text1"/>
                <w:sz w:val="24"/>
              </w:rPr>
              <w:t>分</w:t>
            </w:r>
            <w:r>
              <w:rPr>
                <w:rFonts w:hint="eastAsia" w:ascii="仿宋" w:hAnsi="仿宋" w:eastAsia="仿宋"/>
                <w:color w:val="000000" w:themeColor="text1"/>
                <w:sz w:val="24"/>
              </w:rPr>
              <w:t>。</w:t>
            </w:r>
          </w:p>
        </w:tc>
        <w:tc>
          <w:tcPr>
            <w:tcW w:w="752" w:type="dxa"/>
            <w:vAlign w:val="center"/>
          </w:tcPr>
          <w:p>
            <w:pPr>
              <w:autoSpaceDE w:val="0"/>
              <w:autoSpaceDN w:val="0"/>
              <w:spacing w:after="156"/>
              <w:jc w:val="center"/>
              <w:rPr>
                <w:rFonts w:ascii="仿宋" w:hAnsi="仿宋" w:eastAsia="仿宋" w:cs="仿宋_GB2312"/>
                <w:kern w:val="0"/>
                <w:sz w:val="24"/>
                <w:lang w:val="zh-CN"/>
              </w:rPr>
            </w:pPr>
            <w:r>
              <w:rPr>
                <w:rFonts w:hint="eastAsia" w:ascii="仿宋" w:hAnsi="仿宋" w:eastAsia="仿宋"/>
                <w:color w:val="000000" w:themeColor="text1"/>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08" w:type="dxa"/>
            <w:vAlign w:val="center"/>
          </w:tcPr>
          <w:p>
            <w:pPr>
              <w:widowControl/>
              <w:ind w:left="312"/>
              <w:rPr>
                <w:rFonts w:hint="eastAsia" w:ascii="仿宋" w:hAnsi="仿宋" w:eastAsia="仿宋"/>
                <w:color w:val="000000" w:themeColor="text1"/>
                <w:sz w:val="24"/>
              </w:rPr>
            </w:pPr>
            <w:r>
              <w:rPr>
                <w:rFonts w:hint="eastAsia" w:ascii="仿宋" w:hAnsi="仿宋" w:eastAsia="仿宋"/>
                <w:color w:val="000000" w:themeColor="text1"/>
                <w:sz w:val="24"/>
              </w:rPr>
              <w:t>6</w:t>
            </w:r>
          </w:p>
        </w:tc>
        <w:tc>
          <w:tcPr>
            <w:tcW w:w="1201" w:type="dxa"/>
            <w:tcMar>
              <w:top w:w="15" w:type="dxa"/>
              <w:left w:w="15" w:type="dxa"/>
              <w:bottom w:w="0" w:type="dxa"/>
              <w:right w:w="15" w:type="dxa"/>
            </w:tcMar>
            <w:vAlign w:val="center"/>
          </w:tcPr>
          <w:p>
            <w:pPr>
              <w:autoSpaceDE w:val="0"/>
              <w:autoSpaceDN w:val="0"/>
              <w:spacing w:after="120"/>
              <w:jc w:val="center"/>
              <w:rPr>
                <w:rFonts w:ascii="仿宋" w:hAnsi="仿宋" w:eastAsia="仿宋"/>
                <w:color w:val="000000"/>
                <w:sz w:val="24"/>
              </w:rPr>
            </w:pPr>
            <w:r>
              <w:rPr>
                <w:rFonts w:hint="eastAsia" w:ascii="仿宋" w:hAnsi="仿宋" w:eastAsia="仿宋"/>
                <w:color w:val="000000"/>
                <w:sz w:val="24"/>
              </w:rPr>
              <w:t>标书制作</w:t>
            </w:r>
          </w:p>
        </w:tc>
        <w:tc>
          <w:tcPr>
            <w:tcW w:w="6132" w:type="dxa"/>
            <w:vAlign w:val="center"/>
          </w:tcPr>
          <w:p>
            <w:pPr>
              <w:spacing w:after="120" w:line="360" w:lineRule="auto"/>
              <w:jc w:val="left"/>
              <w:rPr>
                <w:rFonts w:ascii="仿宋" w:hAnsi="仿宋" w:eastAsia="仿宋"/>
                <w:color w:val="000000"/>
                <w:sz w:val="24"/>
              </w:rPr>
            </w:pPr>
            <w:r>
              <w:rPr>
                <w:rFonts w:hint="eastAsia" w:ascii="仿宋" w:hAnsi="仿宋" w:eastAsia="仿宋"/>
                <w:color w:val="000000"/>
                <w:sz w:val="24"/>
              </w:rPr>
              <w:t>根据投标文件制作规范，条理清晰，易查，不以大量无关图文资料充数等情况，评标人根据综合考评，横向对比，一般</w:t>
            </w:r>
            <w:r>
              <w:rPr>
                <w:rFonts w:ascii="仿宋" w:hAnsi="仿宋" w:eastAsia="仿宋"/>
                <w:color w:val="000000"/>
                <w:sz w:val="24"/>
                <w:lang w:val="en"/>
              </w:rPr>
              <w:t>的</w:t>
            </w:r>
            <w:r>
              <w:rPr>
                <w:rFonts w:hint="eastAsia" w:ascii="仿宋" w:hAnsi="仿宋" w:eastAsia="仿宋"/>
                <w:color w:val="000000"/>
                <w:sz w:val="24"/>
              </w:rPr>
              <w:t>得</w:t>
            </w:r>
            <w:r>
              <w:rPr>
                <w:rFonts w:ascii="仿宋" w:hAnsi="仿宋" w:eastAsia="仿宋"/>
                <w:color w:val="000000"/>
                <w:sz w:val="24"/>
              </w:rPr>
              <w:t>0-</w:t>
            </w:r>
            <w:r>
              <w:rPr>
                <w:rFonts w:hint="eastAsia" w:ascii="仿宋" w:hAnsi="仿宋" w:eastAsia="仿宋"/>
                <w:color w:val="000000"/>
                <w:sz w:val="24"/>
              </w:rPr>
              <w:t>1</w:t>
            </w:r>
            <w:r>
              <w:rPr>
                <w:rFonts w:ascii="仿宋" w:hAnsi="仿宋" w:eastAsia="仿宋"/>
                <w:color w:val="000000"/>
                <w:sz w:val="24"/>
              </w:rPr>
              <w:t>分</w:t>
            </w:r>
            <w:r>
              <w:rPr>
                <w:rFonts w:ascii="仿宋" w:hAnsi="仿宋" w:eastAsia="仿宋"/>
                <w:color w:val="000000"/>
                <w:sz w:val="24"/>
                <w:lang w:val="en"/>
              </w:rPr>
              <w:t>、</w:t>
            </w:r>
            <w:r>
              <w:rPr>
                <w:rFonts w:ascii="仿宋" w:hAnsi="仿宋" w:eastAsia="仿宋"/>
                <w:color w:val="000000"/>
                <w:sz w:val="24"/>
              </w:rPr>
              <w:t>良好</w:t>
            </w:r>
            <w:r>
              <w:rPr>
                <w:rFonts w:ascii="仿宋" w:hAnsi="仿宋" w:eastAsia="仿宋"/>
                <w:color w:val="000000"/>
                <w:sz w:val="24"/>
                <w:lang w:val="en"/>
              </w:rPr>
              <w:t>的</w:t>
            </w:r>
            <w:r>
              <w:rPr>
                <w:rFonts w:ascii="仿宋" w:hAnsi="仿宋" w:eastAsia="仿宋"/>
                <w:color w:val="000000"/>
                <w:sz w:val="24"/>
              </w:rPr>
              <w:t>得</w:t>
            </w:r>
            <w:r>
              <w:rPr>
                <w:rFonts w:hint="eastAsia" w:ascii="仿宋" w:hAnsi="仿宋" w:eastAsia="仿宋"/>
                <w:color w:val="000000"/>
                <w:sz w:val="24"/>
              </w:rPr>
              <w:t>1</w:t>
            </w:r>
            <w:r>
              <w:rPr>
                <w:rFonts w:ascii="仿宋" w:hAnsi="仿宋" w:eastAsia="仿宋"/>
                <w:color w:val="000000"/>
                <w:sz w:val="24"/>
              </w:rPr>
              <w:t>.1-2分</w:t>
            </w:r>
            <w:r>
              <w:rPr>
                <w:rFonts w:ascii="仿宋" w:hAnsi="仿宋" w:eastAsia="仿宋"/>
                <w:color w:val="000000"/>
                <w:sz w:val="24"/>
                <w:lang w:val="en"/>
              </w:rPr>
              <w:t>、</w:t>
            </w:r>
            <w:r>
              <w:rPr>
                <w:rFonts w:ascii="仿宋" w:hAnsi="仿宋" w:eastAsia="仿宋"/>
                <w:color w:val="000000"/>
                <w:sz w:val="24"/>
              </w:rPr>
              <w:t>优秀</w:t>
            </w:r>
            <w:r>
              <w:rPr>
                <w:rFonts w:ascii="仿宋" w:hAnsi="仿宋" w:eastAsia="仿宋"/>
                <w:color w:val="000000"/>
                <w:sz w:val="24"/>
                <w:lang w:val="en"/>
              </w:rPr>
              <w:t>的</w:t>
            </w:r>
            <w:r>
              <w:rPr>
                <w:rFonts w:ascii="仿宋" w:hAnsi="仿宋" w:eastAsia="仿宋"/>
                <w:color w:val="000000"/>
                <w:sz w:val="24"/>
              </w:rPr>
              <w:t>得</w:t>
            </w:r>
            <w:r>
              <w:rPr>
                <w:rFonts w:hint="eastAsia" w:ascii="仿宋" w:hAnsi="仿宋" w:eastAsia="仿宋"/>
                <w:color w:val="000000"/>
                <w:sz w:val="24"/>
              </w:rPr>
              <w:t>2</w:t>
            </w:r>
            <w:r>
              <w:rPr>
                <w:rFonts w:ascii="仿宋" w:hAnsi="仿宋" w:eastAsia="仿宋"/>
                <w:color w:val="000000"/>
                <w:sz w:val="24"/>
              </w:rPr>
              <w:t>.1-</w:t>
            </w:r>
            <w:r>
              <w:rPr>
                <w:rFonts w:hint="eastAsia" w:ascii="仿宋" w:hAnsi="仿宋" w:eastAsia="仿宋"/>
                <w:color w:val="000000"/>
                <w:sz w:val="24"/>
              </w:rPr>
              <w:t>3</w:t>
            </w:r>
            <w:r>
              <w:rPr>
                <w:rFonts w:ascii="仿宋" w:hAnsi="仿宋" w:eastAsia="仿宋"/>
                <w:color w:val="000000"/>
                <w:sz w:val="24"/>
              </w:rPr>
              <w:t>分。</w:t>
            </w:r>
          </w:p>
        </w:tc>
        <w:tc>
          <w:tcPr>
            <w:tcW w:w="752" w:type="dxa"/>
            <w:vAlign w:val="center"/>
          </w:tcPr>
          <w:p>
            <w:pPr>
              <w:autoSpaceDE w:val="0"/>
              <w:autoSpaceDN w:val="0"/>
              <w:spacing w:after="120"/>
              <w:jc w:val="center"/>
              <w:rPr>
                <w:rFonts w:ascii="仿宋" w:hAnsi="仿宋" w:eastAsia="仿宋" w:cs="仿宋_GB2312"/>
                <w:kern w:val="0"/>
                <w:sz w:val="24"/>
                <w:lang w:val="zh-CN"/>
              </w:rPr>
            </w:pPr>
            <w:r>
              <w:rPr>
                <w:rFonts w:hint="eastAsia" w:ascii="仿宋" w:hAnsi="仿宋" w:eastAsia="仿宋" w:cs="仿宋_GB2312"/>
                <w:kern w:val="0"/>
                <w:sz w:val="24"/>
                <w:lang w:val="zh-CN"/>
              </w:rPr>
              <w:t>3分</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highlight w:val="cyan"/>
        </w:rPr>
      </w:pPr>
      <w:r>
        <w:rPr>
          <w:rFonts w:hint="eastAsia" w:ascii="仿宋" w:hAnsi="仿宋" w:eastAsia="仿宋" w:cs="仿宋"/>
          <w:b/>
          <w:bCs/>
          <w:iCs/>
          <w:sz w:val="24"/>
        </w:rPr>
        <w:t>2.2价格分（20分）</w:t>
      </w:r>
    </w:p>
    <w:p>
      <w:pPr>
        <w:spacing w:line="288" w:lineRule="auto"/>
        <w:jc w:val="left"/>
        <w:rPr>
          <w:rFonts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pPr>
        <w:spacing w:line="288" w:lineRule="auto"/>
        <w:jc w:val="left"/>
        <w:rPr>
          <w:rFonts w:ascii="仿宋" w:hAnsi="仿宋" w:eastAsia="仿宋" w:cs="仿宋"/>
          <w:sz w:val="24"/>
        </w:rPr>
      </w:pPr>
      <w:r>
        <w:rPr>
          <w:rFonts w:hint="eastAsia" w:ascii="仿宋" w:hAnsi="仿宋" w:eastAsia="仿宋" w:cs="仿宋"/>
          <w:sz w:val="24"/>
        </w:rPr>
        <w:t>2.2.2其他投标人的价格分统一按照下列公式计算：</w:t>
      </w:r>
    </w:p>
    <w:p>
      <w:pPr>
        <w:spacing w:line="288" w:lineRule="auto"/>
        <w:jc w:val="left"/>
        <w:rPr>
          <w:rFonts w:ascii="仿宋" w:hAnsi="仿宋" w:eastAsia="仿宋" w:cs="仿宋"/>
          <w:sz w:val="24"/>
        </w:rPr>
      </w:pPr>
      <w:r>
        <w:rPr>
          <w:rFonts w:hint="eastAsia" w:ascii="仿宋" w:hAnsi="仿宋" w:eastAsia="仿宋" w:cs="仿宋"/>
          <w:sz w:val="24"/>
        </w:rPr>
        <w:t>投标报价得分=(评标基准价／投标报价)×价格权值×100</w:t>
      </w:r>
    </w:p>
    <w:p>
      <w:pPr>
        <w:spacing w:line="288" w:lineRule="auto"/>
        <w:jc w:val="left"/>
        <w:rPr>
          <w:rFonts w:ascii="仿宋" w:hAnsi="仿宋" w:eastAsia="仿宋" w:cs="仿宋"/>
          <w:sz w:val="24"/>
        </w:rPr>
      </w:pPr>
      <w:r>
        <w:rPr>
          <w:rFonts w:hint="eastAsia" w:ascii="仿宋" w:hAnsi="仿宋" w:eastAsia="仿宋" w:cs="仿宋"/>
          <w:sz w:val="24"/>
        </w:rPr>
        <w:t>即：投标报价得分=(评标基准价／投标报价)×20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6"/>
        <w:spacing w:afterLines="0" w:line="288" w:lineRule="auto"/>
        <w:ind w:firstLine="0" w:firstLineChars="0"/>
        <w:rPr>
          <w:rFonts w:ascii="仿宋" w:hAnsi="仿宋" w:eastAsia="仿宋" w:cs="仿宋"/>
          <w:szCs w:val="24"/>
        </w:rPr>
      </w:pPr>
    </w:p>
    <w:p>
      <w:pPr>
        <w:pStyle w:val="66"/>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绍兴市自然资源大数据中心、浙江华诚工程管理有限公司 </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浙江华诚工程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6"/>
        <w:spacing w:afterLines="0" w:line="288" w:lineRule="auto"/>
        <w:ind w:firstLine="480"/>
        <w:rPr>
          <w:rFonts w:ascii="仿宋" w:hAnsi="仿宋" w:eastAsia="仿宋" w:cs="仿宋"/>
          <w:szCs w:val="24"/>
        </w:rPr>
      </w:pP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7"/>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hint="eastAsia" w:ascii="仿宋" w:hAnsi="仿宋" w:eastAsia="仿宋" w:cs="仿宋"/>
          <w:kern w:val="0"/>
          <w:sz w:val="24"/>
        </w:rPr>
        <w:t>10</w:t>
      </w:r>
      <w:r>
        <w:rPr>
          <w:rFonts w:hint="eastAsia" w:ascii="仿宋" w:hAnsi="仿宋" w:eastAsia="仿宋" w:cs="仿宋"/>
          <w:kern w:val="0"/>
          <w:sz w:val="24"/>
          <w:lang w:val="zh-CN"/>
        </w:rPr>
        <w:t>%的扣除，用扣除后的价格参与评审。符合上述条件的，请填写中小企业声明函。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ind w:right="420" w:firstLine="5880" w:firstLineChars="2450"/>
        <w:rPr>
          <w:rFonts w:ascii="仿宋" w:hAnsi="仿宋" w:eastAsia="仿宋" w:cs="仿宋"/>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（1）法定代表人授权书 ……………………………………………………………（页码）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（2）授权代表社保证明（复印件）…………………………………………………（页码）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rPr>
      </w:pPr>
      <w:r>
        <w:rPr>
          <w:rFonts w:hint="eastAsia" w:ascii="仿宋" w:hAnsi="仿宋" w:eastAsia="仿宋" w:cs="仿宋"/>
          <w:color w:val="000000" w:themeColor="text1"/>
          <w:sz w:val="24"/>
        </w:rPr>
        <w:t>（5）所有与符合性审查有关的资信文件（复印件）（营业执照、2020年度财务报表、纳税和社保缴纳证明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（6）具有履</w:t>
      </w:r>
      <w:r>
        <w:rPr>
          <w:rFonts w:hint="eastAsia" w:ascii="仿宋" w:hAnsi="仿宋" w:eastAsia="仿宋" w:cs="仿宋"/>
          <w:color w:val="000000" w:themeColor="text1"/>
          <w:kern w:val="0"/>
          <w:sz w:val="24"/>
        </w:rPr>
        <w:t>行合同所必需的设备和专业技术能力的承诺函……………</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9"/>
        <w:spacing w:line="288" w:lineRule="auto"/>
        <w:ind w:firstLine="0" w:firstLineChars="0"/>
        <w:rPr>
          <w:rFonts w:ascii="仿宋" w:eastAsia="仿宋" w:cs="仿宋"/>
          <w:color w:val="000000" w:themeColor="text1"/>
          <w:kern w:val="0"/>
        </w:rPr>
      </w:pPr>
      <w:r>
        <w:rPr>
          <w:rFonts w:hint="eastAsia" w:ascii="仿宋" w:eastAsia="仿宋" w:cs="仿宋"/>
          <w:color w:val="000000" w:themeColor="text1"/>
        </w:rPr>
        <w:t>（7）重大违法记录的声明</w:t>
      </w:r>
      <w:r>
        <w:rPr>
          <w:rFonts w:hint="eastAsia" w:ascii="仿宋" w:eastAsia="仿宋" w:cs="仿宋"/>
          <w:color w:val="000000" w:themeColor="text1"/>
          <w:kern w:val="0"/>
        </w:rPr>
        <w:t xml:space="preserve"> …</w:t>
      </w:r>
      <w:r>
        <w:rPr>
          <w:rFonts w:hint="eastAsia" w:ascii="仿宋" w:eastAsia="仿宋" w:cs="仿宋"/>
          <w:color w:val="000000" w:themeColor="text1"/>
        </w:rPr>
        <w:t>………………………………………………………</w:t>
      </w:r>
      <w:r>
        <w:rPr>
          <w:rFonts w:hint="eastAsia" w:ascii="仿宋" w:eastAsia="仿宋" w:cs="仿宋"/>
          <w:color w:val="000000" w:themeColor="text1"/>
          <w:kern w:val="0"/>
        </w:rPr>
        <w:t>（页码）</w:t>
      </w:r>
    </w:p>
    <w:p>
      <w:pPr>
        <w:pStyle w:val="79"/>
        <w:spacing w:line="288" w:lineRule="auto"/>
        <w:ind w:firstLine="0" w:firstLineChars="0"/>
        <w:rPr>
          <w:rFonts w:ascii="仿宋" w:eastAsia="仿宋" w:cs="仿宋"/>
          <w:color w:val="000000" w:themeColor="text1"/>
        </w:rPr>
      </w:pPr>
      <w:r>
        <w:rPr>
          <w:rFonts w:hint="eastAsia" w:ascii="仿宋" w:eastAsia="仿宋" w:cs="仿宋"/>
          <w:color w:val="000000" w:themeColor="text1"/>
        </w:rPr>
        <w:t>（8）符合特定资格条件（如果项目要求）的有关证明材料（复印件）…………（页码）</w:t>
      </w:r>
    </w:p>
    <w:p>
      <w:pPr>
        <w:pStyle w:val="79"/>
        <w:spacing w:line="288" w:lineRule="auto"/>
        <w:ind w:firstLine="240" w:firstLineChars="100"/>
        <w:rPr>
          <w:rFonts w:ascii="仿宋" w:eastAsia="仿宋" w:cs="仿宋"/>
          <w:color w:val="000000" w:themeColor="text1"/>
        </w:rPr>
      </w:pPr>
      <w:r>
        <w:rPr>
          <w:rFonts w:hint="eastAsia" w:ascii="仿宋" w:eastAsia="仿宋" w:cs="仿宋"/>
          <w:color w:val="000000" w:themeColor="text1"/>
        </w:rPr>
        <w:t>①中小企业声明函…………………………………………………………………（页码）</w:t>
      </w:r>
    </w:p>
    <w:p>
      <w:pPr>
        <w:pStyle w:val="79"/>
        <w:spacing w:line="288" w:lineRule="auto"/>
        <w:ind w:firstLine="240" w:firstLineChars="100"/>
        <w:rPr>
          <w:rFonts w:ascii="仿宋" w:eastAsia="仿宋" w:cs="仿宋"/>
          <w:color w:val="000000" w:themeColor="text1"/>
        </w:rPr>
      </w:pPr>
      <w:r>
        <w:rPr>
          <w:rFonts w:hint="eastAsia" w:ascii="仿宋" w:eastAsia="仿宋" w:cs="仿宋"/>
          <w:color w:val="000000" w:themeColor="text1"/>
        </w:rPr>
        <w:t>②残疾人福利性单位声明函………………………………………………………（页码）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（9）</w:t>
      </w:r>
      <w:r>
        <w:rPr>
          <w:rFonts w:hint="eastAsia" w:ascii="仿宋" w:eastAsia="仿宋" w:cs="仿宋"/>
          <w:snapToGrid w:val="0"/>
          <w:color w:val="000000" w:themeColor="text1"/>
        </w:rPr>
        <w:t>非本地投标人售后服务机构证明材料</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（10）</w:t>
      </w:r>
      <w:r>
        <w:rPr>
          <w:rFonts w:hint="eastAsia" w:ascii="仿宋" w:eastAsia="仿宋" w:cs="仿宋"/>
          <w:color w:val="000000" w:themeColor="text1"/>
          <w:lang w:val="zh-CN"/>
        </w:rPr>
        <w:t>主要业绩证明…………………………………………………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（11）廉政承诺书 ……………………………………………………………………（页码）</w:t>
      </w:r>
    </w:p>
    <w:p>
      <w:pPr>
        <w:spacing w:line="288" w:lineRule="auto"/>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（12）技术解决方案…………………………………………………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kern w:val="0"/>
        </w:rPr>
        <w:t>（13）技术偏离说明表……………………</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（14）组织实施方案…………………………………………………………………（页码）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（15）售后服务方案…………………………………………………………………（页码）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（16）项目小组人员名单……………………………………………………………（页码）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（17）</w:t>
      </w:r>
      <w:r>
        <w:rPr>
          <w:rFonts w:hint="eastAsia" w:ascii="仿宋" w:eastAsia="仿宋" w:cs="仿宋"/>
          <w:color w:val="000000" w:themeColor="text1"/>
          <w:lang w:val="zh-CN"/>
        </w:rPr>
        <w:t>优惠条件及特殊承诺……………………………</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（18）</w:t>
      </w:r>
      <w:r>
        <w:rPr>
          <w:rFonts w:hint="eastAsia" w:ascii="仿宋" w:eastAsia="仿宋" w:cs="仿宋"/>
          <w:color w:val="000000" w:themeColor="text1"/>
          <w:lang w:val="zh-CN"/>
        </w:rPr>
        <w:t>备品备件及供选择的配套零部件清单………………………</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（19）</w:t>
      </w:r>
      <w:r>
        <w:rPr>
          <w:rFonts w:hint="eastAsia" w:ascii="仿宋" w:eastAsia="仿宋" w:cs="仿宋"/>
          <w:color w:val="000000" w:themeColor="text1"/>
          <w:lang w:val="zh-CN"/>
        </w:rPr>
        <w:t>培训计划……………………………………………</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（20）</w:t>
      </w:r>
      <w:r>
        <w:rPr>
          <w:rFonts w:hint="eastAsia" w:ascii="仿宋" w:eastAsia="仿宋" w:cs="仿宋"/>
          <w:color w:val="000000" w:themeColor="text1"/>
          <w:lang w:val="zh-CN"/>
        </w:rPr>
        <w:t>验收方案………………………………………………</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（21）</w:t>
      </w:r>
      <w:r>
        <w:rPr>
          <w:rFonts w:hint="eastAsia" w:ascii="仿宋" w:eastAsia="仿宋" w:cs="仿宋"/>
          <w:color w:val="000000" w:themeColor="text1"/>
          <w:lang w:val="zh-CN"/>
        </w:rPr>
        <w:t>认为需要的其他商务技术（资信）文件或说明………………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snapToGrid w:val="0"/>
        <w:spacing w:line="288" w:lineRule="auto"/>
        <w:rPr>
          <w:rFonts w:ascii="仿宋" w:hAnsi="仿宋" w:eastAsia="仿宋" w:cs="仿宋"/>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绍兴市自然资源大数据中心、浙江华诚工程管理有限公司</w:t>
      </w:r>
      <w:r>
        <w:rPr>
          <w:rFonts w:hint="eastAsia" w:ascii="仿宋" w:hAnsi="仿宋" w:eastAsia="仿宋" w:cs="仿宋"/>
          <w:sz w:val="24"/>
        </w:rPr>
        <w:t>组织的</w:t>
      </w:r>
      <w:r>
        <w:rPr>
          <w:rFonts w:hint="eastAsia" w:ascii="仿宋" w:hAnsi="仿宋" w:eastAsia="仿宋" w:cs="仿宋"/>
          <w:sz w:val="24"/>
          <w:u w:val="single"/>
        </w:rPr>
        <w:t>绍兴市自然资源和规划局网络安全重保技术服务</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绍兴市自然资源大数据中心、浙江华诚工程管理有限公司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color w:val="0000FF"/>
          <w:sz w:val="24"/>
        </w:rPr>
        <w:t>绍兴市自然资源和规划局网络安全重保技术服务（招标编号:      ）</w:t>
      </w:r>
      <w:r>
        <w:rPr>
          <w:rFonts w:hint="eastAsia" w:ascii="仿宋" w:hAnsi="仿宋" w:eastAsia="仿宋" w:cs="仿宋"/>
          <w:sz w:val="24"/>
        </w:rPr>
        <w:t>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绍兴市自然资源大数据中心、浙江华诚工程管理有限公司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（由投标人根据招标公告合格的投标人应具备的特定资格要求编制）</w:t>
      </w:r>
    </w:p>
    <w:p>
      <w:pPr>
        <w:widowControl/>
        <w:spacing w:line="360" w:lineRule="auto"/>
        <w:jc w:val="left"/>
        <w:rPr>
          <w:rFonts w:ascii="仿宋" w:hAnsi="仿宋" w:eastAsia="仿宋" w:cs="仿宋"/>
          <w:b/>
          <w:sz w:val="32"/>
          <w:szCs w:val="32"/>
        </w:rPr>
      </w:pPr>
      <w:r>
        <w:rPr>
          <w:rFonts w:hint="eastAsia" w:ascii="仿宋" w:hAnsi="仿宋" w:eastAsia="仿宋" w:cs="仿宋"/>
          <w:b/>
          <w:sz w:val="32"/>
          <w:szCs w:val="32"/>
        </w:rPr>
        <w:t>①中小企业声明函（二选一）</w:t>
      </w: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的</w:t>
      </w:r>
      <w:r>
        <w:rPr>
          <w:rFonts w:hint="eastAsia" w:ascii="仿宋" w:hAnsi="仿宋" w:eastAsia="仿宋" w:cs="仿宋"/>
          <w:sz w:val="24"/>
          <w:u w:val="single"/>
          <w:lang w:val="en-US" w:eastAsia="zh-CN"/>
        </w:rPr>
        <w:t xml:space="preserve">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r>
        <w:rPr>
          <w:rFonts w:hint="eastAsia" w:ascii="仿宋" w:hAnsi="仿宋" w:eastAsia="仿宋" w:cs="仿宋"/>
          <w:sz w:val="24"/>
        </w:rPr>
        <w:t>注：</w:t>
      </w:r>
    </w:p>
    <w:p>
      <w:pPr>
        <w:rPr>
          <w:rFonts w:ascii="仿宋" w:hAnsi="仿宋" w:eastAsia="仿宋" w:cs="仿宋"/>
          <w:b/>
          <w:sz w:val="24"/>
        </w:rPr>
      </w:pPr>
      <w:r>
        <w:rPr>
          <w:rFonts w:hint="eastAsia" w:ascii="仿宋" w:hAnsi="仿宋" w:eastAsia="仿宋" w:cs="仿宋"/>
          <w:b/>
          <w:sz w:val="24"/>
        </w:rPr>
        <w:t>1、从业人员、营业收入、资产总额填报上一年度数据，无上一年度数据的新成立企业可不填报。</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 w:hAnsi="仿宋" w:eastAsia="仿宋" w:cs="仿宋"/>
          <w:sz w:val="24"/>
        </w:rPr>
      </w:pPr>
    </w:p>
    <w:p>
      <w:pPr>
        <w:rPr>
          <w:rFonts w:ascii="仿宋" w:hAnsi="仿宋" w:eastAsia="仿宋" w:cs="仿宋"/>
          <w:sz w:val="24"/>
        </w:rPr>
      </w:pPr>
    </w:p>
    <w:p>
      <w:pPr>
        <w:rPr>
          <w:rFonts w:ascii="仿宋" w:hAnsi="仿宋" w:eastAsia="仿宋" w:cs="仿宋"/>
          <w:b/>
          <w:spacing w:val="6"/>
          <w:sz w:val="32"/>
          <w:szCs w:val="32"/>
        </w:rPr>
      </w:pPr>
      <w:r>
        <w:rPr>
          <w:rFonts w:hint="eastAsia" w:ascii="仿宋" w:hAnsi="仿宋" w:eastAsia="仿宋" w:cs="仿宋"/>
          <w:b/>
          <w:spacing w:val="6"/>
          <w:sz w:val="32"/>
          <w:szCs w:val="32"/>
        </w:rPr>
        <w:t>②残疾人福利性单位声明函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的</w:t>
      </w:r>
      <w:r>
        <w:rPr>
          <w:rFonts w:hint="eastAsia" w:ascii="仿宋" w:hAnsi="仿宋" w:eastAsia="仿宋" w:cs="仿宋"/>
          <w:sz w:val="24"/>
          <w:u w:val="single"/>
          <w:lang w:val="en-US" w:eastAsia="zh-CN"/>
        </w:rPr>
        <w:t xml:space="preserve">                       </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jc w:val="right"/>
        <w:rPr>
          <w:rFonts w:ascii="仿宋" w:hAnsi="仿宋" w:eastAsia="仿宋" w:cs="仿宋"/>
          <w:sz w:val="24"/>
        </w:rPr>
      </w:pP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7"/>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0"/>
        <w:ind w:firstLine="0"/>
        <w:jc w:val="both"/>
        <w:outlineLvl w:val="9"/>
        <w:rPr>
          <w:rFonts w:ascii="仿宋" w:eastAsia="仿宋" w:cs="仿宋"/>
        </w:rPr>
      </w:pPr>
    </w:p>
    <w:p>
      <w:pPr>
        <w:pStyle w:val="80"/>
        <w:ind w:firstLine="0"/>
        <w:jc w:val="both"/>
        <w:outlineLvl w:val="9"/>
        <w:rPr>
          <w:rFonts w:ascii="仿宋" w:eastAsia="仿宋" w:cs="仿宋"/>
        </w:rPr>
      </w:pPr>
    </w:p>
    <w:p>
      <w:pPr>
        <w:pStyle w:val="80"/>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u w:val="single"/>
          <w:lang w:val="zh-CN"/>
        </w:rPr>
        <w:t>绍兴市自然资源大数据中心</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7"/>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
      <w:pPr>
        <w:spacing w:line="288" w:lineRule="auto"/>
        <w:jc w:val="right"/>
        <w:rPr>
          <w:rFonts w:ascii="仿宋" w:hAnsi="仿宋" w:eastAsia="仿宋" w:cs="仿宋"/>
          <w:kern w:val="0"/>
          <w:sz w:val="24"/>
          <w:lang w:val="zh-CN"/>
        </w:rPr>
      </w:pPr>
    </w:p>
    <w:p/>
    <w:p>
      <w:pPr>
        <w:spacing w:line="288" w:lineRule="auto"/>
        <w:jc w:val="right"/>
        <w:rPr>
          <w:rFonts w:ascii="仿宋" w:hAnsi="仿宋" w:eastAsia="仿宋" w:cs="仿宋"/>
          <w:kern w:val="0"/>
          <w:sz w:val="24"/>
          <w:lang w:val="zh-CN"/>
        </w:rPr>
      </w:pP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52</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2"/>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2AD14BAF"/>
    <w:multiLevelType w:val="multilevel"/>
    <w:tmpl w:val="2AD14BAF"/>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3">
    <w:nsid w:val="2C91604B"/>
    <w:multiLevelType w:val="multilevel"/>
    <w:tmpl w:val="2C91604B"/>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4">
    <w:nsid w:val="42A91829"/>
    <w:multiLevelType w:val="multilevel"/>
    <w:tmpl w:val="42A91829"/>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5">
    <w:nsid w:val="4E61234E"/>
    <w:multiLevelType w:val="multilevel"/>
    <w:tmpl w:val="4E61234E"/>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6">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7">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8">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9">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0">
    <w:nsid w:val="60F13ADA"/>
    <w:multiLevelType w:val="multilevel"/>
    <w:tmpl w:val="60F13ADA"/>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abstractNum w:abstractNumId="11">
    <w:nsid w:val="7E142A84"/>
    <w:multiLevelType w:val="multilevel"/>
    <w:tmpl w:val="7E142A84"/>
    <w:lvl w:ilvl="0" w:tentative="0">
      <w:start w:val="1"/>
      <w:numFmt w:val="decimal"/>
      <w:lvlText w:val="%1"/>
      <w:lvlJc w:val="center"/>
      <w:pPr>
        <w:ind w:left="732" w:hanging="420"/>
      </w:pPr>
      <w:rPr>
        <w:rFonts w:hint="eastAsia"/>
      </w:rPr>
    </w:lvl>
    <w:lvl w:ilvl="1" w:tentative="0">
      <w:start w:val="1"/>
      <w:numFmt w:val="lowerLetter"/>
      <w:lvlText w:val="%2)"/>
      <w:lvlJc w:val="left"/>
      <w:pPr>
        <w:ind w:left="1152" w:hanging="420"/>
      </w:pPr>
    </w:lvl>
    <w:lvl w:ilvl="2" w:tentative="0">
      <w:start w:val="1"/>
      <w:numFmt w:val="lowerRoman"/>
      <w:lvlText w:val="%3."/>
      <w:lvlJc w:val="right"/>
      <w:pPr>
        <w:ind w:left="1572" w:hanging="420"/>
      </w:pPr>
    </w:lvl>
    <w:lvl w:ilvl="3" w:tentative="0">
      <w:start w:val="1"/>
      <w:numFmt w:val="decimal"/>
      <w:lvlText w:val="%4."/>
      <w:lvlJc w:val="left"/>
      <w:pPr>
        <w:ind w:left="1992" w:hanging="420"/>
      </w:pPr>
    </w:lvl>
    <w:lvl w:ilvl="4" w:tentative="0">
      <w:start w:val="1"/>
      <w:numFmt w:val="lowerLetter"/>
      <w:lvlText w:val="%5)"/>
      <w:lvlJc w:val="left"/>
      <w:pPr>
        <w:ind w:left="2412" w:hanging="420"/>
      </w:pPr>
    </w:lvl>
    <w:lvl w:ilvl="5" w:tentative="0">
      <w:start w:val="1"/>
      <w:numFmt w:val="lowerRoman"/>
      <w:lvlText w:val="%6."/>
      <w:lvlJc w:val="right"/>
      <w:pPr>
        <w:ind w:left="2832" w:hanging="420"/>
      </w:pPr>
    </w:lvl>
    <w:lvl w:ilvl="6" w:tentative="0">
      <w:start w:val="1"/>
      <w:numFmt w:val="decimal"/>
      <w:lvlText w:val="%7."/>
      <w:lvlJc w:val="left"/>
      <w:pPr>
        <w:ind w:left="3252" w:hanging="420"/>
      </w:pPr>
    </w:lvl>
    <w:lvl w:ilvl="7" w:tentative="0">
      <w:start w:val="1"/>
      <w:numFmt w:val="lowerLetter"/>
      <w:lvlText w:val="%8)"/>
      <w:lvlJc w:val="left"/>
      <w:pPr>
        <w:ind w:left="3672" w:hanging="420"/>
      </w:pPr>
    </w:lvl>
    <w:lvl w:ilvl="8" w:tentative="0">
      <w:start w:val="1"/>
      <w:numFmt w:val="lowerRoman"/>
      <w:lvlText w:val="%9."/>
      <w:lvlJc w:val="right"/>
      <w:pPr>
        <w:ind w:left="4092" w:hanging="420"/>
      </w:pPr>
    </w:lvl>
  </w:abstractNum>
  <w:num w:numId="1">
    <w:abstractNumId w:val="9"/>
  </w:num>
  <w:num w:numId="2">
    <w:abstractNumId w:val="6"/>
  </w:num>
  <w:num w:numId="3">
    <w:abstractNumId w:val="7"/>
  </w:num>
  <w:num w:numId="4">
    <w:abstractNumId w:val="8"/>
  </w:num>
  <w:num w:numId="5">
    <w:abstractNumId w:val="0"/>
  </w:num>
  <w:num w:numId="6">
    <w:abstractNumId w:val="5"/>
  </w:num>
  <w:num w:numId="7">
    <w:abstractNumId w:val="10"/>
  </w:num>
  <w:num w:numId="8">
    <w:abstractNumId w:val="2"/>
  </w:num>
  <w:num w:numId="9">
    <w:abstractNumId w:val="11"/>
  </w:num>
  <w:num w:numId="10">
    <w:abstractNumId w:val="4"/>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AyNDk2ODE4YzI5MzRlZTJjOGM3MDlkZDg5NWFmM2EifQ=="/>
  </w:docVars>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D22C2"/>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21BF"/>
    <w:rsid w:val="00825E11"/>
    <w:rsid w:val="0084468D"/>
    <w:rsid w:val="00851A0E"/>
    <w:rsid w:val="00851D0E"/>
    <w:rsid w:val="00851E94"/>
    <w:rsid w:val="008702F4"/>
    <w:rsid w:val="00872AA9"/>
    <w:rsid w:val="00884208"/>
    <w:rsid w:val="0089216A"/>
    <w:rsid w:val="008943BB"/>
    <w:rsid w:val="008A197E"/>
    <w:rsid w:val="008A7E46"/>
    <w:rsid w:val="008B2F83"/>
    <w:rsid w:val="008C7D36"/>
    <w:rsid w:val="008D1D22"/>
    <w:rsid w:val="008D38D9"/>
    <w:rsid w:val="008D6072"/>
    <w:rsid w:val="008D6DC8"/>
    <w:rsid w:val="008D7DDA"/>
    <w:rsid w:val="00921C1A"/>
    <w:rsid w:val="00923FCF"/>
    <w:rsid w:val="009333E3"/>
    <w:rsid w:val="00933431"/>
    <w:rsid w:val="00937337"/>
    <w:rsid w:val="00945D15"/>
    <w:rsid w:val="00950791"/>
    <w:rsid w:val="00955273"/>
    <w:rsid w:val="00957F9C"/>
    <w:rsid w:val="00962E86"/>
    <w:rsid w:val="009660EE"/>
    <w:rsid w:val="009A4CEF"/>
    <w:rsid w:val="009C76A2"/>
    <w:rsid w:val="009D2FED"/>
    <w:rsid w:val="009D3274"/>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0BAB"/>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66646"/>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96E7C"/>
    <w:rsid w:val="00EA43CE"/>
    <w:rsid w:val="00EA6ED5"/>
    <w:rsid w:val="00EB2D90"/>
    <w:rsid w:val="00EC30D7"/>
    <w:rsid w:val="00ED3842"/>
    <w:rsid w:val="00ED38B5"/>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2300C"/>
    <w:rsid w:val="02FF6323"/>
    <w:rsid w:val="03166C95"/>
    <w:rsid w:val="033742BA"/>
    <w:rsid w:val="0352039E"/>
    <w:rsid w:val="0432047D"/>
    <w:rsid w:val="044736CF"/>
    <w:rsid w:val="04AB653B"/>
    <w:rsid w:val="04B306B5"/>
    <w:rsid w:val="04BB2CB1"/>
    <w:rsid w:val="04CE269C"/>
    <w:rsid w:val="052202A5"/>
    <w:rsid w:val="052D2EBC"/>
    <w:rsid w:val="05612999"/>
    <w:rsid w:val="05B40EB1"/>
    <w:rsid w:val="05B75E5D"/>
    <w:rsid w:val="06E4135A"/>
    <w:rsid w:val="07DA186C"/>
    <w:rsid w:val="084E3C8A"/>
    <w:rsid w:val="08C922E5"/>
    <w:rsid w:val="08DC6D2E"/>
    <w:rsid w:val="08E27460"/>
    <w:rsid w:val="08FA3C1C"/>
    <w:rsid w:val="097A3B63"/>
    <w:rsid w:val="0A0A25D7"/>
    <w:rsid w:val="0A7339C0"/>
    <w:rsid w:val="0A9C039E"/>
    <w:rsid w:val="0ADE6281"/>
    <w:rsid w:val="0B3869A1"/>
    <w:rsid w:val="0B637A3A"/>
    <w:rsid w:val="0B9713AA"/>
    <w:rsid w:val="0BF4331C"/>
    <w:rsid w:val="0D2D522C"/>
    <w:rsid w:val="0D917941"/>
    <w:rsid w:val="0DD1638B"/>
    <w:rsid w:val="0E45263B"/>
    <w:rsid w:val="0EA54C7F"/>
    <w:rsid w:val="0ED21131"/>
    <w:rsid w:val="0EE1261E"/>
    <w:rsid w:val="0F6303AF"/>
    <w:rsid w:val="104D6387"/>
    <w:rsid w:val="10C92ED0"/>
    <w:rsid w:val="10DB1AEE"/>
    <w:rsid w:val="10F654D7"/>
    <w:rsid w:val="114664CC"/>
    <w:rsid w:val="11564EC4"/>
    <w:rsid w:val="11B07BD6"/>
    <w:rsid w:val="11CB3B70"/>
    <w:rsid w:val="11D91565"/>
    <w:rsid w:val="125750F6"/>
    <w:rsid w:val="127542AA"/>
    <w:rsid w:val="12DB5B2A"/>
    <w:rsid w:val="12F15FC0"/>
    <w:rsid w:val="13AD3C35"/>
    <w:rsid w:val="144A5C4D"/>
    <w:rsid w:val="14685E9F"/>
    <w:rsid w:val="148167F9"/>
    <w:rsid w:val="149C53ED"/>
    <w:rsid w:val="14A17E3B"/>
    <w:rsid w:val="151F45C4"/>
    <w:rsid w:val="1553718A"/>
    <w:rsid w:val="1557079B"/>
    <w:rsid w:val="15661BF2"/>
    <w:rsid w:val="16955330"/>
    <w:rsid w:val="169F1555"/>
    <w:rsid w:val="16C339B4"/>
    <w:rsid w:val="17E0367B"/>
    <w:rsid w:val="181C3543"/>
    <w:rsid w:val="183550AA"/>
    <w:rsid w:val="1887170A"/>
    <w:rsid w:val="18BE625E"/>
    <w:rsid w:val="18F64FE1"/>
    <w:rsid w:val="19051399"/>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C5C758E"/>
    <w:rsid w:val="1CE14BA4"/>
    <w:rsid w:val="1D155786"/>
    <w:rsid w:val="1DC00357"/>
    <w:rsid w:val="1DDC590A"/>
    <w:rsid w:val="1DE200F1"/>
    <w:rsid w:val="1E335181"/>
    <w:rsid w:val="1E542B3C"/>
    <w:rsid w:val="1E6472D8"/>
    <w:rsid w:val="1EE4458C"/>
    <w:rsid w:val="1EE90359"/>
    <w:rsid w:val="1F3A2255"/>
    <w:rsid w:val="1F7362DF"/>
    <w:rsid w:val="1FB74E43"/>
    <w:rsid w:val="1FC70F79"/>
    <w:rsid w:val="1FD44083"/>
    <w:rsid w:val="1FDB4036"/>
    <w:rsid w:val="209A7B6A"/>
    <w:rsid w:val="20B53FC7"/>
    <w:rsid w:val="20BE6021"/>
    <w:rsid w:val="211076E8"/>
    <w:rsid w:val="214A627F"/>
    <w:rsid w:val="216D4A99"/>
    <w:rsid w:val="2173797E"/>
    <w:rsid w:val="218642C5"/>
    <w:rsid w:val="218B4CE9"/>
    <w:rsid w:val="21D37273"/>
    <w:rsid w:val="21E26C36"/>
    <w:rsid w:val="220D6D28"/>
    <w:rsid w:val="22853658"/>
    <w:rsid w:val="22C65437"/>
    <w:rsid w:val="2304797C"/>
    <w:rsid w:val="231942C4"/>
    <w:rsid w:val="23462D35"/>
    <w:rsid w:val="236E7B2A"/>
    <w:rsid w:val="238A7522"/>
    <w:rsid w:val="23A53648"/>
    <w:rsid w:val="23BA6B13"/>
    <w:rsid w:val="23BE0F28"/>
    <w:rsid w:val="23C54188"/>
    <w:rsid w:val="23CB6CF7"/>
    <w:rsid w:val="23E17F6F"/>
    <w:rsid w:val="240053EC"/>
    <w:rsid w:val="24097FEF"/>
    <w:rsid w:val="242F6C37"/>
    <w:rsid w:val="249D31FD"/>
    <w:rsid w:val="24C720CA"/>
    <w:rsid w:val="24CA6AC2"/>
    <w:rsid w:val="24D972C4"/>
    <w:rsid w:val="24DD6A8B"/>
    <w:rsid w:val="24E92B02"/>
    <w:rsid w:val="252565D6"/>
    <w:rsid w:val="25272087"/>
    <w:rsid w:val="253216FD"/>
    <w:rsid w:val="256D4AB4"/>
    <w:rsid w:val="25A13331"/>
    <w:rsid w:val="25A57D1C"/>
    <w:rsid w:val="25A9402E"/>
    <w:rsid w:val="26294A1D"/>
    <w:rsid w:val="26CC410D"/>
    <w:rsid w:val="27903546"/>
    <w:rsid w:val="284D434A"/>
    <w:rsid w:val="28B902AC"/>
    <w:rsid w:val="291E1DAE"/>
    <w:rsid w:val="291E6387"/>
    <w:rsid w:val="292C3247"/>
    <w:rsid w:val="298F4DC5"/>
    <w:rsid w:val="29DA29ED"/>
    <w:rsid w:val="2A523300"/>
    <w:rsid w:val="2AE2680C"/>
    <w:rsid w:val="2AFA300F"/>
    <w:rsid w:val="2B02463D"/>
    <w:rsid w:val="2BB712A2"/>
    <w:rsid w:val="2BD668A3"/>
    <w:rsid w:val="2BF305D1"/>
    <w:rsid w:val="2C446861"/>
    <w:rsid w:val="2CB83AD9"/>
    <w:rsid w:val="2CD53511"/>
    <w:rsid w:val="2D2A61CE"/>
    <w:rsid w:val="2D80707D"/>
    <w:rsid w:val="2DE2488D"/>
    <w:rsid w:val="2E083145"/>
    <w:rsid w:val="2ED5521A"/>
    <w:rsid w:val="2ED619F5"/>
    <w:rsid w:val="2F4A6D54"/>
    <w:rsid w:val="2F836FC7"/>
    <w:rsid w:val="2F8C4BD5"/>
    <w:rsid w:val="2F9F3A1B"/>
    <w:rsid w:val="2FE5471A"/>
    <w:rsid w:val="303B0264"/>
    <w:rsid w:val="304B5E64"/>
    <w:rsid w:val="30730BA2"/>
    <w:rsid w:val="30782F4C"/>
    <w:rsid w:val="3091213D"/>
    <w:rsid w:val="30ED1CE2"/>
    <w:rsid w:val="31487038"/>
    <w:rsid w:val="31AF70A8"/>
    <w:rsid w:val="31C6513D"/>
    <w:rsid w:val="32221E3A"/>
    <w:rsid w:val="32B05C3D"/>
    <w:rsid w:val="32B65903"/>
    <w:rsid w:val="32C97243"/>
    <w:rsid w:val="32D758ED"/>
    <w:rsid w:val="33012007"/>
    <w:rsid w:val="335461AB"/>
    <w:rsid w:val="33AD15F4"/>
    <w:rsid w:val="33F65183"/>
    <w:rsid w:val="34842703"/>
    <w:rsid w:val="348450B4"/>
    <w:rsid w:val="34A065F2"/>
    <w:rsid w:val="35653C58"/>
    <w:rsid w:val="359C1A91"/>
    <w:rsid w:val="3627707A"/>
    <w:rsid w:val="365C2844"/>
    <w:rsid w:val="36763EFF"/>
    <w:rsid w:val="37186BCB"/>
    <w:rsid w:val="37251CAF"/>
    <w:rsid w:val="373660AC"/>
    <w:rsid w:val="37604E39"/>
    <w:rsid w:val="378D5403"/>
    <w:rsid w:val="37C02DA1"/>
    <w:rsid w:val="37D43997"/>
    <w:rsid w:val="38042CE6"/>
    <w:rsid w:val="38285B2C"/>
    <w:rsid w:val="38387BC2"/>
    <w:rsid w:val="38945642"/>
    <w:rsid w:val="38A11738"/>
    <w:rsid w:val="38CF2698"/>
    <w:rsid w:val="38D4603A"/>
    <w:rsid w:val="38F76EE1"/>
    <w:rsid w:val="392E3D2B"/>
    <w:rsid w:val="39A20A62"/>
    <w:rsid w:val="3A4719E4"/>
    <w:rsid w:val="3A5F0E06"/>
    <w:rsid w:val="3A685313"/>
    <w:rsid w:val="3B813EB2"/>
    <w:rsid w:val="3B9F7E10"/>
    <w:rsid w:val="3BA40ED7"/>
    <w:rsid w:val="3BE67851"/>
    <w:rsid w:val="3C025073"/>
    <w:rsid w:val="3C0D4D62"/>
    <w:rsid w:val="3C7E2383"/>
    <w:rsid w:val="3CCC5F8E"/>
    <w:rsid w:val="3D0E3394"/>
    <w:rsid w:val="3DF509E6"/>
    <w:rsid w:val="3E253FC4"/>
    <w:rsid w:val="3E520C34"/>
    <w:rsid w:val="3E66686E"/>
    <w:rsid w:val="3E781CBE"/>
    <w:rsid w:val="3EF13B78"/>
    <w:rsid w:val="3F063B05"/>
    <w:rsid w:val="3F184BE9"/>
    <w:rsid w:val="3F96657B"/>
    <w:rsid w:val="3F9C4556"/>
    <w:rsid w:val="3FEF33F4"/>
    <w:rsid w:val="3FF45C27"/>
    <w:rsid w:val="3FF47659"/>
    <w:rsid w:val="40712EC2"/>
    <w:rsid w:val="40D9690C"/>
    <w:rsid w:val="413077F6"/>
    <w:rsid w:val="4175100A"/>
    <w:rsid w:val="41A3573D"/>
    <w:rsid w:val="41B434A1"/>
    <w:rsid w:val="41B4707C"/>
    <w:rsid w:val="41E47DCF"/>
    <w:rsid w:val="41EA52BC"/>
    <w:rsid w:val="422A0C37"/>
    <w:rsid w:val="425B70E5"/>
    <w:rsid w:val="43781298"/>
    <w:rsid w:val="437E5941"/>
    <w:rsid w:val="43DD0189"/>
    <w:rsid w:val="43E828F9"/>
    <w:rsid w:val="43F07929"/>
    <w:rsid w:val="442B0326"/>
    <w:rsid w:val="44A620DD"/>
    <w:rsid w:val="44E52F1C"/>
    <w:rsid w:val="451B5773"/>
    <w:rsid w:val="454753F6"/>
    <w:rsid w:val="45A339CF"/>
    <w:rsid w:val="45BB538B"/>
    <w:rsid w:val="45D05375"/>
    <w:rsid w:val="4616050C"/>
    <w:rsid w:val="46210DBC"/>
    <w:rsid w:val="4624734D"/>
    <w:rsid w:val="47035DE4"/>
    <w:rsid w:val="47663221"/>
    <w:rsid w:val="48BF50A6"/>
    <w:rsid w:val="48C46876"/>
    <w:rsid w:val="48CA77E3"/>
    <w:rsid w:val="48E66DBF"/>
    <w:rsid w:val="49246CEA"/>
    <w:rsid w:val="49546F21"/>
    <w:rsid w:val="4964544D"/>
    <w:rsid w:val="498A75F9"/>
    <w:rsid w:val="49E360AC"/>
    <w:rsid w:val="4A04095E"/>
    <w:rsid w:val="4A2E44F7"/>
    <w:rsid w:val="4A373AFF"/>
    <w:rsid w:val="4AD6257A"/>
    <w:rsid w:val="4B3C70F3"/>
    <w:rsid w:val="4B923C7B"/>
    <w:rsid w:val="4BB16E3C"/>
    <w:rsid w:val="4BF23C29"/>
    <w:rsid w:val="4D000BB8"/>
    <w:rsid w:val="4D2764E4"/>
    <w:rsid w:val="4D4F434C"/>
    <w:rsid w:val="4D553076"/>
    <w:rsid w:val="4DC16712"/>
    <w:rsid w:val="4E083898"/>
    <w:rsid w:val="4E26397C"/>
    <w:rsid w:val="4E363927"/>
    <w:rsid w:val="4EA90E17"/>
    <w:rsid w:val="4EF418A3"/>
    <w:rsid w:val="4F9153B3"/>
    <w:rsid w:val="4FF50BC0"/>
    <w:rsid w:val="502855A9"/>
    <w:rsid w:val="504B2A65"/>
    <w:rsid w:val="50BB6A75"/>
    <w:rsid w:val="51D1142A"/>
    <w:rsid w:val="52521883"/>
    <w:rsid w:val="52783D74"/>
    <w:rsid w:val="52C0259A"/>
    <w:rsid w:val="52FE221E"/>
    <w:rsid w:val="53A129B1"/>
    <w:rsid w:val="53ED7088"/>
    <w:rsid w:val="545E660D"/>
    <w:rsid w:val="54637050"/>
    <w:rsid w:val="555810A7"/>
    <w:rsid w:val="55902CE3"/>
    <w:rsid w:val="55A42927"/>
    <w:rsid w:val="55C124AC"/>
    <w:rsid w:val="55C422C3"/>
    <w:rsid w:val="55CD1580"/>
    <w:rsid w:val="55ED3EDE"/>
    <w:rsid w:val="56152A28"/>
    <w:rsid w:val="56311879"/>
    <w:rsid w:val="56B87238"/>
    <w:rsid w:val="571E2C5F"/>
    <w:rsid w:val="57351512"/>
    <w:rsid w:val="574F5726"/>
    <w:rsid w:val="57835AC7"/>
    <w:rsid w:val="57C523F6"/>
    <w:rsid w:val="57F303AA"/>
    <w:rsid w:val="58345312"/>
    <w:rsid w:val="5863246B"/>
    <w:rsid w:val="588A53A7"/>
    <w:rsid w:val="5915001F"/>
    <w:rsid w:val="59204E23"/>
    <w:rsid w:val="595C082B"/>
    <w:rsid w:val="596E3097"/>
    <w:rsid w:val="59773EED"/>
    <w:rsid w:val="599A244A"/>
    <w:rsid w:val="59F56D5F"/>
    <w:rsid w:val="59FE758C"/>
    <w:rsid w:val="5B14063F"/>
    <w:rsid w:val="5B293378"/>
    <w:rsid w:val="5B301B1F"/>
    <w:rsid w:val="5CEC747F"/>
    <w:rsid w:val="5D534CD8"/>
    <w:rsid w:val="5D9A2ED9"/>
    <w:rsid w:val="5DBD51C2"/>
    <w:rsid w:val="5DC236EC"/>
    <w:rsid w:val="5E277524"/>
    <w:rsid w:val="5E5506C8"/>
    <w:rsid w:val="5EA2001B"/>
    <w:rsid w:val="5F0266A3"/>
    <w:rsid w:val="5F232D5B"/>
    <w:rsid w:val="5F526F22"/>
    <w:rsid w:val="5F744292"/>
    <w:rsid w:val="5F855D12"/>
    <w:rsid w:val="5F952C60"/>
    <w:rsid w:val="5FD51C0C"/>
    <w:rsid w:val="5FF42786"/>
    <w:rsid w:val="60077EB1"/>
    <w:rsid w:val="606129E7"/>
    <w:rsid w:val="60662262"/>
    <w:rsid w:val="60F431B9"/>
    <w:rsid w:val="60F8796B"/>
    <w:rsid w:val="610B35BB"/>
    <w:rsid w:val="61731422"/>
    <w:rsid w:val="618F11E9"/>
    <w:rsid w:val="61AA1E9E"/>
    <w:rsid w:val="61CD1945"/>
    <w:rsid w:val="61EB4F88"/>
    <w:rsid w:val="620E2B02"/>
    <w:rsid w:val="62253CC7"/>
    <w:rsid w:val="624A22BB"/>
    <w:rsid w:val="62B65C75"/>
    <w:rsid w:val="633D3608"/>
    <w:rsid w:val="63487EAC"/>
    <w:rsid w:val="635349E5"/>
    <w:rsid w:val="63575F25"/>
    <w:rsid w:val="63711DD5"/>
    <w:rsid w:val="637F68CB"/>
    <w:rsid w:val="63FE2657"/>
    <w:rsid w:val="64013D86"/>
    <w:rsid w:val="64031C4A"/>
    <w:rsid w:val="642B75FC"/>
    <w:rsid w:val="643A6EA0"/>
    <w:rsid w:val="64A17E2B"/>
    <w:rsid w:val="64A849CD"/>
    <w:rsid w:val="64CF1F8E"/>
    <w:rsid w:val="64D97B51"/>
    <w:rsid w:val="64EC5A6B"/>
    <w:rsid w:val="650D77AD"/>
    <w:rsid w:val="653666D1"/>
    <w:rsid w:val="65917E54"/>
    <w:rsid w:val="6597576B"/>
    <w:rsid w:val="66090E80"/>
    <w:rsid w:val="6611701E"/>
    <w:rsid w:val="664161A9"/>
    <w:rsid w:val="66486284"/>
    <w:rsid w:val="66CC7877"/>
    <w:rsid w:val="66E30B4F"/>
    <w:rsid w:val="66FB308E"/>
    <w:rsid w:val="6723482A"/>
    <w:rsid w:val="673F1F48"/>
    <w:rsid w:val="67FD2A7B"/>
    <w:rsid w:val="68210070"/>
    <w:rsid w:val="686A7490"/>
    <w:rsid w:val="68BB3495"/>
    <w:rsid w:val="68DB190B"/>
    <w:rsid w:val="69634496"/>
    <w:rsid w:val="69A651B9"/>
    <w:rsid w:val="69B03442"/>
    <w:rsid w:val="6A1331D9"/>
    <w:rsid w:val="6A315029"/>
    <w:rsid w:val="6AB1009A"/>
    <w:rsid w:val="6ACB360F"/>
    <w:rsid w:val="6AD25354"/>
    <w:rsid w:val="6B8860DC"/>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11C7C"/>
    <w:rsid w:val="6FE66B4D"/>
    <w:rsid w:val="703E3BBA"/>
    <w:rsid w:val="70853498"/>
    <w:rsid w:val="70F93CCA"/>
    <w:rsid w:val="70FC7A0D"/>
    <w:rsid w:val="712F4D7E"/>
    <w:rsid w:val="713A67EE"/>
    <w:rsid w:val="71A30241"/>
    <w:rsid w:val="71D613DB"/>
    <w:rsid w:val="71DA60F7"/>
    <w:rsid w:val="720400C9"/>
    <w:rsid w:val="72074872"/>
    <w:rsid w:val="72BB4D4E"/>
    <w:rsid w:val="72BE4B83"/>
    <w:rsid w:val="73094A27"/>
    <w:rsid w:val="73200F6B"/>
    <w:rsid w:val="73522870"/>
    <w:rsid w:val="746A71CC"/>
    <w:rsid w:val="74715CA6"/>
    <w:rsid w:val="74BB1904"/>
    <w:rsid w:val="74D249BF"/>
    <w:rsid w:val="74ED4EB1"/>
    <w:rsid w:val="754358D4"/>
    <w:rsid w:val="75FF0A2F"/>
    <w:rsid w:val="767F7FDC"/>
    <w:rsid w:val="76F66D3B"/>
    <w:rsid w:val="770563B7"/>
    <w:rsid w:val="77432189"/>
    <w:rsid w:val="77DE40CB"/>
    <w:rsid w:val="77DF5581"/>
    <w:rsid w:val="781135E0"/>
    <w:rsid w:val="78305FF2"/>
    <w:rsid w:val="78694157"/>
    <w:rsid w:val="78A20774"/>
    <w:rsid w:val="78D17F2D"/>
    <w:rsid w:val="78FF382D"/>
    <w:rsid w:val="792E66F3"/>
    <w:rsid w:val="796203CB"/>
    <w:rsid w:val="79B44386"/>
    <w:rsid w:val="79EE6A68"/>
    <w:rsid w:val="7A1F36B1"/>
    <w:rsid w:val="7A3E7618"/>
    <w:rsid w:val="7A5717B0"/>
    <w:rsid w:val="7A644118"/>
    <w:rsid w:val="7A6D1099"/>
    <w:rsid w:val="7AE5282F"/>
    <w:rsid w:val="7AF956FC"/>
    <w:rsid w:val="7C003A54"/>
    <w:rsid w:val="7C373DB7"/>
    <w:rsid w:val="7C4228B4"/>
    <w:rsid w:val="7C5D47C4"/>
    <w:rsid w:val="7C6B5BDD"/>
    <w:rsid w:val="7CF851FF"/>
    <w:rsid w:val="7D173AAC"/>
    <w:rsid w:val="7D6E0D92"/>
    <w:rsid w:val="7D7E7212"/>
    <w:rsid w:val="7D842440"/>
    <w:rsid w:val="7DA94ABE"/>
    <w:rsid w:val="7DF243DB"/>
    <w:rsid w:val="7E01518F"/>
    <w:rsid w:val="7E073573"/>
    <w:rsid w:val="7E3B60DE"/>
    <w:rsid w:val="7E5E1EFC"/>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semiHidden="0"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39"/>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4"/>
    <w:link w:val="40"/>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1"/>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unhideWhenUsed/>
    <w:uiPriority w:val="1"/>
  </w:style>
  <w:style w:type="table" w:default="1" w:styleId="27">
    <w:name w:val="Normal Table"/>
    <w:unhideWhenUsed/>
    <w:uiPriority w:val="99"/>
    <w:tblPr>
      <w:tblCellMar>
        <w:top w:w="0" w:type="dxa"/>
        <w:left w:w="108" w:type="dxa"/>
        <w:bottom w:w="0" w:type="dxa"/>
        <w:right w:w="108" w:type="dxa"/>
      </w:tblCellMar>
    </w:tblPr>
  </w:style>
  <w:style w:type="paragraph" w:styleId="4">
    <w:name w:val="Normal Indent"/>
    <w:basedOn w:val="1"/>
    <w:next w:val="1"/>
    <w:link w:val="55"/>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Document Map"/>
    <w:basedOn w:val="1"/>
    <w:link w:val="42"/>
    <w:semiHidden/>
    <w:qFormat/>
    <w:locked/>
    <w:uiPriority w:val="99"/>
    <w:pPr>
      <w:shd w:val="clear" w:color="auto" w:fill="000080"/>
      <w:adjustRightInd/>
    </w:pPr>
    <w:rPr>
      <w:rFonts w:ascii="宋体"/>
      <w:sz w:val="18"/>
      <w:szCs w:val="18"/>
    </w:rPr>
  </w:style>
  <w:style w:type="paragraph" w:styleId="10">
    <w:name w:val="annotation text"/>
    <w:basedOn w:val="1"/>
    <w:link w:val="43"/>
    <w:qFormat/>
    <w:uiPriority w:val="99"/>
    <w:pPr>
      <w:adjustRightInd/>
      <w:jc w:val="left"/>
    </w:pPr>
    <w:rPr>
      <w:kern w:val="0"/>
      <w:sz w:val="24"/>
      <w:lang w:val="zh-CN"/>
    </w:rPr>
  </w:style>
  <w:style w:type="paragraph" w:styleId="11">
    <w:name w:val="Body Text"/>
    <w:basedOn w:val="1"/>
    <w:link w:val="44"/>
    <w:qFormat/>
    <w:locked/>
    <w:uiPriority w:val="99"/>
    <w:pPr>
      <w:spacing w:line="360" w:lineRule="auto"/>
    </w:pPr>
    <w:rPr>
      <w:rFonts w:eastAsia="仿宋_GB2312"/>
      <w:sz w:val="28"/>
    </w:rPr>
  </w:style>
  <w:style w:type="paragraph" w:styleId="12">
    <w:name w:val="Body Text Indent"/>
    <w:basedOn w:val="1"/>
    <w:link w:val="45"/>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next w:val="4"/>
    <w:link w:val="46"/>
    <w:qFormat/>
    <w:uiPriority w:val="99"/>
    <w:rPr>
      <w:rFonts w:ascii="宋体" w:hAnsi="Courier New"/>
      <w:kern w:val="0"/>
      <w:szCs w:val="20"/>
    </w:rPr>
  </w:style>
  <w:style w:type="paragraph" w:styleId="15">
    <w:name w:val="Date"/>
    <w:basedOn w:val="1"/>
    <w:next w:val="1"/>
    <w:link w:val="47"/>
    <w:qFormat/>
    <w:uiPriority w:val="99"/>
    <w:pPr>
      <w:ind w:left="100" w:leftChars="2500"/>
    </w:pPr>
    <w:rPr>
      <w:rFonts w:ascii="宋体"/>
      <w:kern w:val="0"/>
      <w:szCs w:val="20"/>
      <w:lang w:val="zh-CN"/>
    </w:rPr>
  </w:style>
  <w:style w:type="paragraph" w:styleId="16">
    <w:name w:val="Body Text Indent 2"/>
    <w:basedOn w:val="1"/>
    <w:link w:val="48"/>
    <w:semiHidden/>
    <w:qFormat/>
    <w:locked/>
    <w:uiPriority w:val="99"/>
    <w:pPr>
      <w:spacing w:after="120" w:line="480" w:lineRule="auto"/>
      <w:ind w:left="420" w:leftChars="200"/>
    </w:pPr>
  </w:style>
  <w:style w:type="paragraph" w:styleId="17">
    <w:name w:val="Balloon Text"/>
    <w:basedOn w:val="1"/>
    <w:link w:val="82"/>
    <w:semiHidden/>
    <w:qFormat/>
    <w:locked/>
    <w:uiPriority w:val="99"/>
    <w:rPr>
      <w:sz w:val="18"/>
      <w:szCs w:val="18"/>
    </w:rPr>
  </w:style>
  <w:style w:type="paragraph" w:styleId="18">
    <w:name w:val="footer"/>
    <w:basedOn w:val="1"/>
    <w:link w:val="49"/>
    <w:qFormat/>
    <w:uiPriority w:val="99"/>
    <w:pPr>
      <w:tabs>
        <w:tab w:val="center" w:pos="4153"/>
        <w:tab w:val="right" w:pos="8306"/>
      </w:tabs>
      <w:snapToGrid w:val="0"/>
      <w:jc w:val="left"/>
    </w:pPr>
    <w:rPr>
      <w:kern w:val="0"/>
      <w:sz w:val="18"/>
      <w:szCs w:val="18"/>
    </w:rPr>
  </w:style>
  <w:style w:type="paragraph" w:styleId="19">
    <w:name w:val="header"/>
    <w:basedOn w:val="1"/>
    <w:link w:val="54"/>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51"/>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2"/>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0"/>
    <w:next w:val="10"/>
    <w:link w:val="53"/>
    <w:qFormat/>
    <w:uiPriority w:val="99"/>
    <w:pPr>
      <w:widowControl/>
      <w:spacing w:afterLines="50"/>
    </w:pPr>
    <w:rPr>
      <w:b/>
      <w:bCs/>
    </w:rPr>
  </w:style>
  <w:style w:type="paragraph" w:styleId="26">
    <w:name w:val="Body Text First Indent 2"/>
    <w:basedOn w:val="12"/>
    <w:qFormat/>
    <w:locked/>
    <w:uiPriority w:val="99"/>
    <w:pPr>
      <w:ind w:firstLine="420" w:firstLineChars="200"/>
    </w:pPr>
    <w:rPr>
      <w:sz w:val="21"/>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Emphasis"/>
    <w:basedOn w:val="29"/>
    <w:qFormat/>
    <w:uiPriority w:val="0"/>
    <w:rPr>
      <w:rFonts w:cs="Times New Roman"/>
      <w:color w:val="CC0000"/>
      <w:sz w:val="24"/>
      <w:szCs w:val="24"/>
    </w:rPr>
  </w:style>
  <w:style w:type="character" w:styleId="34">
    <w:name w:val="Hyperlink"/>
    <w:basedOn w:val="29"/>
    <w:qFormat/>
    <w:uiPriority w:val="99"/>
    <w:rPr>
      <w:rFonts w:cs="Times New Roman"/>
      <w:color w:val="0000FF"/>
      <w:u w:val="single"/>
    </w:rPr>
  </w:style>
  <w:style w:type="character" w:styleId="35">
    <w:name w:val="annotation reference"/>
    <w:basedOn w:val="29"/>
    <w:semiHidden/>
    <w:qFormat/>
    <w:locked/>
    <w:uiPriority w:val="99"/>
    <w:rPr>
      <w:rFonts w:cs="Times New Roman"/>
      <w:sz w:val="21"/>
      <w:szCs w:val="21"/>
    </w:rPr>
  </w:style>
  <w:style w:type="paragraph" w:customStyle="1" w:styleId="36">
    <w:name w:val="[Normal]"/>
    <w:qFormat/>
    <w:uiPriority w:val="0"/>
    <w:rPr>
      <w:rFonts w:ascii="宋体" w:hAnsi="宋体" w:eastAsia="宋体" w:cs="Times New Roman"/>
      <w:sz w:val="24"/>
      <w:szCs w:val="22"/>
      <w:lang w:val="zh-CN" w:eastAsia="zh-CN" w:bidi="ar-SA"/>
    </w:rPr>
  </w:style>
  <w:style w:type="paragraph" w:customStyle="1" w:styleId="37">
    <w:name w:val="首行缩进"/>
    <w:basedOn w:val="1"/>
    <w:next w:val="11"/>
    <w:qFormat/>
    <w:uiPriority w:val="99"/>
    <w:pPr>
      <w:spacing w:line="360" w:lineRule="auto"/>
      <w:ind w:firstLine="480" w:firstLineChars="200"/>
    </w:pPr>
    <w:rPr>
      <w:sz w:val="24"/>
      <w:szCs w:val="22"/>
      <w:lang w:val="zh-CN"/>
    </w:rPr>
  </w:style>
  <w:style w:type="character" w:customStyle="1" w:styleId="38">
    <w:name w:val="标题 1 Char"/>
    <w:basedOn w:val="29"/>
    <w:link w:val="2"/>
    <w:qFormat/>
    <w:locked/>
    <w:uiPriority w:val="99"/>
    <w:rPr>
      <w:rFonts w:eastAsia="仿宋_GB2312"/>
      <w:b/>
      <w:kern w:val="44"/>
      <w:sz w:val="44"/>
      <w:szCs w:val="20"/>
    </w:rPr>
  </w:style>
  <w:style w:type="character" w:customStyle="1" w:styleId="39">
    <w:name w:val="标题 2 Char"/>
    <w:basedOn w:val="29"/>
    <w:link w:val="3"/>
    <w:semiHidden/>
    <w:qFormat/>
    <w:locked/>
    <w:uiPriority w:val="99"/>
    <w:rPr>
      <w:rFonts w:ascii="Calibri Light" w:hAnsi="Calibri Light" w:eastAsia="宋体" w:cs="Times New Roman"/>
      <w:b/>
      <w:sz w:val="32"/>
    </w:rPr>
  </w:style>
  <w:style w:type="character" w:customStyle="1" w:styleId="40">
    <w:name w:val="标题 3 Char"/>
    <w:basedOn w:val="29"/>
    <w:link w:val="5"/>
    <w:semiHidden/>
    <w:qFormat/>
    <w:locked/>
    <w:uiPriority w:val="99"/>
    <w:rPr>
      <w:rFonts w:ascii="Times New Roman" w:hAnsi="Times New Roman" w:eastAsia="宋体" w:cs="Times New Roman"/>
      <w:b/>
      <w:sz w:val="32"/>
    </w:rPr>
  </w:style>
  <w:style w:type="character" w:customStyle="1" w:styleId="41">
    <w:name w:val="标题 4 Char"/>
    <w:basedOn w:val="29"/>
    <w:link w:val="6"/>
    <w:semiHidden/>
    <w:qFormat/>
    <w:locked/>
    <w:uiPriority w:val="99"/>
    <w:rPr>
      <w:rFonts w:ascii="Calibri Light" w:hAnsi="Calibri Light" w:eastAsia="宋体" w:cs="Times New Roman"/>
      <w:b/>
      <w:sz w:val="28"/>
    </w:rPr>
  </w:style>
  <w:style w:type="character" w:customStyle="1" w:styleId="42">
    <w:name w:val="文档结构图 Char1"/>
    <w:basedOn w:val="29"/>
    <w:link w:val="9"/>
    <w:semiHidden/>
    <w:qFormat/>
    <w:locked/>
    <w:uiPriority w:val="99"/>
    <w:rPr>
      <w:rFonts w:ascii="宋体" w:hAnsi="Times New Roman" w:cs="Times New Roman"/>
      <w:kern w:val="2"/>
      <w:sz w:val="18"/>
    </w:rPr>
  </w:style>
  <w:style w:type="character" w:customStyle="1" w:styleId="43">
    <w:name w:val="批注文字 Char"/>
    <w:basedOn w:val="29"/>
    <w:link w:val="10"/>
    <w:qFormat/>
    <w:locked/>
    <w:uiPriority w:val="99"/>
    <w:rPr>
      <w:rFonts w:ascii="Times New Roman" w:hAnsi="Times New Roman" w:eastAsia="宋体" w:cs="Times New Roman"/>
      <w:kern w:val="0"/>
      <w:sz w:val="24"/>
      <w:lang w:val="zh-CN" w:eastAsia="zh-CN"/>
    </w:rPr>
  </w:style>
  <w:style w:type="character" w:customStyle="1" w:styleId="44">
    <w:name w:val="正文文本 Char"/>
    <w:basedOn w:val="29"/>
    <w:link w:val="11"/>
    <w:semiHidden/>
    <w:qFormat/>
    <w:locked/>
    <w:uiPriority w:val="99"/>
    <w:rPr>
      <w:rFonts w:cs="Times New Roman"/>
      <w:sz w:val="24"/>
      <w:szCs w:val="24"/>
    </w:rPr>
  </w:style>
  <w:style w:type="character" w:customStyle="1" w:styleId="45">
    <w:name w:val="正文文本缩进 Char"/>
    <w:basedOn w:val="29"/>
    <w:link w:val="12"/>
    <w:semiHidden/>
    <w:qFormat/>
    <w:locked/>
    <w:uiPriority w:val="99"/>
    <w:rPr>
      <w:rFonts w:ascii="Times New Roman" w:hAnsi="Times New Roman" w:cs="Times New Roman"/>
      <w:sz w:val="24"/>
    </w:rPr>
  </w:style>
  <w:style w:type="character" w:customStyle="1" w:styleId="46">
    <w:name w:val="纯文本 Char"/>
    <w:basedOn w:val="29"/>
    <w:link w:val="14"/>
    <w:qFormat/>
    <w:locked/>
    <w:uiPriority w:val="99"/>
    <w:rPr>
      <w:rFonts w:ascii="宋体" w:hAnsi="Courier New" w:eastAsia="宋体" w:cs="Times New Roman"/>
      <w:snapToGrid w:val="0"/>
      <w:sz w:val="21"/>
    </w:rPr>
  </w:style>
  <w:style w:type="character" w:customStyle="1" w:styleId="47">
    <w:name w:val="日期 Char"/>
    <w:basedOn w:val="29"/>
    <w:link w:val="15"/>
    <w:qFormat/>
    <w:locked/>
    <w:uiPriority w:val="99"/>
    <w:rPr>
      <w:rFonts w:ascii="宋体" w:cs="Times New Roman"/>
      <w:sz w:val="21"/>
      <w:lang w:val="zh-CN"/>
    </w:rPr>
  </w:style>
  <w:style w:type="character" w:customStyle="1" w:styleId="48">
    <w:name w:val="正文文本缩进 2 Char"/>
    <w:basedOn w:val="29"/>
    <w:link w:val="16"/>
    <w:semiHidden/>
    <w:qFormat/>
    <w:locked/>
    <w:uiPriority w:val="99"/>
    <w:rPr>
      <w:rFonts w:cs="Times New Roman"/>
      <w:sz w:val="24"/>
      <w:szCs w:val="24"/>
    </w:rPr>
  </w:style>
  <w:style w:type="character" w:customStyle="1" w:styleId="49">
    <w:name w:val="页脚 Char"/>
    <w:basedOn w:val="29"/>
    <w:link w:val="18"/>
    <w:qFormat/>
    <w:locked/>
    <w:uiPriority w:val="99"/>
    <w:rPr>
      <w:rFonts w:ascii="Times New Roman" w:hAnsi="Times New Roman" w:eastAsia="宋体" w:cs="Times New Roman"/>
      <w:sz w:val="18"/>
    </w:rPr>
  </w:style>
  <w:style w:type="character" w:customStyle="1" w:styleId="50">
    <w:name w:val="Header Char"/>
    <w:basedOn w:val="29"/>
    <w:qFormat/>
    <w:locked/>
    <w:uiPriority w:val="99"/>
    <w:rPr>
      <w:rFonts w:ascii="Times New Roman" w:hAnsi="Times New Roman" w:eastAsia="宋体" w:cs="Times New Roman"/>
      <w:sz w:val="18"/>
    </w:rPr>
  </w:style>
  <w:style w:type="character" w:customStyle="1" w:styleId="51">
    <w:name w:val="正文文本 2 Char"/>
    <w:basedOn w:val="29"/>
    <w:link w:val="21"/>
    <w:semiHidden/>
    <w:qFormat/>
    <w:locked/>
    <w:uiPriority w:val="99"/>
    <w:rPr>
      <w:rFonts w:ascii="Times New Roman" w:hAnsi="Times New Roman" w:cs="Times New Roman"/>
      <w:sz w:val="24"/>
    </w:rPr>
  </w:style>
  <w:style w:type="character" w:customStyle="1" w:styleId="52">
    <w:name w:val="标题 Char"/>
    <w:basedOn w:val="29"/>
    <w:link w:val="24"/>
    <w:qFormat/>
    <w:locked/>
    <w:uiPriority w:val="99"/>
    <w:rPr>
      <w:rFonts w:ascii="Calibri Light" w:hAnsi="Calibri Light" w:eastAsia="宋体" w:cs="Times New Roman"/>
      <w:b/>
      <w:sz w:val="32"/>
    </w:rPr>
  </w:style>
  <w:style w:type="character" w:customStyle="1" w:styleId="53">
    <w:name w:val="批注主题 Char"/>
    <w:basedOn w:val="43"/>
    <w:link w:val="25"/>
    <w:semiHidden/>
    <w:qFormat/>
    <w:locked/>
    <w:uiPriority w:val="99"/>
    <w:rPr>
      <w:rFonts w:ascii="Times New Roman" w:hAnsi="Times New Roman" w:eastAsia="宋体" w:cs="Times New Roman"/>
      <w:b/>
      <w:kern w:val="0"/>
      <w:sz w:val="24"/>
      <w:lang w:val="zh-CN" w:eastAsia="zh-CN"/>
    </w:rPr>
  </w:style>
  <w:style w:type="character" w:customStyle="1" w:styleId="54">
    <w:name w:val="页眉 Char"/>
    <w:link w:val="19"/>
    <w:qFormat/>
    <w:locked/>
    <w:uiPriority w:val="99"/>
    <w:rPr>
      <w:rFonts w:ascii="Times New Roman" w:hAnsi="Times New Roman" w:eastAsia="宋体"/>
      <w:sz w:val="18"/>
    </w:rPr>
  </w:style>
  <w:style w:type="character" w:customStyle="1" w:styleId="55">
    <w:name w:val="正文缩进 Char"/>
    <w:link w:val="4"/>
    <w:qFormat/>
    <w:locked/>
    <w:uiPriority w:val="99"/>
    <w:rPr>
      <w:rFonts w:ascii="宋体" w:eastAsia="宋体"/>
      <w:snapToGrid w:val="0"/>
      <w:color w:val="000000"/>
      <w:kern w:val="28"/>
      <w:sz w:val="28"/>
    </w:rPr>
  </w:style>
  <w:style w:type="character" w:customStyle="1" w:styleId="56">
    <w:name w:val="日期 Char1"/>
    <w:semiHidden/>
    <w:qFormat/>
    <w:uiPriority w:val="99"/>
    <w:rPr>
      <w:rFonts w:ascii="Times New Roman" w:hAnsi="Times New Roman" w:eastAsia="宋体"/>
      <w:sz w:val="24"/>
    </w:rPr>
  </w:style>
  <w:style w:type="character" w:customStyle="1" w:styleId="57">
    <w:name w:val="纯文本 Char1"/>
    <w:semiHidden/>
    <w:qFormat/>
    <w:uiPriority w:val="99"/>
    <w:rPr>
      <w:rFonts w:ascii="宋体" w:hAnsi="Courier New" w:eastAsia="宋体"/>
      <w:sz w:val="21"/>
    </w:rPr>
  </w:style>
  <w:style w:type="paragraph" w:customStyle="1" w:styleId="5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
    <w:name w:val="列出段落1"/>
    <w:basedOn w:val="1"/>
    <w:qFormat/>
    <w:uiPriority w:val="99"/>
    <w:pPr>
      <w:spacing w:line="360" w:lineRule="auto"/>
      <w:ind w:firstLine="200" w:firstLineChars="200"/>
    </w:pPr>
    <w:rPr>
      <w:rFonts w:eastAsia="楷体_GB2312" w:cs="Lucida Sans"/>
      <w:sz w:val="24"/>
    </w:rPr>
  </w:style>
  <w:style w:type="paragraph" w:customStyle="1" w:styleId="60">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1">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3">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4">
    <w:name w:val="Char Char Char Char1"/>
    <w:basedOn w:val="1"/>
    <w:qFormat/>
    <w:uiPriority w:val="99"/>
    <w:pPr>
      <w:adjustRightInd/>
    </w:pPr>
    <w:rPr>
      <w:rFonts w:ascii="Tahoma" w:hAnsi="Tahoma"/>
      <w:sz w:val="24"/>
      <w:szCs w:val="20"/>
    </w:rPr>
  </w:style>
  <w:style w:type="paragraph" w:customStyle="1" w:styleId="65">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6">
    <w:name w:val="正文段"/>
    <w:basedOn w:val="1"/>
    <w:link w:val="72"/>
    <w:qFormat/>
    <w:uiPriority w:val="99"/>
    <w:pPr>
      <w:widowControl/>
      <w:snapToGrid w:val="0"/>
      <w:spacing w:afterLines="50"/>
      <w:ind w:firstLine="200" w:firstLineChars="200"/>
    </w:pPr>
    <w:rPr>
      <w:kern w:val="0"/>
      <w:sz w:val="24"/>
      <w:szCs w:val="20"/>
    </w:rPr>
  </w:style>
  <w:style w:type="paragraph" w:customStyle="1" w:styleId="67">
    <w:name w:val="正文2"/>
    <w:basedOn w:val="1"/>
    <w:link w:val="71"/>
    <w:qFormat/>
    <w:uiPriority w:val="99"/>
    <w:pPr>
      <w:spacing w:before="156" w:line="360" w:lineRule="auto"/>
      <w:ind w:firstLine="510" w:firstLineChars="200"/>
    </w:pPr>
    <w:rPr>
      <w:sz w:val="24"/>
      <w:szCs w:val="20"/>
    </w:rPr>
  </w:style>
  <w:style w:type="paragraph" w:customStyle="1" w:styleId="68">
    <w:name w:val="表正文"/>
    <w:basedOn w:val="1"/>
    <w:next w:val="14"/>
    <w:qFormat/>
    <w:uiPriority w:val="99"/>
    <w:rPr>
      <w:rFonts w:ascii="宋体" w:hAnsi="Courier New"/>
      <w:szCs w:val="20"/>
    </w:rPr>
  </w:style>
  <w:style w:type="character" w:customStyle="1" w:styleId="69">
    <w:name w:val="文档结构图 Char"/>
    <w:semiHidden/>
    <w:qFormat/>
    <w:uiPriority w:val="99"/>
    <w:rPr>
      <w:kern w:val="2"/>
      <w:sz w:val="24"/>
      <w:shd w:val="clear" w:color="auto" w:fill="000080"/>
    </w:rPr>
  </w:style>
  <w:style w:type="character" w:customStyle="1" w:styleId="70">
    <w:name w:val="日期 Char2"/>
    <w:qFormat/>
    <w:uiPriority w:val="99"/>
    <w:rPr>
      <w:rFonts w:ascii="楷体_GB2312" w:eastAsia="楷体_GB2312"/>
      <w:b/>
      <w:kern w:val="2"/>
      <w:sz w:val="28"/>
      <w:lang w:val="en-US" w:eastAsia="zh-CN"/>
    </w:rPr>
  </w:style>
  <w:style w:type="character" w:customStyle="1" w:styleId="71">
    <w:name w:val="正文2 Char"/>
    <w:link w:val="67"/>
    <w:qFormat/>
    <w:locked/>
    <w:uiPriority w:val="99"/>
    <w:rPr>
      <w:rFonts w:ascii="Times New Roman" w:hAnsi="Times New Roman"/>
      <w:kern w:val="2"/>
      <w:sz w:val="24"/>
    </w:rPr>
  </w:style>
  <w:style w:type="character" w:customStyle="1" w:styleId="72">
    <w:name w:val="正文段 Char"/>
    <w:link w:val="66"/>
    <w:qFormat/>
    <w:locked/>
    <w:uiPriority w:val="99"/>
    <w:rPr>
      <w:rFonts w:ascii="Times New Roman" w:hAnsi="Times New Roman"/>
      <w:sz w:val="24"/>
    </w:rPr>
  </w:style>
  <w:style w:type="paragraph" w:customStyle="1" w:styleId="73">
    <w:name w:val="列出段落2"/>
    <w:basedOn w:val="1"/>
    <w:next w:val="11"/>
    <w:qFormat/>
    <w:uiPriority w:val="99"/>
    <w:pPr>
      <w:ind w:left="720"/>
      <w:contextualSpacing/>
    </w:pPr>
  </w:style>
  <w:style w:type="paragraph" w:customStyle="1" w:styleId="74">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5">
    <w:name w:val="px_10"/>
    <w:qFormat/>
    <w:uiPriority w:val="99"/>
    <w:rPr>
      <w:lang w:val="zh-TW" w:eastAsia="zh-TW"/>
    </w:rPr>
  </w:style>
  <w:style w:type="paragraph" w:customStyle="1" w:styleId="76">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7">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8">
    <w:name w:val="列出段落11"/>
    <w:basedOn w:val="1"/>
    <w:qFormat/>
    <w:uiPriority w:val="99"/>
    <w:pPr>
      <w:spacing w:line="360" w:lineRule="auto"/>
      <w:ind w:firstLine="200" w:firstLineChars="200"/>
    </w:pPr>
    <w:rPr>
      <w:rFonts w:eastAsia="楷体_GB2312" w:cs="Lucida Sans"/>
      <w:sz w:val="24"/>
    </w:rPr>
  </w:style>
  <w:style w:type="paragraph" w:customStyle="1" w:styleId="79">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1">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2">
    <w:name w:val="批注框文本 Char"/>
    <w:basedOn w:val="29"/>
    <w:link w:val="17"/>
    <w:semiHidden/>
    <w:qFormat/>
    <w:locked/>
    <w:uiPriority w:val="99"/>
    <w:rPr>
      <w:rFonts w:cs="Times New Roman"/>
      <w:sz w:val="2"/>
    </w:rPr>
  </w:style>
  <w:style w:type="paragraph" w:customStyle="1" w:styleId="83">
    <w:name w:val="列出段落5"/>
    <w:basedOn w:val="1"/>
    <w:qFormat/>
    <w:uiPriority w:val="34"/>
    <w:pPr>
      <w:ind w:firstLine="420" w:firstLineChars="200"/>
    </w:pPr>
    <w:rPr>
      <w:rFonts w:ascii="Calibri" w:hAnsi="Calibri"/>
      <w:sz w:val="24"/>
    </w:rPr>
  </w:style>
  <w:style w:type="paragraph" w:customStyle="1" w:styleId="84">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5">
    <w:name w:val="unnamed11"/>
    <w:basedOn w:val="29"/>
    <w:qFormat/>
    <w:uiPriority w:val="0"/>
    <w:rPr>
      <w:rFonts w:hint="eastAsia" w:ascii="宋体" w:hAnsi="宋体" w:eastAsia="宋体"/>
      <w:sz w:val="21"/>
      <w:szCs w:val="21"/>
    </w:rPr>
  </w:style>
  <w:style w:type="paragraph" w:customStyle="1" w:styleId="86">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7">
    <w:name w:val="font11"/>
    <w:basedOn w:val="29"/>
    <w:qFormat/>
    <w:uiPriority w:val="0"/>
    <w:rPr>
      <w:rFonts w:hint="default" w:ascii="微软雅黑" w:hAnsi="微软雅黑" w:eastAsia="微软雅黑" w:cs="微软雅黑"/>
      <w:color w:val="000000"/>
      <w:sz w:val="20"/>
      <w:szCs w:val="20"/>
      <w:u w:val="none"/>
    </w:rPr>
  </w:style>
  <w:style w:type="paragraph" w:customStyle="1" w:styleId="88">
    <w:name w:val="样式 首行缩进:  0.74 厘米"/>
    <w:basedOn w:val="1"/>
    <w:qFormat/>
    <w:uiPriority w:val="0"/>
    <w:pPr>
      <w:ind w:firstLine="420"/>
    </w:pPr>
    <w:rPr>
      <w:rFonts w:ascii="Arial" w:hAnsi="Arial" w:eastAsia="仿宋_GB2312" w:cs="Arial"/>
      <w:bCs/>
      <w:sz w:val="28"/>
      <w:szCs w:val="28"/>
    </w:rPr>
  </w:style>
  <w:style w:type="paragraph" w:customStyle="1" w:styleId="89">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0">
    <w:name w:val="_Style 1"/>
    <w:basedOn w:val="1"/>
    <w:qFormat/>
    <w:uiPriority w:val="99"/>
    <w:pPr>
      <w:ind w:firstLine="420" w:firstLineChars="200"/>
    </w:pPr>
  </w:style>
  <w:style w:type="paragraph" w:customStyle="1" w:styleId="91">
    <w:name w:val="_Style 2"/>
    <w:basedOn w:val="1"/>
    <w:qFormat/>
    <w:uiPriority w:val="99"/>
    <w:pPr>
      <w:ind w:firstLine="420" w:firstLineChars="200"/>
    </w:pPr>
  </w:style>
  <w:style w:type="paragraph" w:customStyle="1" w:styleId="92">
    <w:name w:val="（1）"/>
    <w:basedOn w:val="1"/>
    <w:qFormat/>
    <w:uiPriority w:val="0"/>
    <w:pPr>
      <w:numPr>
        <w:ilvl w:val="0"/>
        <w:numId w:val="5"/>
      </w:numPr>
      <w:tabs>
        <w:tab w:val="left" w:pos="961"/>
      </w:tabs>
      <w:spacing w:line="360" w:lineRule="auto"/>
    </w:pPr>
    <w:rPr>
      <w:sz w:val="24"/>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CM18"/>
    <w:basedOn w:val="93"/>
    <w:next w:val="93"/>
    <w:qFormat/>
    <w:uiPriority w:val="99"/>
    <w:rPr>
      <w:rFonts w:ascii="ST Xihei" w:hAnsi="Calibri" w:eastAsia="ST Xihei"/>
      <w:color w:val="auto"/>
    </w:rPr>
  </w:style>
  <w:style w:type="character" w:customStyle="1" w:styleId="95">
    <w:name w:val="qxdate"/>
    <w:basedOn w:val="29"/>
    <w:qFormat/>
    <w:uiPriority w:val="0"/>
    <w:rPr>
      <w:color w:val="333333"/>
      <w:sz w:val="18"/>
      <w:szCs w:val="18"/>
    </w:rPr>
  </w:style>
  <w:style w:type="character" w:customStyle="1" w:styleId="96">
    <w:name w:val="cfdate"/>
    <w:basedOn w:val="29"/>
    <w:qFormat/>
    <w:uiPriority w:val="0"/>
    <w:rPr>
      <w:color w:val="333333"/>
      <w:sz w:val="18"/>
      <w:szCs w:val="18"/>
    </w:rPr>
  </w:style>
  <w:style w:type="character" w:customStyle="1" w:styleId="97">
    <w:name w:val="redfilefwwh"/>
    <w:basedOn w:val="29"/>
    <w:qFormat/>
    <w:uiPriority w:val="0"/>
    <w:rPr>
      <w:color w:val="BA2636"/>
      <w:sz w:val="18"/>
      <w:szCs w:val="18"/>
    </w:rPr>
  </w:style>
  <w:style w:type="character" w:customStyle="1" w:styleId="98">
    <w:name w:val="displayarti"/>
    <w:basedOn w:val="29"/>
    <w:qFormat/>
    <w:uiPriority w:val="0"/>
    <w:rPr>
      <w:color w:val="FFFFFF"/>
      <w:shd w:val="clear" w:color="auto" w:fill="A00000"/>
    </w:rPr>
  </w:style>
  <w:style w:type="character" w:customStyle="1" w:styleId="99">
    <w:name w:val="gjfg"/>
    <w:basedOn w:val="29"/>
    <w:qFormat/>
    <w:uiPriority w:val="0"/>
  </w:style>
  <w:style w:type="character" w:customStyle="1" w:styleId="100">
    <w:name w:val="redfilenumber"/>
    <w:basedOn w:val="29"/>
    <w:qFormat/>
    <w:uiPriority w:val="0"/>
    <w:rPr>
      <w:color w:val="BA2636"/>
      <w:sz w:val="18"/>
      <w:szCs w:val="18"/>
    </w:rPr>
  </w:style>
  <w:style w:type="character" w:customStyle="1" w:styleId="101">
    <w:name w:val="15"/>
    <w:qFormat/>
    <w:uiPriority w:val="0"/>
    <w:rPr>
      <w:rFonts w:hint="eastAsia" w:ascii="宋体" w:hAnsi="宋体" w:eastAsia="宋体" w:cs="宋体"/>
      <w:color w:val="000000"/>
      <w:sz w:val="24"/>
      <w:szCs w:val="24"/>
    </w:rPr>
  </w:style>
  <w:style w:type="paragraph" w:customStyle="1" w:styleId="102">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3">
    <w:name w:val="网格型1"/>
    <w:basedOn w:val="27"/>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4">
    <w:name w:val="0正文"/>
    <w:basedOn w:val="1"/>
    <w:qFormat/>
    <w:uiPriority w:val="0"/>
    <w:pPr>
      <w:spacing w:line="360" w:lineRule="auto"/>
      <w:ind w:firstLine="200" w:firstLineChars="200"/>
    </w:pPr>
  </w:style>
  <w:style w:type="paragraph" w:customStyle="1" w:styleId="10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7">
    <w:name w:val="样式2"/>
    <w:basedOn w:val="1"/>
    <w:qFormat/>
    <w:uiPriority w:val="0"/>
    <w:pPr>
      <w:spacing w:line="360" w:lineRule="auto"/>
      <w:ind w:firstLine="200" w:firstLineChars="200"/>
    </w:pPr>
    <w:rPr>
      <w:rFonts w:ascii="仿宋_GB2312" w:eastAsia="仿宋_GB2312"/>
      <w:sz w:val="24"/>
    </w:rPr>
  </w:style>
  <w:style w:type="paragraph" w:customStyle="1" w:styleId="10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09">
    <w:name w:val="font181"/>
    <w:basedOn w:val="29"/>
    <w:qFormat/>
    <w:uiPriority w:val="0"/>
    <w:rPr>
      <w:rFonts w:hint="eastAsia" w:ascii="宋体" w:hAnsi="宋体" w:eastAsia="宋体" w:cs="宋体"/>
      <w:color w:val="000000"/>
      <w:sz w:val="20"/>
      <w:szCs w:val="20"/>
      <w:u w:val="none"/>
    </w:rPr>
  </w:style>
  <w:style w:type="character" w:customStyle="1" w:styleId="110">
    <w:name w:val="font191"/>
    <w:basedOn w:val="29"/>
    <w:qFormat/>
    <w:uiPriority w:val="0"/>
    <w:rPr>
      <w:rFonts w:hint="eastAsia" w:ascii="宋体" w:hAnsi="宋体" w:eastAsia="宋体" w:cs="宋体"/>
      <w:color w:val="000000"/>
      <w:sz w:val="22"/>
      <w:szCs w:val="22"/>
      <w:u w:val="none"/>
    </w:rPr>
  </w:style>
  <w:style w:type="character" w:customStyle="1" w:styleId="111">
    <w:name w:val="font31"/>
    <w:basedOn w:val="29"/>
    <w:qFormat/>
    <w:uiPriority w:val="0"/>
    <w:rPr>
      <w:rFonts w:hint="eastAsia" w:ascii="宋体" w:hAnsi="宋体" w:eastAsia="宋体" w:cs="宋体"/>
      <w:color w:val="000000"/>
      <w:sz w:val="22"/>
      <w:szCs w:val="22"/>
      <w:u w:val="none"/>
    </w:rPr>
  </w:style>
  <w:style w:type="character" w:customStyle="1" w:styleId="112">
    <w:name w:val="font01"/>
    <w:basedOn w:val="29"/>
    <w:qFormat/>
    <w:uiPriority w:val="0"/>
    <w:rPr>
      <w:rFonts w:hint="eastAsia" w:ascii="宋体" w:hAnsi="宋体" w:eastAsia="宋体" w:cs="宋体"/>
      <w:color w:val="000000"/>
      <w:sz w:val="24"/>
      <w:szCs w:val="24"/>
      <w:u w:val="none"/>
    </w:rPr>
  </w:style>
  <w:style w:type="character" w:customStyle="1" w:styleId="113">
    <w:name w:val="font141"/>
    <w:basedOn w:val="29"/>
    <w:qFormat/>
    <w:uiPriority w:val="0"/>
    <w:rPr>
      <w:rFonts w:hint="eastAsia" w:ascii="宋体" w:hAnsi="宋体" w:eastAsia="宋体" w:cs="宋体"/>
      <w:b/>
      <w:bCs/>
      <w:color w:val="000000"/>
      <w:sz w:val="22"/>
      <w:szCs w:val="22"/>
      <w:u w:val="none"/>
    </w:rPr>
  </w:style>
  <w:style w:type="character" w:customStyle="1" w:styleId="114">
    <w:name w:val="font201"/>
    <w:basedOn w:val="29"/>
    <w:qFormat/>
    <w:uiPriority w:val="0"/>
    <w:rPr>
      <w:rFonts w:ascii="宋体" w:hAnsi="宋体" w:eastAsia="宋体" w:cs="宋体"/>
      <w:color w:val="000000"/>
      <w:sz w:val="22"/>
      <w:szCs w:val="22"/>
      <w:u w:val="none"/>
    </w:rPr>
  </w:style>
  <w:style w:type="character" w:customStyle="1" w:styleId="115">
    <w:name w:val="NormalCharacter"/>
    <w:semiHidden/>
    <w:qFormat/>
    <w:uiPriority w:val="0"/>
  </w:style>
  <w:style w:type="table" w:customStyle="1" w:styleId="116">
    <w:name w:val="网格型1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7">
    <w:name w:val="技术文档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58</Pages>
  <Words>36771</Words>
  <Characters>39184</Characters>
  <Lines>305</Lines>
  <Paragraphs>86</Paragraphs>
  <TotalTime>32</TotalTime>
  <ScaleCrop>false</ScaleCrop>
  <LinksUpToDate>false</LinksUpToDate>
  <CharactersWithSpaces>41029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2020-11-05T16:05:00Z</dcterms:created>
  <dc:creator>Ting</dc:creator>
  <cp:lastModifiedBy>Administrator</cp:lastModifiedBy>
  <cp:lastPrinted>2020-08-07T08:05:00Z</cp:lastPrinted>
  <dcterms:modified xsi:type="dcterms:W3CDTF">2022-05-13T01:39:19Z</dcterms:modified>
  <dc:title>绍兴市公安局交通警察支队交警互联网支付及罚缴平台二期项目 </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5959D7E7BAE94747A9445AFA89F02736</vt:lpwstr>
  </property>
</Properties>
</file>