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DD2F">
      <w:pPr>
        <w:spacing w:line="360" w:lineRule="auto"/>
        <w:jc w:val="center"/>
        <w:rPr>
          <w:rFonts w:hint="eastAsia" w:ascii="仿宋" w:hAnsi="仿宋" w:eastAsia="仿宋" w:cs="仿宋"/>
          <w:b/>
          <w:color w:val="auto"/>
          <w:sz w:val="40"/>
          <w:szCs w:val="40"/>
          <w:highlight w:val="none"/>
          <w:lang w:eastAsia="zh-CN"/>
        </w:rPr>
      </w:pPr>
    </w:p>
    <w:p w14:paraId="3E7889D2">
      <w:pPr>
        <w:spacing w:line="360" w:lineRule="auto"/>
        <w:jc w:val="center"/>
        <w:rPr>
          <w:rFonts w:ascii="仿宋" w:hAnsi="仿宋" w:eastAsia="仿宋" w:cs="仿宋"/>
          <w:b/>
          <w:color w:val="auto"/>
          <w:sz w:val="48"/>
          <w:szCs w:val="48"/>
          <w:highlight w:val="none"/>
        </w:rPr>
      </w:pPr>
    </w:p>
    <w:p w14:paraId="004F4048">
      <w:pPr>
        <w:adjustRightInd/>
        <w:spacing w:line="360" w:lineRule="auto"/>
        <w:jc w:val="center"/>
        <w:outlineLvl w:val="0"/>
        <w:rPr>
          <w:rFonts w:hint="eastAsia" w:ascii="仿宋_GB2312" w:hAnsi="仿宋_GB2312" w:eastAsia="仿宋_GB2312" w:cs="仿宋_GB2312"/>
          <w:color w:val="auto"/>
          <w:sz w:val="48"/>
          <w:szCs w:val="48"/>
          <w:highlight w:val="none"/>
          <w:lang w:eastAsia="zh-CN"/>
        </w:rPr>
      </w:pPr>
      <w:r>
        <w:rPr>
          <w:rFonts w:hint="eastAsia" w:ascii="仿宋_GB2312" w:hAnsi="仿宋_GB2312" w:eastAsia="仿宋_GB2312" w:cs="仿宋_GB2312"/>
          <w:color w:val="auto"/>
          <w:spacing w:val="-6"/>
          <w:sz w:val="48"/>
          <w:szCs w:val="48"/>
          <w:highlight w:val="none"/>
          <w:lang w:eastAsia="zh-CN"/>
        </w:rPr>
        <w:t>新湾街道2025年雪亮工程二期续建项目</w:t>
      </w:r>
    </w:p>
    <w:p w14:paraId="05640CC2">
      <w:pPr>
        <w:adjustRightInd/>
        <w:spacing w:line="360" w:lineRule="auto"/>
        <w:jc w:val="center"/>
        <w:rPr>
          <w:rFonts w:ascii="仿宋_GB2312" w:hAnsi="仿宋_GB2312" w:eastAsia="仿宋_GB2312" w:cs="仿宋_GB2312"/>
          <w:color w:val="auto"/>
          <w:sz w:val="48"/>
          <w:szCs w:val="48"/>
          <w:highlight w:val="none"/>
        </w:rPr>
      </w:pPr>
      <w:r>
        <w:rPr>
          <w:rFonts w:hint="eastAsia" w:ascii="仿宋_GB2312" w:hAnsi="仿宋_GB2312" w:eastAsia="仿宋_GB2312" w:cs="仿宋_GB2312"/>
          <w:color w:val="auto"/>
          <w:sz w:val="48"/>
          <w:szCs w:val="48"/>
          <w:highlight w:val="none"/>
        </w:rPr>
        <w:t>招标文件</w:t>
      </w:r>
    </w:p>
    <w:p w14:paraId="148594EE">
      <w:pPr>
        <w:adjustRightInd/>
        <w:spacing w:line="360" w:lineRule="auto"/>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28"/>
          <w:szCs w:val="28"/>
          <w:highlight w:val="none"/>
        </w:rPr>
        <w:t>（电子招投标）</w:t>
      </w:r>
    </w:p>
    <w:p w14:paraId="4D299663">
      <w:pPr>
        <w:snapToGrid w:val="0"/>
        <w:spacing w:line="360" w:lineRule="auto"/>
        <w:jc w:val="center"/>
        <w:rPr>
          <w:rFonts w:ascii="仿宋" w:hAnsi="仿宋" w:eastAsia="仿宋" w:cs="仿宋"/>
          <w:color w:val="auto"/>
          <w:sz w:val="30"/>
          <w:szCs w:val="30"/>
          <w:highlight w:val="none"/>
        </w:rPr>
      </w:pPr>
    </w:p>
    <w:p w14:paraId="019F280D">
      <w:pPr>
        <w:pStyle w:val="27"/>
        <w:rPr>
          <w:rFonts w:ascii="仿宋" w:hAnsi="仿宋" w:eastAsia="仿宋" w:cs="仿宋"/>
          <w:color w:val="auto"/>
          <w:highlight w:val="none"/>
        </w:rPr>
      </w:pPr>
    </w:p>
    <w:p w14:paraId="04C358DF">
      <w:pPr>
        <w:snapToGrid w:val="0"/>
        <w:spacing w:line="360" w:lineRule="auto"/>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编号:</w:t>
      </w:r>
      <w:r>
        <w:rPr>
          <w:rFonts w:hint="eastAsia" w:ascii="仿宋_GB2312" w:hAnsi="仿宋_GB2312" w:eastAsia="仿宋_GB2312" w:cs="仿宋_GB2312"/>
          <w:color w:val="auto"/>
          <w:sz w:val="30"/>
          <w:szCs w:val="30"/>
          <w:highlight w:val="none"/>
          <w:lang w:eastAsia="zh-CN"/>
        </w:rPr>
        <w:t>QTCG-GK-2025-103</w:t>
      </w:r>
    </w:p>
    <w:p w14:paraId="450F44FE">
      <w:pPr>
        <w:adjustRightInd/>
        <w:spacing w:line="360" w:lineRule="auto"/>
        <w:rPr>
          <w:rFonts w:ascii="仿宋" w:hAnsi="仿宋" w:eastAsia="仿宋" w:cs="仿宋"/>
          <w:color w:val="auto"/>
          <w:sz w:val="28"/>
          <w:szCs w:val="20"/>
          <w:highlight w:val="none"/>
        </w:rPr>
      </w:pPr>
    </w:p>
    <w:p w14:paraId="00D1AE5D">
      <w:pPr>
        <w:spacing w:line="360" w:lineRule="auto"/>
        <w:jc w:val="center"/>
        <w:rPr>
          <w:rFonts w:ascii="仿宋" w:hAnsi="仿宋" w:eastAsia="仿宋" w:cs="仿宋"/>
          <w:b/>
          <w:color w:val="auto"/>
          <w:sz w:val="44"/>
          <w:szCs w:val="44"/>
          <w:highlight w:val="none"/>
        </w:rPr>
      </w:pPr>
    </w:p>
    <w:p w14:paraId="6C3D42C6">
      <w:pPr>
        <w:spacing w:line="360" w:lineRule="auto"/>
        <w:jc w:val="center"/>
        <w:rPr>
          <w:rFonts w:ascii="仿宋" w:hAnsi="仿宋" w:eastAsia="仿宋" w:cs="仿宋"/>
          <w:b/>
          <w:color w:val="auto"/>
          <w:sz w:val="44"/>
          <w:szCs w:val="44"/>
          <w:highlight w:val="none"/>
        </w:rPr>
      </w:pPr>
    </w:p>
    <w:p w14:paraId="761BAA23">
      <w:pPr>
        <w:spacing w:line="360" w:lineRule="auto"/>
        <w:jc w:val="center"/>
        <w:rPr>
          <w:rFonts w:ascii="仿宋" w:hAnsi="仿宋" w:eastAsia="仿宋" w:cs="仿宋"/>
          <w:b/>
          <w:color w:val="auto"/>
          <w:sz w:val="44"/>
          <w:szCs w:val="44"/>
          <w:highlight w:val="none"/>
        </w:rPr>
      </w:pPr>
    </w:p>
    <w:p w14:paraId="3B3988CF">
      <w:pPr>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44"/>
          <w:szCs w:val="44"/>
          <w:highlight w:val="none"/>
        </w:rPr>
        <w:t xml:space="preserve"> </w:t>
      </w:r>
    </w:p>
    <w:p w14:paraId="514B0B83">
      <w:pPr>
        <w:spacing w:line="360" w:lineRule="auto"/>
        <w:jc w:val="center"/>
        <w:outlineLvl w:val="0"/>
        <w:rPr>
          <w:rFonts w:hint="eastAsia" w:ascii="仿宋_GB2312" w:hAnsi="仿宋_GB2312" w:eastAsia="仿宋_GB2312" w:cs="仿宋_GB2312"/>
          <w:color w:val="auto"/>
          <w:sz w:val="36"/>
          <w:szCs w:val="36"/>
          <w:highlight w:val="none"/>
          <w:lang w:val="en" w:eastAsia="zh-CN"/>
        </w:rPr>
      </w:pPr>
      <w:r>
        <w:rPr>
          <w:rFonts w:hint="eastAsia" w:ascii="仿宋_GB2312" w:hAnsi="仿宋_GB2312" w:eastAsia="仿宋_GB2312" w:cs="仿宋_GB2312"/>
          <w:color w:val="auto"/>
          <w:sz w:val="36"/>
          <w:szCs w:val="36"/>
          <w:highlight w:val="none"/>
          <w:lang w:val="en" w:eastAsia="zh-CN"/>
        </w:rPr>
        <w:t>杭州市钱塘区人民政府新湾街道办事处</w:t>
      </w:r>
    </w:p>
    <w:p w14:paraId="0ED6EA58">
      <w:pPr>
        <w:spacing w:line="360" w:lineRule="auto"/>
        <w:jc w:val="center"/>
        <w:outlineLvl w:val="0"/>
        <w:rPr>
          <w:rFonts w:hint="eastAsia" w:ascii="仿宋_GB2312" w:hAnsi="仿宋_GB2312" w:eastAsia="仿宋_GB2312" w:cs="仿宋_GB2312"/>
          <w:color w:val="auto"/>
          <w:sz w:val="36"/>
          <w:szCs w:val="36"/>
          <w:highlight w:val="none"/>
          <w:lang w:eastAsia="zh-CN"/>
        </w:rPr>
      </w:pPr>
      <w:r>
        <w:rPr>
          <w:rFonts w:hint="eastAsia" w:ascii="仿宋_GB2312" w:hAnsi="仿宋_GB2312" w:eastAsia="仿宋_GB2312" w:cs="仿宋_GB2312"/>
          <w:color w:val="auto"/>
          <w:sz w:val="36"/>
          <w:szCs w:val="36"/>
          <w:highlight w:val="none"/>
          <w:lang w:eastAsia="zh-CN"/>
        </w:rPr>
        <w:t>浙江勋达工程咨询有限公司</w:t>
      </w:r>
    </w:p>
    <w:p w14:paraId="2A6DB506">
      <w:pPr>
        <w:spacing w:line="360" w:lineRule="auto"/>
        <w:jc w:val="center"/>
        <w:rPr>
          <w:rFonts w:ascii="仿宋" w:hAnsi="仿宋" w:eastAsia="仿宋" w:cs="仿宋"/>
          <w:color w:val="auto"/>
          <w:sz w:val="24"/>
          <w:highlight w:val="none"/>
        </w:rPr>
      </w:pPr>
      <w:r>
        <w:rPr>
          <w:rFonts w:hint="eastAsia" w:ascii="仿宋_GB2312" w:hAnsi="仿宋_GB2312" w:eastAsia="仿宋_GB2312" w:cs="仿宋_GB2312"/>
          <w:color w:val="auto"/>
          <w:sz w:val="36"/>
          <w:szCs w:val="36"/>
          <w:highlight w:val="yellow"/>
        </w:rPr>
        <w:t>二〇二</w:t>
      </w:r>
      <w:r>
        <w:rPr>
          <w:rFonts w:hint="eastAsia" w:ascii="仿宋_GB2312" w:hAnsi="仿宋_GB2312" w:eastAsia="仿宋_GB2312" w:cs="仿宋_GB2312"/>
          <w:color w:val="auto"/>
          <w:sz w:val="36"/>
          <w:szCs w:val="36"/>
          <w:highlight w:val="yellow"/>
          <w:lang w:val="en-US" w:eastAsia="zh-CN"/>
        </w:rPr>
        <w:t>五</w:t>
      </w:r>
      <w:r>
        <w:rPr>
          <w:rFonts w:hint="eastAsia" w:ascii="仿宋_GB2312" w:hAnsi="仿宋_GB2312" w:eastAsia="仿宋_GB2312" w:cs="仿宋_GB2312"/>
          <w:color w:val="auto"/>
          <w:sz w:val="36"/>
          <w:szCs w:val="36"/>
          <w:highlight w:val="yellow"/>
        </w:rPr>
        <w:t>年</w:t>
      </w:r>
      <w:r>
        <w:rPr>
          <w:rFonts w:hint="eastAsia" w:ascii="仿宋_GB2312" w:hAnsi="仿宋_GB2312" w:eastAsia="仿宋_GB2312" w:cs="仿宋_GB2312"/>
          <w:color w:val="auto"/>
          <w:sz w:val="36"/>
          <w:szCs w:val="36"/>
          <w:highlight w:val="yellow"/>
          <w:lang w:val="en-US" w:eastAsia="zh-CN"/>
        </w:rPr>
        <w:t xml:space="preserve">  </w:t>
      </w:r>
      <w:r>
        <w:rPr>
          <w:rFonts w:hint="eastAsia" w:ascii="仿宋_GB2312" w:hAnsi="仿宋_GB2312" w:eastAsia="仿宋_GB2312" w:cs="仿宋_GB2312"/>
          <w:color w:val="auto"/>
          <w:sz w:val="36"/>
          <w:szCs w:val="36"/>
          <w:highlight w:val="yellow"/>
        </w:rPr>
        <w:t>月</w:t>
      </w:r>
      <w:r>
        <w:rPr>
          <w:rFonts w:hint="eastAsia" w:ascii="仿宋_GB2312" w:hAnsi="仿宋_GB2312" w:eastAsia="仿宋_GB2312" w:cs="仿宋_GB2312"/>
          <w:color w:val="auto"/>
          <w:sz w:val="36"/>
          <w:szCs w:val="36"/>
          <w:highlight w:val="yellow"/>
          <w:lang w:val="en-US" w:eastAsia="zh-CN"/>
        </w:rPr>
        <w:t xml:space="preserve">  </w:t>
      </w:r>
      <w:r>
        <w:rPr>
          <w:rFonts w:hint="eastAsia" w:ascii="仿宋_GB2312" w:hAnsi="仿宋_GB2312" w:eastAsia="仿宋_GB2312" w:cs="仿宋_GB2312"/>
          <w:color w:val="auto"/>
          <w:sz w:val="36"/>
          <w:szCs w:val="36"/>
          <w:highlight w:val="yellow"/>
        </w:rPr>
        <w:t>日</w:t>
      </w:r>
      <w:r>
        <w:rPr>
          <w:rFonts w:hint="eastAsia" w:ascii="仿宋" w:hAnsi="仿宋" w:eastAsia="仿宋" w:cs="仿宋"/>
          <w:color w:val="auto"/>
          <w:sz w:val="24"/>
          <w:highlight w:val="none"/>
        </w:rPr>
        <w:br w:type="page"/>
      </w:r>
      <w:bookmarkStart w:id="0" w:name="_Hlt67893495"/>
      <w:bookmarkEnd w:id="0"/>
    </w:p>
    <w:p w14:paraId="0E70ABAE">
      <w:pPr>
        <w:spacing w:line="360" w:lineRule="auto"/>
        <w:jc w:val="center"/>
        <w:rPr>
          <w:rFonts w:ascii="仿宋" w:hAnsi="仿宋" w:eastAsia="仿宋" w:cs="仿宋"/>
          <w:color w:val="auto"/>
          <w:sz w:val="24"/>
          <w:highlight w:val="none"/>
        </w:rPr>
      </w:pPr>
    </w:p>
    <w:p w14:paraId="65EA638E">
      <w:pPr>
        <w:spacing w:line="360" w:lineRule="auto"/>
        <w:jc w:val="center"/>
        <w:rPr>
          <w:rFonts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目  录</w:t>
      </w:r>
    </w:p>
    <w:p w14:paraId="6FD681E6">
      <w:pPr>
        <w:spacing w:line="360" w:lineRule="auto"/>
        <w:rPr>
          <w:rFonts w:ascii="仿宋_GB2312" w:hAnsi="仿宋_GB2312" w:eastAsia="仿宋_GB2312" w:cs="仿宋_GB2312"/>
          <w:color w:val="auto"/>
          <w:sz w:val="32"/>
          <w:szCs w:val="32"/>
          <w:highlight w:val="none"/>
        </w:rPr>
      </w:pPr>
    </w:p>
    <w:p w14:paraId="7D520B0F">
      <w:pPr>
        <w:spacing w:line="360" w:lineRule="auto"/>
        <w:rPr>
          <w:rFonts w:ascii="仿宋_GB2312" w:hAnsi="仿宋_GB2312" w:eastAsia="仿宋_GB2312" w:cs="仿宋_GB2312"/>
          <w:color w:val="auto"/>
          <w:sz w:val="32"/>
          <w:szCs w:val="32"/>
          <w:highlight w:val="none"/>
        </w:rPr>
      </w:pPr>
    </w:p>
    <w:p w14:paraId="09B8F3CA">
      <w:pPr>
        <w:spacing w:line="360" w:lineRule="auto"/>
        <w:ind w:firstLine="1280" w:firstLineChars="4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第一部分      招标公告</w:t>
      </w:r>
    </w:p>
    <w:p w14:paraId="1A4BA6FC">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第二部分      投标人须知</w:t>
      </w:r>
    </w:p>
    <w:p w14:paraId="5BF64B3D">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第三部分      采购需求</w:t>
      </w:r>
    </w:p>
    <w:p w14:paraId="5C9E2141">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第四部分      评标办法</w:t>
      </w:r>
    </w:p>
    <w:p w14:paraId="36ECA4B6">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第五部分      拟签订的合同文本</w:t>
      </w:r>
    </w:p>
    <w:p w14:paraId="79D5EB3C">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第六部分      应提交的有关格式范例</w:t>
      </w:r>
    </w:p>
    <w:p w14:paraId="7775F8C5">
      <w:pPr>
        <w:spacing w:line="360" w:lineRule="auto"/>
        <w:ind w:firstLine="549" w:firstLineChars="229"/>
        <w:rPr>
          <w:rFonts w:ascii="仿宋_GB2312" w:hAnsi="仿宋_GB2312" w:eastAsia="仿宋_GB2312" w:cs="仿宋_GB2312"/>
          <w:color w:val="auto"/>
          <w:sz w:val="24"/>
          <w:highlight w:val="none"/>
        </w:rPr>
      </w:pPr>
      <w:bookmarkStart w:id="1" w:name="_Hlt91233176"/>
      <w:bookmarkEnd w:id="1"/>
      <w:bookmarkStart w:id="2" w:name="_Toc91899869"/>
    </w:p>
    <w:p w14:paraId="0AAFEFA4">
      <w:pPr>
        <w:spacing w:line="360" w:lineRule="auto"/>
        <w:ind w:firstLine="549" w:firstLineChars="229"/>
        <w:rPr>
          <w:rFonts w:ascii="仿宋" w:hAnsi="仿宋" w:eastAsia="仿宋" w:cs="仿宋"/>
          <w:color w:val="auto"/>
          <w:sz w:val="24"/>
          <w:highlight w:val="none"/>
        </w:rPr>
      </w:pPr>
    </w:p>
    <w:p w14:paraId="73D3BD37">
      <w:pPr>
        <w:spacing w:line="360" w:lineRule="auto"/>
        <w:ind w:firstLine="549" w:firstLineChars="229"/>
        <w:rPr>
          <w:rFonts w:ascii="仿宋" w:hAnsi="仿宋" w:eastAsia="仿宋" w:cs="仿宋"/>
          <w:color w:val="auto"/>
          <w:sz w:val="24"/>
          <w:highlight w:val="none"/>
        </w:rPr>
      </w:pPr>
    </w:p>
    <w:p w14:paraId="4C01C2E5">
      <w:pPr>
        <w:spacing w:line="360" w:lineRule="auto"/>
        <w:ind w:firstLine="549" w:firstLineChars="229"/>
        <w:rPr>
          <w:rFonts w:ascii="仿宋" w:hAnsi="仿宋" w:eastAsia="仿宋" w:cs="仿宋"/>
          <w:color w:val="auto"/>
          <w:sz w:val="24"/>
          <w:highlight w:val="none"/>
        </w:rPr>
      </w:pPr>
    </w:p>
    <w:p w14:paraId="44F63009">
      <w:pPr>
        <w:spacing w:line="360" w:lineRule="auto"/>
        <w:ind w:firstLine="549" w:firstLineChars="229"/>
        <w:rPr>
          <w:rFonts w:ascii="仿宋" w:hAnsi="仿宋" w:eastAsia="仿宋" w:cs="仿宋"/>
          <w:color w:val="auto"/>
          <w:sz w:val="24"/>
          <w:highlight w:val="none"/>
        </w:rPr>
      </w:pPr>
    </w:p>
    <w:p w14:paraId="4311AEBC">
      <w:pPr>
        <w:spacing w:line="360" w:lineRule="auto"/>
        <w:ind w:firstLine="549" w:firstLineChars="229"/>
        <w:rPr>
          <w:rFonts w:ascii="仿宋" w:hAnsi="仿宋" w:eastAsia="仿宋" w:cs="仿宋"/>
          <w:color w:val="auto"/>
          <w:sz w:val="24"/>
          <w:highlight w:val="none"/>
        </w:rPr>
      </w:pPr>
    </w:p>
    <w:p w14:paraId="0F75E166">
      <w:pPr>
        <w:spacing w:line="360" w:lineRule="auto"/>
        <w:ind w:firstLine="549" w:firstLineChars="229"/>
        <w:rPr>
          <w:rFonts w:ascii="仿宋" w:hAnsi="仿宋" w:eastAsia="仿宋" w:cs="仿宋"/>
          <w:color w:val="auto"/>
          <w:sz w:val="24"/>
          <w:highlight w:val="none"/>
        </w:rPr>
      </w:pPr>
    </w:p>
    <w:p w14:paraId="3D57E96C">
      <w:pPr>
        <w:spacing w:line="360" w:lineRule="auto"/>
        <w:ind w:firstLine="549" w:firstLineChars="229"/>
        <w:rPr>
          <w:rFonts w:ascii="仿宋" w:hAnsi="仿宋" w:eastAsia="仿宋" w:cs="仿宋"/>
          <w:color w:val="auto"/>
          <w:sz w:val="24"/>
          <w:highlight w:val="none"/>
        </w:rPr>
      </w:pPr>
    </w:p>
    <w:p w14:paraId="2E27B31E">
      <w:pPr>
        <w:spacing w:line="360" w:lineRule="auto"/>
        <w:ind w:firstLine="549" w:firstLineChars="229"/>
        <w:rPr>
          <w:rFonts w:ascii="仿宋" w:hAnsi="仿宋" w:eastAsia="仿宋" w:cs="仿宋"/>
          <w:color w:val="auto"/>
          <w:sz w:val="24"/>
          <w:highlight w:val="none"/>
        </w:rPr>
      </w:pPr>
    </w:p>
    <w:p w14:paraId="2B42AB36">
      <w:pPr>
        <w:spacing w:line="360" w:lineRule="auto"/>
        <w:ind w:firstLine="549" w:firstLineChars="229"/>
        <w:rPr>
          <w:rFonts w:ascii="仿宋" w:hAnsi="仿宋" w:eastAsia="仿宋" w:cs="仿宋"/>
          <w:color w:val="auto"/>
          <w:sz w:val="24"/>
          <w:highlight w:val="none"/>
        </w:rPr>
      </w:pPr>
    </w:p>
    <w:p w14:paraId="12CD47C6">
      <w:pPr>
        <w:spacing w:line="360" w:lineRule="auto"/>
        <w:ind w:firstLine="549" w:firstLineChars="229"/>
        <w:rPr>
          <w:rFonts w:ascii="仿宋" w:hAnsi="仿宋" w:eastAsia="仿宋" w:cs="仿宋"/>
          <w:color w:val="auto"/>
          <w:sz w:val="24"/>
          <w:highlight w:val="none"/>
        </w:rPr>
      </w:pPr>
    </w:p>
    <w:p w14:paraId="5612F5C2">
      <w:pPr>
        <w:spacing w:line="360" w:lineRule="auto"/>
        <w:ind w:firstLine="549" w:firstLineChars="229"/>
        <w:rPr>
          <w:rFonts w:ascii="仿宋" w:hAnsi="仿宋" w:eastAsia="仿宋" w:cs="仿宋"/>
          <w:color w:val="auto"/>
          <w:sz w:val="24"/>
          <w:highlight w:val="none"/>
        </w:rPr>
      </w:pPr>
    </w:p>
    <w:p w14:paraId="3B687197">
      <w:pPr>
        <w:spacing w:line="360" w:lineRule="auto"/>
        <w:ind w:firstLine="549" w:firstLineChars="229"/>
        <w:rPr>
          <w:rFonts w:ascii="仿宋" w:hAnsi="仿宋" w:eastAsia="仿宋" w:cs="仿宋"/>
          <w:color w:val="auto"/>
          <w:sz w:val="24"/>
          <w:highlight w:val="none"/>
        </w:rPr>
      </w:pPr>
    </w:p>
    <w:p w14:paraId="56992412">
      <w:pPr>
        <w:spacing w:line="360" w:lineRule="auto"/>
        <w:rPr>
          <w:rFonts w:ascii="仿宋" w:hAnsi="仿宋" w:eastAsia="仿宋" w:cs="仿宋"/>
          <w:color w:val="auto"/>
          <w:sz w:val="24"/>
          <w:highlight w:val="none"/>
        </w:rPr>
      </w:pPr>
    </w:p>
    <w:bookmarkEnd w:id="2"/>
    <w:p w14:paraId="65302E98">
      <w:pPr>
        <w:adjustRightInd/>
        <w:spacing w:line="360" w:lineRule="auto"/>
        <w:jc w:val="center"/>
        <w:outlineLvl w:val="9"/>
        <w:rPr>
          <w:rFonts w:ascii="仿宋" w:hAnsi="仿宋" w:eastAsia="仿宋" w:cs="仿宋"/>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p>
    <w:p w14:paraId="20A6131C">
      <w:pPr>
        <w:adjustRightInd/>
        <w:spacing w:line="360" w:lineRule="auto"/>
        <w:jc w:val="center"/>
        <w:outlineLvl w:val="0"/>
        <w:rPr>
          <w:rFonts w:hint="eastAsia" w:ascii="仿宋_GB2312" w:hAnsi="仿宋_GB2312" w:eastAsia="仿宋_GB2312" w:cs="仿宋_GB2312"/>
          <w:b/>
          <w:color w:val="auto"/>
          <w:sz w:val="36"/>
          <w:szCs w:val="20"/>
          <w:highlight w:val="none"/>
        </w:rPr>
      </w:pPr>
    </w:p>
    <w:p w14:paraId="594CD3F3">
      <w:pPr>
        <w:adjustRightInd/>
        <w:spacing w:line="360" w:lineRule="auto"/>
        <w:jc w:val="center"/>
        <w:outlineLvl w:val="0"/>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第一部分 招标公告</w:t>
      </w:r>
    </w:p>
    <w:p w14:paraId="749D3F2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项目概况</w:t>
      </w:r>
    </w:p>
    <w:p w14:paraId="2B10C06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仿宋_GB2312" w:hAnsi="仿宋_GB2312" w:eastAsia="仿宋_GB2312" w:cs="仿宋_GB2312"/>
          <w:snapToGrid/>
          <w:color w:val="auto"/>
          <w:kern w:val="2"/>
          <w:sz w:val="24"/>
          <w:szCs w:val="24"/>
          <w:highlight w:val="none"/>
        </w:rPr>
        <w:t>https://www.zcygov.cn/）获取（下载）招标文件，并于</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日9点30分</w:t>
      </w:r>
      <w:r>
        <w:rPr>
          <w:rFonts w:hint="eastAsia" w:ascii="仿宋_GB2312" w:hAnsi="仿宋_GB2312" w:eastAsia="仿宋_GB2312" w:cs="仿宋_GB2312"/>
          <w:bCs/>
          <w:color w:val="auto"/>
          <w:sz w:val="24"/>
          <w:highlight w:val="none"/>
          <w:u w:val="single"/>
        </w:rPr>
        <w:t>00秒</w:t>
      </w:r>
      <w:r>
        <w:rPr>
          <w:rFonts w:hint="eastAsia" w:ascii="仿宋_GB2312" w:hAnsi="仿宋_GB2312" w:eastAsia="仿宋_GB2312" w:cs="仿宋_GB2312"/>
          <w:bCs/>
          <w:color w:val="auto"/>
          <w:sz w:val="24"/>
          <w:highlight w:val="none"/>
          <w:u w:val="single"/>
        </w:rPr>
        <w:fldChar w:fldCharType="end"/>
      </w:r>
      <w:r>
        <w:rPr>
          <w:rFonts w:hint="eastAsia" w:ascii="仿宋_GB2312" w:hAnsi="仿宋_GB2312" w:eastAsia="仿宋_GB2312" w:cs="仿宋_GB2312"/>
          <w:bCs/>
          <w:color w:val="auto"/>
          <w:sz w:val="24"/>
          <w:highlight w:val="none"/>
        </w:rPr>
        <w:t>（北京时间）前</w:t>
      </w:r>
      <w:r>
        <w:rPr>
          <w:rFonts w:hint="eastAsia" w:ascii="仿宋_GB2312" w:hAnsi="仿宋_GB2312" w:eastAsia="仿宋_GB2312" w:cs="仿宋_GB2312"/>
          <w:color w:val="auto"/>
          <w:sz w:val="24"/>
          <w:highlight w:val="none"/>
        </w:rPr>
        <w:t>递交（上传）投标文件。</w:t>
      </w:r>
    </w:p>
    <w:p w14:paraId="31CC1DEB">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一、项目基本情况</w:t>
      </w:r>
    </w:p>
    <w:p w14:paraId="5D1DA1DB">
      <w:pPr>
        <w:spacing w:line="360" w:lineRule="auto"/>
        <w:ind w:firstLine="480" w:firstLineChars="200"/>
        <w:outlineLvl w:val="2"/>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项目编号：</w:t>
      </w:r>
      <w:bookmarkStart w:id="398" w:name="_GoBack"/>
      <w:bookmarkEnd w:id="398"/>
      <w:r>
        <w:rPr>
          <w:rFonts w:hint="eastAsia" w:ascii="仿宋_GB2312" w:hAnsi="仿宋_GB2312" w:eastAsia="仿宋_GB2312" w:cs="仿宋_GB2312"/>
          <w:color w:val="auto"/>
          <w:sz w:val="24"/>
          <w:highlight w:val="none"/>
          <w:lang w:eastAsia="zh-CN"/>
        </w:rPr>
        <w:t>QTCG-GK-2025-103</w:t>
      </w:r>
    </w:p>
    <w:p w14:paraId="7BC75057">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lang w:eastAsia="zh-CN"/>
        </w:rPr>
        <w:t>新湾街道2025年雪亮工程二期续建项目</w:t>
      </w:r>
    </w:p>
    <w:p w14:paraId="6334157C">
      <w:pPr>
        <w:spacing w:line="360" w:lineRule="auto"/>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预算金额（元）：</w:t>
      </w:r>
      <w:r>
        <w:rPr>
          <w:rFonts w:hint="eastAsia" w:ascii="仿宋_GB2312" w:hAnsi="仿宋_GB2312" w:eastAsia="仿宋_GB2312" w:cs="仿宋_GB2312"/>
          <w:color w:val="auto"/>
          <w:sz w:val="24"/>
          <w:highlight w:val="none"/>
          <w:lang w:val="en-US" w:eastAsia="zh-CN"/>
        </w:rPr>
        <w:t>3510000</w:t>
      </w:r>
    </w:p>
    <w:p w14:paraId="181B2ADA">
      <w:pPr>
        <w:spacing w:line="360" w:lineRule="auto"/>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最高限价（元）：</w:t>
      </w:r>
      <w:r>
        <w:rPr>
          <w:rFonts w:hint="eastAsia" w:ascii="仿宋_GB2312" w:hAnsi="仿宋_GB2312" w:eastAsia="仿宋_GB2312" w:cs="仿宋_GB2312"/>
          <w:color w:val="auto"/>
          <w:sz w:val="24"/>
          <w:highlight w:val="none"/>
          <w:lang w:val="en-US" w:eastAsia="zh-CN"/>
        </w:rPr>
        <w:t>3510000</w:t>
      </w:r>
    </w:p>
    <w:p w14:paraId="2FB7A911">
      <w:pPr>
        <w:pStyle w:val="15"/>
        <w:spacing w:line="360" w:lineRule="auto"/>
        <w:ind w:firstLine="48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采购需求：</w:t>
      </w:r>
    </w:p>
    <w:p w14:paraId="6066B601">
      <w:pPr>
        <w:pStyle w:val="15"/>
        <w:spacing w:line="360" w:lineRule="auto"/>
        <w:ind w:firstLine="48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标项一</w:t>
      </w:r>
    </w:p>
    <w:p w14:paraId="79AFA7DA">
      <w:pPr>
        <w:pStyle w:val="15"/>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标项名称：</w:t>
      </w:r>
      <w:r>
        <w:rPr>
          <w:rFonts w:hint="eastAsia" w:ascii="仿宋_GB2312" w:hAnsi="仿宋_GB2312" w:eastAsia="仿宋_GB2312" w:cs="仿宋_GB2312"/>
          <w:bCs/>
          <w:color w:val="auto"/>
          <w:sz w:val="24"/>
          <w:highlight w:val="none"/>
          <w:lang w:eastAsia="zh-CN"/>
        </w:rPr>
        <w:t>新湾街道2025年雪亮工程二期续建项目</w:t>
      </w:r>
    </w:p>
    <w:p w14:paraId="54D0A3FA">
      <w:pPr>
        <w:pStyle w:val="15"/>
        <w:spacing w:line="360" w:lineRule="auto"/>
        <w:ind w:firstLine="480"/>
        <w:rPr>
          <w:rFonts w:ascii="仿宋_GB2312" w:hAnsi="仿宋_GB2312" w:eastAsia="仿宋_GB2312" w:cs="仿宋_GB2312"/>
          <w:bCs/>
          <w:snapToGrid/>
          <w:color w:val="auto"/>
          <w:kern w:val="2"/>
          <w:sz w:val="24"/>
          <w:szCs w:val="24"/>
          <w:highlight w:val="none"/>
        </w:rPr>
      </w:pPr>
      <w:r>
        <w:rPr>
          <w:rFonts w:hint="eastAsia" w:ascii="仿宋_GB2312" w:hAnsi="仿宋_GB2312" w:eastAsia="仿宋_GB2312" w:cs="仿宋_GB2312"/>
          <w:bCs/>
          <w:snapToGrid/>
          <w:color w:val="auto"/>
          <w:kern w:val="2"/>
          <w:sz w:val="24"/>
          <w:szCs w:val="24"/>
          <w:highlight w:val="none"/>
        </w:rPr>
        <w:t>数量:一批</w:t>
      </w:r>
    </w:p>
    <w:p w14:paraId="53CE8577">
      <w:pPr>
        <w:pStyle w:val="15"/>
        <w:spacing w:line="360" w:lineRule="auto"/>
        <w:ind w:firstLine="480"/>
        <w:rPr>
          <w:rFonts w:hint="default" w:ascii="仿宋_GB2312" w:hAnsi="仿宋_GB2312" w:eastAsia="仿宋_GB2312" w:cs="仿宋_GB2312"/>
          <w:bCs/>
          <w:snapToGrid/>
          <w:color w:val="auto"/>
          <w:kern w:val="2"/>
          <w:sz w:val="24"/>
          <w:szCs w:val="24"/>
          <w:highlight w:val="none"/>
          <w:lang w:val="en-US" w:eastAsia="zh-CN"/>
        </w:rPr>
      </w:pPr>
      <w:r>
        <w:rPr>
          <w:rFonts w:hint="eastAsia" w:ascii="仿宋_GB2312" w:hAnsi="仿宋_GB2312" w:eastAsia="仿宋_GB2312" w:cs="仿宋_GB2312"/>
          <w:bCs/>
          <w:snapToGrid/>
          <w:color w:val="auto"/>
          <w:kern w:val="2"/>
          <w:sz w:val="24"/>
          <w:szCs w:val="24"/>
          <w:highlight w:val="none"/>
        </w:rPr>
        <w:t>预算金额（元）</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3510000</w:t>
      </w:r>
    </w:p>
    <w:p w14:paraId="179DC9BD">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简要规格描述或项目基本概况介绍、用途：延续新湾街道雪亮工程，通过升级150个高清治安监控点位、8个交通监控点位及1个治安全景点位，提升治安监控体系智能化水平。项目包括设备机箱、存储系统、立杆及管线等配套设施升级，并整合1个交通信号控制器，实现与钱塘区视频专网无缝对接。详见招标文件第三部分采购需求，供应商可点击本公告下方“浏览采购文件”查看采购需求。</w:t>
      </w:r>
    </w:p>
    <w:p w14:paraId="6CF31F70">
      <w:pPr>
        <w:pStyle w:val="15"/>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bCs/>
          <w:snapToGrid/>
          <w:color w:val="auto"/>
          <w:kern w:val="2"/>
          <w:sz w:val="24"/>
          <w:szCs w:val="24"/>
          <w:highlight w:val="none"/>
        </w:rPr>
        <w:t>备注：无</w:t>
      </w:r>
    </w:p>
    <w:p w14:paraId="214A364B">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合同履约期限：服务期3年，自试运行结束后起计。</w:t>
      </w:r>
    </w:p>
    <w:p w14:paraId="1690D342">
      <w:pPr>
        <w:pStyle w:val="61"/>
        <w:autoSpaceDE w:val="0"/>
        <w:snapToGrid w:val="0"/>
        <w:spacing w:before="0" w:beforeAutospacing="0" w:after="0" w:afterAutospacing="0" w:line="360" w:lineRule="auto"/>
        <w:ind w:firstLine="480" w:firstLineChars="200"/>
        <w:jc w:val="both"/>
        <w:rPr>
          <w:rFonts w:ascii="仿宋" w:hAnsi="仿宋" w:eastAsia="仿宋" w:cs="仿宋"/>
          <w:b/>
          <w:color w:val="auto"/>
          <w:highlight w:val="none"/>
        </w:rPr>
      </w:pPr>
      <w:r>
        <w:rPr>
          <w:rFonts w:hint="eastAsia" w:ascii="仿宋_GB2312" w:hAnsi="仿宋_GB2312" w:eastAsia="仿宋_GB2312" w:cs="仿宋_GB2312"/>
          <w:color w:val="auto"/>
          <w:highlight w:val="none"/>
        </w:rPr>
        <w:t>本项目接受联合体投标：</w:t>
      </w:r>
      <w:sdt>
        <w:sdtPr>
          <w:rPr>
            <w:rFonts w:hint="eastAsia" w:ascii="仿宋_GB2312" w:hAnsi="仿宋_GB2312" w:eastAsia="仿宋_GB2312" w:cs="仿宋_GB2312"/>
            <w:color w:val="auto"/>
            <w:highlight w:val="none"/>
          </w:rPr>
          <w:id w:val="2035453831"/>
          <w14:checkbox>
            <w14:checked w14:val="1"/>
            <w14:checkedState w14:val="00FE" w14:font="Wingdings"/>
            <w14:uncheckedState w14:val="2610" w14:font="MS Gothic"/>
          </w14:checkbox>
        </w:sdtPr>
        <w:sdtEndPr>
          <w:rPr>
            <w:rFonts w:hint="eastAsia" w:ascii="仿宋_GB2312" w:hAnsi="仿宋_GB2312" w:eastAsia="仿宋_GB2312" w:cs="仿宋_GB2312"/>
            <w:color w:val="auto"/>
            <w:highlight w:val="none"/>
          </w:rPr>
        </w:sdtEndPr>
        <w:sdtContent>
          <w:r>
            <w:rPr>
              <w:rFonts w:ascii="Wingdings" w:hAnsi="Wingdings" w:eastAsia="仿宋" w:cs="仿宋"/>
              <w:snapToGrid w:val="0"/>
              <w:color w:val="auto"/>
              <w:highlight w:val="none"/>
            </w:rPr>
            <w:t></w:t>
          </w:r>
        </w:sdtContent>
      </w:sdt>
      <w:r>
        <w:rPr>
          <w:rFonts w:hint="eastAsia" w:ascii="仿宋_GB2312" w:hAnsi="仿宋_GB2312" w:eastAsia="仿宋_GB2312" w:cs="仿宋_GB2312"/>
          <w:color w:val="auto"/>
          <w:highlight w:val="none"/>
        </w:rPr>
        <w:t>是，</w:t>
      </w:r>
      <w:sdt>
        <w:sdtPr>
          <w:rPr>
            <w:rFonts w:hint="eastAsia" w:ascii="仿宋" w:hAnsi="仿宋" w:eastAsia="仿宋" w:cs="仿宋"/>
            <w:color w:val="auto"/>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MS Gothic" w:hAnsi="MS Gothic" w:eastAsia="仿宋" w:cs="仿宋"/>
              <w:snapToGrid w:val="0"/>
              <w:color w:val="auto"/>
              <w:highlight w:val="none"/>
            </w:rPr>
            <w:t>☐</w:t>
          </w:r>
        </w:sdtContent>
      </w:sdt>
      <w:r>
        <w:rPr>
          <w:rFonts w:hint="eastAsia" w:ascii="仿宋_GB2312" w:hAnsi="仿宋_GB2312" w:eastAsia="仿宋_GB2312" w:cs="仿宋_GB2312"/>
          <w:color w:val="auto"/>
          <w:highlight w:val="none"/>
        </w:rPr>
        <w:t>否。</w:t>
      </w:r>
    </w:p>
    <w:p w14:paraId="742F45F7">
      <w:pPr>
        <w:spacing w:line="360" w:lineRule="auto"/>
        <w:outlineLvl w:val="1"/>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b/>
          <w:color w:val="auto"/>
          <w:sz w:val="24"/>
          <w:highlight w:val="none"/>
        </w:rPr>
        <w:t>二、申请人的资格要求：</w:t>
      </w:r>
    </w:p>
    <w:p w14:paraId="278A5A44">
      <w:pPr>
        <w:spacing w:line="360" w:lineRule="auto"/>
        <w:ind w:firstLine="480"/>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0F60184">
      <w:pPr>
        <w:spacing w:line="360" w:lineRule="auto"/>
        <w:ind w:firstLine="480"/>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2.以联合体形式投标的，提供联合协议(本项目不接受联合体投标或者投标人不以联合体形式投标的，则不需要提供) ；</w:t>
      </w:r>
    </w:p>
    <w:p w14:paraId="047CED4B">
      <w:pPr>
        <w:spacing w:line="360" w:lineRule="auto"/>
        <w:ind w:firstLine="480"/>
        <w:outlineLvl w:val="2"/>
        <w:rPr>
          <w:rFonts w:ascii="仿宋_GB2312" w:hAnsi="仿宋_GB2312" w:eastAsia="仿宋_GB2312" w:cs="仿宋_GB2312"/>
          <w:color w:val="auto"/>
          <w:kern w:val="0"/>
          <w:sz w:val="24"/>
          <w:highlight w:val="none"/>
        </w:rPr>
      </w:pPr>
      <w:r>
        <w:rPr>
          <w:rFonts w:hint="eastAsia" w:ascii="仿宋_GB2312" w:hAnsi="仿宋_GB2312" w:eastAsia="仿宋_GB2312" w:cs="仿宋_GB2312"/>
          <w:snapToGrid w:val="0"/>
          <w:color w:val="auto"/>
          <w:kern w:val="28"/>
          <w:sz w:val="24"/>
          <w:szCs w:val="20"/>
          <w:highlight w:val="none"/>
        </w:rPr>
        <w:t>3.落实政府采购政策需满足的资格要求：</w:t>
      </w:r>
    </w:p>
    <w:p w14:paraId="0657270F">
      <w:pPr>
        <w:spacing w:line="360" w:lineRule="auto"/>
        <w:ind w:firstLine="48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无；</w:t>
      </w:r>
    </w:p>
    <w:p w14:paraId="5E8FAB79">
      <w:pPr>
        <w:spacing w:line="360" w:lineRule="auto"/>
        <w:ind w:firstLine="480" w:firstLineChars="200"/>
        <w:rPr>
          <w:rFonts w:ascii="仿宋" w:hAnsi="仿宋" w:eastAsia="仿宋_GB2312" w:cs="仿宋"/>
          <w:color w:val="auto"/>
          <w:sz w:val="24"/>
          <w:highlight w:val="none"/>
        </w:rPr>
      </w:pPr>
      <w:sdt>
        <w:sdtPr>
          <w:rPr>
            <w:rFonts w:hint="eastAsia" w:ascii="仿宋" w:hAnsi="仿宋" w:eastAsia="仿宋" w:cs="仿宋"/>
            <w:color w:val="auto"/>
            <w:kern w:val="0"/>
            <w:sz w:val="24"/>
            <w:highlight w:val="none"/>
          </w:rPr>
          <w:id w:val="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p>
    <w:p w14:paraId="78D4FF96">
      <w:pPr>
        <w:spacing w:line="360" w:lineRule="auto"/>
        <w:ind w:firstLine="897" w:firstLineChars="374"/>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服务</w:t>
      </w:r>
      <w:r>
        <w:rPr>
          <w:rFonts w:hint="eastAsia" w:ascii="仿宋_GB2312" w:hAnsi="仿宋_GB2312" w:eastAsia="仿宋_GB2312" w:cs="仿宋_GB2312"/>
          <w:snapToGrid w:val="0"/>
          <w:color w:val="auto"/>
          <w:kern w:val="28"/>
          <w:sz w:val="24"/>
          <w:highlight w:val="none"/>
        </w:rPr>
        <w:t>全部由符合政策要求的中小企业承接，提供中小企业声明函；</w:t>
      </w:r>
    </w:p>
    <w:p w14:paraId="164B4F4E">
      <w:pPr>
        <w:spacing w:line="360" w:lineRule="auto"/>
        <w:ind w:firstLine="897" w:firstLineChars="374"/>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服务</w:t>
      </w:r>
      <w:r>
        <w:rPr>
          <w:rFonts w:hint="eastAsia" w:ascii="仿宋_GB2312" w:hAnsi="仿宋_GB2312" w:eastAsia="仿宋_GB2312" w:cs="仿宋_GB2312"/>
          <w:snapToGrid w:val="0"/>
          <w:color w:val="auto"/>
          <w:kern w:val="28"/>
          <w:sz w:val="24"/>
          <w:highlight w:val="none"/>
        </w:rPr>
        <w:t>全部由符合政策要求的小微企业承接，提供中小企业声明函；</w:t>
      </w:r>
    </w:p>
    <w:p w14:paraId="7BAC9512">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9"/>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_GB2312" w:hAnsi="仿宋_GB2312" w:eastAsia="仿宋_GB2312" w:cs="仿宋_GB2312"/>
          <w:color w:val="auto"/>
          <w:sz w:val="24"/>
          <w:highlight w:val="none"/>
        </w:rPr>
        <w:t>；</w:t>
      </w:r>
    </w:p>
    <w:p w14:paraId="1AD8DB12">
      <w:pPr>
        <w:spacing w:line="360" w:lineRule="auto"/>
        <w:ind w:firstLine="480" w:firstLineChars="200"/>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，其中小微企业合同金额应当达到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w:t>
      </w:r>
      <w:r>
        <w:rPr>
          <w:rFonts w:hint="eastAsia" w:ascii="仿宋_GB2312" w:hAnsi="仿宋_GB2312" w:eastAsia="仿宋_GB2312" w:cs="仿宋_GB2312"/>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_GB2312" w:hAnsi="仿宋_GB2312" w:eastAsia="仿宋_GB2312" w:cs="仿宋_GB2312"/>
          <w:color w:val="auto"/>
          <w:sz w:val="24"/>
          <w:highlight w:val="none"/>
        </w:rPr>
        <w:t>；</w:t>
      </w:r>
    </w:p>
    <w:p w14:paraId="7A748D32">
      <w:pPr>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4.本项目的特定资格要求：</w:t>
      </w:r>
    </w:p>
    <w:p w14:paraId="00EA6904">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848017119"/>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无</w:t>
      </w:r>
    </w:p>
    <w:p w14:paraId="06219E22">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有特定资格要求：</w:t>
      </w:r>
      <w:r>
        <w:rPr>
          <w:rFonts w:hint="eastAsia" w:ascii="仿宋_GB2312" w:hAnsi="仿宋_GB2312" w:eastAsia="仿宋_GB2312" w:cs="仿宋_GB2312"/>
          <w:b/>
          <w:bCs/>
          <w:color w:val="auto"/>
          <w:sz w:val="24"/>
          <w:highlight w:val="none"/>
          <w:u w:val="single"/>
        </w:rPr>
        <w:t xml:space="preserve">           </w:t>
      </w:r>
      <w:r>
        <w:rPr>
          <w:rFonts w:hint="eastAsia" w:ascii="仿宋_GB2312" w:hAnsi="仿宋_GB2312" w:eastAsia="仿宋_GB2312" w:cs="仿宋_GB2312"/>
          <w:color w:val="auto"/>
          <w:sz w:val="24"/>
          <w:highlight w:val="none"/>
        </w:rPr>
        <w:t>，该特定条件的法律法规依据：</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2730200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92ED6A">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三、获取招标文件 </w:t>
      </w:r>
    </w:p>
    <w:p w14:paraId="281B5EE5">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u w:val="single"/>
        </w:rPr>
        <w:t>/至</w:t>
      </w:r>
      <w:r>
        <w:rPr>
          <w:rFonts w:hint="eastAsia" w:ascii="仿宋_GB2312" w:hAnsi="仿宋_GB2312" w:eastAsia="仿宋_GB2312" w:cs="仿宋_GB2312"/>
          <w:color w:val="auto"/>
          <w:sz w:val="24"/>
          <w:highlight w:val="yellow"/>
          <w:u w:val="single"/>
        </w:rPr>
        <w:t>202</w:t>
      </w:r>
      <w:r>
        <w:rPr>
          <w:rFonts w:hint="eastAsia" w:ascii="仿宋_GB2312" w:hAnsi="仿宋_GB2312" w:eastAsia="仿宋_GB2312" w:cs="仿宋_GB2312"/>
          <w:color w:val="auto"/>
          <w:sz w:val="24"/>
          <w:highlight w:val="yellow"/>
          <w:u w:val="single"/>
          <w:lang w:val="en-US" w:eastAsia="zh-CN"/>
        </w:rPr>
        <w:t>5</w:t>
      </w:r>
      <w:r>
        <w:rPr>
          <w:rFonts w:hint="eastAsia" w:ascii="仿宋_GB2312" w:hAnsi="仿宋_GB2312" w:eastAsia="仿宋_GB2312" w:cs="仿宋_GB2312"/>
          <w:color w:val="auto"/>
          <w:sz w:val="24"/>
          <w:highlight w:val="yellow"/>
          <w:u w:val="single"/>
        </w:rPr>
        <w:t>年</w:t>
      </w:r>
      <w:r>
        <w:rPr>
          <w:rFonts w:hint="eastAsia" w:ascii="仿宋_GB2312" w:hAnsi="仿宋_GB2312" w:eastAsia="仿宋_GB2312" w:cs="仿宋_GB2312"/>
          <w:color w:val="auto"/>
          <w:sz w:val="24"/>
          <w:highlight w:val="yellow"/>
          <w:u w:val="single"/>
          <w:lang w:val="en-US" w:eastAsia="zh-CN"/>
        </w:rPr>
        <w:t xml:space="preserve">  </w:t>
      </w:r>
      <w:r>
        <w:rPr>
          <w:rFonts w:hint="eastAsia" w:ascii="仿宋_GB2312" w:hAnsi="仿宋_GB2312" w:eastAsia="仿宋_GB2312" w:cs="仿宋_GB2312"/>
          <w:color w:val="auto"/>
          <w:sz w:val="24"/>
          <w:highlight w:val="yellow"/>
          <w:u w:val="single"/>
        </w:rPr>
        <w:t>月</w:t>
      </w:r>
      <w:r>
        <w:rPr>
          <w:rFonts w:hint="eastAsia" w:ascii="仿宋_GB2312" w:hAnsi="仿宋_GB2312" w:eastAsia="仿宋_GB2312" w:cs="仿宋_GB2312"/>
          <w:color w:val="auto"/>
          <w:sz w:val="24"/>
          <w:highlight w:val="yellow"/>
          <w:u w:val="single"/>
          <w:lang w:val="en-US" w:eastAsia="zh-CN"/>
        </w:rPr>
        <w:t xml:space="preserve">  </w:t>
      </w:r>
      <w:r>
        <w:rPr>
          <w:rFonts w:hint="eastAsia" w:ascii="仿宋_GB2312" w:hAnsi="仿宋_GB2312" w:eastAsia="仿宋_GB2312" w:cs="仿宋_GB2312"/>
          <w:color w:val="auto"/>
          <w:sz w:val="24"/>
          <w:highlight w:val="yellow"/>
          <w:u w:val="single"/>
        </w:rPr>
        <w:t>日</w:t>
      </w:r>
      <w:r>
        <w:rPr>
          <w:rFonts w:hint="eastAsia" w:ascii="仿宋_GB2312" w:hAnsi="仿宋_GB2312" w:eastAsia="仿宋_GB2312" w:cs="仿宋_GB2312"/>
          <w:color w:val="auto"/>
          <w:sz w:val="24"/>
          <w:highlight w:val="none"/>
        </w:rPr>
        <w:t>，每天上午00:00至12:00 ，下午12:00至23:59（北京时间，线上获取法定节假日均可，线下获取文件法定节假日除外）</w:t>
      </w:r>
    </w:p>
    <w:p w14:paraId="0A94DB10">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color w:val="auto"/>
          <w:sz w:val="24"/>
          <w:highlight w:val="none"/>
        </w:rPr>
        <w:t xml:space="preserve">政采云平台线上获取（https://www.zcygov.cn/） </w:t>
      </w:r>
    </w:p>
    <w:p w14:paraId="661B5E56">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方式：</w:t>
      </w:r>
      <w:r>
        <w:rPr>
          <w:rFonts w:hint="eastAsia" w:ascii="仿宋_GB2312" w:hAnsi="仿宋_GB2312" w:eastAsia="仿宋_GB2312" w:cs="仿宋_GB2312"/>
          <w:color w:val="auto"/>
          <w:sz w:val="24"/>
          <w:highlight w:val="none"/>
        </w:rPr>
        <w:t xml:space="preserve">供应商登录政采云平台https://www.zcygov.cn/在线申请获取采购文件（进入“项目采购”应用，在获取采购文件菜单中选择项目，申请获取采购文件）。 </w:t>
      </w:r>
    </w:p>
    <w:p w14:paraId="3C3F3B14">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售价（元）：</w:t>
      </w:r>
      <w:r>
        <w:rPr>
          <w:rFonts w:hint="eastAsia" w:ascii="仿宋_GB2312" w:hAnsi="仿宋_GB2312" w:eastAsia="仿宋_GB2312" w:cs="仿宋_GB2312"/>
          <w:color w:val="auto"/>
          <w:sz w:val="24"/>
          <w:highlight w:val="none"/>
        </w:rPr>
        <w:t xml:space="preserve">0 </w:t>
      </w:r>
      <w:r>
        <w:rPr>
          <w:rFonts w:hint="eastAsia" w:ascii="仿宋_GB2312" w:hAnsi="仿宋_GB2312" w:eastAsia="仿宋_GB2312" w:cs="仿宋_GB2312"/>
          <w:color w:val="auto"/>
          <w:sz w:val="24"/>
          <w:highlight w:val="none"/>
        </w:rPr>
        <w:tab/>
      </w:r>
    </w:p>
    <w:p w14:paraId="27F6FEE5">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四、提交投标文件截止时间、开标时间和地点</w:t>
      </w:r>
    </w:p>
    <w:p w14:paraId="56FBF423">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提交投标文件截止时间：</w:t>
      </w:r>
      <w:r>
        <w:rPr>
          <w:rFonts w:hint="eastAsia" w:ascii="仿宋_GB2312" w:hAnsi="仿宋_GB2312" w:eastAsia="仿宋_GB2312" w:cs="仿宋_GB2312"/>
          <w:color w:val="auto"/>
          <w:sz w:val="24"/>
          <w:highlight w:val="yellow"/>
          <w:u w:val="single"/>
        </w:rPr>
        <w:t>202</w:t>
      </w:r>
      <w:r>
        <w:rPr>
          <w:rFonts w:hint="eastAsia" w:ascii="仿宋_GB2312" w:hAnsi="仿宋_GB2312" w:eastAsia="仿宋_GB2312" w:cs="仿宋_GB2312"/>
          <w:color w:val="auto"/>
          <w:sz w:val="24"/>
          <w:highlight w:val="yellow"/>
          <w:u w:val="single"/>
          <w:lang w:val="en-US" w:eastAsia="zh-CN"/>
        </w:rPr>
        <w:t>5</w:t>
      </w:r>
      <w:r>
        <w:rPr>
          <w:rFonts w:hint="eastAsia" w:ascii="仿宋_GB2312" w:hAnsi="仿宋_GB2312" w:eastAsia="仿宋_GB2312" w:cs="仿宋_GB2312"/>
          <w:color w:val="auto"/>
          <w:sz w:val="24"/>
          <w:highlight w:val="yellow"/>
          <w:u w:val="single"/>
        </w:rPr>
        <w:t>年</w:t>
      </w:r>
      <w:r>
        <w:rPr>
          <w:rFonts w:hint="eastAsia" w:ascii="仿宋_GB2312" w:hAnsi="仿宋_GB2312" w:eastAsia="仿宋_GB2312" w:cs="仿宋_GB2312"/>
          <w:color w:val="auto"/>
          <w:sz w:val="24"/>
          <w:highlight w:val="yellow"/>
          <w:u w:val="single"/>
          <w:lang w:val="en-US" w:eastAsia="zh-CN"/>
        </w:rPr>
        <w:t xml:space="preserve">  </w:t>
      </w:r>
      <w:r>
        <w:rPr>
          <w:rFonts w:hint="eastAsia" w:ascii="仿宋_GB2312" w:hAnsi="仿宋_GB2312" w:eastAsia="仿宋_GB2312" w:cs="仿宋_GB2312"/>
          <w:color w:val="auto"/>
          <w:sz w:val="24"/>
          <w:highlight w:val="yellow"/>
          <w:u w:val="single"/>
        </w:rPr>
        <w:t>月</w:t>
      </w:r>
      <w:r>
        <w:rPr>
          <w:rFonts w:hint="eastAsia" w:ascii="仿宋_GB2312" w:hAnsi="仿宋_GB2312" w:eastAsia="仿宋_GB2312" w:cs="仿宋_GB2312"/>
          <w:color w:val="auto"/>
          <w:sz w:val="24"/>
          <w:highlight w:val="yellow"/>
          <w:u w:val="single"/>
          <w:lang w:val="en-US" w:eastAsia="zh-CN"/>
        </w:rPr>
        <w:t xml:space="preserve">  </w:t>
      </w:r>
      <w:r>
        <w:rPr>
          <w:rFonts w:hint="eastAsia" w:ascii="仿宋_GB2312" w:hAnsi="仿宋_GB2312" w:eastAsia="仿宋_GB2312" w:cs="仿宋_GB2312"/>
          <w:color w:val="auto"/>
          <w:sz w:val="24"/>
          <w:highlight w:val="yellow"/>
          <w:u w:val="single"/>
        </w:rPr>
        <w:t>日9点30分</w:t>
      </w:r>
      <w:r>
        <w:rPr>
          <w:rFonts w:hint="eastAsia" w:ascii="仿宋_GB2312" w:hAnsi="仿宋_GB2312" w:eastAsia="仿宋_GB2312" w:cs="仿宋_GB2312"/>
          <w:bCs/>
          <w:color w:val="auto"/>
          <w:sz w:val="24"/>
          <w:highlight w:val="yellow"/>
          <w:u w:val="single"/>
        </w:rPr>
        <w:t xml:space="preserve"> </w:t>
      </w:r>
      <w:r>
        <w:rPr>
          <w:rFonts w:hint="eastAsia" w:ascii="仿宋_GB2312" w:hAnsi="仿宋_GB2312" w:eastAsia="仿宋_GB2312" w:cs="仿宋_GB2312"/>
          <w:color w:val="auto"/>
          <w:sz w:val="24"/>
          <w:highlight w:val="none"/>
        </w:rPr>
        <w:t>（北京时间）</w:t>
      </w:r>
    </w:p>
    <w:p w14:paraId="1991E400">
      <w:pPr>
        <w:spacing w:line="360" w:lineRule="auto"/>
        <w:ind w:firstLine="482" w:firstLineChars="200"/>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投标地点（网址）：</w:t>
      </w:r>
      <w:r>
        <w:rPr>
          <w:rFonts w:hint="eastAsia" w:ascii="仿宋_GB2312" w:hAnsi="仿宋_GB2312" w:eastAsia="仿宋_GB2312" w:cs="仿宋_GB2312"/>
          <w:color w:val="auto"/>
          <w:sz w:val="24"/>
          <w:highlight w:val="none"/>
        </w:rPr>
        <w:t xml:space="preserve"> 请登录政采云投标客户端投标</w:t>
      </w:r>
    </w:p>
    <w:p w14:paraId="179FA501">
      <w:pPr>
        <w:spacing w:line="360" w:lineRule="auto"/>
        <w:ind w:firstLine="482" w:firstLineChars="200"/>
        <w:rPr>
          <w:rFonts w:ascii="仿宋_GB2312" w:hAnsi="仿宋_GB2312" w:eastAsia="仿宋_GB2312" w:cs="仿宋_GB2312"/>
          <w:bCs/>
          <w:color w:val="auto"/>
          <w:sz w:val="24"/>
          <w:highlight w:val="none"/>
          <w:u w:val="single"/>
        </w:rPr>
      </w:pPr>
      <w:r>
        <w:rPr>
          <w:rFonts w:hint="eastAsia" w:ascii="仿宋_GB2312" w:hAnsi="仿宋_GB2312" w:eastAsia="仿宋_GB2312" w:cs="仿宋_GB2312"/>
          <w:b/>
          <w:color w:val="auto"/>
          <w:sz w:val="24"/>
          <w:highlight w:val="none"/>
        </w:rPr>
        <w:t>开标时间：</w:t>
      </w:r>
      <w:r>
        <w:rPr>
          <w:rFonts w:hint="eastAsia" w:ascii="仿宋_GB2312" w:hAnsi="仿宋_GB2312" w:eastAsia="仿宋_GB2312" w:cs="仿宋_GB2312"/>
          <w:color w:val="auto"/>
          <w:sz w:val="24"/>
          <w:highlight w:val="yellow"/>
          <w:u w:val="single"/>
        </w:rPr>
        <w:t>202</w:t>
      </w:r>
      <w:r>
        <w:rPr>
          <w:rFonts w:hint="eastAsia" w:ascii="仿宋_GB2312" w:hAnsi="仿宋_GB2312" w:eastAsia="仿宋_GB2312" w:cs="仿宋_GB2312"/>
          <w:color w:val="auto"/>
          <w:sz w:val="24"/>
          <w:highlight w:val="yellow"/>
          <w:u w:val="single"/>
          <w:lang w:val="en-US" w:eastAsia="zh-CN"/>
        </w:rPr>
        <w:t>5</w:t>
      </w:r>
      <w:r>
        <w:rPr>
          <w:rFonts w:hint="eastAsia" w:ascii="仿宋_GB2312" w:hAnsi="仿宋_GB2312" w:eastAsia="仿宋_GB2312" w:cs="仿宋_GB2312"/>
          <w:color w:val="auto"/>
          <w:sz w:val="24"/>
          <w:highlight w:val="yellow"/>
          <w:u w:val="single"/>
        </w:rPr>
        <w:t>年</w:t>
      </w:r>
      <w:r>
        <w:rPr>
          <w:rFonts w:hint="eastAsia" w:ascii="仿宋_GB2312" w:hAnsi="仿宋_GB2312" w:eastAsia="仿宋_GB2312" w:cs="仿宋_GB2312"/>
          <w:color w:val="auto"/>
          <w:sz w:val="24"/>
          <w:highlight w:val="yellow"/>
          <w:u w:val="single"/>
          <w:lang w:val="en-US" w:eastAsia="zh-CN"/>
        </w:rPr>
        <w:t xml:space="preserve">  </w:t>
      </w:r>
      <w:r>
        <w:rPr>
          <w:rFonts w:hint="eastAsia" w:ascii="仿宋_GB2312" w:hAnsi="仿宋_GB2312" w:eastAsia="仿宋_GB2312" w:cs="仿宋_GB2312"/>
          <w:color w:val="auto"/>
          <w:sz w:val="24"/>
          <w:highlight w:val="yellow"/>
          <w:u w:val="single"/>
        </w:rPr>
        <w:t>月</w:t>
      </w:r>
      <w:r>
        <w:rPr>
          <w:rFonts w:hint="eastAsia" w:ascii="仿宋_GB2312" w:hAnsi="仿宋_GB2312" w:eastAsia="仿宋_GB2312" w:cs="仿宋_GB2312"/>
          <w:color w:val="auto"/>
          <w:sz w:val="24"/>
          <w:highlight w:val="yellow"/>
          <w:u w:val="single"/>
          <w:lang w:val="en-US" w:eastAsia="zh-CN"/>
        </w:rPr>
        <w:t xml:space="preserve">  </w:t>
      </w:r>
      <w:r>
        <w:rPr>
          <w:rFonts w:hint="eastAsia" w:ascii="仿宋_GB2312" w:hAnsi="仿宋_GB2312" w:eastAsia="仿宋_GB2312" w:cs="仿宋_GB2312"/>
          <w:color w:val="auto"/>
          <w:sz w:val="24"/>
          <w:highlight w:val="yellow"/>
          <w:u w:val="single"/>
        </w:rPr>
        <w:t>日9点30分</w:t>
      </w:r>
      <w:r>
        <w:rPr>
          <w:rFonts w:hint="eastAsia" w:ascii="仿宋_GB2312" w:hAnsi="仿宋_GB2312" w:eastAsia="仿宋_GB2312" w:cs="仿宋_GB2312"/>
          <w:bCs/>
          <w:color w:val="auto"/>
          <w:sz w:val="24"/>
          <w:highlight w:val="yellow"/>
          <w:u w:val="single"/>
        </w:rPr>
        <w:t xml:space="preserve"> </w:t>
      </w:r>
    </w:p>
    <w:p w14:paraId="177A5359">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开标地点（网址）：</w:t>
      </w:r>
      <w:r>
        <w:rPr>
          <w:rFonts w:hint="eastAsia" w:ascii="仿宋_GB2312" w:hAnsi="仿宋_GB2312" w:eastAsia="仿宋_GB2312" w:cs="仿宋_GB2312"/>
          <w:bCs/>
          <w:color w:val="auto"/>
          <w:sz w:val="24"/>
          <w:highlight w:val="yellow"/>
        </w:rPr>
        <w:t>浙江省杭州市钱塘区下沙街道金沙大道600号东楼6楼</w:t>
      </w:r>
      <w:r>
        <w:rPr>
          <w:rFonts w:hint="eastAsia" w:ascii="仿宋_GB2312" w:hAnsi="仿宋_GB2312" w:eastAsia="仿宋_GB2312" w:cs="仿宋_GB2312"/>
          <w:bCs/>
          <w:color w:val="auto"/>
          <w:sz w:val="24"/>
          <w:highlight w:val="yellow"/>
          <w:lang w:val="en-US" w:eastAsia="zh-CN"/>
        </w:rPr>
        <w:t xml:space="preserve"> </w:t>
      </w:r>
      <w:r>
        <w:rPr>
          <w:rFonts w:hint="eastAsia" w:ascii="仿宋_GB2312" w:hAnsi="仿宋_GB2312" w:eastAsia="仿宋_GB2312" w:cs="仿宋_GB2312"/>
          <w:bCs/>
          <w:color w:val="auto"/>
          <w:sz w:val="24"/>
          <w:highlight w:val="yellow"/>
        </w:rPr>
        <w:t>号开标室</w:t>
      </w:r>
      <w:r>
        <w:rPr>
          <w:rFonts w:hint="eastAsia" w:ascii="仿宋_GB2312" w:hAnsi="仿宋_GB2312" w:eastAsia="仿宋_GB2312" w:cs="仿宋_GB2312"/>
          <w:bCs/>
          <w:color w:val="auto"/>
          <w:sz w:val="24"/>
          <w:highlight w:val="none"/>
        </w:rPr>
        <w:t>。</w:t>
      </w:r>
      <w:r>
        <w:rPr>
          <w:rFonts w:hint="eastAsia" w:ascii="仿宋_GB2312" w:hAnsi="仿宋_GB2312" w:eastAsia="仿宋_GB2312" w:cs="仿宋_GB2312"/>
          <w:color w:val="auto"/>
          <w:sz w:val="24"/>
          <w:highlight w:val="none"/>
        </w:rPr>
        <w:t>政采云平台（https://www.zcygov.cn/）。</w:t>
      </w:r>
    </w:p>
    <w:p w14:paraId="456E8924">
      <w:pPr>
        <w:numPr>
          <w:ilvl w:val="0"/>
          <w:numId w:val="1"/>
        </w:numPr>
        <w:snapToGrid w:val="0"/>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采购意向公开链接</w:t>
      </w:r>
    </w:p>
    <w:p w14:paraId="290CDF68">
      <w:pPr>
        <w:spacing w:line="360" w:lineRule="auto"/>
        <w:ind w:firstLine="480" w:firstLineChars="200"/>
        <w:rPr>
          <w:rFonts w:ascii="仿宋_GB2312" w:hAnsi="仿宋_GB2312" w:eastAsia="仿宋_GB2312" w:cs="仿宋_GB2312"/>
          <w:color w:val="auto"/>
          <w:sz w:val="24"/>
          <w:highlight w:val="none"/>
        </w:rPr>
      </w:pPr>
      <w:r>
        <w:rPr>
          <w:rFonts w:hint="eastAsia"/>
          <w:color w:val="auto"/>
          <w:sz w:val="24"/>
          <w:szCs w:val="24"/>
          <w:highlight w:val="none"/>
        </w:rPr>
        <w:t>https://zfcg.czt.zj.gov.cn/site/detail?parentId=600007&amp;articleId=%2FXz69yUwwEOGMzghsUcksw%3D%3D</w:t>
      </w:r>
    </w:p>
    <w:p w14:paraId="0FB5F462">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 xml:space="preserve">六、公告期限 </w:t>
      </w:r>
    </w:p>
    <w:p w14:paraId="3DF6A96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自本公告发布之日起5个工作日。</w:t>
      </w:r>
    </w:p>
    <w:p w14:paraId="043875FF">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七、其他补充事宜</w:t>
      </w:r>
    </w:p>
    <w:p w14:paraId="48A564E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D6356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137AF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C0139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14:paraId="106E57E8">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八、对本次采购提出询问、质疑、投诉，请按以下方式联系</w:t>
      </w:r>
    </w:p>
    <w:p w14:paraId="0DC64841">
      <w:pPr>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1.采购人信息</w:t>
      </w:r>
    </w:p>
    <w:p w14:paraId="66BB0702">
      <w:pPr>
        <w:spacing w:line="360" w:lineRule="auto"/>
        <w:ind w:firstLine="480" w:firstLineChars="200"/>
        <w:rPr>
          <w:rFonts w:hint="eastAsia" w:ascii="仿宋_GB2312" w:hAnsi="仿宋_GB2312" w:eastAsia="仿宋_GB2312" w:cs="仿宋_GB2312"/>
          <w:color w:val="auto"/>
          <w:sz w:val="24"/>
          <w:highlight w:val="none"/>
          <w:lang w:val="en" w:eastAsia="zh-CN"/>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color w:val="auto"/>
          <w:sz w:val="24"/>
          <w:highlight w:val="none"/>
          <w:lang w:val="en" w:eastAsia="zh-CN"/>
        </w:rPr>
        <w:t>杭州市钱塘区人民政府新湾街道办事处</w:t>
      </w:r>
    </w:p>
    <w:p w14:paraId="74A3F68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址：杭州钱塘新区新湾街道新宏路38号</w:t>
      </w:r>
    </w:p>
    <w:p w14:paraId="0614D351">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 /</w:t>
      </w:r>
    </w:p>
    <w:p w14:paraId="3CC7456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val="en-US" w:eastAsia="zh-CN"/>
        </w:rPr>
        <w:t>高</w:t>
      </w:r>
      <w:r>
        <w:rPr>
          <w:rFonts w:hint="eastAsia" w:ascii="仿宋_GB2312" w:hAnsi="仿宋_GB2312" w:eastAsia="仿宋_GB2312" w:cs="仿宋_GB2312"/>
          <w:color w:val="auto"/>
          <w:sz w:val="24"/>
          <w:highlight w:val="none"/>
        </w:rPr>
        <w:t>工</w:t>
      </w:r>
    </w:p>
    <w:p w14:paraId="2F3C11D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项目联系方式（询问）：13958142022</w:t>
      </w:r>
    </w:p>
    <w:p w14:paraId="7A386E75">
      <w:pPr>
        <w:spacing w:line="360" w:lineRule="auto"/>
        <w:ind w:firstLine="480" w:firstLineChars="200"/>
        <w:rPr>
          <w:rFonts w:hint="default" w:ascii="仿宋_GB2312" w:hAnsi="仿宋_GB2312" w:eastAsia="仿宋_GB2312" w:cs="仿宋_GB2312"/>
          <w:color w:val="auto"/>
          <w:sz w:val="24"/>
          <w:highlight w:val="yellow"/>
          <w:lang w:val="en-US" w:eastAsia="zh-CN"/>
        </w:rPr>
      </w:pPr>
      <w:r>
        <w:rPr>
          <w:rFonts w:hint="eastAsia" w:ascii="仿宋_GB2312" w:hAnsi="仿宋_GB2312" w:eastAsia="仿宋_GB2312" w:cs="仿宋_GB2312"/>
          <w:color w:val="auto"/>
          <w:sz w:val="24"/>
          <w:highlight w:val="none"/>
        </w:rPr>
        <w:t>质疑联系人：</w:t>
      </w:r>
      <w:r>
        <w:rPr>
          <w:rFonts w:hint="eastAsia" w:ascii="仿宋_GB2312" w:hAnsi="仿宋_GB2312" w:eastAsia="仿宋_GB2312" w:cs="仿宋_GB2312"/>
          <w:color w:val="auto"/>
          <w:sz w:val="24"/>
          <w:highlight w:val="yellow"/>
          <w:lang w:val="en-US" w:eastAsia="zh-CN"/>
        </w:rPr>
        <w:t xml:space="preserve">      </w:t>
      </w:r>
    </w:p>
    <w:p w14:paraId="5F9BB9E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w:t>
      </w:r>
      <w:r>
        <w:rPr>
          <w:rFonts w:hint="eastAsia" w:ascii="仿宋_GB2312" w:hAnsi="仿宋_GB2312" w:eastAsia="仿宋_GB2312" w:cs="仿宋_GB2312"/>
          <w:color w:val="auto"/>
          <w:sz w:val="24"/>
          <w:highlight w:val="yellow"/>
          <w:lang w:val="en-US" w:eastAsia="zh-CN"/>
        </w:rPr>
        <w:t xml:space="preserve">      </w:t>
      </w:r>
    </w:p>
    <w:p w14:paraId="113B4E59">
      <w:pPr>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2.采购代理机构信息</w:t>
      </w:r>
    </w:p>
    <w:p w14:paraId="2A3C9609">
      <w:pPr>
        <w:spacing w:line="36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color w:val="auto"/>
          <w:sz w:val="24"/>
          <w:highlight w:val="none"/>
          <w:lang w:eastAsia="zh-CN"/>
        </w:rPr>
        <w:t>浙江勋达工程咨询有限公司</w:t>
      </w:r>
    </w:p>
    <w:p w14:paraId="233D80F5">
      <w:pPr>
        <w:spacing w:line="360" w:lineRule="auto"/>
        <w:ind w:firstLine="48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    址：杭州市钱塘区</w:t>
      </w:r>
      <w:r>
        <w:rPr>
          <w:rFonts w:hint="eastAsia" w:ascii="仿宋_GB2312" w:hAnsi="仿宋_GB2312" w:eastAsia="仿宋_GB2312" w:cs="仿宋_GB2312"/>
          <w:color w:val="auto"/>
          <w:sz w:val="24"/>
          <w:highlight w:val="none"/>
          <w:lang w:val="en-US" w:eastAsia="zh-CN"/>
        </w:rPr>
        <w:t>义蓬街道义蓬中路782号</w:t>
      </w:r>
    </w:p>
    <w:p w14:paraId="5DBE108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14:paraId="7C720375">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eastAsia="zh-CN"/>
        </w:rPr>
        <w:t>平建波</w:t>
      </w:r>
    </w:p>
    <w:p w14:paraId="1F15F80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项目联系方式（询问）：</w:t>
      </w:r>
      <w:r>
        <w:rPr>
          <w:rFonts w:hint="eastAsia" w:ascii="仿宋_GB2312" w:hAnsi="仿宋_GB2312" w:eastAsia="仿宋_GB2312" w:cs="仿宋_GB2312"/>
          <w:color w:val="auto"/>
          <w:sz w:val="24"/>
          <w:highlight w:val="none"/>
          <w:lang w:val="en-US" w:eastAsia="zh-CN"/>
        </w:rPr>
        <w:t>15088779243</w:t>
      </w:r>
    </w:p>
    <w:p w14:paraId="5F1D42B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质疑联系人：</w:t>
      </w:r>
      <w:r>
        <w:rPr>
          <w:rFonts w:hint="eastAsia" w:ascii="仿宋" w:hAnsi="仿宋" w:eastAsia="仿宋" w:cs="宋体"/>
          <w:sz w:val="24"/>
          <w:lang w:val="en-US" w:eastAsia="zh-CN"/>
        </w:rPr>
        <w:t>姚东强</w:t>
      </w:r>
    </w:p>
    <w:p w14:paraId="587E6D1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w:t>
      </w:r>
      <w:r>
        <w:rPr>
          <w:rFonts w:hint="eastAsia" w:ascii="仿宋" w:hAnsi="仿宋" w:eastAsia="仿宋" w:cs="宋体"/>
          <w:sz w:val="24"/>
          <w:lang w:val="en-US" w:eastAsia="zh-CN"/>
        </w:rPr>
        <w:t>15968327758</w:t>
      </w:r>
    </w:p>
    <w:p w14:paraId="45DF29DD">
      <w:pPr>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3.同级政府采购监督管理部门</w:t>
      </w:r>
    </w:p>
    <w:p w14:paraId="32F2493B">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sz w:val="24"/>
        </w:rPr>
        <w:t>杭州市钱塘区财政局、浙江省政府采购行政裁决服务中心（杭州）</w:t>
      </w:r>
      <w:r>
        <w:rPr>
          <w:rFonts w:hint="eastAsia" w:ascii="仿宋_GB2312" w:hAnsi="仿宋_GB2312" w:eastAsia="仿宋_GB2312" w:cs="仿宋_GB2312"/>
          <w:color w:val="auto"/>
          <w:sz w:val="24"/>
          <w:highlight w:val="none"/>
        </w:rPr>
        <w:t xml:space="preserve"> </w:t>
      </w:r>
    </w:p>
    <w:p w14:paraId="415C7B1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址：杭州市上城区清泰街549号城建综合大楼11楼（快递仅限ems或顺丰）</w:t>
      </w:r>
    </w:p>
    <w:p w14:paraId="0A1DFD9E">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14:paraId="1488C67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联系人：朱女士、王女士</w:t>
      </w:r>
    </w:p>
    <w:p w14:paraId="1625634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监督投诉电话：0571-87800218,0571-87227671</w:t>
      </w:r>
    </w:p>
    <w:p w14:paraId="5AA75EC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4F113F4">
      <w:pPr>
        <w:spacing w:line="360" w:lineRule="auto"/>
        <w:ind w:firstLine="480" w:firstLineChars="200"/>
        <w:rPr>
          <w:rFonts w:ascii="仿宋" w:hAnsi="仿宋" w:eastAsia="仿宋" w:cs="仿宋"/>
          <w:color w:val="auto"/>
          <w:sz w:val="24"/>
          <w:highlight w:val="none"/>
        </w:rPr>
      </w:pPr>
      <w:r>
        <w:rPr>
          <w:rFonts w:hint="eastAsia" w:ascii="仿宋_GB2312" w:hAnsi="仿宋_GB2312" w:eastAsia="仿宋_GB2312" w:cs="仿宋_GB2312"/>
          <w:color w:val="auto"/>
          <w:sz w:val="24"/>
          <w:highlight w:val="none"/>
        </w:rPr>
        <w:t>CA问题联系电话（人工）：汇信CA 400-888-4636；天谷CA 400-087-8198。</w:t>
      </w:r>
      <w:r>
        <w:rPr>
          <w:rFonts w:hint="eastAsia" w:ascii="仿宋" w:hAnsi="仿宋" w:eastAsia="仿宋" w:cs="仿宋"/>
          <w:color w:val="auto"/>
          <w:sz w:val="24"/>
          <w:highlight w:val="none"/>
        </w:rPr>
        <w:t xml:space="preserve">                      </w:t>
      </w:r>
    </w:p>
    <w:p w14:paraId="35121A1E">
      <w:pPr>
        <w:adjustRightInd/>
        <w:spacing w:line="360" w:lineRule="auto"/>
        <w:jc w:val="center"/>
        <w:outlineLvl w:val="0"/>
        <w:rPr>
          <w:rFonts w:ascii="仿宋_GB2312" w:hAnsi="仿宋_GB2312" w:eastAsia="仿宋_GB2312" w:cs="仿宋_GB2312"/>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_GB2312" w:hAnsi="仿宋_GB2312" w:eastAsia="仿宋_GB2312" w:cs="仿宋_GB2312"/>
          <w:b/>
          <w:color w:val="auto"/>
          <w:sz w:val="36"/>
          <w:szCs w:val="20"/>
          <w:highlight w:val="none"/>
        </w:rPr>
        <w:t>第二部分</w:t>
      </w:r>
      <w:bookmarkEnd w:id="7"/>
      <w:r>
        <w:rPr>
          <w:rFonts w:hint="eastAsia" w:ascii="仿宋_GB2312" w:hAnsi="仿宋_GB2312" w:eastAsia="仿宋_GB2312" w:cs="仿宋_GB2312"/>
          <w:b/>
          <w:color w:val="auto"/>
          <w:sz w:val="36"/>
          <w:szCs w:val="20"/>
          <w:highlight w:val="none"/>
        </w:rPr>
        <w:t xml:space="preserve"> 投标人须知</w:t>
      </w:r>
      <w:bookmarkEnd w:id="8"/>
    </w:p>
    <w:p w14:paraId="2FDCF391">
      <w:pPr>
        <w:snapToGrid w:val="0"/>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 w:val="32"/>
          <w:szCs w:val="20"/>
          <w:highlight w:val="none"/>
        </w:rPr>
        <w:t>前附表</w:t>
      </w:r>
    </w:p>
    <w:tbl>
      <w:tblPr>
        <w:tblStyle w:val="64"/>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14:paraId="2A29C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497234A">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14:paraId="0EDF4DEA">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14:paraId="3D18AE3B">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本项目的特别规定</w:t>
            </w:r>
          </w:p>
        </w:tc>
      </w:tr>
      <w:tr w14:paraId="77250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427FF8E">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777" w:type="dxa"/>
            <w:tcBorders>
              <w:top w:val="single" w:color="000000" w:sz="8" w:space="0"/>
              <w:left w:val="single" w:color="auto" w:sz="4" w:space="0"/>
              <w:bottom w:val="single" w:color="000000" w:sz="8" w:space="0"/>
              <w:right w:val="single" w:color="000000" w:sz="8" w:space="0"/>
            </w:tcBorders>
            <w:vAlign w:val="center"/>
          </w:tcPr>
          <w:p w14:paraId="050F09CB">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14:paraId="4808810F">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服务类</w:t>
            </w:r>
          </w:p>
        </w:tc>
      </w:tr>
      <w:tr w14:paraId="741EB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6BD109D">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777" w:type="dxa"/>
            <w:tcBorders>
              <w:top w:val="single" w:color="000000" w:sz="8" w:space="0"/>
              <w:left w:val="single" w:color="auto" w:sz="4" w:space="0"/>
              <w:bottom w:val="single" w:color="000000" w:sz="8" w:space="0"/>
              <w:right w:val="single" w:color="000000" w:sz="8" w:space="0"/>
            </w:tcBorders>
            <w:vAlign w:val="center"/>
          </w:tcPr>
          <w:p w14:paraId="31EA1B7B">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14:paraId="5A4A3E98">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（1）标的：</w:t>
            </w:r>
            <w:r>
              <w:rPr>
                <w:rFonts w:hint="eastAsia" w:ascii="仿宋_GB2312" w:hAnsi="仿宋_GB2312" w:eastAsia="仿宋_GB2312" w:cs="仿宋_GB2312"/>
                <w:color w:val="auto"/>
                <w:kern w:val="0"/>
                <w:sz w:val="24"/>
                <w:highlight w:val="none"/>
                <w:u w:val="single"/>
              </w:rPr>
              <w:t xml:space="preserve"> “雪亮工程”租赁 </w:t>
            </w:r>
            <w:r>
              <w:rPr>
                <w:rFonts w:hint="eastAsia" w:ascii="仿宋_GB2312" w:hAnsi="仿宋_GB2312" w:eastAsia="仿宋_GB2312" w:cs="仿宋_GB2312"/>
                <w:color w:val="auto"/>
                <w:kern w:val="0"/>
                <w:sz w:val="24"/>
                <w:highlight w:val="none"/>
              </w:rPr>
              <w:t>，属于</w:t>
            </w:r>
            <w:r>
              <w:rPr>
                <w:rFonts w:hint="eastAsia" w:ascii="仿宋_GB2312" w:hAnsi="仿宋_GB2312" w:eastAsia="仿宋_GB2312" w:cs="仿宋_GB2312"/>
                <w:color w:val="auto"/>
                <w:kern w:val="0"/>
                <w:sz w:val="24"/>
                <w:highlight w:val="none"/>
                <w:u w:val="single"/>
              </w:rPr>
              <w:t xml:space="preserve"> 租赁和商务服务 </w:t>
            </w:r>
            <w:r>
              <w:rPr>
                <w:rFonts w:hint="eastAsia" w:ascii="仿宋_GB2312" w:hAnsi="仿宋_GB2312" w:eastAsia="仿宋_GB2312" w:cs="仿宋_GB2312"/>
                <w:color w:val="auto"/>
                <w:kern w:val="0"/>
                <w:sz w:val="24"/>
                <w:highlight w:val="none"/>
              </w:rPr>
              <w:t>行业。</w:t>
            </w:r>
          </w:p>
          <w:p w14:paraId="331B041A">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备注：《关于印发中小企业划型标准规定的通知》（工信部联企业〔2011〕300号）中关于租赁和商务服务行业划型标准如下：</w:t>
            </w:r>
          </w:p>
          <w:p w14:paraId="21EF8EB9">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租赁和商务服务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4A41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4C21A3A">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14:paraId="0036B87E">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2AB00B4E">
            <w:pPr>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本项目不允许采购进口产品。</w:t>
            </w:r>
          </w:p>
          <w:p w14:paraId="6AAFA03F">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可以就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采购进口产品，优先采购向我国企业转让技术、与我国企业签订消化吸收再创新方案的供应商的进口产品，详见评分标准；但如果因信息不对称等原因，仍有满足需求的国内产品要求参与采购竞争的，采购人及其委托的采购代理机构不对其加以限制，将按照公平竞争原则实施采购。</w:t>
            </w:r>
          </w:p>
        </w:tc>
      </w:tr>
      <w:tr w14:paraId="25A7F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FF06DB">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777" w:type="dxa"/>
            <w:tcBorders>
              <w:top w:val="single" w:color="000000" w:sz="8" w:space="0"/>
              <w:left w:val="single" w:color="auto" w:sz="4" w:space="0"/>
              <w:bottom w:val="single" w:color="000000" w:sz="8" w:space="0"/>
              <w:right w:val="single" w:color="000000" w:sz="8" w:space="0"/>
            </w:tcBorders>
            <w:vAlign w:val="center"/>
          </w:tcPr>
          <w:p w14:paraId="04AA34B0">
            <w:pPr>
              <w:snapToGrid w:val="0"/>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14:paraId="415410F5">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A同意将非主体、非关键性的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工作分包。</w:t>
            </w:r>
          </w:p>
          <w:p w14:paraId="6332C72C">
            <w:pPr>
              <w:spacing w:line="360" w:lineRule="auto"/>
              <w:rPr>
                <w:color w:val="auto"/>
                <w:highlight w:val="none"/>
              </w:rPr>
            </w:pPr>
            <w:sdt>
              <w:sdtPr>
                <w:rPr>
                  <w:rFonts w:hint="eastAsia" w:ascii="仿宋_GB2312" w:hAnsi="仿宋" w:eastAsia="仿宋_GB2312" w:cs="Arial"/>
                  <w:color w:val="auto"/>
                  <w:kern w:val="0"/>
                  <w:sz w:val="24"/>
                  <w:highlight w:val="none"/>
                </w:rPr>
                <w:id w:val="316235797"/>
              </w:sdtPr>
              <w:sdtEndPr>
                <w:rPr>
                  <w:rFonts w:hint="eastAsia" w:ascii="仿宋_GB2312" w:hAnsi="仿宋_GB2312" w:eastAsia="仿宋_GB2312" w:cs="仿宋_GB2312"/>
                  <w:color w:val="auto"/>
                  <w:kern w:val="0"/>
                  <w:sz w:val="24"/>
                  <w:highlight w:val="none"/>
                </w:rPr>
              </w:sdtEndPr>
              <w:sdtContent>
                <w:sdt>
                  <w:sdtPr>
                    <w:rPr>
                      <w:rFonts w:hint="eastAsia" w:ascii="仿宋" w:hAnsi="仿宋" w:eastAsia="仿宋" w:cs="仿宋"/>
                      <w:color w:val="auto"/>
                      <w:kern w:val="0"/>
                      <w:sz w:val="24"/>
                      <w:highlight w:val="none"/>
                    </w:rPr>
                    <w:id w:val="113067398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sdtContent>
            </w:sdt>
            <w:r>
              <w:rPr>
                <w:rFonts w:hint="eastAsia" w:ascii="仿宋_GB2312" w:hAnsi="仿宋_GB2312" w:eastAsia="仿宋_GB2312" w:cs="仿宋_GB2312"/>
                <w:color w:val="auto"/>
                <w:kern w:val="0"/>
                <w:sz w:val="24"/>
                <w:highlight w:val="none"/>
              </w:rPr>
              <w:t>B同意向小微企业合理分包。</w:t>
            </w:r>
          </w:p>
          <w:p w14:paraId="3C26678A">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_GB2312" w:hAnsi="仿宋_GB2312" w:eastAsia="仿宋_GB2312" w:cs="仿宋_GB2312"/>
                <w:color w:val="auto"/>
                <w:kern w:val="0"/>
                <w:sz w:val="24"/>
                <w:highlight w:val="none"/>
              </w:rPr>
              <w:t>C</w:t>
            </w:r>
            <w:r>
              <w:rPr>
                <w:rFonts w:hint="eastAsia" w:ascii="仿宋_GB2312" w:hAnsi="仿宋_GB2312" w:eastAsia="仿宋_GB2312" w:cs="仿宋_GB2312"/>
                <w:color w:val="auto"/>
                <w:sz w:val="24"/>
                <w:highlight w:val="none"/>
              </w:rPr>
              <w:t>不同意分包。</w:t>
            </w:r>
          </w:p>
        </w:tc>
      </w:tr>
      <w:tr w14:paraId="26917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F1AB8AA">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14:paraId="68313CDF">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14:paraId="35F825E9">
            <w:pPr>
              <w:spacing w:line="360" w:lineRule="auto"/>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14:paraId="48E989DD">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B组织，</w:t>
            </w:r>
            <w:r>
              <w:rPr>
                <w:rFonts w:hint="eastAsia" w:ascii="仿宋_GB2312" w:hAnsi="仿宋_GB2312" w:eastAsia="仿宋_GB2312" w:cs="仿宋_GB2312"/>
                <w:color w:val="auto"/>
                <w:sz w:val="24"/>
                <w:highlight w:val="none"/>
              </w:rPr>
              <w:t>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，联系方式：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szCs w:val="20"/>
                <w:highlight w:val="none"/>
              </w:rPr>
              <w:t>。</w:t>
            </w:r>
          </w:p>
        </w:tc>
      </w:tr>
      <w:tr w14:paraId="510A9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413BF2E">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777" w:type="dxa"/>
            <w:tcBorders>
              <w:top w:val="single" w:color="000000" w:sz="8" w:space="0"/>
              <w:left w:val="single" w:color="auto" w:sz="4" w:space="0"/>
              <w:bottom w:val="single" w:color="000000" w:sz="8" w:space="0"/>
              <w:right w:val="single" w:color="000000" w:sz="8" w:space="0"/>
            </w:tcBorders>
            <w:vAlign w:val="center"/>
          </w:tcPr>
          <w:p w14:paraId="52C27E98">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14:paraId="319430EA">
            <w:pPr>
              <w:spacing w:line="360" w:lineRule="auto"/>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不要求提供。</w:t>
            </w:r>
          </w:p>
          <w:p w14:paraId="092B1B7E">
            <w:pPr>
              <w:spacing w:line="360" w:lineRule="auto"/>
              <w:rPr>
                <w:rFonts w:ascii="仿宋_GB2312" w:hAnsi="仿宋_GB2312" w:eastAsia="仿宋_GB2312" w:cs="仿宋_GB2312"/>
                <w:color w:val="auto"/>
                <w:sz w:val="24"/>
                <w:highlight w:val="none"/>
                <w:u w:val="singl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B要求提供。</w:t>
            </w:r>
          </w:p>
          <w:p w14:paraId="5B06D9ED">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（1）样品：</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1B9CC5D3">
            <w:pPr>
              <w:widowControl/>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snapToGrid w:val="0"/>
                <w:color w:val="auto"/>
                <w:kern w:val="28"/>
                <w:sz w:val="24"/>
                <w:highlight w:val="none"/>
              </w:rPr>
              <w:t>样品制作的标准和要求：</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w:t>
            </w:r>
          </w:p>
          <w:p w14:paraId="253433E0">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（3）样品的评审方法以及评审标准：</w:t>
            </w:r>
          </w:p>
          <w:p w14:paraId="0C131750">
            <w:pPr>
              <w:spacing w:line="360" w:lineRule="auto"/>
              <w:ind w:firstLine="240" w:firstLineChars="100"/>
              <w:rPr>
                <w:rFonts w:ascii="仿宋_GB2312" w:hAnsi="仿宋_GB2312" w:eastAsia="仿宋_GB2312" w:cs="仿宋_GB2312"/>
                <w:color w:val="auto"/>
                <w:sz w:val="24"/>
                <w:highlight w:val="none"/>
              </w:rPr>
            </w:pPr>
            <w:sdt>
              <w:sdtPr>
                <w:rPr>
                  <w:rFonts w:hint="eastAsia" w:ascii="仿宋" w:hAnsi="仿宋" w:eastAsia="仿宋" w:cs="仿宋"/>
                  <w:color w:val="auto"/>
                  <w:sz w:val="24"/>
                  <w:highlight w:val="none"/>
                </w:rPr>
                <w:id w:val="1076013905"/>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rPr>
              </w:sdtEndPr>
              <w:sdtContent>
                <w:r>
                  <w:rPr>
                    <w:rFonts w:ascii="MS Gothic" w:hAnsi="MS Gothic" w:eastAsia="仿宋" w:cs="仿宋"/>
                    <w:color w:val="auto"/>
                    <w:sz w:val="24"/>
                    <w:highlight w:val="none"/>
                  </w:rPr>
                  <w:t>☐</w:t>
                </w:r>
              </w:sdtContent>
            </w:sdt>
            <w:r>
              <w:rPr>
                <w:rFonts w:hint="eastAsia" w:ascii="仿宋_GB2312" w:hAnsi="仿宋_GB2312" w:eastAsia="仿宋_GB2312" w:cs="仿宋_GB2312"/>
                <w:color w:val="auto"/>
                <w:sz w:val="24"/>
                <w:highlight w:val="none"/>
              </w:rPr>
              <w:t>样品分未超过价格分的50%；</w:t>
            </w:r>
          </w:p>
          <w:p w14:paraId="44A9D91E">
            <w:pPr>
              <w:spacing w:line="360" w:lineRule="auto"/>
              <w:ind w:firstLine="240" w:firstLineChars="100"/>
              <w:rPr>
                <w:rFonts w:ascii="仿宋_GB2312" w:hAnsi="仿宋_GB2312" w:eastAsia="仿宋_GB2312" w:cs="仿宋_GB2312"/>
                <w:color w:val="auto"/>
                <w:sz w:val="24"/>
                <w:highlight w:val="none"/>
              </w:rPr>
            </w:pPr>
            <w:sdt>
              <w:sdtPr>
                <w:rPr>
                  <w:rFonts w:hint="eastAsia" w:ascii="仿宋" w:hAnsi="仿宋" w:eastAsia="仿宋" w:cs="仿宋"/>
                  <w:color w:val="auto"/>
                  <w:sz w:val="24"/>
                  <w:highlight w:val="none"/>
                </w:rPr>
                <w:id w:val="670453184"/>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rPr>
              </w:sdtEndPr>
              <w:sdtContent>
                <w:r>
                  <w:rPr>
                    <w:rFonts w:hint="eastAsia" w:ascii="MS Gothic" w:hAnsi="MS Gothic" w:eastAsia="仿宋" w:cs="仿宋"/>
                    <w:color w:val="auto"/>
                    <w:sz w:val="24"/>
                    <w:highlight w:val="none"/>
                  </w:rPr>
                  <w:t>☐</w:t>
                </w:r>
              </w:sdtContent>
            </w:sdt>
            <w:r>
              <w:rPr>
                <w:rFonts w:hint="eastAsia" w:ascii="仿宋_GB2312" w:hAnsi="仿宋_GB2312" w:eastAsia="仿宋_GB2312" w:cs="仿宋_GB2312"/>
                <w:color w:val="auto"/>
                <w:sz w:val="24"/>
                <w:highlight w:val="none"/>
              </w:rPr>
              <w:t>样品分超过价格分的50%，理由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381CC30F">
            <w:pPr>
              <w:spacing w:line="360" w:lineRule="auto"/>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详见招标文件第四部分评标办分法。 </w:t>
            </w:r>
          </w:p>
          <w:p w14:paraId="5E522BED">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是，检测机构的要求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无  </w:t>
            </w:r>
            <w:r>
              <w:rPr>
                <w:rFonts w:hint="eastAsia" w:ascii="仿宋_GB2312" w:hAnsi="仿宋_GB2312" w:eastAsia="仿宋_GB2312" w:cs="仿宋_GB2312"/>
                <w:color w:val="auto"/>
                <w:kern w:val="0"/>
                <w:sz w:val="24"/>
                <w:highlight w:val="none"/>
              </w:rPr>
              <w:t>；检测内容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无  </w:t>
            </w:r>
            <w:r>
              <w:rPr>
                <w:rFonts w:hint="eastAsia" w:ascii="仿宋_GB2312" w:hAnsi="仿宋_GB2312" w:eastAsia="仿宋_GB2312" w:cs="仿宋_GB2312"/>
                <w:color w:val="auto"/>
                <w:kern w:val="0"/>
                <w:sz w:val="24"/>
                <w:highlight w:val="none"/>
              </w:rPr>
              <w:t>。</w:t>
            </w:r>
          </w:p>
          <w:p w14:paraId="610CF68E">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（5）提供样品的时间：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；地点：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；联系人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8"/>
                <w:sz w:val="24"/>
                <w:highlight w:val="none"/>
              </w:rPr>
              <w:t>联系电话：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。请投标人在上述时间内提供样品并按规定位置安装完毕。超过截止时间的，采购人或采购代理机构将不予接收，并将清场并封闭样品现场。</w:t>
            </w:r>
          </w:p>
          <w:p w14:paraId="497C6026">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C81EA30">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（7）制作、运输、安装和保管样品所发生的一切费用由投标人自理。</w:t>
            </w:r>
          </w:p>
          <w:p w14:paraId="505B3386">
            <w:pPr>
              <w:spacing w:line="360" w:lineRule="auto"/>
              <w:rPr>
                <w:rFonts w:ascii="仿宋" w:hAnsi="仿宋" w:eastAsia="仿宋" w:cs="仿宋"/>
                <w:b/>
                <w:color w:val="auto"/>
                <w:sz w:val="24"/>
                <w:highlight w:val="none"/>
              </w:rPr>
            </w:pPr>
            <w:r>
              <w:rPr>
                <w:rFonts w:hint="eastAsia" w:ascii="仿宋_GB2312" w:hAnsi="仿宋_GB2312" w:eastAsia="仿宋_GB2312" w:cs="仿宋_GB2312"/>
                <w:color w:val="auto"/>
                <w:sz w:val="24"/>
                <w:highlight w:val="none"/>
              </w:rPr>
              <w:t>▲（8）样品不得出现能代表投标人和品牌的名称、标志、文字、图案、LOGO等所有暗示性内容，否则视为无效投标。</w:t>
            </w:r>
          </w:p>
        </w:tc>
      </w:tr>
      <w:tr w14:paraId="6B59E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38F358B">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777" w:type="dxa"/>
            <w:tcBorders>
              <w:top w:val="single" w:color="000000" w:sz="8" w:space="0"/>
              <w:left w:val="single" w:color="auto" w:sz="4" w:space="0"/>
              <w:bottom w:val="single" w:color="000000" w:sz="8" w:space="0"/>
              <w:right w:val="single" w:color="000000" w:sz="8" w:space="0"/>
            </w:tcBorders>
            <w:vAlign w:val="center"/>
          </w:tcPr>
          <w:p w14:paraId="4A8C97BC">
            <w:pPr>
              <w:snapToGrid w:val="0"/>
              <w:spacing w:line="360" w:lineRule="auto"/>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14:paraId="4E79FFEC">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14:paraId="56E33033">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B组织。</w:t>
            </w:r>
          </w:p>
          <w:p w14:paraId="5E58A2F1">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（1）在评标时安排每个投标人进行方案讲解演示。每个投标人时间不超过30分钟，讲解次序以投标文件解密时间先后次序为准，讲解演示人员不超过3人。讲解演示结束后按要求解答评标委员会提问。</w:t>
            </w:r>
          </w:p>
          <w:p w14:paraId="5D59961C">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（2）方案讲解演示：</w:t>
            </w:r>
          </w:p>
          <w:p w14:paraId="540350A7">
            <w:pPr>
              <w:snapToGrid w:val="0"/>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54942156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方式一：政采云平台在线讲解演示。政采云平台在线讲解需投标人根据政采云平台操作要求做好准备工作，提前完善软硬件配置环境。</w:t>
            </w:r>
          </w:p>
          <w:p w14:paraId="6E1703DB">
            <w:pPr>
              <w:snapToGrid w:val="0"/>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49222410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方式二：交易中心现场讲解演示。现场讲解地点为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，讲解演示所用电脑等设备由投标人自备。现场讲解演示人员进场时须提供在投标单位（或其分公司）参加社保的凭证、讲解人员名单（加盖公章或授权代表签名）及身份证明，否则不得讲解演示。</w:t>
            </w:r>
          </w:p>
          <w:p w14:paraId="714107D6">
            <w:pPr>
              <w:snapToGrid w:val="0"/>
              <w:spacing w:line="360" w:lineRule="auto"/>
              <w:rPr>
                <w:rFonts w:ascii="仿宋" w:hAnsi="仿宋" w:eastAsia="仿宋" w:cs="仿宋"/>
                <w:b/>
                <w:color w:val="auto"/>
                <w:kern w:val="0"/>
                <w:sz w:val="24"/>
                <w:highlight w:val="none"/>
                <w:lang w:val="zh-CN"/>
              </w:rPr>
            </w:pPr>
            <w:r>
              <w:rPr>
                <w:rFonts w:hint="eastAsia" w:ascii="仿宋_GB2312" w:hAnsi="仿宋_GB2312" w:eastAsia="仿宋_GB2312" w:cs="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821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83C4B26">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1777" w:type="dxa"/>
            <w:vMerge w:val="restart"/>
            <w:tcBorders>
              <w:top w:val="single" w:color="000000" w:sz="8" w:space="0"/>
              <w:left w:val="single" w:color="auto" w:sz="4" w:space="0"/>
              <w:right w:val="single" w:color="000000" w:sz="8" w:space="0"/>
            </w:tcBorders>
            <w:vAlign w:val="center"/>
          </w:tcPr>
          <w:p w14:paraId="7A8848D8">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14:paraId="28672935">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（1）资格证明文件：见招标文件第二部分11.1。</w:t>
            </w:r>
          </w:p>
          <w:p w14:paraId="2EEA4BC7">
            <w:pPr>
              <w:spacing w:line="360" w:lineRule="auto"/>
              <w:rPr>
                <w:rFonts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color w:val="auto"/>
                <w:kern w:val="0"/>
                <w:sz w:val="24"/>
                <w:highlight w:val="none"/>
                <w:lang w:val="zh-CN"/>
              </w:rPr>
              <w:t>投标人未提供有效的资格证明文件的，视为投标人不具备招标文件中规定的资格要求，投标无效。</w:t>
            </w:r>
          </w:p>
        </w:tc>
      </w:tr>
      <w:tr w14:paraId="4829A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6F7116C">
            <w:pPr>
              <w:snapToGrid w:val="0"/>
              <w:spacing w:line="360" w:lineRule="auto"/>
              <w:jc w:val="center"/>
              <w:rPr>
                <w:rFonts w:ascii="仿宋_GB2312" w:hAnsi="仿宋_GB2312" w:eastAsia="仿宋_GB2312" w:cs="仿宋_GB2312"/>
                <w:color w:val="auto"/>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14:paraId="2F032FE0">
            <w:pPr>
              <w:snapToGrid w:val="0"/>
              <w:spacing w:line="360" w:lineRule="auto"/>
              <w:jc w:val="center"/>
              <w:rPr>
                <w:rFonts w:ascii="仿宋_GB2312" w:hAnsi="仿宋_GB2312" w:eastAsia="仿宋_GB2312" w:cs="仿宋_GB2312"/>
                <w:b/>
                <w:color w:val="auto"/>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14:paraId="7993BFDA">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（2）资信证明文件：根据招标文件第四部分评标标准提供。</w:t>
            </w:r>
          </w:p>
        </w:tc>
      </w:tr>
      <w:tr w14:paraId="2DC38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E397B59">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777" w:type="dxa"/>
            <w:tcBorders>
              <w:top w:val="single" w:color="000000" w:sz="8" w:space="0"/>
              <w:left w:val="single" w:color="auto" w:sz="4" w:space="0"/>
              <w:bottom w:val="single" w:color="000000" w:sz="8" w:space="0"/>
              <w:right w:val="single" w:color="000000" w:sz="8" w:space="0"/>
            </w:tcBorders>
            <w:vAlign w:val="center"/>
          </w:tcPr>
          <w:p w14:paraId="291FB8B6">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节能产品、环境标志产品政府优先采购或强制采购</w:t>
            </w:r>
          </w:p>
        </w:tc>
        <w:tc>
          <w:tcPr>
            <w:tcW w:w="6161" w:type="dxa"/>
            <w:tcBorders>
              <w:top w:val="single" w:color="000000" w:sz="8" w:space="0"/>
              <w:left w:val="single" w:color="000000" w:sz="2" w:space="0"/>
              <w:bottom w:val="single" w:color="000000" w:sz="8" w:space="0"/>
              <w:right w:val="single" w:color="000000" w:sz="8" w:space="0"/>
            </w:tcBorders>
            <w:vAlign w:val="center"/>
          </w:tcPr>
          <w:p w14:paraId="6377BAC9">
            <w:pPr>
              <w:snapToGrid w:val="0"/>
              <w:spacing w:line="360" w:lineRule="auto"/>
              <w:rPr>
                <w:rFonts w:ascii="仿宋_GB2312" w:hAnsi="仿宋_GB2312" w:eastAsia="仿宋_GB2312" w:cs="仿宋_GB2312"/>
                <w:color w:val="auto"/>
                <w:sz w:val="24"/>
                <w:highlight w:val="none"/>
                <w:lang w:val="zh-CN"/>
              </w:rPr>
            </w:pPr>
            <w:sdt>
              <w:sdtPr>
                <w:rPr>
                  <w:rFonts w:hint="eastAsia" w:ascii="仿宋" w:hAnsi="仿宋" w:eastAsia="仿宋" w:cs="仿宋"/>
                  <w:color w:val="auto"/>
                  <w:sz w:val="24"/>
                  <w:highlight w:val="none"/>
                </w:rPr>
                <w:id w:val="386232013"/>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lang w:val="zh-CN"/>
                </w:rPr>
              </w:sdtEndPr>
              <w:sdtContent>
                <w:r>
                  <w:rPr>
                    <w:rFonts w:ascii="MS Gothic" w:hAnsi="MS Gothic" w:eastAsia="仿宋" w:cs="仿宋"/>
                    <w:color w:val="auto"/>
                    <w:sz w:val="24"/>
                    <w:highlight w:val="none"/>
                    <w:lang w:val="zh-CN"/>
                  </w:rPr>
                  <w:t>☐</w:t>
                </w:r>
              </w:sdtContent>
            </w:sdt>
            <w:r>
              <w:rPr>
                <w:rFonts w:hint="eastAsia" w:ascii="仿宋_GB2312" w:hAnsi="仿宋_GB2312" w:eastAsia="仿宋_GB2312" w:cs="仿宋_GB2312"/>
                <w:color w:val="auto"/>
                <w:sz w:val="24"/>
                <w:highlight w:val="none"/>
                <w:lang w:val="zh-CN"/>
              </w:rPr>
              <w:t>依据国家确定的认证机构出具的、处于有效期之内的节能产品认证证书，对获得证书的产品实施政府优先采购或强制采购；其中，</w:t>
            </w:r>
            <w:r>
              <w:rPr>
                <w:rFonts w:hint="eastAsia" w:ascii="仿宋_GB2312" w:hAnsi="仿宋_GB2312" w:eastAsia="仿宋_GB2312" w:cs="仿宋_GB2312"/>
                <w:color w:val="auto"/>
                <w:kern w:val="0"/>
                <w:sz w:val="24"/>
                <w:highlight w:val="none"/>
                <w:lang w:val="zh-CN"/>
              </w:rPr>
              <w:t>对产品名称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snapToGrid w:val="0"/>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实施政府优先采购，</w:t>
            </w:r>
            <w:r>
              <w:rPr>
                <w:rFonts w:hint="eastAsia" w:ascii="仿宋_GB2312" w:hAnsi="仿宋_GB2312" w:eastAsia="仿宋_GB2312" w:cs="仿宋_GB2312"/>
                <w:color w:val="auto"/>
                <w:sz w:val="24"/>
                <w:highlight w:val="none"/>
              </w:rPr>
              <w:t>详</w:t>
            </w:r>
            <w:r>
              <w:rPr>
                <w:rFonts w:hint="eastAsia" w:ascii="仿宋_GB2312" w:hAnsi="仿宋_GB2312" w:eastAsia="仿宋_GB2312" w:cs="仿宋_GB2312"/>
                <w:color w:val="auto"/>
                <w:sz w:val="24"/>
                <w:highlight w:val="none"/>
                <w:lang w:val="zh-CN"/>
              </w:rPr>
              <w:t>见评分标准；</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对产品名称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snapToGrid w:val="0"/>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实施政府强制采购，</w:t>
            </w:r>
            <w:r>
              <w:rPr>
                <w:rFonts w:hint="eastAsia" w:ascii="仿宋_GB2312" w:hAnsi="仿宋_GB2312" w:eastAsia="仿宋_GB2312" w:cs="仿宋_GB2312"/>
                <w:color w:val="auto"/>
                <w:sz w:val="24"/>
                <w:highlight w:val="none"/>
                <w:lang w:val="zh-CN"/>
              </w:rPr>
              <w:t>投标人</w:t>
            </w:r>
            <w:r>
              <w:rPr>
                <w:rFonts w:hint="eastAsia" w:ascii="仿宋_GB2312" w:hAnsi="仿宋_GB2312" w:eastAsia="仿宋_GB2312" w:cs="仿宋_GB2312"/>
                <w:color w:val="auto"/>
                <w:sz w:val="24"/>
                <w:highlight w:val="none"/>
              </w:rPr>
              <w:t>就</w:t>
            </w:r>
            <w:r>
              <w:rPr>
                <w:rFonts w:hint="eastAsia" w:ascii="仿宋_GB2312" w:hAnsi="仿宋_GB2312" w:eastAsia="仿宋_GB2312" w:cs="仿宋_GB2312"/>
                <w:color w:val="auto"/>
                <w:sz w:val="24"/>
                <w:highlight w:val="none"/>
                <w:lang w:val="zh-CN"/>
              </w:rPr>
              <w:t>相应的投标产品未</w:t>
            </w:r>
            <w:r>
              <w:rPr>
                <w:rFonts w:hint="eastAsia" w:ascii="仿宋_GB2312" w:hAnsi="仿宋_GB2312" w:eastAsia="仿宋_GB2312" w:cs="仿宋_GB2312"/>
                <w:color w:val="auto"/>
                <w:sz w:val="24"/>
                <w:highlight w:val="none"/>
              </w:rPr>
              <w:t>提供</w:t>
            </w:r>
            <w:r>
              <w:rPr>
                <w:rFonts w:hint="eastAsia" w:ascii="仿宋_GB2312" w:hAnsi="仿宋_GB2312" w:eastAsia="仿宋_GB2312" w:cs="仿宋_GB2312"/>
                <w:color w:val="auto"/>
                <w:sz w:val="24"/>
                <w:highlight w:val="none"/>
                <w:lang w:val="zh-CN"/>
              </w:rPr>
              <w:t>国家确定的认证机构出具的、处于有效期之内的节能产品认证证书的，投标无效。</w:t>
            </w:r>
          </w:p>
          <w:p w14:paraId="2FE55CF3">
            <w:pPr>
              <w:snapToGrid w:val="0"/>
              <w:spacing w:line="360" w:lineRule="auto"/>
              <w:rPr>
                <w:rFonts w:ascii="仿宋_GB2312" w:hAnsi="仿宋_GB2312" w:eastAsia="仿宋_GB2312" w:cs="仿宋_GB2312"/>
                <w:color w:val="auto"/>
                <w:kern w:val="0"/>
                <w:sz w:val="24"/>
                <w:highlight w:val="none"/>
                <w:lang w:val="zh-CN"/>
              </w:rPr>
            </w:pPr>
            <w:sdt>
              <w:sdtPr>
                <w:rPr>
                  <w:rFonts w:hint="eastAsia" w:ascii="仿宋" w:hAnsi="仿宋" w:eastAsia="仿宋" w:cs="仿宋"/>
                  <w:color w:val="auto"/>
                  <w:sz w:val="24"/>
                  <w:highlight w:val="none"/>
                  <w:lang w:val="zh-CN"/>
                </w:rPr>
                <w:id w:val="93515011"/>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lang w:val="zh-CN"/>
                </w:rPr>
              </w:sdtEndPr>
              <w:sdtContent>
                <w:r>
                  <w:rPr>
                    <w:rFonts w:ascii="MS Gothic" w:hAnsi="MS Gothic" w:eastAsia="仿宋" w:cs="仿宋"/>
                    <w:color w:val="auto"/>
                    <w:sz w:val="24"/>
                    <w:highlight w:val="none"/>
                    <w:lang w:val="zh-CN"/>
                  </w:rPr>
                  <w:t>☐</w:t>
                </w:r>
              </w:sdtContent>
            </w:sdt>
            <w:r>
              <w:rPr>
                <w:rFonts w:hint="eastAsia" w:ascii="仿宋_GB2312" w:hAnsi="仿宋_GB2312" w:eastAsia="仿宋_GB2312" w:cs="仿宋_GB2312"/>
                <w:color w:val="auto"/>
                <w:sz w:val="24"/>
                <w:highlight w:val="none"/>
                <w:lang w:val="zh-CN"/>
              </w:rPr>
              <w:t>依据国家确定的认证机构出具的、处于有效期之内的环境标志产品认证证书，对获得证书的产品实施政府优先采购，详见评分标准。</w:t>
            </w:r>
          </w:p>
          <w:p w14:paraId="0EE3451C">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sz w:val="24"/>
                  <w:highlight w:val="none"/>
                </w:rPr>
                <w:id w:val="1103078003"/>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ascii="Wingdings" w:hAnsi="Wingdings" w:eastAsia="仿宋" w:cs="Segoe UI Symbol"/>
                    <w:color w:val="auto"/>
                    <w:sz w:val="24"/>
                    <w:highlight w:val="none"/>
                  </w:rPr>
                  <w:t></w:t>
                </w:r>
              </w:sdtContent>
            </w:sdt>
            <w:r>
              <w:rPr>
                <w:rFonts w:hint="eastAsia" w:ascii="仿宋_GB2312" w:hAnsi="仿宋_GB2312" w:eastAsia="仿宋_GB2312" w:cs="仿宋_GB2312"/>
                <w:color w:val="auto"/>
                <w:sz w:val="24"/>
                <w:highlight w:val="none"/>
              </w:rPr>
              <w:t>无。</w:t>
            </w:r>
          </w:p>
        </w:tc>
      </w:tr>
      <w:tr w14:paraId="57092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3BE5DD5">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777" w:type="dxa"/>
            <w:tcBorders>
              <w:top w:val="single" w:color="000000" w:sz="8" w:space="0"/>
              <w:left w:val="single" w:color="auto" w:sz="4" w:space="0"/>
              <w:bottom w:val="single" w:color="000000" w:sz="8" w:space="0"/>
              <w:right w:val="single" w:color="000000" w:sz="8" w:space="0"/>
            </w:tcBorders>
            <w:vAlign w:val="center"/>
          </w:tcPr>
          <w:p w14:paraId="1DD599F4">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14:paraId="7599C6BA">
            <w:pPr>
              <w:snapToGrid w:val="0"/>
              <w:spacing w:line="360" w:lineRule="auto"/>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有关本项目实施所需的所有费用（含税费）均计入报价。投标文件开标一览表（报价表）</w:t>
            </w:r>
            <w:r>
              <w:rPr>
                <w:rFonts w:hint="eastAsia" w:ascii="仿宋_GB2312" w:hAnsi="仿宋_GB2312" w:eastAsia="仿宋_GB2312" w:cs="仿宋_GB2312"/>
                <w:color w:val="auto"/>
                <w:sz w:val="24"/>
                <w:highlight w:val="none"/>
              </w:rPr>
              <w:t>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color w:val="auto"/>
                <w:kern w:val="0"/>
                <w:sz w:val="24"/>
                <w:highlight w:val="none"/>
                <w:lang w:val="zh-CN"/>
              </w:rPr>
              <w:t>投标文件中价格全部采用人民币报价。招标文件未列明，而投标人认为必需的费用也需列入报价。</w:t>
            </w:r>
          </w:p>
          <w:p w14:paraId="25DE9170">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投标报价出现下列情形的，投标无效：</w:t>
            </w:r>
          </w:p>
          <w:p w14:paraId="7344228D">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投标文件出现不是唯一的、有选择性投标报价的；</w:t>
            </w:r>
          </w:p>
          <w:p w14:paraId="35F1FD58">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投标报价超过招标文件中规定的预算金额或者最高限价的;</w:t>
            </w:r>
          </w:p>
          <w:p w14:paraId="31377543">
            <w:pPr>
              <w:spacing w:line="360" w:lineRule="auto"/>
              <w:ind w:firstLine="241" w:firstLineChars="1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color w:val="auto"/>
                <w:sz w:val="24"/>
                <w:szCs w:val="21"/>
                <w:highlight w:val="none"/>
              </w:rPr>
              <w:t>;</w:t>
            </w:r>
          </w:p>
          <w:p w14:paraId="559360BB">
            <w:pPr>
              <w:spacing w:line="360" w:lineRule="auto"/>
              <w:ind w:firstLine="241"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rPr>
              <w:t>投标人对根据修正原则修正后的报价不确认的</w:t>
            </w:r>
            <w:r>
              <w:rPr>
                <w:rFonts w:hint="eastAsia" w:ascii="仿宋_GB2312" w:hAnsi="仿宋_GB2312" w:eastAsia="仿宋_GB2312" w:cs="仿宋_GB2312"/>
                <w:b/>
                <w:color w:val="auto"/>
                <w:sz w:val="24"/>
                <w:highlight w:val="none"/>
              </w:rPr>
              <w:t>。</w:t>
            </w:r>
          </w:p>
        </w:tc>
      </w:tr>
      <w:tr w14:paraId="3D5FB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BBA7C23">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1777" w:type="dxa"/>
            <w:vMerge w:val="restart"/>
            <w:tcBorders>
              <w:top w:val="single" w:color="000000" w:sz="8" w:space="0"/>
              <w:left w:val="single" w:color="auto" w:sz="4" w:space="0"/>
              <w:right w:val="single" w:color="000000" w:sz="8" w:space="0"/>
            </w:tcBorders>
            <w:vAlign w:val="center"/>
          </w:tcPr>
          <w:p w14:paraId="553AEA1A">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14:paraId="266DCFB6">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tc>
      </w:tr>
      <w:tr w14:paraId="1901A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BEC88D9">
            <w:pPr>
              <w:spacing w:line="360" w:lineRule="auto"/>
              <w:ind w:firstLine="420" w:firstLineChars="200"/>
              <w:jc w:val="center"/>
              <w:rPr>
                <w:rFonts w:ascii="仿宋_GB2312" w:hAnsi="仿宋_GB2312" w:eastAsia="仿宋_GB2312" w:cs="仿宋_GB2312"/>
                <w:color w:val="auto"/>
                <w:highlight w:val="none"/>
              </w:rPr>
            </w:pPr>
          </w:p>
        </w:tc>
        <w:tc>
          <w:tcPr>
            <w:tcW w:w="1777" w:type="dxa"/>
            <w:vMerge w:val="continue"/>
            <w:tcBorders>
              <w:left w:val="single" w:color="auto" w:sz="4" w:space="0"/>
              <w:bottom w:val="single" w:color="000000" w:sz="8" w:space="0"/>
              <w:right w:val="single" w:color="000000" w:sz="8" w:space="0"/>
            </w:tcBorders>
            <w:vAlign w:val="center"/>
          </w:tcPr>
          <w:p w14:paraId="03FB4055">
            <w:pPr>
              <w:spacing w:line="360" w:lineRule="auto"/>
              <w:ind w:firstLine="420" w:firstLineChars="200"/>
              <w:rPr>
                <w:rFonts w:ascii="仿宋_GB2312" w:hAnsi="仿宋_GB2312" w:eastAsia="仿宋_GB2312" w:cs="仿宋_GB2312"/>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73FC00AD">
            <w:pPr>
              <w:spacing w:line="360" w:lineRule="auto"/>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BEF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B9459F0">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1777" w:type="dxa"/>
            <w:vMerge w:val="restart"/>
            <w:tcBorders>
              <w:top w:val="single" w:color="000000" w:sz="8" w:space="0"/>
              <w:left w:val="single" w:color="auto" w:sz="4" w:space="0"/>
              <w:bottom w:val="single" w:color="000000" w:sz="8" w:space="0"/>
              <w:right w:val="single" w:color="000000" w:sz="8" w:space="0"/>
            </w:tcBorders>
            <w:vAlign w:val="center"/>
          </w:tcPr>
          <w:p w14:paraId="0E02CC8D">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14:paraId="42AF8DAF">
            <w:pPr>
              <w:spacing w:line="360" w:lineRule="auto"/>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仿宋_GB2312" w:hAnsi="仿宋_GB2312" w:eastAsia="仿宋_GB2312" w:cs="仿宋_GB2312"/>
                <w:b/>
                <w:color w:val="auto"/>
                <w:kern w:val="0"/>
                <w:sz w:val="24"/>
                <w:highlight w:val="none"/>
              </w:rPr>
              <w:t>。</w:t>
            </w:r>
          </w:p>
        </w:tc>
      </w:tr>
      <w:tr w14:paraId="2BCD0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A402165">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14:paraId="1C4CDE5B">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725C390C">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187950727"/>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snapToGrid w:val="0"/>
                <w:color w:val="auto"/>
                <w:kern w:val="28"/>
                <w:sz w:val="24"/>
                <w:highlight w:val="none"/>
              </w:rPr>
              <w:t>联合体投标的，联合体各方均需按招标文件第四部分评标标准要求提供资信证明文件，否则视为不符合相关要求</w:t>
            </w:r>
            <w:r>
              <w:rPr>
                <w:rFonts w:hint="eastAsia" w:ascii="仿宋" w:hAnsi="仿宋" w:eastAsia="仿宋" w:cs="仿宋"/>
                <w:snapToGrid w:val="0"/>
                <w:color w:val="auto"/>
                <w:kern w:val="28"/>
                <w:sz w:val="24"/>
                <w:highlight w:val="none"/>
              </w:rPr>
              <w:t>。</w:t>
            </w:r>
          </w:p>
          <w:p w14:paraId="52F1D339">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504401428"/>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_GB2312" w:hAnsi="仿宋_GB2312" w:eastAsia="仿宋_GB2312" w:cs="仿宋_GB2312"/>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FA25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B5933DD">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14:paraId="6FCA895E">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4BC36411">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如联合体参与政府采购活动的，除联合体协议书外，由联合体牵头单位在投标文件中加盖相应章、签字即可；如联合体协议书另行约定的，按照联合体协议约定的执行。</w:t>
            </w:r>
          </w:p>
        </w:tc>
      </w:tr>
      <w:tr w14:paraId="5E145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4"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C505ECB">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14:paraId="3BB60146">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303F2F71">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评审因素对应的要求视为采购需求的一部分。</w:t>
            </w:r>
          </w:p>
        </w:tc>
      </w:tr>
      <w:tr w14:paraId="2F710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jc w:val="center"/>
        </w:trPr>
        <w:tc>
          <w:tcPr>
            <w:tcW w:w="629" w:type="dxa"/>
            <w:vMerge w:val="continue"/>
            <w:tcBorders>
              <w:left w:val="single" w:color="auto" w:sz="4" w:space="0"/>
              <w:bottom w:val="single" w:color="auto" w:sz="4" w:space="0"/>
              <w:right w:val="single" w:color="auto" w:sz="4" w:space="0"/>
            </w:tcBorders>
            <w:vAlign w:val="center"/>
          </w:tcPr>
          <w:p w14:paraId="5BF3B1B8">
            <w:pPr>
              <w:spacing w:line="360" w:lineRule="auto"/>
              <w:rPr>
                <w:color w:val="auto"/>
                <w:highlight w:val="none"/>
              </w:rPr>
            </w:pPr>
          </w:p>
        </w:tc>
        <w:tc>
          <w:tcPr>
            <w:tcW w:w="1777" w:type="dxa"/>
            <w:vMerge w:val="continue"/>
            <w:tcBorders>
              <w:left w:val="single" w:color="auto" w:sz="4" w:space="0"/>
              <w:bottom w:val="single" w:color="000000" w:sz="8" w:space="0"/>
              <w:right w:val="single" w:color="000000" w:sz="8" w:space="0"/>
            </w:tcBorders>
            <w:vAlign w:val="center"/>
          </w:tcPr>
          <w:p w14:paraId="012517D8">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015A8A5B">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
              </w:rPr>
              <w:t>本项目评审报告推荐的中标候选人数量：</w:t>
            </w:r>
            <w:r>
              <w:rPr>
                <w:rFonts w:hint="eastAsia" w:ascii="仿宋_GB2312" w:hAnsi="仿宋_GB2312" w:eastAsia="仿宋_GB2312" w:cs="仿宋_GB2312"/>
                <w:color w:val="auto"/>
                <w:kern w:val="0"/>
                <w:sz w:val="24"/>
                <w:highlight w:val="none"/>
                <w:u w:val="single"/>
              </w:rPr>
              <w:t xml:space="preserve">   1名  </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rPr>
              <w:t>。</w:t>
            </w:r>
          </w:p>
        </w:tc>
      </w:tr>
      <w:tr w14:paraId="3635D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6C32DA7">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13</w:t>
            </w:r>
          </w:p>
        </w:tc>
        <w:tc>
          <w:tcPr>
            <w:tcW w:w="1777" w:type="dxa"/>
            <w:tcBorders>
              <w:top w:val="single" w:color="000000" w:sz="8" w:space="0"/>
              <w:left w:val="single" w:color="auto" w:sz="4" w:space="0"/>
              <w:bottom w:val="single" w:color="000000" w:sz="8" w:space="0"/>
              <w:right w:val="single" w:color="000000" w:sz="8" w:space="0"/>
            </w:tcBorders>
            <w:vAlign w:val="center"/>
          </w:tcPr>
          <w:p w14:paraId="0BE6766C">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钱塘区公共资源交易领域突出问题专项整治线索征集公告</w:t>
            </w:r>
          </w:p>
        </w:tc>
        <w:tc>
          <w:tcPr>
            <w:tcW w:w="6161" w:type="dxa"/>
            <w:tcBorders>
              <w:top w:val="single" w:color="000000" w:sz="8" w:space="0"/>
              <w:left w:val="single" w:color="000000" w:sz="2" w:space="0"/>
              <w:bottom w:val="single" w:color="000000" w:sz="8" w:space="0"/>
              <w:right w:val="single" w:color="000000" w:sz="8" w:space="0"/>
            </w:tcBorders>
            <w:vAlign w:val="center"/>
          </w:tcPr>
          <w:p w14:paraId="2CF97A92">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为进一步贯彻落实省市区“招投标领域专项整治与提升”工作要求，维护公平竞争的市场环境，现开设公共资源交易领域违法线索征集渠道，线索反馈联系方式如下：</w:t>
            </w:r>
          </w:p>
          <w:p w14:paraId="027AACA2">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钱塘区财政局：               ryp2001@</w:t>
            </w:r>
            <w:r>
              <w:rPr>
                <w:color w:val="auto"/>
                <w:highlight w:val="none"/>
              </w:rPr>
              <w:fldChar w:fldCharType="begin"/>
            </w:r>
            <w:r>
              <w:rPr>
                <w:color w:val="auto"/>
                <w:highlight w:val="none"/>
              </w:rPr>
              <w:instrText xml:space="preserve"> HYPERLINK "http://163.com/" \t "/tmp/22591/wps-root/x/_blank" </w:instrText>
            </w:r>
            <w:r>
              <w:rPr>
                <w:color w:val="auto"/>
                <w:highlight w:val="none"/>
              </w:rPr>
              <w:fldChar w:fldCharType="separate"/>
            </w:r>
            <w:r>
              <w:rPr>
                <w:rFonts w:hint="eastAsia" w:ascii="仿宋_GB2312" w:hAnsi="仿宋_GB2312" w:eastAsia="仿宋_GB2312" w:cs="仿宋_GB2312"/>
                <w:color w:val="auto"/>
                <w:kern w:val="0"/>
                <w:sz w:val="24"/>
                <w:highlight w:val="none"/>
              </w:rPr>
              <w:t>163.com</w:t>
            </w:r>
            <w:r>
              <w:rPr>
                <w:rFonts w:hint="eastAsia" w:ascii="仿宋_GB2312" w:hAnsi="仿宋_GB2312" w:eastAsia="仿宋_GB2312" w:cs="仿宋_GB2312"/>
                <w:color w:val="auto"/>
                <w:kern w:val="0"/>
                <w:sz w:val="24"/>
                <w:highlight w:val="none"/>
              </w:rPr>
              <w:fldChar w:fldCharType="end"/>
            </w:r>
            <w:r>
              <w:rPr>
                <w:rFonts w:hint="eastAsia" w:ascii="仿宋_GB2312" w:hAnsi="仿宋_GB2312" w:eastAsia="仿宋_GB2312" w:cs="仿宋_GB2312"/>
                <w:color w:val="auto"/>
                <w:kern w:val="0"/>
                <w:sz w:val="24"/>
                <w:highlight w:val="none"/>
              </w:rPr>
              <w:t xml:space="preserve"> </w:t>
            </w:r>
          </w:p>
          <w:p w14:paraId="7A20DC6E">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钱塘区公共资源交易管理办公室:qtqgzb@163.com</w:t>
            </w:r>
          </w:p>
        </w:tc>
      </w:tr>
      <w:bookmarkEnd w:id="9"/>
    </w:tbl>
    <w:p w14:paraId="1C187728">
      <w:pPr>
        <w:snapToGrid w:val="0"/>
        <w:spacing w:line="360" w:lineRule="auto"/>
        <w:jc w:val="center"/>
        <w:rPr>
          <w:rFonts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7C0D9645">
      <w:pPr>
        <w:adjustRightInd/>
        <w:spacing w:line="360" w:lineRule="auto"/>
        <w:ind w:firstLine="3845" w:firstLineChars="1197"/>
        <w:outlineLvl w:val="1"/>
        <w:rPr>
          <w:rFonts w:ascii="仿宋_GB2312" w:hAnsi="仿宋_GB2312" w:eastAsia="仿宋_GB2312" w:cs="仿宋_GB2312"/>
          <w:b/>
          <w:color w:val="auto"/>
          <w:sz w:val="32"/>
          <w:szCs w:val="20"/>
          <w:highlight w:val="none"/>
        </w:rPr>
      </w:pPr>
      <w:bookmarkStart w:id="10" w:name="_Toc164416483"/>
      <w:bookmarkStart w:id="11" w:name="第三部分"/>
      <w:r>
        <w:rPr>
          <w:rFonts w:hint="eastAsia" w:ascii="仿宋_GB2312" w:hAnsi="仿宋_GB2312" w:eastAsia="仿宋_GB2312" w:cs="仿宋_GB2312"/>
          <w:b/>
          <w:color w:val="auto"/>
          <w:sz w:val="32"/>
          <w:szCs w:val="20"/>
          <w:highlight w:val="none"/>
        </w:rPr>
        <w:t>一、总则</w:t>
      </w:r>
    </w:p>
    <w:p w14:paraId="6675BF08">
      <w:pPr>
        <w:snapToGrid w:val="0"/>
        <w:spacing w:line="360" w:lineRule="auto"/>
        <w:jc w:val="left"/>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 适用范围</w:t>
      </w:r>
    </w:p>
    <w:p w14:paraId="77DD9A50">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本招标文件适用于该项目的招标、投标、开标、资格审查及信用信息查询、评标、定标、合同、验收等行为（法律、法规另有规定的，从其规定）。</w:t>
      </w:r>
    </w:p>
    <w:p w14:paraId="0B6B4717">
      <w:pPr>
        <w:adjustRightInd/>
        <w:spacing w:line="360" w:lineRule="auto"/>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2.定义</w:t>
      </w:r>
    </w:p>
    <w:p w14:paraId="7986D213">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“采购人”系指招标公告中载明的本项目的采购人。</w:t>
      </w:r>
    </w:p>
    <w:p w14:paraId="18DE195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“采购代理机构”系指招标公告中载明的本项目的采购代理机构。</w:t>
      </w:r>
    </w:p>
    <w:p w14:paraId="71EF593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“投标人”系指是指响应招标、参加投标竞争的法人、其他组织或者自然人。</w:t>
      </w:r>
    </w:p>
    <w:p w14:paraId="77E9EF92">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“负责人”系指法人企业的法定负责人，或其他组织为法律、行政法规规定代表单位行使职权的主要负责人，或自然人本人。</w:t>
      </w:r>
    </w:p>
    <w:p w14:paraId="166A46E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E225C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2.6“电子交易平台”是指本项目政府采购活动所依托的政府采购云平台（https://www.zcygov.cn/）。</w:t>
      </w:r>
    </w:p>
    <w:p w14:paraId="3833D5B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 “▲” 系指实质性要求条款，“★”系产品采购项目中单一产品或核心产品，“</w:t>
      </w:r>
      <w:sdt>
        <w:sdtPr>
          <w:rPr>
            <w:rFonts w:hint="eastAsia" w:ascii="仿宋_GB2312" w:hAnsi="仿宋_GB2312" w:eastAsia="仿宋_GB2312" w:cs="仿宋_GB2312"/>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 系指适用本项目的要求，“</w:t>
      </w:r>
      <w:sdt>
        <w:sdtPr>
          <w:rPr>
            <w:rFonts w:hint="eastAsia" w:ascii="仿宋_GB2312" w:hAnsi="仿宋_GB2312" w:eastAsia="仿宋_GB2312" w:cs="仿宋_GB2312"/>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 系指不适用本项目的要求，“</w:t>
      </w:r>
      <w:r>
        <w:rPr>
          <w:rFonts w:hint="eastAsia" w:ascii="仿宋" w:hAnsi="仿宋" w:eastAsia="仿宋" w:cs="仿宋"/>
          <w:color w:val="auto"/>
          <w:sz w:val="24"/>
          <w:highlight w:val="none"/>
        </w:rPr>
        <w:t>※</w:t>
      </w:r>
      <w:r>
        <w:rPr>
          <w:rFonts w:hint="eastAsia" w:ascii="仿宋_GB2312" w:hAnsi="仿宋_GB2312" w:eastAsia="仿宋_GB2312" w:cs="仿宋_GB2312"/>
          <w:color w:val="auto"/>
          <w:sz w:val="24"/>
          <w:highlight w:val="none"/>
        </w:rPr>
        <w:t>”系指重要技术指标。</w:t>
      </w:r>
    </w:p>
    <w:p w14:paraId="254131AE">
      <w:pPr>
        <w:spacing w:line="360" w:lineRule="auto"/>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b/>
          <w:color w:val="auto"/>
          <w:sz w:val="24"/>
          <w:highlight w:val="none"/>
        </w:rPr>
        <w:t>采购项目需要落实的政府采购政策</w:t>
      </w:r>
    </w:p>
    <w:p w14:paraId="6484C83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5E7618B">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 支持绿色发展</w:t>
      </w:r>
    </w:p>
    <w:p w14:paraId="0458ED44">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B4879F">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3.2.2修缮、装修类项目采购建材的，采购人应将绿色建筑和绿色建材性能、指标等作为实质性条件纳入招标文件和合同，具体性能指标要求参考相关绿色建材政府采购需求标准。</w:t>
      </w:r>
    </w:p>
    <w:p w14:paraId="6392AB6E">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81016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A1D9B2B">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3.3支持中小企业发展</w:t>
      </w:r>
    </w:p>
    <w:p w14:paraId="4B9E181B">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481A6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符合中小企业划分标准的个体工商户，在政府采购活动中视同中小企业。</w:t>
      </w:r>
    </w:p>
    <w:p w14:paraId="47F6213F">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3.3.2</w:t>
      </w:r>
      <w:r>
        <w:rPr>
          <w:rFonts w:hint="eastAsia" w:ascii="仿宋_GB2312" w:hAnsi="仿宋_GB2312" w:eastAsia="仿宋_GB2312" w:cs="仿宋_GB2312"/>
          <w:color w:val="auto"/>
          <w:kern w:val="0"/>
          <w:sz w:val="24"/>
          <w:highlight w:val="none"/>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14:paraId="3FB7E15C">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以联合体形式参加政府采购活动，联合体各方均为中小企业的，联合体视同中小企业。其中，联合体各方均为小微企业的，联合体视同小微企业。</w:t>
      </w:r>
    </w:p>
    <w:p w14:paraId="43A45DF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3.3.3对于未预留份额专门面向中小企业的政府采购服务项目，以及预留份额政府采购服务项目中的非预留部分标项，对小型和微型企业的投标报价给予10%-20%的扣除（招标文件第四部分</w:t>
      </w:r>
      <w:r>
        <w:rPr>
          <w:rFonts w:hint="eastAsia" w:ascii="仿宋_GB2312" w:hAnsi="仿宋_GB2312" w:eastAsia="仿宋_GB2312" w:cs="仿宋_GB2312"/>
          <w:color w:val="auto"/>
          <w:sz w:val="24"/>
          <w:highlight w:val="none"/>
          <w:u w:val="single"/>
        </w:rPr>
        <w:t>评标办分法明确具体的扣除比例，未明确的</w:t>
      </w:r>
      <w:r>
        <w:rPr>
          <w:rFonts w:hint="eastAsia" w:ascii="仿宋_GB2312" w:hAnsi="仿宋_GB2312" w:eastAsia="仿宋_GB2312" w:cs="仿宋_GB2312"/>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招标文件第四部分</w:t>
      </w:r>
      <w:r>
        <w:rPr>
          <w:rFonts w:hint="eastAsia" w:ascii="仿宋_GB2312" w:hAnsi="仿宋_GB2312" w:eastAsia="仿宋_GB2312" w:cs="仿宋_GB2312"/>
          <w:color w:val="auto"/>
          <w:sz w:val="24"/>
          <w:highlight w:val="none"/>
          <w:u w:val="single"/>
        </w:rPr>
        <w:t>评标办分法明确具体的扣除比例，未明确的</w:t>
      </w:r>
      <w:r>
        <w:rPr>
          <w:rFonts w:hint="eastAsia" w:ascii="仿宋_GB2312" w:hAnsi="仿宋_GB2312" w:eastAsia="仿宋_GB2312" w:cs="仿宋_GB2312"/>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4FFBF28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17B99F1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5EBA2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69814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3.3.7中小企业享受扶持政策获得政府采购合同的，小微企业不得将合同分包给大中型企业，中型企业不得将合同分包给大型企业。</w:t>
      </w:r>
    </w:p>
    <w:p w14:paraId="4331E450">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w:t>
      </w:r>
      <w:r>
        <w:rPr>
          <w:rFonts w:hint="eastAsia" w:ascii="仿宋_GB2312" w:hAnsi="仿宋_GB2312" w:eastAsia="仿宋_GB2312" w:cs="仿宋_GB2312"/>
          <w:bCs/>
          <w:color w:val="auto"/>
          <w:sz w:val="24"/>
          <w:highlight w:val="none"/>
        </w:rPr>
        <w:t>支持创新发展</w:t>
      </w:r>
    </w:p>
    <w:p w14:paraId="1331375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3.4.1 采购人优先采购被认定为首台套产品和“制造精品”的自主创新产品。</w:t>
      </w:r>
    </w:p>
    <w:p w14:paraId="0B2FE88B">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0071406">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p w14:paraId="563CC99E">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3.6平等对待内外资企业和符合条件的破产重整企业</w:t>
      </w:r>
    </w:p>
    <w:p w14:paraId="2C673B7C">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平等对待内外资企业和符合条件的破产重整企业，切实保障企业公平竞争，平等维护企业的合法利益。</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color w:val="auto"/>
          <w:sz w:val="24"/>
          <w:highlight w:val="none"/>
        </w:rPr>
        <w:t>4. 询问、质疑、投诉</w:t>
      </w:r>
    </w:p>
    <w:p w14:paraId="4DC5DD5E">
      <w:pPr>
        <w:autoSpaceDE w:val="0"/>
        <w:autoSpaceDN w:val="0"/>
        <w:spacing w:line="360" w:lineRule="auto"/>
        <w:ind w:firstLine="480" w:firstLineChars="200"/>
        <w:jc w:val="left"/>
        <w:outlineLvl w:val="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4.1在线询问、质疑、投诉</w:t>
      </w:r>
    </w:p>
    <w:p w14:paraId="6D2E41AE">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AB28EF">
      <w:pPr>
        <w:autoSpaceDE w:val="0"/>
        <w:autoSpaceDN w:val="0"/>
        <w:spacing w:line="360" w:lineRule="auto"/>
        <w:ind w:firstLine="480" w:firstLineChars="200"/>
        <w:jc w:val="left"/>
        <w:outlineLvl w:val="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4.2供应商询问</w:t>
      </w:r>
    </w:p>
    <w:p w14:paraId="7049572C">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A0578D">
      <w:pPr>
        <w:autoSpaceDE w:val="0"/>
        <w:autoSpaceDN w:val="0"/>
        <w:spacing w:line="360" w:lineRule="auto"/>
        <w:ind w:firstLine="480" w:firstLineChars="200"/>
        <w:jc w:val="left"/>
        <w:outlineLvl w:val="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供应商质疑</w:t>
      </w:r>
    </w:p>
    <w:p w14:paraId="3B2D0CD0">
      <w:pPr>
        <w:pStyle w:val="36"/>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sz w:val="24"/>
          <w:highlight w:val="none"/>
        </w:rPr>
        <w:t>.1提出质疑的供应商应当是参与所质疑项目采购活动的供应商。潜在供应商已依法获取其可质疑的招标文件的，可以对该文件提出质疑。</w:t>
      </w:r>
    </w:p>
    <w:p w14:paraId="0E736DFC">
      <w:pPr>
        <w:pStyle w:val="36"/>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B50FF2">
      <w:pPr>
        <w:pStyle w:val="15"/>
        <w:spacing w:line="360" w:lineRule="auto"/>
        <w:ind w:firstLine="480" w:firstLineChars="200"/>
        <w:rPr>
          <w:rFonts w:ascii="仿宋_GB2312" w:hAnsi="仿宋_GB2312" w:eastAsia="仿宋_GB2312" w:cs="仿宋_GB2312"/>
          <w:snapToGrid/>
          <w:color w:val="auto"/>
          <w:kern w:val="2"/>
          <w:sz w:val="24"/>
          <w:highlight w:val="none"/>
        </w:rPr>
      </w:pPr>
      <w:r>
        <w:rPr>
          <w:rFonts w:hint="eastAsia" w:ascii="仿宋_GB2312" w:hAnsi="仿宋_GB2312" w:eastAsia="仿宋_GB2312" w:cs="仿宋_GB2312"/>
          <w:snapToGrid/>
          <w:color w:val="auto"/>
          <w:kern w:val="2"/>
          <w:sz w:val="24"/>
          <w:highlight w:val="none"/>
        </w:rPr>
        <w:t>4.3.2.1对招标文件提出质疑的，质疑期限为供应商获得招标文件之日或者招标文件公告期限届满之日起计算。</w:t>
      </w:r>
    </w:p>
    <w:p w14:paraId="63F99ED2">
      <w:pPr>
        <w:pStyle w:val="36"/>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4.3.2.2对采购过程提出质疑的，质疑期限为各采购程序环节结束之日起计算。</w:t>
      </w:r>
    </w:p>
    <w:p w14:paraId="150CA54B">
      <w:pPr>
        <w:pStyle w:val="36"/>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4.3.2.3对采购结果提出质疑的，质疑期限自采购结果公告期限届满之日起计算。</w:t>
      </w:r>
    </w:p>
    <w:p w14:paraId="4E99430F">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w:t>
      </w:r>
      <w:r>
        <w:rPr>
          <w:rFonts w:hint="eastAsia" w:ascii="仿宋_GB2312" w:hAnsi="仿宋_GB2312" w:eastAsia="仿宋_GB2312" w:cs="仿宋_GB2312"/>
          <w:color w:val="auto"/>
          <w:sz w:val="24"/>
          <w:highlight w:val="none"/>
        </w:rPr>
        <w:t>供应商提出质疑应当提交质疑函和必要的证明材料。质疑函应当包括下列内容：</w:t>
      </w:r>
    </w:p>
    <w:p w14:paraId="5B71B73B">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.3.1供应商的姓名或者名称、地址、邮编、联系人及联系电话；</w:t>
      </w:r>
    </w:p>
    <w:p w14:paraId="3B4D0F82">
      <w:pPr>
        <w:pStyle w:val="36"/>
        <w:spacing w:line="360" w:lineRule="auto"/>
        <w:ind w:firstLine="480" w:firstLineChars="200"/>
        <w:outlineLvl w:val="4"/>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.3.2质疑项目的名称、编号；</w:t>
      </w:r>
    </w:p>
    <w:p w14:paraId="0E043D35">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.3.3具体、明确的质疑事项和与质疑事项相关的请求；</w:t>
      </w:r>
    </w:p>
    <w:p w14:paraId="24622D4A">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.3.4事实依据；</w:t>
      </w:r>
    </w:p>
    <w:p w14:paraId="22CA4D3C">
      <w:pPr>
        <w:pStyle w:val="36"/>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.3.5必要的法律依据；</w:t>
      </w:r>
    </w:p>
    <w:p w14:paraId="7024BA3E">
      <w:pPr>
        <w:pStyle w:val="36"/>
        <w:spacing w:line="360" w:lineRule="auto"/>
        <w:ind w:firstLine="960" w:firstLineChars="4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.3.6提出质疑的日期。</w:t>
      </w:r>
    </w:p>
    <w:p w14:paraId="61F763A9">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F9CB943">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质疑函范本及制作说明详见附件2。</w:t>
      </w:r>
    </w:p>
    <w:p w14:paraId="6FCA47F7">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4.3.4对同一采购程序环节的质疑，供应商须在法定质疑期内一次性提出。</w:t>
      </w:r>
    </w:p>
    <w:p w14:paraId="0BE63235">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460382C">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4.3.6询问或者质疑事项可能影响采购结果的，采购人应当暂停签订合同，已经签订合同的，应当中止履行合同。</w:t>
      </w:r>
    </w:p>
    <w:p w14:paraId="4A4AE6EF">
      <w:pPr>
        <w:pStyle w:val="150"/>
        <w:snapToGrid w:val="0"/>
        <w:spacing w:before="0"/>
        <w:ind w:firstLine="480"/>
        <w:outlineLvl w:val="3"/>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4.4供应商投诉</w:t>
      </w:r>
    </w:p>
    <w:p w14:paraId="37166DFC">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5E52AE">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4.4.2供应商投诉的事项不得超出已质疑事项的范围，基于质疑答复内容提出的投诉事项除外。</w:t>
      </w:r>
    </w:p>
    <w:p w14:paraId="4CF451C5">
      <w:pPr>
        <w:pStyle w:val="150"/>
        <w:snapToGrid w:val="0"/>
        <w:spacing w:before="0"/>
        <w:ind w:firstLine="480"/>
        <w:outlineLvl w:val="4"/>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4.4.3供应商投诉应当有明确的请求和必要的证明材料。</w:t>
      </w:r>
    </w:p>
    <w:p w14:paraId="79FADF55">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4.4.4以联合体形式参加政府采购活动的，其投诉应当由组成联合体的所有供应商共同提出。</w:t>
      </w:r>
    </w:p>
    <w:p w14:paraId="73476A03">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4.4.5项目投诉材料可寄送浙江省政府采购行政裁决服务中心（杭州），地址：杭州市上城区四季青街道新业路市民之家G03办公室，收件人：朱女士，电话：0571-85252453。</w:t>
      </w:r>
    </w:p>
    <w:p w14:paraId="0B808CDA">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投诉书范本及制作说明详见附件3。</w:t>
      </w:r>
    </w:p>
    <w:p w14:paraId="69335440">
      <w:pPr>
        <w:adjustRightInd/>
        <w:spacing w:line="360" w:lineRule="auto"/>
        <w:jc w:val="center"/>
        <w:outlineLvl w:val="1"/>
        <w:rPr>
          <w:rFonts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 xml:space="preserve">      二、招标文件的构成、澄清、修改</w:t>
      </w:r>
    </w:p>
    <w:p w14:paraId="08748159">
      <w:pPr>
        <w:pStyle w:val="36"/>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5．招标文件的构成</w:t>
      </w:r>
    </w:p>
    <w:p w14:paraId="2B8C4223">
      <w:pPr>
        <w:pStyle w:val="36"/>
        <w:spacing w:line="360" w:lineRule="auto"/>
        <w:ind w:firstLine="480" w:firstLineChars="200"/>
        <w:outlineLvl w:val="3"/>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招标文件包括下列文件及附件：</w:t>
      </w:r>
    </w:p>
    <w:p w14:paraId="1CD97075">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5.1.1招标公告；</w:t>
      </w:r>
    </w:p>
    <w:p w14:paraId="4D6E863A">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5.1.2投标人须知；</w:t>
      </w:r>
    </w:p>
    <w:p w14:paraId="3C89668E">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5.1.3采购需求；</w:t>
      </w:r>
    </w:p>
    <w:p w14:paraId="69F7C634">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5.1.4评标办法；</w:t>
      </w:r>
    </w:p>
    <w:p w14:paraId="6674CB98">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5.1.5拟签订的合同文本；</w:t>
      </w:r>
    </w:p>
    <w:p w14:paraId="675DAABF">
      <w:pPr>
        <w:pStyle w:val="36"/>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5.1.6</w:t>
      </w:r>
      <w:r>
        <w:rPr>
          <w:rFonts w:hint="eastAsia" w:ascii="仿宋_GB2312" w:hAnsi="仿宋_GB2312" w:eastAsia="仿宋_GB2312" w:cs="仿宋_GB2312"/>
          <w:color w:val="auto"/>
          <w:sz w:val="24"/>
          <w:szCs w:val="24"/>
          <w:highlight w:val="none"/>
        </w:rPr>
        <w:t>应提交的有关格式范例。</w:t>
      </w:r>
    </w:p>
    <w:p w14:paraId="5D593F33">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5.2与本项目有关的</w:t>
      </w:r>
      <w:r>
        <w:rPr>
          <w:rFonts w:hint="eastAsia" w:ascii="仿宋_GB2312" w:hAnsi="仿宋_GB2312" w:eastAsia="仿宋_GB2312" w:cs="仿宋_GB2312"/>
          <w:bCs/>
          <w:color w:val="auto"/>
          <w:sz w:val="24"/>
          <w:highlight w:val="none"/>
        </w:rPr>
        <w:t>澄清或者修改的内容为招标文件的组成部分</w:t>
      </w:r>
      <w:r>
        <w:rPr>
          <w:rFonts w:hint="eastAsia" w:ascii="仿宋_GB2312" w:hAnsi="仿宋_GB2312" w:eastAsia="仿宋_GB2312" w:cs="仿宋_GB2312"/>
          <w:color w:val="auto"/>
          <w:sz w:val="24"/>
          <w:highlight w:val="none"/>
        </w:rPr>
        <w:t>。</w:t>
      </w:r>
    </w:p>
    <w:p w14:paraId="208F469C">
      <w:pPr>
        <w:pStyle w:val="36"/>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 招标文件的澄清、修改</w:t>
      </w:r>
    </w:p>
    <w:p w14:paraId="1DFF268A">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6.1已获取招标文件的潜在投标人，若有问题需要澄清，应于投标截止时间前，以书面形式向采购代理机构提出。</w:t>
      </w:r>
    </w:p>
    <w:p w14:paraId="36BE3369">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4D4C46">
      <w:pPr>
        <w:pStyle w:val="24"/>
        <w:rPr>
          <w:rFonts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Cs w:val="24"/>
          <w:highlight w:val="none"/>
          <w:lang w:val="en-US"/>
        </w:rPr>
        <w:t xml:space="preserve">    </w:t>
      </w:r>
    </w:p>
    <w:p w14:paraId="339A0ADF">
      <w:pPr>
        <w:adjustRightInd/>
        <w:spacing w:line="360" w:lineRule="auto"/>
        <w:jc w:val="center"/>
        <w:outlineLvl w:val="1"/>
        <w:rPr>
          <w:rFonts w:ascii="仿宋_GB2312" w:hAnsi="仿宋_GB2312" w:eastAsia="仿宋_GB2312" w:cs="仿宋_GB2312"/>
          <w:b/>
          <w:color w:val="auto"/>
          <w:sz w:val="30"/>
          <w:szCs w:val="20"/>
          <w:highlight w:val="none"/>
        </w:rPr>
      </w:pPr>
      <w:r>
        <w:rPr>
          <w:rFonts w:hint="eastAsia" w:ascii="仿宋_GB2312" w:hAnsi="仿宋_GB2312" w:eastAsia="仿宋_GB2312" w:cs="仿宋_GB2312"/>
          <w:b/>
          <w:color w:val="auto"/>
          <w:sz w:val="30"/>
          <w:szCs w:val="20"/>
          <w:highlight w:val="none"/>
        </w:rPr>
        <w:t>三、投标</w:t>
      </w:r>
    </w:p>
    <w:p w14:paraId="06459C5B">
      <w:pPr>
        <w:pStyle w:val="36"/>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 招标文件的获取</w:t>
      </w:r>
    </w:p>
    <w:p w14:paraId="248ACBB3">
      <w:pPr>
        <w:spacing w:line="360" w:lineRule="auto"/>
        <w:ind w:firstLine="480" w:firstLineChars="200"/>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详见招标公告中获取招标文件的时间期限、地点、方式及招标文件售价。</w:t>
      </w:r>
    </w:p>
    <w:p w14:paraId="2F59E78D">
      <w:pPr>
        <w:pStyle w:val="36"/>
        <w:numPr>
          <w:ilvl w:val="0"/>
          <w:numId w:val="2"/>
        </w:numPr>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开标前答疑会或现场考察</w:t>
      </w:r>
    </w:p>
    <w:p w14:paraId="525E0A67">
      <w:pPr>
        <w:pStyle w:val="36"/>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13CD9992">
      <w:pPr>
        <w:pStyle w:val="36"/>
        <w:spacing w:line="360" w:lineRule="auto"/>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kern w:val="28"/>
          <w:sz w:val="24"/>
          <w:szCs w:val="24"/>
          <w:highlight w:val="none"/>
        </w:rPr>
        <w:t>9.投标保证金</w:t>
      </w:r>
    </w:p>
    <w:p w14:paraId="40E34B12">
      <w:pPr>
        <w:pStyle w:val="15"/>
        <w:spacing w:line="360" w:lineRule="auto"/>
        <w:ind w:firstLine="470" w:firstLineChars="19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本项目不需缴纳投标保证金。</w:t>
      </w:r>
    </w:p>
    <w:p w14:paraId="15B27033">
      <w:pPr>
        <w:pStyle w:val="36"/>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10. 投标文件的语言</w:t>
      </w:r>
    </w:p>
    <w:p w14:paraId="165FFAA5">
      <w:pPr>
        <w:autoSpaceDE w:val="0"/>
        <w:autoSpaceDN w:val="0"/>
        <w:spacing w:line="360" w:lineRule="auto"/>
        <w:ind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投标文件及投标人与采购有关的来往通知、函件和文件均应使用中文。</w:t>
      </w:r>
    </w:p>
    <w:p w14:paraId="59E73B34">
      <w:pPr>
        <w:pStyle w:val="36"/>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 投标文件的组成</w:t>
      </w:r>
    </w:p>
    <w:p w14:paraId="0435ADDD">
      <w:pPr>
        <w:snapToGrid w:val="0"/>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b/>
          <w:color w:val="auto"/>
          <w:sz w:val="24"/>
          <w:highlight w:val="none"/>
        </w:rPr>
        <w:t>资格文件</w:t>
      </w:r>
      <w:r>
        <w:rPr>
          <w:rFonts w:hint="eastAsia" w:ascii="仿宋_GB2312" w:hAnsi="仿宋_GB2312" w:eastAsia="仿宋_GB2312" w:cs="仿宋_GB2312"/>
          <w:color w:val="auto"/>
          <w:sz w:val="24"/>
          <w:highlight w:val="none"/>
        </w:rPr>
        <w:t>：</w:t>
      </w:r>
    </w:p>
    <w:p w14:paraId="5E90D528">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11.1.1符合参加政府采购活动应当具备的一般条件的承诺函；</w:t>
      </w:r>
    </w:p>
    <w:p w14:paraId="2F569970">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11.1.2联合协议</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7C0A7021">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11.1.3落实政府采购政策需满足的资格要求</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45166E44">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11.1.4本项目的特定资格要求</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71448626">
      <w:pPr>
        <w:snapToGrid w:val="0"/>
        <w:spacing w:line="360" w:lineRule="auto"/>
        <w:ind w:firstLine="480" w:firstLineChars="200"/>
        <w:outlineLvl w:val="3"/>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b/>
          <w:bCs/>
          <w:color w:val="auto"/>
          <w:sz w:val="24"/>
          <w:highlight w:val="none"/>
        </w:rPr>
        <w:t>商务技术</w:t>
      </w:r>
      <w:r>
        <w:rPr>
          <w:rFonts w:hint="eastAsia" w:ascii="仿宋_GB2312" w:hAnsi="仿宋_GB2312" w:eastAsia="仿宋_GB2312" w:cs="仿宋_GB2312"/>
          <w:b/>
          <w:bCs/>
          <w:color w:val="auto"/>
          <w:sz w:val="24"/>
          <w:highlight w:val="none"/>
          <w:lang w:val="zh-CN"/>
        </w:rPr>
        <w:t>文件：</w:t>
      </w:r>
    </w:p>
    <w:p w14:paraId="35257719">
      <w:pPr>
        <w:snapToGrid w:val="0"/>
        <w:spacing w:line="360" w:lineRule="auto"/>
        <w:ind w:firstLine="960" w:firstLineChars="400"/>
        <w:outlineLvl w:val="4"/>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11.2.1投标函；</w:t>
      </w:r>
      <w:r>
        <w:rPr>
          <w:rFonts w:hint="eastAsia" w:ascii="仿宋_GB2312" w:hAnsi="仿宋_GB2312" w:eastAsia="仿宋_GB2312" w:cs="仿宋_GB2312"/>
          <w:color w:val="auto"/>
          <w:sz w:val="24"/>
          <w:highlight w:val="none"/>
          <w:lang w:val="zh-CN"/>
        </w:rPr>
        <w:t xml:space="preserve"> </w:t>
      </w:r>
    </w:p>
    <w:p w14:paraId="505C87FE">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11.2.2授权委托书或法定代表人（单位负责人、自然人本人）身份证明；</w:t>
      </w:r>
    </w:p>
    <w:p w14:paraId="34DF7224">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11.2.3分包意向协议</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695586E9">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11.2.4符合性审查资料；</w:t>
      </w:r>
    </w:p>
    <w:p w14:paraId="456D7A6F">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11.2.5评标标准相应的商务技术资料；</w:t>
      </w:r>
    </w:p>
    <w:p w14:paraId="4DC027F8">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11.2.6投标标的清单；</w:t>
      </w:r>
    </w:p>
    <w:p w14:paraId="375FFAA3">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11.2.7商务技术偏离表；</w:t>
      </w:r>
    </w:p>
    <w:p w14:paraId="18104A9A">
      <w:pPr>
        <w:snapToGrid w:val="0"/>
        <w:spacing w:line="360" w:lineRule="auto"/>
        <w:ind w:firstLine="960" w:firstLineChars="4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14:paraId="48992B1B">
      <w:pPr>
        <w:snapToGrid w:val="0"/>
        <w:spacing w:line="360" w:lineRule="auto"/>
        <w:ind w:firstLine="480" w:firstLineChars="200"/>
        <w:outlineLvl w:val="3"/>
        <w:rPr>
          <w:rFonts w:ascii="仿宋_GB2312" w:hAnsi="仿宋_GB2312" w:eastAsia="仿宋_GB2312" w:cs="仿宋_GB2312"/>
          <w:color w:val="auto"/>
          <w:sz w:val="24"/>
          <w:highlight w:val="none"/>
          <w:u w:val="single"/>
          <w:lang w:val="zh-CN"/>
        </w:rPr>
      </w:pPr>
      <w:r>
        <w:rPr>
          <w:rFonts w:hint="eastAsia" w:ascii="仿宋_GB2312" w:hAnsi="仿宋_GB2312" w:eastAsia="仿宋_GB2312" w:cs="仿宋_GB2312"/>
          <w:color w:val="auto"/>
          <w:kern w:val="0"/>
          <w:sz w:val="24"/>
          <w:highlight w:val="none"/>
          <w:lang w:val="zh-CN"/>
        </w:rPr>
        <w:t>11.</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b/>
          <w:color w:val="auto"/>
          <w:sz w:val="24"/>
          <w:highlight w:val="none"/>
        </w:rPr>
        <w:t>报价文件：</w:t>
      </w:r>
      <w:r>
        <w:rPr>
          <w:rFonts w:hint="eastAsia" w:ascii="仿宋_GB2312" w:hAnsi="仿宋_GB2312" w:eastAsia="仿宋_GB2312" w:cs="仿宋_GB2312"/>
          <w:color w:val="auto"/>
          <w:sz w:val="24"/>
          <w:highlight w:val="none"/>
        </w:rPr>
        <w:t xml:space="preserve"> </w:t>
      </w:r>
    </w:p>
    <w:p w14:paraId="0E8765A5">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11.3.1开标一览表（报价表）；</w:t>
      </w:r>
    </w:p>
    <w:p w14:paraId="1997BE7F">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11.3.2中小企业声明函</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b/>
          <w:color w:val="auto"/>
          <w:sz w:val="24"/>
          <w:highlight w:val="none"/>
        </w:rPr>
        <w:t>。</w:t>
      </w:r>
    </w:p>
    <w:p w14:paraId="7A8464A8">
      <w:pPr>
        <w:spacing w:line="360" w:lineRule="auto"/>
        <w:ind w:firstLine="723" w:firstLineChars="3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投标文件含有采购人不能接受的附加条件的，投标无效；</w:t>
      </w:r>
    </w:p>
    <w:p w14:paraId="1FD6D0E1">
      <w:pPr>
        <w:spacing w:line="360" w:lineRule="auto"/>
        <w:ind w:firstLine="723" w:firstLineChars="3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b/>
          <w:color w:val="auto"/>
          <w:sz w:val="24"/>
          <w:highlight w:val="none"/>
        </w:rPr>
        <w:t>投标人提供虚假材料投标的，投标无效。</w:t>
      </w:r>
    </w:p>
    <w:p w14:paraId="4B5A9ACF">
      <w:pPr>
        <w:pStyle w:val="150"/>
        <w:snapToGrid w:val="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12</w:t>
      </w:r>
      <w:r>
        <w:rPr>
          <w:rFonts w:hint="eastAsia" w:ascii="仿宋_GB2312" w:hAnsi="仿宋_GB2312" w:eastAsia="仿宋_GB2312" w:cs="仿宋_GB2312"/>
          <w:b/>
          <w:color w:val="auto"/>
          <w:kern w:val="0"/>
          <w:szCs w:val="24"/>
          <w:highlight w:val="none"/>
          <w:lang w:val="zh-CN"/>
        </w:rPr>
        <w:t xml:space="preserve">. </w:t>
      </w:r>
      <w:r>
        <w:rPr>
          <w:rFonts w:hint="eastAsia" w:ascii="仿宋_GB2312" w:hAnsi="仿宋_GB2312" w:eastAsia="仿宋_GB2312" w:cs="仿宋_GB2312"/>
          <w:b/>
          <w:color w:val="auto"/>
          <w:szCs w:val="24"/>
          <w:highlight w:val="none"/>
        </w:rPr>
        <w:t>投标文件的编制</w:t>
      </w:r>
    </w:p>
    <w:p w14:paraId="211730F9">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0B0F52">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75925B">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31A4F46">
      <w:pPr>
        <w:spacing w:line="360" w:lineRule="auto"/>
        <w:outlineLvl w:val="2"/>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rPr>
        <w:t xml:space="preserve">13. </w:t>
      </w:r>
      <w:r>
        <w:rPr>
          <w:rFonts w:hint="eastAsia" w:ascii="仿宋_GB2312" w:hAnsi="仿宋_GB2312" w:eastAsia="仿宋_GB2312" w:cs="仿宋_GB2312"/>
          <w:b/>
          <w:bCs/>
          <w:color w:val="auto"/>
          <w:sz w:val="24"/>
          <w:highlight w:val="none"/>
        </w:rPr>
        <w:t>投标文件的签署、盖章</w:t>
      </w:r>
    </w:p>
    <w:p w14:paraId="756F38FE">
      <w:pPr>
        <w:pStyle w:val="150"/>
        <w:snapToGrid w:val="0"/>
        <w:spacing w:before="0"/>
        <w:ind w:firstLine="480"/>
        <w:rPr>
          <w:rFonts w:ascii="仿宋_GB2312" w:hAnsi="仿宋_GB2312" w:eastAsia="仿宋_GB2312" w:cs="仿宋_GB2312"/>
          <w:b/>
          <w:color w:val="auto"/>
          <w:highlight w:val="none"/>
        </w:rPr>
      </w:pPr>
      <w:r>
        <w:rPr>
          <w:rFonts w:hint="eastAsia" w:ascii="仿宋_GB2312" w:hAnsi="仿宋_GB2312" w:eastAsia="仿宋_GB2312" w:cs="仿宋_GB2312"/>
          <w:color w:val="auto"/>
          <w:szCs w:val="24"/>
          <w:highlight w:val="none"/>
        </w:rPr>
        <w:t>13.1投标文件按照招标文件第六部分格式要</w:t>
      </w:r>
      <w:r>
        <w:rPr>
          <w:rFonts w:hint="eastAsia" w:ascii="仿宋_GB2312" w:hAnsi="仿宋_GB2312" w:eastAsia="仿宋_GB2312" w:cs="仿宋_GB2312"/>
          <w:color w:val="auto"/>
          <w:highlight w:val="none"/>
        </w:rPr>
        <w:t>求进行签署、盖章。</w:t>
      </w:r>
      <w:r>
        <w:rPr>
          <w:rFonts w:hint="eastAsia" w:ascii="仿宋_GB2312" w:hAnsi="仿宋_GB2312" w:eastAsia="仿宋_GB2312" w:cs="仿宋_GB2312"/>
          <w:b/>
          <w:color w:val="auto"/>
          <w:highlight w:val="none"/>
        </w:rPr>
        <w:t>▲投标人的投标文件未按照招标文件要求签署、盖章的，其投标无效</w:t>
      </w:r>
      <w:r>
        <w:rPr>
          <w:rFonts w:hint="eastAsia" w:ascii="仿宋_GB2312" w:hAnsi="仿宋_GB2312" w:eastAsia="仿宋_GB2312" w:cs="仿宋_GB2312"/>
          <w:color w:val="auto"/>
          <w:szCs w:val="24"/>
          <w:highlight w:val="none"/>
        </w:rPr>
        <w:t>。</w:t>
      </w:r>
    </w:p>
    <w:p w14:paraId="73BBBE9B">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68FA07A">
      <w:pPr>
        <w:pStyle w:val="150"/>
        <w:snapToGrid w:val="0"/>
        <w:spacing w:before="0"/>
        <w:ind w:firstLine="480"/>
        <w:outlineLvl w:val="3"/>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13.3招标文件对投标文件签署、盖章的要求适用于电子签名。</w:t>
      </w:r>
    </w:p>
    <w:p w14:paraId="25BED6F4">
      <w:pPr>
        <w:pStyle w:val="15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14. 投标文件的提交、补充、修改、撤回</w:t>
      </w:r>
    </w:p>
    <w:p w14:paraId="15CBF626">
      <w:pPr>
        <w:pStyle w:val="15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78B808D">
      <w:pPr>
        <w:pStyle w:val="15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2C7F7A4">
      <w:pPr>
        <w:pStyle w:val="15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3F8C236">
      <w:pPr>
        <w:pStyle w:val="15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15. 投标文件的无效处理</w:t>
      </w:r>
    </w:p>
    <w:p w14:paraId="363119EA">
      <w:pPr>
        <w:pStyle w:val="27"/>
        <w:spacing w:line="360" w:lineRule="auto"/>
        <w:ind w:firstLine="360" w:firstLineChars="15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有招标文件第四部分</w:t>
      </w:r>
      <w:r>
        <w:rPr>
          <w:rFonts w:hint="eastAsia" w:ascii="仿宋_GB2312" w:hAnsi="仿宋_GB2312" w:eastAsia="仿宋_GB2312" w:cs="仿宋_GB2312"/>
          <w:color w:val="auto"/>
          <w:highlight w:val="none"/>
        </w:rPr>
        <w:t>第5.1条规定</w:t>
      </w:r>
      <w:r>
        <w:rPr>
          <w:rFonts w:hint="eastAsia" w:ascii="仿宋_GB2312" w:hAnsi="仿宋_GB2312" w:eastAsia="仿宋_GB2312" w:cs="仿宋_GB2312"/>
          <w:color w:val="auto"/>
          <w:szCs w:val="21"/>
          <w:highlight w:val="none"/>
        </w:rPr>
        <w:t>的情形之一的，投标无效：</w:t>
      </w:r>
    </w:p>
    <w:p w14:paraId="176D8ADB">
      <w:pPr>
        <w:pStyle w:val="15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16. 投标有效期</w:t>
      </w:r>
    </w:p>
    <w:p w14:paraId="32383B25">
      <w:pPr>
        <w:spacing w:line="360" w:lineRule="auto"/>
        <w:ind w:firstLine="480" w:firstLineChars="2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color w:val="auto"/>
          <w:sz w:val="24"/>
          <w:szCs w:val="20"/>
          <w:highlight w:val="none"/>
        </w:rPr>
        <w:t>16.1投标有效期为从提交投标文件的截止之日起90天。▲</w:t>
      </w:r>
      <w:r>
        <w:rPr>
          <w:rFonts w:hint="eastAsia" w:ascii="仿宋_GB2312" w:hAnsi="仿宋_GB2312" w:eastAsia="仿宋_GB2312" w:cs="仿宋_GB2312"/>
          <w:b/>
          <w:color w:val="auto"/>
          <w:sz w:val="24"/>
          <w:szCs w:val="20"/>
          <w:highlight w:val="none"/>
        </w:rPr>
        <w:t>投标人的投标文件中承</w:t>
      </w:r>
      <w:r>
        <w:rPr>
          <w:rFonts w:hint="eastAsia" w:ascii="仿宋_GB2312" w:hAnsi="仿宋_GB2312" w:eastAsia="仿宋_GB2312" w:cs="仿宋_GB2312"/>
          <w:b/>
          <w:color w:val="auto"/>
          <w:sz w:val="24"/>
          <w:szCs w:val="21"/>
          <w:highlight w:val="none"/>
        </w:rPr>
        <w:t>诺的投标有效期少于招标文件中载明的投标有效期的，投标无效。</w:t>
      </w:r>
    </w:p>
    <w:p w14:paraId="4B878452">
      <w:pPr>
        <w:spacing w:line="360" w:lineRule="auto"/>
        <w:ind w:firstLine="480" w:firstLineChars="200"/>
        <w:rPr>
          <w:rFonts w:ascii="仿宋_GB2312" w:hAnsi="仿宋_GB2312" w:eastAsia="仿宋_GB2312" w:cs="仿宋_GB2312"/>
          <w:bCs/>
          <w:color w:val="auto"/>
          <w:sz w:val="24"/>
          <w:szCs w:val="21"/>
          <w:highlight w:val="none"/>
        </w:rPr>
      </w:pPr>
      <w:r>
        <w:rPr>
          <w:rFonts w:hint="eastAsia" w:ascii="仿宋_GB2312" w:hAnsi="仿宋_GB2312" w:eastAsia="仿宋_GB2312" w:cs="仿宋_GB2312"/>
          <w:bCs/>
          <w:color w:val="auto"/>
          <w:sz w:val="24"/>
          <w:szCs w:val="21"/>
          <w:highlight w:val="none"/>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67F29AFF">
      <w:pPr>
        <w:spacing w:line="360" w:lineRule="auto"/>
        <w:ind w:firstLine="480" w:firstLineChars="2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bCs/>
          <w:color w:val="auto"/>
          <w:sz w:val="24"/>
          <w:szCs w:val="21"/>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14:paraId="4D111648">
      <w:pPr>
        <w:pStyle w:val="15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16.2投标文件合格投递后，自投标截止日期起，在投标有效期内有效。</w:t>
      </w:r>
    </w:p>
    <w:p w14:paraId="2F57905F">
      <w:pPr>
        <w:pStyle w:val="15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16.3在原定投标有效期满之前，如果出现特殊情况，采购代理机构可以以书面形式通知投标人延长投标有效期。投标人同意延长的，不得要求或被允许修改其投标文件，投标人拒绝延长的，其投标无效。</w:t>
      </w:r>
    </w:p>
    <w:p w14:paraId="31EE7679">
      <w:pPr>
        <w:pStyle w:val="150"/>
        <w:spacing w:before="0"/>
        <w:ind w:firstLine="480"/>
        <w:rPr>
          <w:rFonts w:ascii="仿宋_GB2312" w:hAnsi="仿宋_GB2312" w:eastAsia="仿宋_GB2312" w:cs="仿宋_GB2312"/>
          <w:bCs/>
          <w:color w:val="auto"/>
          <w:szCs w:val="16"/>
          <w:highlight w:val="none"/>
        </w:rPr>
      </w:pPr>
      <w:r>
        <w:rPr>
          <w:rFonts w:hint="eastAsia" w:ascii="仿宋_GB2312" w:hAnsi="仿宋_GB2312" w:eastAsia="仿宋_GB2312" w:cs="仿宋_GB2312"/>
          <w:bCs/>
          <w:color w:val="auto"/>
          <w:szCs w:val="16"/>
          <w:highlight w:val="none"/>
        </w:rPr>
        <w:t>16.4在投标截止时间起至投标有效期届满，供应商投标文件不可撤销。</w:t>
      </w:r>
    </w:p>
    <w:p w14:paraId="15A2611D">
      <w:pPr>
        <w:pStyle w:val="150"/>
        <w:spacing w:before="0"/>
        <w:ind w:firstLine="0" w:firstLineChars="0"/>
        <w:jc w:val="center"/>
        <w:outlineLvl w:val="1"/>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四、开标</w:t>
      </w:r>
    </w:p>
    <w:p w14:paraId="7DAB3383">
      <w:pPr>
        <w:pStyle w:val="570"/>
        <w:spacing w:before="0" w:line="360" w:lineRule="auto"/>
        <w:ind w:left="0" w:firstLine="0"/>
        <w:contextualSpacing/>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szCs w:val="24"/>
          <w:highlight w:val="none"/>
        </w:rPr>
        <w:t>17. 开标</w:t>
      </w:r>
      <w:r>
        <w:rPr>
          <w:rFonts w:hint="eastAsia" w:ascii="仿宋_GB2312" w:hAnsi="仿宋_GB2312" w:eastAsia="仿宋_GB2312" w:cs="仿宋_GB2312"/>
          <w:color w:val="auto"/>
          <w:sz w:val="24"/>
          <w:highlight w:val="none"/>
        </w:rPr>
        <w:t xml:space="preserve"> </w:t>
      </w:r>
    </w:p>
    <w:p w14:paraId="28F2B60E">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采购代理机构按照招标文件规定的时间通过电子交易平台组织开标，所有投标人均应当准时在线参加，无关人员不得进入开标现场。投标人如未准时在线参加的，事后不得对采购相关人员、开标过程和开标结果提出异议。投标人不足3家的，不得开标。</w:t>
      </w:r>
    </w:p>
    <w:p w14:paraId="169980DA">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17.2落实工作场地、设施，检查录音录像采集设备运行情况，验证电子交易平台是否能正常登录。</w:t>
      </w:r>
    </w:p>
    <w:p w14:paraId="41C15DA8">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17.3开标由采购代理机构主持，主持人介绍开标现场的人员情况，宣读递交投标文件的投标人名单、开标纪律、应当回避的情形等注意事项。</w:t>
      </w:r>
    </w:p>
    <w:p w14:paraId="4EC76174">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17.4开标时，电子交易平台按开标时间自动提取所有投标文件。采购代理机构依托电子交易平台发起【开始解密】指令后，投标人按照平台提示和招标文件的规定在半小时内完成在线解密。</w:t>
      </w:r>
    </w:p>
    <w:p w14:paraId="4B474A5A">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17.5投标人应当在解密时限内完成解密，如所有投标人的电子投标文件都已经解密完成的，则电子交易平台自动结束解密。如有任一投标人未解密，电子交易平台会在解密时限截止时自动结束解密。</w:t>
      </w:r>
    </w:p>
    <w:p w14:paraId="48A7E32B">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17.6评标委员会在商务和技术评审结束后，主持人通过电子交易平台宣告商务和技术评审无效投标人名称及理由，有效投标人的商务和技术得分情况。</w:t>
      </w:r>
    </w:p>
    <w:p w14:paraId="73810D85">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17.7采购代理机构在电子交易平台开启投标人的报价文件信息，投标人对报价信息进行确认。投标人对报价信息不予确认的不影响后续评标过程。</w:t>
      </w:r>
    </w:p>
    <w:p w14:paraId="577E3005">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17.8评标委员会经商议认为需要投标人作出必要澄清或说明的，应当通过电子交易平台交换数据电文。评标委员会给予投标人提交澄清或说明的时间为半小时，投标人已经明确表示澄清或说明完毕的除外。</w:t>
      </w:r>
    </w:p>
    <w:p w14:paraId="51914288">
      <w:pPr>
        <w:pStyle w:val="570"/>
        <w:spacing w:before="0" w:line="360" w:lineRule="auto"/>
        <w:ind w:left="0" w:firstLine="480" w:firstLineChars="200"/>
        <w:contextualSpacing/>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17.9在电子交易平台上公布评审结果。</w:t>
      </w:r>
    </w:p>
    <w:p w14:paraId="42E593C1">
      <w:pPr>
        <w:pStyle w:val="570"/>
        <w:ind w:left="0" w:firstLine="482" w:firstLineChars="200"/>
        <w:contextualSpacing/>
        <w:rPr>
          <w:rFonts w:ascii="仿宋_GB2312" w:hAnsi="仿宋_GB2312" w:eastAsia="仿宋_GB2312" w:cs="仿宋_GB2312"/>
          <w:color w:val="auto"/>
          <w:szCs w:val="24"/>
          <w:highlight w:val="none"/>
        </w:rPr>
      </w:pPr>
      <w:r>
        <w:rPr>
          <w:rFonts w:ascii="仿宋_GB2312" w:hAnsi="仿宋_GB2312" w:eastAsia="仿宋_GB2312" w:cs="仿宋_GB2312"/>
          <w:b/>
          <w:bCs/>
          <w:color w:val="auto"/>
          <w:sz w:val="24"/>
          <w:highlight w:val="none"/>
        </w:rPr>
        <w:t>特别说明：政采云公司如对电子化开标及评审程序有调整的，按调整后的程序操作。</w:t>
      </w:r>
    </w:p>
    <w:p w14:paraId="0AB5E10A">
      <w:pPr>
        <w:snapToGrid w:val="0"/>
        <w:spacing w:line="360" w:lineRule="auto"/>
        <w:jc w:val="center"/>
        <w:outlineLvl w:val="9"/>
        <w:rPr>
          <w:rFonts w:ascii="仿宋_GB2312" w:hAnsi="仿宋_GB2312" w:eastAsia="仿宋_GB2312" w:cs="仿宋_GB2312"/>
          <w:b/>
          <w:color w:val="auto"/>
          <w:sz w:val="36"/>
          <w:szCs w:val="36"/>
          <w:highlight w:val="none"/>
        </w:rPr>
      </w:pPr>
    </w:p>
    <w:p w14:paraId="54216D39">
      <w:pPr>
        <w:snapToGrid w:val="0"/>
        <w:spacing w:line="360" w:lineRule="auto"/>
        <w:jc w:val="center"/>
        <w:outlineLvl w:val="1"/>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五、评标</w:t>
      </w:r>
    </w:p>
    <w:p w14:paraId="1B7F8E20">
      <w:pPr>
        <w:spacing w:line="360" w:lineRule="auto"/>
        <w:rPr>
          <w:rFonts w:ascii="仿宋_GB2312" w:hAnsi="仿宋_GB2312" w:eastAsia="仿宋_GB2312" w:cs="仿宋_GB2312"/>
          <w:b/>
          <w:color w:val="auto"/>
          <w:sz w:val="24"/>
          <w:highlight w:val="none"/>
        </w:rPr>
      </w:pPr>
      <w:bookmarkStart w:id="12" w:name="_Toc91899903"/>
      <w:r>
        <w:rPr>
          <w:rFonts w:hint="eastAsia" w:ascii="仿宋_GB2312" w:hAnsi="仿宋_GB2312" w:eastAsia="仿宋_GB2312" w:cs="仿宋_GB2312"/>
          <w:b/>
          <w:color w:val="auto"/>
          <w:sz w:val="24"/>
          <w:highlight w:val="none"/>
        </w:rPr>
        <w:t>18.</w:t>
      </w:r>
      <w:r>
        <w:rPr>
          <w:rFonts w:hint="eastAsia" w:ascii="仿宋_GB2312" w:hAnsi="仿宋_GB2312" w:eastAsia="仿宋_GB2312" w:cs="仿宋_GB2312"/>
          <w:color w:val="auto"/>
          <w:sz w:val="24"/>
          <w:highlight w:val="none"/>
        </w:rPr>
        <w:t xml:space="preserve"> 采购代理机构将按照招标文件规定的时间、地点和程序组织评标，各评审专家及相关人员应参加评审活动并接受核验、签到，无关人员不得进入评审现场。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highlight w:val="none"/>
        </w:rPr>
        <w:t>详见招标文件第四部分评标办法。</w:t>
      </w:r>
    </w:p>
    <w:p w14:paraId="45666EC1">
      <w:pPr>
        <w:spacing w:line="360" w:lineRule="auto"/>
        <w:rPr>
          <w:rFonts w:ascii="仿宋_GB2312" w:hAnsi="仿宋_GB2312" w:eastAsia="仿宋_GB2312" w:cs="仿宋_GB2312"/>
          <w:b/>
          <w:color w:val="auto"/>
          <w:sz w:val="24"/>
          <w:highlight w:val="none"/>
        </w:rPr>
      </w:pPr>
    </w:p>
    <w:p w14:paraId="2EC61FFC">
      <w:pPr>
        <w:snapToGrid w:val="0"/>
        <w:spacing w:line="360" w:lineRule="auto"/>
        <w:jc w:val="center"/>
        <w:outlineLvl w:val="1"/>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六、定 标</w:t>
      </w:r>
    </w:p>
    <w:p w14:paraId="32AEF8CA">
      <w:pPr>
        <w:pStyle w:val="27"/>
        <w:spacing w:line="360" w:lineRule="auto"/>
        <w:ind w:left="479" w:hanging="479" w:hangingChars="199"/>
        <w:outlineLvl w:val="2"/>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19. 确定中标供应商</w:t>
      </w:r>
    </w:p>
    <w:p w14:paraId="74F28D95">
      <w:pPr>
        <w:pStyle w:val="150"/>
        <w:snapToGrid w:val="0"/>
        <w:spacing w:before="0"/>
        <w:ind w:firstLine="480"/>
        <w:rPr>
          <w:rFonts w:ascii="仿宋_GB2312" w:hAnsi="仿宋_GB2312" w:eastAsia="仿宋_GB2312" w:cs="仿宋_GB2312"/>
          <w:b/>
          <w:color w:val="auto"/>
          <w:szCs w:val="24"/>
          <w:highlight w:val="none"/>
        </w:rPr>
      </w:pPr>
      <w:r>
        <w:rPr>
          <w:rFonts w:hint="eastAsia" w:ascii="仿宋_GB2312" w:hAnsi="仿宋_GB2312" w:eastAsia="仿宋_GB2312" w:cs="仿宋_GB2312"/>
          <w:bCs/>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5274CBDC">
      <w:pPr>
        <w:pStyle w:val="150"/>
        <w:snapToGrid w:val="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20. 中标通知与中标结果公告</w:t>
      </w:r>
    </w:p>
    <w:p w14:paraId="1458236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20.1自中标人确定之日起2个工作日内，采购代理机构通过电子交易平台向中标人发出中标通知书，同时编制发布采购结果公告。采购代理机构也可以以纸质形式进行中标通知。</w:t>
      </w:r>
    </w:p>
    <w:p w14:paraId="3B66D59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E836080">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20.3公告期限为1个工作日。</w:t>
      </w:r>
    </w:p>
    <w:p w14:paraId="740966A7">
      <w:pPr>
        <w:snapToGrid w:val="0"/>
        <w:spacing w:line="360" w:lineRule="auto"/>
        <w:ind w:left="120" w:leftChars="57" w:firstLine="482" w:firstLineChars="150"/>
        <w:jc w:val="center"/>
        <w:rPr>
          <w:rFonts w:ascii="仿宋_GB2312" w:hAnsi="仿宋_GB2312" w:eastAsia="仿宋_GB2312" w:cs="仿宋_GB2312"/>
          <w:b/>
          <w:color w:val="auto"/>
          <w:sz w:val="32"/>
          <w:highlight w:val="none"/>
        </w:rPr>
      </w:pPr>
    </w:p>
    <w:p w14:paraId="73BD48FD">
      <w:pPr>
        <w:snapToGrid w:val="0"/>
        <w:spacing w:line="360" w:lineRule="auto"/>
        <w:ind w:left="120" w:leftChars="57" w:firstLine="482" w:firstLineChars="150"/>
        <w:jc w:val="center"/>
        <w:outlineLvl w:val="1"/>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七、合同授予</w:t>
      </w:r>
    </w:p>
    <w:p w14:paraId="4A15298A">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21. </w:t>
      </w:r>
      <w:r>
        <w:rPr>
          <w:rFonts w:hint="eastAsia" w:ascii="仿宋_GB2312" w:hAnsi="仿宋_GB2312" w:eastAsia="仿宋_GB2312" w:cs="仿宋_GB2312"/>
          <w:color w:val="auto"/>
          <w:highlight w:val="none"/>
        </w:rPr>
        <w:t>合同主要条款详见第五部分拟签订的合同文本。</w:t>
      </w:r>
    </w:p>
    <w:p w14:paraId="1835A520">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22. 合同的签订</w:t>
      </w:r>
    </w:p>
    <w:p w14:paraId="0830C719">
      <w:pPr>
        <w:pStyle w:val="150"/>
        <w:snapToGrid w:val="0"/>
        <w:spacing w:before="0"/>
        <w:ind w:firstLine="480"/>
        <w:rPr>
          <w:rFonts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2</w:t>
      </w:r>
      <w:r>
        <w:rPr>
          <w:rFonts w:hint="eastAsia" w:ascii="仿宋_GB2312" w:hAnsi="仿宋_GB2312" w:eastAsia="仿宋_GB2312" w:cs="仿宋_GB2312"/>
          <w:color w:val="auto"/>
          <w:kern w:val="0"/>
          <w:highlight w:val="none"/>
        </w:rPr>
        <w:t>2</w:t>
      </w:r>
      <w:r>
        <w:rPr>
          <w:rFonts w:hint="eastAsia" w:ascii="仿宋_GB2312" w:hAnsi="仿宋_GB2312" w:eastAsia="仿宋_GB2312" w:cs="仿宋_GB2312"/>
          <w:color w:val="auto"/>
          <w:kern w:val="0"/>
          <w:highlight w:val="none"/>
          <w:lang w:val="zh-CN"/>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3E38CB">
      <w:pPr>
        <w:pStyle w:val="150"/>
        <w:snapToGrid w:val="0"/>
        <w:spacing w:before="0"/>
        <w:ind w:firstLine="48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2</w:t>
      </w:r>
      <w:r>
        <w:rPr>
          <w:rFonts w:hint="eastAsia" w:ascii="仿宋_GB2312" w:hAnsi="仿宋_GB2312" w:eastAsia="仿宋_GB2312" w:cs="仿宋_GB2312"/>
          <w:color w:val="auto"/>
          <w:kern w:val="0"/>
          <w:highlight w:val="none"/>
        </w:rPr>
        <w:t>2</w:t>
      </w:r>
      <w:r>
        <w:rPr>
          <w:rFonts w:hint="eastAsia" w:ascii="仿宋_GB2312" w:hAnsi="仿宋_GB2312" w:eastAsia="仿宋_GB2312" w:cs="仿宋_GB2312"/>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859334C">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22.3如签订合同并生效后，供应商无故拒绝或延期，除按照合同条款处理外，列入不良行为记录一次，并给予通报。</w:t>
      </w:r>
    </w:p>
    <w:p w14:paraId="01DE5E1C">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22.4中标供应商拒绝与采购人签订合同的，采购人可以按照评审报告推荐的中标或者成交候选人名单排序，确定下一候选人为中标供应商，也可以重新开展政府采购活动。</w:t>
      </w:r>
    </w:p>
    <w:p w14:paraId="2D51D2E6">
      <w:pPr>
        <w:pStyle w:val="150"/>
        <w:snapToGrid w:val="0"/>
        <w:spacing w:before="0" w:after="12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22.5采购合同由采购人与中标供应商根据招标文件、投标文件等内容通过政府采购电子交易平台在线签订，自动备案。</w:t>
      </w:r>
    </w:p>
    <w:p w14:paraId="7783084C">
      <w:pPr>
        <w:pStyle w:val="27"/>
        <w:spacing w:line="360" w:lineRule="auto"/>
        <w:ind w:left="479" w:hanging="479" w:hangingChars="199"/>
        <w:outlineLvl w:val="2"/>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23. 履约保证金</w:t>
      </w:r>
    </w:p>
    <w:p w14:paraId="1C698F5A">
      <w:pPr>
        <w:tabs>
          <w:tab w:val="left" w:pos="0"/>
        </w:tabs>
        <w:spacing w:line="360" w:lineRule="auto"/>
        <w:ind w:firstLine="482"/>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2073749C">
      <w:pPr>
        <w:pStyle w:val="3"/>
        <w:ind w:left="0" w:firstLine="480" w:firstLineChars="200"/>
        <w:rPr>
          <w:rFonts w:hAnsi="仿宋_GB2312" w:cs="仿宋_GB2312"/>
          <w:color w:val="auto"/>
          <w:highlight w:val="none"/>
          <w:lang w:val="en-US"/>
        </w:rPr>
      </w:pPr>
      <w:r>
        <w:rPr>
          <w:rFonts w:hint="eastAsia" w:hAnsi="仿宋_GB2312" w:cs="仿宋_GB2312"/>
          <w:b w:val="0"/>
          <w:bCs w:val="0"/>
          <w:snapToGrid w:val="0"/>
          <w:color w:val="auto"/>
          <w:kern w:val="28"/>
          <w:sz w:val="24"/>
          <w:highlight w:val="none"/>
        </w:rPr>
        <w:t>供应商</w:t>
      </w:r>
      <w:r>
        <w:rPr>
          <w:rFonts w:hint="eastAsia" w:hAnsi="仿宋_GB2312" w:cs="仿宋_GB2312"/>
          <w:b w:val="0"/>
          <w:bCs w:val="0"/>
          <w:snapToGrid w:val="0"/>
          <w:color w:val="auto"/>
          <w:kern w:val="28"/>
          <w:sz w:val="24"/>
          <w:highlight w:val="none"/>
          <w:lang w:val="en-US"/>
        </w:rPr>
        <w:t>可</w:t>
      </w:r>
      <w:r>
        <w:rPr>
          <w:rFonts w:hint="eastAsia" w:hAnsi="仿宋_GB2312" w:cs="仿宋_GB2312"/>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AB8B93A">
      <w:pPr>
        <w:pStyle w:val="3"/>
        <w:outlineLvl w:val="2"/>
        <w:rPr>
          <w:rFonts w:hAnsi="仿宋_GB2312" w:cs="仿宋_GB2312"/>
          <w:color w:val="auto"/>
          <w:highlight w:val="none"/>
        </w:rPr>
      </w:pPr>
      <w:r>
        <w:rPr>
          <w:rFonts w:hint="eastAsia" w:hAnsi="仿宋_GB2312" w:cs="仿宋_GB2312"/>
          <w:color w:val="auto"/>
          <w:sz w:val="24"/>
          <w:highlight w:val="none"/>
          <w:lang w:val="en-US"/>
        </w:rPr>
        <w:t>24. 预付款</w:t>
      </w:r>
    </w:p>
    <w:p w14:paraId="26C5E94E">
      <w:pPr>
        <w:snapToGrid w:val="0"/>
        <w:spacing w:line="360" w:lineRule="auto"/>
        <w:ind w:firstLine="480" w:firstLineChars="200"/>
        <w:rPr>
          <w:rFonts w:ascii="仿宋_GB2312" w:hAnsi="仿宋_GB2312" w:eastAsia="仿宋_GB2312" w:cs="仿宋_GB2312"/>
          <w:b/>
          <w:color w:val="auto"/>
          <w:sz w:val="32"/>
          <w:highlight w:val="none"/>
        </w:rPr>
      </w:pPr>
      <w:r>
        <w:rPr>
          <w:rFonts w:hint="eastAsia" w:ascii="仿宋_GB2312" w:hAnsi="仿宋_GB2312" w:eastAsia="仿宋_GB2312" w:cs="仿宋_GB2312"/>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CA20A1B">
      <w:pPr>
        <w:snapToGrid w:val="0"/>
        <w:spacing w:line="360" w:lineRule="auto"/>
        <w:ind w:firstLine="3357" w:firstLineChars="1045"/>
        <w:rPr>
          <w:rFonts w:ascii="仿宋_GB2312" w:hAnsi="仿宋_GB2312" w:eastAsia="仿宋_GB2312" w:cs="仿宋_GB2312"/>
          <w:b/>
          <w:color w:val="auto"/>
          <w:sz w:val="32"/>
          <w:highlight w:val="none"/>
        </w:rPr>
      </w:pPr>
    </w:p>
    <w:p w14:paraId="1C410026">
      <w:pPr>
        <w:snapToGrid w:val="0"/>
        <w:spacing w:line="360" w:lineRule="auto"/>
        <w:ind w:firstLine="3357" w:firstLineChars="1045"/>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highlight w:val="none"/>
        </w:rPr>
        <w:t>八、电子交易活动的中止</w:t>
      </w:r>
    </w:p>
    <w:p w14:paraId="6ACF885B">
      <w:pPr>
        <w:pStyle w:val="150"/>
        <w:snapToGrid w:val="0"/>
        <w:spacing w:before="0"/>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25</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color w:val="auto"/>
          <w:szCs w:val="24"/>
          <w:highlight w:val="none"/>
        </w:rPr>
        <w:t xml:space="preserve"> 电子交易活动的中止。</w:t>
      </w:r>
      <w:r>
        <w:rPr>
          <w:rFonts w:hint="eastAsia" w:ascii="仿宋_GB2312" w:hAnsi="仿宋_GB2312" w:eastAsia="仿宋_GB2312" w:cs="仿宋_GB2312"/>
          <w:color w:val="auto"/>
          <w:highlight w:val="none"/>
        </w:rPr>
        <w:t>采购过程中出现以下情形，导致电子交易平台无法正常运行，或者无法保证电子交易的公平、公正和安全时，采购代理机构可中止电子交易活动：</w:t>
      </w:r>
    </w:p>
    <w:p w14:paraId="68F627C0">
      <w:pPr>
        <w:pStyle w:val="150"/>
        <w:snapToGrid w:val="0"/>
        <w:spacing w:before="0"/>
        <w:ind w:firstLine="480"/>
        <w:outlineLvl w:val="2"/>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25.1电子交易平台发生故障而无法登录访问的； </w:t>
      </w:r>
    </w:p>
    <w:p w14:paraId="635C8BE9">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25.2电子交易平台应用或数据库出现错误，不能进行正常操作的；</w:t>
      </w:r>
    </w:p>
    <w:p w14:paraId="0C1F666F">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25.3电子交易平台发现严重安全漏洞，有潜在泄密危险的；</w:t>
      </w:r>
    </w:p>
    <w:p w14:paraId="7B2581DF">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25.4病毒发作导致不能进行正常操作的； </w:t>
      </w:r>
    </w:p>
    <w:p w14:paraId="52F4A0ED">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25.5其他无法保证电子交易的公平、公正和安全的情况。</w:t>
      </w:r>
    </w:p>
    <w:p w14:paraId="4BA09518">
      <w:pPr>
        <w:pStyle w:val="150"/>
        <w:snapToGrid w:val="0"/>
        <w:spacing w:before="0"/>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26.</w:t>
      </w:r>
      <w:r>
        <w:rPr>
          <w:rFonts w:hint="eastAsia" w:ascii="仿宋_GB2312" w:hAnsi="仿宋_GB2312"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4655DF4">
      <w:pPr>
        <w:tabs>
          <w:tab w:val="left" w:pos="0"/>
        </w:tabs>
        <w:spacing w:line="360" w:lineRule="auto"/>
        <w:ind w:firstLine="480"/>
        <w:rPr>
          <w:rFonts w:ascii="仿宋_GB2312" w:hAnsi="仿宋_GB2312" w:eastAsia="仿宋_GB2312" w:cs="仿宋_GB2312"/>
          <w:color w:val="auto"/>
          <w:sz w:val="24"/>
          <w:highlight w:val="none"/>
        </w:rPr>
      </w:pPr>
    </w:p>
    <w:p w14:paraId="396248AD">
      <w:pPr>
        <w:snapToGrid w:val="0"/>
        <w:spacing w:line="360" w:lineRule="auto"/>
        <w:ind w:left="120" w:leftChars="57" w:firstLine="482" w:firstLineChars="150"/>
        <w:jc w:val="center"/>
        <w:outlineLvl w:val="1"/>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九、验收</w:t>
      </w:r>
    </w:p>
    <w:p w14:paraId="3C931886">
      <w:pPr>
        <w:pStyle w:val="27"/>
        <w:spacing w:line="360" w:lineRule="auto"/>
        <w:ind w:firstLine="0" w:firstLineChars="0"/>
        <w:outlineLvl w:val="2"/>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27. 验收</w:t>
      </w:r>
    </w:p>
    <w:p w14:paraId="5640E9EA">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10494C">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27.2采购人可以邀请参加本项目的其他投标人或者第三方机构参与验收。参与验收的投标人或者第三方机构的意见作为验收书的参考资料一并存档。</w:t>
      </w:r>
    </w:p>
    <w:p w14:paraId="693BA832">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5A67B">
      <w:pPr>
        <w:tabs>
          <w:tab w:val="left" w:pos="0"/>
        </w:tabs>
        <w:spacing w:line="360" w:lineRule="auto"/>
        <w:ind w:firstLine="480"/>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24"/>
          <w:highlight w:val="none"/>
        </w:rPr>
        <w:t>27.4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0"/>
      <w:bookmarkEnd w:id="11"/>
      <w:bookmarkEnd w:id="12"/>
    </w:p>
    <w:p w14:paraId="649529C3">
      <w:pPr>
        <w:tabs>
          <w:tab w:val="left" w:pos="0"/>
        </w:tabs>
        <w:spacing w:line="360" w:lineRule="auto"/>
        <w:ind w:firstLine="480"/>
        <w:rPr>
          <w:rFonts w:ascii="仿宋" w:hAnsi="仿宋" w:eastAsia="仿宋" w:cs="仿宋"/>
          <w:color w:val="auto"/>
          <w:kern w:val="0"/>
          <w:sz w:val="24"/>
          <w:highlight w:val="none"/>
        </w:rPr>
        <w:sectPr>
          <w:pgSz w:w="11906" w:h="16838"/>
          <w:pgMar w:top="680" w:right="1418" w:bottom="468" w:left="1418" w:header="851" w:footer="992" w:gutter="0"/>
          <w:cols w:space="720" w:num="1"/>
          <w:titlePg/>
          <w:docGrid w:linePitch="312" w:charSpace="0"/>
        </w:sectPr>
      </w:pPr>
      <w:bookmarkStart w:id="13" w:name="_Hlt74729768"/>
      <w:bookmarkEnd w:id="13"/>
      <w:bookmarkStart w:id="14" w:name="_Hlt68073093"/>
      <w:bookmarkEnd w:id="14"/>
      <w:bookmarkStart w:id="15" w:name="_Hlt74730295"/>
      <w:bookmarkEnd w:id="15"/>
      <w:bookmarkStart w:id="16" w:name="_Hlt75236290"/>
      <w:bookmarkEnd w:id="16"/>
      <w:bookmarkStart w:id="17" w:name="_Hlt68403820"/>
      <w:bookmarkEnd w:id="17"/>
      <w:bookmarkStart w:id="18" w:name="_Hlt75236011"/>
      <w:bookmarkEnd w:id="18"/>
      <w:bookmarkStart w:id="19" w:name="_Hlt74714665"/>
      <w:bookmarkEnd w:id="19"/>
      <w:bookmarkStart w:id="20" w:name="_Hlt68072998"/>
      <w:bookmarkEnd w:id="20"/>
      <w:bookmarkStart w:id="21" w:name="_Hlt75236101"/>
      <w:bookmarkEnd w:id="21"/>
      <w:bookmarkStart w:id="22" w:name="_Hlt68057669"/>
      <w:bookmarkEnd w:id="22"/>
      <w:bookmarkStart w:id="23" w:name="_Hlt74707468"/>
      <w:bookmarkEnd w:id="23"/>
      <w:bookmarkStart w:id="24" w:name="_Hlt68072990"/>
      <w:bookmarkEnd w:id="24"/>
    </w:p>
    <w:p w14:paraId="359EB9D9">
      <w:pPr>
        <w:numPr>
          <w:ilvl w:val="0"/>
          <w:numId w:val="3"/>
        </w:numPr>
        <w:spacing w:line="360" w:lineRule="auto"/>
        <w:jc w:val="center"/>
        <w:outlineLvl w:val="0"/>
        <w:rPr>
          <w:rFonts w:ascii="仿宋_GB2312" w:hAnsi="仿宋_GB2312" w:eastAsia="仿宋_GB2312" w:cs="仿宋_GB2312"/>
          <w:b/>
          <w:color w:val="auto"/>
          <w:sz w:val="36"/>
          <w:szCs w:val="36"/>
          <w:highlight w:val="none"/>
        </w:rPr>
      </w:pPr>
      <w:bookmarkStart w:id="25" w:name="第四部分"/>
      <w:r>
        <w:rPr>
          <w:rFonts w:hint="eastAsia" w:ascii="仿宋_GB2312" w:hAnsi="仿宋_GB2312" w:eastAsia="仿宋_GB2312" w:cs="仿宋_GB2312"/>
          <w:b/>
          <w:color w:val="auto"/>
          <w:sz w:val="36"/>
          <w:szCs w:val="36"/>
          <w:highlight w:val="none"/>
        </w:rPr>
        <w:t xml:space="preserve">  采购需求</w:t>
      </w:r>
    </w:p>
    <w:p w14:paraId="689E1E67">
      <w:pPr>
        <w:pStyle w:val="3"/>
        <w:numPr>
          <w:ilvl w:val="0"/>
          <w:numId w:val="0"/>
        </w:numPr>
        <w:spacing w:line="240" w:lineRule="auto"/>
        <w:ind w:left="0" w:leftChars="0" w:firstLine="0" w:firstLineChars="0"/>
        <w:rPr>
          <w:lang w:val="en-US"/>
        </w:rPr>
      </w:pPr>
      <w:r>
        <w:rPr>
          <w:rFonts w:hint="eastAsia" w:ascii="仿宋_GB2312" w:hAnsi="仿宋_GB2312" w:eastAsia="仿宋_GB2312" w:cs="仿宋_GB2312"/>
          <w:b/>
          <w:bCs w:val="0"/>
          <w:color w:val="auto"/>
          <w:kern w:val="2"/>
          <w:sz w:val="24"/>
          <w:szCs w:val="24"/>
          <w:highlight w:val="none"/>
          <w:lang w:val="en-US" w:eastAsia="zh-CN" w:bidi="ar-SA"/>
        </w:rPr>
        <w:t>1</w:t>
      </w:r>
      <w:r>
        <w:rPr>
          <w:rFonts w:hint="eastAsia" w:hAnsi="仿宋_GB2312" w:cs="仿宋_GB2312"/>
          <w:b/>
          <w:bCs w:val="0"/>
          <w:color w:val="auto"/>
          <w:kern w:val="2"/>
          <w:sz w:val="24"/>
          <w:szCs w:val="24"/>
          <w:highlight w:val="none"/>
          <w:lang w:val="en-US" w:eastAsia="zh-CN" w:bidi="ar-SA"/>
        </w:rPr>
        <w:t>.</w:t>
      </w:r>
      <w:r>
        <w:rPr>
          <w:rFonts w:hint="eastAsia" w:ascii="仿宋_GB2312" w:hAnsi="仿宋_GB2312" w:eastAsia="仿宋_GB2312" w:cs="仿宋_GB2312"/>
          <w:b/>
          <w:bCs w:val="0"/>
          <w:color w:val="auto"/>
          <w:kern w:val="2"/>
          <w:sz w:val="24"/>
          <w:szCs w:val="24"/>
          <w:highlight w:val="none"/>
          <w:lang w:val="en-US" w:eastAsia="zh-CN" w:bidi="ar-SA"/>
        </w:rPr>
        <w:t>采购一览表</w:t>
      </w:r>
    </w:p>
    <w:tbl>
      <w:tblPr>
        <w:tblStyle w:val="64"/>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419"/>
        <w:gridCol w:w="2148"/>
        <w:gridCol w:w="810"/>
        <w:gridCol w:w="877"/>
        <w:gridCol w:w="1916"/>
      </w:tblGrid>
      <w:tr w14:paraId="19D0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90" w:type="dxa"/>
            <w:vAlign w:val="center"/>
          </w:tcPr>
          <w:p w14:paraId="1501340E">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序号</w:t>
            </w:r>
          </w:p>
        </w:tc>
        <w:tc>
          <w:tcPr>
            <w:tcW w:w="2419" w:type="dxa"/>
            <w:vAlign w:val="center"/>
          </w:tcPr>
          <w:p w14:paraId="6A36C05F">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项目内容</w:t>
            </w:r>
          </w:p>
        </w:tc>
        <w:tc>
          <w:tcPr>
            <w:tcW w:w="2148" w:type="dxa"/>
            <w:vAlign w:val="center"/>
          </w:tcPr>
          <w:p w14:paraId="517EDAB2">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具体需求</w:t>
            </w:r>
          </w:p>
        </w:tc>
        <w:tc>
          <w:tcPr>
            <w:tcW w:w="810" w:type="dxa"/>
            <w:vAlign w:val="center"/>
          </w:tcPr>
          <w:p w14:paraId="0A98C4DF">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单位</w:t>
            </w:r>
          </w:p>
        </w:tc>
        <w:tc>
          <w:tcPr>
            <w:tcW w:w="877" w:type="dxa"/>
            <w:vAlign w:val="center"/>
          </w:tcPr>
          <w:p w14:paraId="21C54933">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数量</w:t>
            </w:r>
          </w:p>
        </w:tc>
        <w:tc>
          <w:tcPr>
            <w:tcW w:w="1916" w:type="dxa"/>
            <w:vAlign w:val="center"/>
          </w:tcPr>
          <w:p w14:paraId="2895E71F">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备注</w:t>
            </w:r>
          </w:p>
        </w:tc>
      </w:tr>
      <w:tr w14:paraId="3419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90" w:type="dxa"/>
            <w:vAlign w:val="center"/>
          </w:tcPr>
          <w:p w14:paraId="6789A6E5">
            <w:pPr>
              <w:adjustRightInd w:val="0"/>
              <w:snapToGrid w:val="0"/>
              <w:spacing w:line="240" w:lineRule="auto"/>
              <w:ind w:firstLine="0" w:firstLineChars="0"/>
              <w:jc w:val="center"/>
              <w:rPr>
                <w:rFonts w:ascii="宋体" w:hAnsi="宋体" w:cs="宋体"/>
              </w:rPr>
            </w:pPr>
            <w:r>
              <w:rPr>
                <w:rFonts w:hint="eastAsia" w:ascii="仿宋_GB2312" w:hAnsi="仿宋_GB2312" w:eastAsia="仿宋_GB2312" w:cs="仿宋_GB2312"/>
                <w:snapToGrid w:val="0"/>
                <w:color w:val="auto"/>
                <w:kern w:val="0"/>
                <w:sz w:val="24"/>
                <w:highlight w:val="none"/>
                <w:lang w:val="en-US" w:eastAsia="zh-CN"/>
              </w:rPr>
              <w:t>1</w:t>
            </w:r>
          </w:p>
        </w:tc>
        <w:tc>
          <w:tcPr>
            <w:tcW w:w="2419" w:type="dxa"/>
            <w:vAlign w:val="center"/>
          </w:tcPr>
          <w:p w14:paraId="26D49FFF">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新湾街道2025年雪亮工程二期续建项目 </w:t>
            </w:r>
          </w:p>
        </w:tc>
        <w:tc>
          <w:tcPr>
            <w:tcW w:w="2148" w:type="dxa"/>
            <w:vAlign w:val="center"/>
          </w:tcPr>
          <w:p w14:paraId="460AB654">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详见章节“服务需求清单、服务实施要求、售后服务要求、保密要求、产权要求、商务要求”</w:t>
            </w:r>
          </w:p>
        </w:tc>
        <w:tc>
          <w:tcPr>
            <w:tcW w:w="810" w:type="dxa"/>
            <w:vAlign w:val="center"/>
          </w:tcPr>
          <w:p w14:paraId="2401934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项</w:t>
            </w:r>
          </w:p>
        </w:tc>
        <w:tc>
          <w:tcPr>
            <w:tcW w:w="877" w:type="dxa"/>
            <w:vAlign w:val="center"/>
          </w:tcPr>
          <w:p w14:paraId="6B7CC231">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c>
          <w:tcPr>
            <w:tcW w:w="1916" w:type="dxa"/>
            <w:vAlign w:val="center"/>
          </w:tcPr>
          <w:p w14:paraId="2C32CE1C">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服务期3年，自试运行结束后起计。</w:t>
            </w:r>
          </w:p>
        </w:tc>
      </w:tr>
    </w:tbl>
    <w:p w14:paraId="5C3A8A37">
      <w:pPr>
        <w:ind w:firstLine="0" w:firstLineChars="0"/>
      </w:pPr>
    </w:p>
    <w:p w14:paraId="4CD53CF7">
      <w:pPr>
        <w:pStyle w:val="3"/>
        <w:numPr>
          <w:ilvl w:val="0"/>
          <w:numId w:val="0"/>
        </w:numPr>
        <w:spacing w:line="240" w:lineRule="auto"/>
        <w:ind w:left="0" w:leftChars="0" w:firstLine="0" w:firstLineChars="0"/>
        <w:rPr>
          <w:lang w:val="en-US"/>
        </w:rPr>
      </w:pPr>
      <w:r>
        <w:rPr>
          <w:rFonts w:hint="eastAsia" w:ascii="仿宋_GB2312" w:hAnsi="仿宋_GB2312" w:eastAsia="仿宋_GB2312" w:cs="仿宋_GB2312"/>
          <w:b/>
          <w:bCs w:val="0"/>
          <w:color w:val="auto"/>
          <w:kern w:val="2"/>
          <w:sz w:val="24"/>
          <w:szCs w:val="24"/>
          <w:highlight w:val="none"/>
          <w:lang w:val="en-US" w:eastAsia="zh-CN" w:bidi="ar-SA"/>
        </w:rPr>
        <w:t>2</w:t>
      </w:r>
      <w:r>
        <w:rPr>
          <w:rFonts w:hint="eastAsia" w:hAnsi="仿宋_GB2312" w:cs="仿宋_GB2312"/>
          <w:b/>
          <w:bCs w:val="0"/>
          <w:color w:val="auto"/>
          <w:kern w:val="2"/>
          <w:sz w:val="24"/>
          <w:szCs w:val="24"/>
          <w:highlight w:val="none"/>
          <w:lang w:val="en-US" w:eastAsia="zh-CN" w:bidi="ar-SA"/>
        </w:rPr>
        <w:t>.</w:t>
      </w:r>
      <w:r>
        <w:rPr>
          <w:rFonts w:hint="eastAsia" w:ascii="仿宋_GB2312" w:hAnsi="仿宋_GB2312" w:eastAsia="仿宋_GB2312" w:cs="仿宋_GB2312"/>
          <w:b/>
          <w:bCs w:val="0"/>
          <w:color w:val="auto"/>
          <w:kern w:val="2"/>
          <w:sz w:val="24"/>
          <w:szCs w:val="24"/>
          <w:highlight w:val="none"/>
          <w:lang w:val="en-US" w:eastAsia="zh-CN" w:bidi="ar-SA"/>
        </w:rPr>
        <w:t>服务需求清单</w:t>
      </w:r>
    </w:p>
    <w:tbl>
      <w:tblPr>
        <w:tblStyle w:val="64"/>
        <w:tblW w:w="4998" w:type="pct"/>
        <w:tblInd w:w="0" w:type="dxa"/>
        <w:tblLayout w:type="fixed"/>
        <w:tblCellMar>
          <w:top w:w="0" w:type="dxa"/>
          <w:left w:w="108" w:type="dxa"/>
          <w:bottom w:w="0" w:type="dxa"/>
          <w:right w:w="108" w:type="dxa"/>
        </w:tblCellMar>
      </w:tblPr>
      <w:tblGrid>
        <w:gridCol w:w="541"/>
        <w:gridCol w:w="1480"/>
        <w:gridCol w:w="5525"/>
        <w:gridCol w:w="868"/>
        <w:gridCol w:w="871"/>
      </w:tblGrid>
      <w:tr w14:paraId="7F24B41C">
        <w:tblPrEx>
          <w:tblCellMar>
            <w:top w:w="0" w:type="dxa"/>
            <w:left w:w="108" w:type="dxa"/>
            <w:bottom w:w="0" w:type="dxa"/>
            <w:right w:w="108" w:type="dxa"/>
          </w:tblCellMar>
        </w:tblPrEx>
        <w:trPr>
          <w:trHeight w:val="39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0B988">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序号</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A5C2A">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名称</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E9537">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服务点位提升及应用在技术方面的要求</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F56A5">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单位</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BAE91">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数量</w:t>
            </w:r>
          </w:p>
        </w:tc>
      </w:tr>
      <w:tr w14:paraId="11CF686B">
        <w:tblPrEx>
          <w:tblCellMar>
            <w:top w:w="0" w:type="dxa"/>
            <w:left w:w="108" w:type="dxa"/>
            <w:bottom w:w="0" w:type="dxa"/>
            <w:right w:w="108" w:type="dxa"/>
          </w:tblCellMar>
        </w:tblPrEx>
        <w:trPr>
          <w:trHeight w:val="300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E824B">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95548">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高清治安监控点位升级及应用服务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9836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1、球机，采用不小于400万像素1/1.8英寸CMOS 传感器</w:t>
            </w:r>
          </w:p>
          <w:p w14:paraId="5DC39F0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2、内置GPU芯片，支持深度学习算法，有效提升监视准确率</w:t>
            </w:r>
          </w:p>
          <w:p w14:paraId="34B88C6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3、支持不小于40倍光学变倍、16倍数字变倍</w:t>
            </w:r>
          </w:p>
          <w:p w14:paraId="26EE785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4、内置不小于250米红外灯补光，采用倍率与红外灯功率匹配算法，补光效果更均匀</w:t>
            </w:r>
          </w:p>
          <w:p w14:paraId="258AD122">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5、水平方向360°连续旋转，垂直方向-30°～90°自动翻转180°后连续观测,无观测盲区</w:t>
            </w:r>
          </w:p>
          <w:p w14:paraId="5985DC0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6、支持快速智能切换，当更换当前智能模式时设备不需重启，新智能使能后即可生效。</w:t>
            </w:r>
          </w:p>
          <w:p w14:paraId="7F5771E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7、人脸监视功能检验：可对经过设定区域的行人进行人脸监视，当监视到人脸后，可抓拍人脸图片，并报警上传</w:t>
            </w:r>
          </w:p>
          <w:p w14:paraId="58B997F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8、内置7路报警输入和2路报警输出，支持报警联动功能</w:t>
            </w:r>
          </w:p>
          <w:p w14:paraId="6306B71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9、具备布控接力跟踪功能，多台设备外接平台并布控成功后，当布控人脸和车牌目标经过监控区域内时，监控区域所属的设备应按照人脸和车牌目标经过顺序进行跟踪，并可通过平台持续显示视频图像</w:t>
            </w:r>
          </w:p>
          <w:p w14:paraId="13ABC71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10、★设备外罩具有遮阳功能；并且设备可通过手动或自动的方式启动雨刷，对屏幕进行清洁。</w:t>
            </w:r>
          </w:p>
          <w:p w14:paraId="4001013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11、★设备可通过IE浏览器设置透雾模式为自动或手动，并设置透雾等级为高、中、低；透雾模式为自动模式时，支持自动在算法透雾和光学透雾之间进行切换。且在IE浏览器下，具有强光抑制设置选项。</w:t>
            </w:r>
          </w:p>
          <w:p w14:paraId="01976DC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12、★在天气晴朗无雾的条件进行测试，通过当前监控区域的行人100人次，设备捕获行人次数应≥99次；检测结果：时间：10：35-12：10环境光照度：98001x捕获人次：100人次</w:t>
            </w:r>
          </w:p>
          <w:p w14:paraId="295A140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13、★可从设备诊断信息中导出云台控制历史记录，包括：手动键控PTZ、3D定位、手动调用预置点、手动调用花扫、手动调用巡航乡。</w:t>
            </w:r>
          </w:p>
          <w:p w14:paraId="7FBF09A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14、★人数统计功能检验：样机具有人流量统计、人员密度检测功能，并支持人员密度三级报警</w:t>
            </w:r>
          </w:p>
          <w:p w14:paraId="5EE1A74A">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15、★设备在设置的检测区域内可以对单个行进的行人进行抓拍，支持人脸抓拍场景巡航功能，同时也支持设置10个场景进行人脸抓拍，可设置每个场景的布防时间。</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BA7D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384EE">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150</w:t>
            </w:r>
          </w:p>
        </w:tc>
      </w:tr>
      <w:tr w14:paraId="7FB4FE8A">
        <w:tblPrEx>
          <w:tblCellMar>
            <w:top w:w="0" w:type="dxa"/>
            <w:left w:w="108" w:type="dxa"/>
            <w:bottom w:w="0" w:type="dxa"/>
            <w:right w:w="108" w:type="dxa"/>
          </w:tblCellMar>
        </w:tblPrEx>
        <w:trPr>
          <w:trHeight w:val="90"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58F0F">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E298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交通监控点位升级及应用服务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B521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1、球机，采用不小于400万像素1/1.8英寸CMOS 传感器</w:t>
            </w:r>
          </w:p>
          <w:p w14:paraId="0F0A265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2、内置GPU芯片，支持深度学习算法，有效提升检测准确率</w:t>
            </w:r>
          </w:p>
          <w:p w14:paraId="136D782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3、内置不小于450米红外灯补光，采用倍率与红外灯功率匹配算法，补光效果更均匀</w:t>
            </w:r>
          </w:p>
          <w:p w14:paraId="69A6370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4、设备可识别距设备不小于800m处的人体轮廓</w:t>
            </w:r>
          </w:p>
          <w:p w14:paraId="28999B0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5、水平方向360°连续旋转，垂直方向-30°～90°自动翻转180°后连续监视,无监视盲区</w:t>
            </w:r>
          </w:p>
          <w:p w14:paraId="27DD17B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6、支持快速智能切换，当更换当前智能模式时设备不需重启，新智能使能后即可生效。</w:t>
            </w:r>
          </w:p>
          <w:p w14:paraId="67E3757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7、设备水平手控最大速度应不小于180°/s</w:t>
            </w:r>
          </w:p>
          <w:p w14:paraId="1C1F041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8、支持巡航计划配置，根据场景需求选择一种或两种智能模式，完成多场景巡航，实现一机多用</w:t>
            </w:r>
          </w:p>
          <w:p w14:paraId="6CEDC63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9、支持智能感应雨刷功能</w:t>
            </w:r>
          </w:p>
          <w:p w14:paraId="78DA2B9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10、★设备支持15种车身颜色识别，实测准确率100%。</w:t>
            </w:r>
          </w:p>
          <w:p w14:paraId="64C6D9D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11、★多场景分配不同智能后，可进行多场景智能巡航，进行不同智能功能的分时复用，切换码流可继续支持原来的智能，支持跟踪抓拍</w:t>
            </w:r>
          </w:p>
          <w:p w14:paraId="3BA0819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12、★可识别不低于300种车辆品牌，日间和夜间各测试100次，车辆品牌识别白天准确率不小于99%，晚上准确率不小于99%；（测试结果：日间和夜间各测试100次，日间和夜间准确率都为100%）</w:t>
            </w:r>
          </w:p>
          <w:p w14:paraId="179898A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13、★支持全局视频结构化功能，可对监控范围内出现的行人、机动车、非机动车进行检测和抓拍，并在IE浏览器上显示行人、机动车、非机动车属性，手动点击或框选预览画面中的被测目标时，设备能通过PTZ转动将被测目标置于画面中心，并对人脸进行抓拍和属性提取</w:t>
            </w:r>
          </w:p>
          <w:p w14:paraId="5425493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14、★设备运动结束静止在某个位置,当设备水平和垂直角度方向收到外力作用发生偏移时,设备能够检测角度改变并产生报警信息,并可在OSD叠加报警信息。</w:t>
            </w:r>
          </w:p>
          <w:p w14:paraId="357670D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15、★支持集中布控功能,设备能够响应平台下发的集中布控命令,调整方向至目标位置。</w:t>
            </w:r>
          </w:p>
          <w:p w14:paraId="1BD3A1E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16、★当抓拍图片或录像文件被篡改后,可通过专用播放器给出提示信息。</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5E9F1">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C74AE">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w:t>
            </w:r>
          </w:p>
        </w:tc>
      </w:tr>
      <w:tr w14:paraId="272A9ACF">
        <w:tblPrEx>
          <w:tblCellMar>
            <w:top w:w="0" w:type="dxa"/>
            <w:left w:w="108" w:type="dxa"/>
            <w:bottom w:w="0" w:type="dxa"/>
            <w:right w:w="108" w:type="dxa"/>
          </w:tblCellMar>
        </w:tblPrEx>
        <w:trPr>
          <w:trHeight w:val="421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5F156">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85E29">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治安全景点位升级及应用服务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136A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1、采用全景细节一体化设计，全景采用不低于4个镜头拼接成不小于180度全景画面，细节内置大倍率高速变焦镜头</w:t>
            </w:r>
          </w:p>
          <w:p w14:paraId="263A131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2、全景采用4个不低于400万像素1/1.8英寸CMOS图像传感器；细节采用1个不低于400万像素1/1.8英寸CMOS图像传感器</w:t>
            </w:r>
          </w:p>
          <w:p w14:paraId="1CFA0C5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3、内置不少于1颗GPU芯片，支持深度学习算法，有效提升检测准确率</w:t>
            </w:r>
          </w:p>
          <w:p w14:paraId="3FB8B3B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4、全景：2.8mm; 细节可见光：5.5mm～220mm</w:t>
            </w:r>
          </w:p>
          <w:p w14:paraId="2BD4016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5、细节变倍不少于:40倍</w:t>
            </w:r>
          </w:p>
          <w:p w14:paraId="7F457DB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6、全景支持不低于3种智能资源切换：周界防范、人群分布图、车辆密度；</w:t>
            </w:r>
          </w:p>
          <w:p w14:paraId="27F3C38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7、细节支持不低于3种智能资源切换：周界防范、视频结构化、人脸识别</w:t>
            </w:r>
          </w:p>
          <w:p w14:paraId="4DA0A57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8、设备支持自动标定、自动拼接功能，自动标定时间少于3min</w:t>
            </w:r>
          </w:p>
          <w:p w14:paraId="26F8085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9、支持全景不低于报警7进3出，音频2进2出，1路BNC，1路RS485功能（可设置波特率），支持不小于512G Micro SD卡</w:t>
            </w:r>
          </w:p>
          <w:p w14:paraId="1464CA1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10、★设备可将任意连续的2个至4个视频画面基本进行无缝拼接显示</w:t>
            </w:r>
          </w:p>
          <w:p w14:paraId="79A9E86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12、★设备自带水平仪可检测设备安装是否倾斜</w:t>
            </w:r>
          </w:p>
          <w:p w14:paraId="0646015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13、★为防止水气影响视频效果，设备自带防水透气膜，内部水气可通过防水透气膜排出，外部的水气无法进入</w:t>
            </w:r>
          </w:p>
          <w:p w14:paraId="46AEA14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14、★设备具有微云台功能,可控制全景通道左右转动，并且可远程实时控制全景通道水平转动,转动范围在-30°~+30°范围内可设</w:t>
            </w:r>
          </w:p>
          <w:p w14:paraId="346CFFFF">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15、★将设备视窗水平放置,给视窗外镜片表面喷纯净水,喷水持续时间5min后,将设备视窗竖直放置于温度40±3℃的环境中,持续时间2h,设备视窗外表面应无水渍和印记</w:t>
            </w:r>
          </w:p>
          <w:p w14:paraId="54A5BB1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16、★支持高、低模型切换;支持全局人数统计、区域人数统计,人群密度异常特写抓拍</w:t>
            </w:r>
          </w:p>
          <w:p w14:paraId="750853C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17、★支持视频结构化、车辆密度、人群分布图3类报表,可按日、周、月、年进行搜索</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3BA8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701B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r>
      <w:tr w14:paraId="29A75A62">
        <w:tblPrEx>
          <w:tblCellMar>
            <w:top w:w="0" w:type="dxa"/>
            <w:left w:w="108" w:type="dxa"/>
            <w:bottom w:w="0" w:type="dxa"/>
            <w:right w:w="108" w:type="dxa"/>
          </w:tblCellMar>
        </w:tblPrEx>
        <w:trPr>
          <w:trHeight w:val="478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1C74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w:t>
            </w:r>
          </w:p>
        </w:tc>
        <w:tc>
          <w:tcPr>
            <w:tcW w:w="7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78F1F">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设备机箱提升及应用服务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A49F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常规参数要求：</w:t>
            </w:r>
          </w:p>
          <w:p w14:paraId="2283667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箱体尺寸为不小于450mm*350mm*200mm（尺寸含帽檐），材质采用防锈、抗高温、耐腐蚀的冷轧钢板喷塑外壳，箱体板厚度不少于0.8mm，箱顶采用帽檐斜顶方式设计，防护等级不低于IP55；具有防盗功能，安装防水锁，所有锁芯应配统一钥匙。内部布局合理、规范、内部走线清晰。箱内配备16A空气开关1只、40KA电源防雷器1只、五孔插座2只、5位接地铜排1只，并配备智能运维终端1只（支持4G无线通讯）；</w:t>
            </w:r>
          </w:p>
          <w:p w14:paraId="25FD9FE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智能功能要求：</w:t>
            </w:r>
          </w:p>
          <w:p w14:paraId="0DEBD96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1、指示灯状态显示功能：支持通过指示灯对设备运行、网络、通讯、故障、输出状态进行显示；</w:t>
            </w:r>
          </w:p>
          <w:p w14:paraId="2C00FE2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2、安全防护功能：支持外接箱门门磁检测传感器，能够在箱门异常开启时产生告警，防止恶意破坏箱体行为，最大程度保障箱体内资产和信息安全</w:t>
            </w:r>
          </w:p>
          <w:p w14:paraId="3D22993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3、具有温湿度检测功能：支持监测箱内温湿度，并上传至机箱管理平台；</w:t>
            </w:r>
          </w:p>
          <w:p w14:paraId="735CF9F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4、具有震动监测功能：支持机箱受到震动/冲击时，平台端产生震动告警，并支持设置震动告警的频次阈值；</w:t>
            </w:r>
          </w:p>
          <w:p w14:paraId="50EF80C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5、断电监测功能；内置电源监测模块，能够在不需要后备电源的情况下，能将断电告警信息上传至平台客户端；</w:t>
            </w:r>
          </w:p>
          <w:p w14:paraId="0F2B532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6、断网监测功能：当机箱内网络中断时，可平台端显示断网失联告警；</w:t>
            </w:r>
          </w:p>
          <w:p w14:paraId="0C215C8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7、远程控制功能：支持远程控制负载供电开启、关闭和重启功能，解决前端设备死机问题。</w:t>
            </w:r>
          </w:p>
          <w:p w14:paraId="76E86A3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★8、输出功能：当产品智能运维终端发生故障时，产品的电压输出端口仍可正常工作。</w:t>
            </w:r>
          </w:p>
          <w:p w14:paraId="4D3F5D0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★9、加密功能：支持对通信数据进行加密。</w:t>
            </w:r>
          </w:p>
          <w:p w14:paraId="12E1A7D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10、看门狗复位功能：支持当智能运维终端死机时，具有看门狗自动复位功能。</w:t>
            </w:r>
          </w:p>
          <w:p w14:paraId="75F0E76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★11、远程查询功能：支持通过平台远程实时查询实时数据、业务上报周期、软硬件版本号、机箱型号、报警阈值范围、机箱配置参数、运行日志信息和心跳保活周期</w:t>
            </w:r>
          </w:p>
          <w:p w14:paraId="35EB3842">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★12、电磁兼容性性能测试要求：产品通过静电放电抗扰度，射频电磁场辐射抗扰度，电快速瞬变脉冲群抗扰度，浪涌抗扰度，工频磁场抗扰度，传导骚扰度，抗电强度以及泄漏电流试验。</w:t>
            </w:r>
          </w:p>
        </w:tc>
        <w:tc>
          <w:tcPr>
            <w:tcW w:w="4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A18F7">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C7F2B">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159</w:t>
            </w:r>
          </w:p>
        </w:tc>
      </w:tr>
      <w:tr w14:paraId="58818860">
        <w:tblPrEx>
          <w:tblCellMar>
            <w:top w:w="0" w:type="dxa"/>
            <w:left w:w="108" w:type="dxa"/>
            <w:bottom w:w="0" w:type="dxa"/>
            <w:right w:w="108" w:type="dxa"/>
          </w:tblCellMar>
        </w:tblPrEx>
        <w:trPr>
          <w:trHeight w:val="84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31934">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w:t>
            </w:r>
          </w:p>
        </w:tc>
        <w:tc>
          <w:tcPr>
            <w:tcW w:w="7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A8AD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存储系统升级及应用服务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F41F4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满足所有设备主码流存储30天的需求，要求服务器托管，托管环境满足雪亮工程项目需求。在存储利旧的基础上，升级的存储应满足如下技术要求：</w:t>
            </w:r>
          </w:p>
          <w:p w14:paraId="56834CCF">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1.视频设备接入模块：支持国标、Onvif等接入各类型的前端设备；</w:t>
            </w:r>
          </w:p>
          <w:p w14:paraId="0DB83B6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2.卡口设备接入模块：支持人脸、车辆卡口设备接入以及结构化数据接入；</w:t>
            </w:r>
          </w:p>
          <w:p w14:paraId="3B56E37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3.视频图片存储模块：支持视频和图片的基础存储业务，包括录像计划，图片计划配置管理，包括视频流按通道和类型进行分类，并进行相应的索引创建等；</w:t>
            </w:r>
          </w:p>
          <w:p w14:paraId="3CE9D8D8">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4.流媒体转发模块：支持流媒体动态负载均衡，弹性扩容，具备快速故障接管能力支持RTSP,HLS,FLV等流媒体协议；</w:t>
            </w:r>
          </w:p>
          <w:p w14:paraId="4575163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5.主处理器不小于：1颗国产化高性能8核处理器；</w:t>
            </w:r>
          </w:p>
          <w:p w14:paraId="6615246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6.操作系统：国产操作系统；</w:t>
            </w:r>
          </w:p>
          <w:p w14:paraId="1057F45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7.控制器：单控制器；</w:t>
            </w:r>
          </w:p>
          <w:p w14:paraId="3B22D1C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8.硬盘个数不小于：内置 1块 512G 企业级固态硬盘最大支持48个2.5"或3.5"的SATA硬盘；</w:t>
            </w:r>
          </w:p>
          <w:p w14:paraId="4299C968">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9.支持热插拔；</w:t>
            </w:r>
          </w:p>
          <w:p w14:paraId="28C2F63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10.功耗：不大于800W（含硬盘）；</w:t>
            </w:r>
          </w:p>
          <w:p w14:paraId="2B60271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为满足高可靠性管理需求、容灾恢复自动化需求及存储资源优化需求，云存储系统需支持全自动数据校验和数据恢复功能，支持包括快速校验、深度校验等20种数据自动校验策略和10种自动修复策略。支持将数据校验和元数据校验分开配置，支持指定数据校验和恢复的时间窗口，支持指定数据校验优先级和校验速率。支持数据检出不一致后自动触发数据恢复功能，自动选择数据副本进行恢复。支持全自动数据校验和恢复全程，无需人为干预，提升数据存储可靠性。(提供第三方有效检测报告加盖投标人公章)</w:t>
            </w:r>
          </w:p>
          <w:p w14:paraId="141C9D9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为满足统一纳管需求，云存储系统架构支持持续异构节点扩容，同一套集群中支持15种异构存储节点。其中，异构存储节点同时支持6种不同盘位，包括12/24/36/48/72/84盘位；同时支持11种不同硬盘容量混插或者不同硬盘大小节点，不同硬盘容量大小包括1T/2T/4T/6T/8T/12T/14T/16T/18T/20T/24T；同时支持CMR盘和SMR盘；同时支持3种异构CPU扩容节点，包括X86 CPU（包含海光CPU）、鲲鹏ARM CPU、龙芯CPU节点；同时支持5种操作系统扩容节点，包括欧拉系统节点、麒麟系统节点、统信系统节点、CentOS系统节点和自研系统节点。同一套集群内的异构节点最高容量比最低容量差20倍时，也支持容量负载均衡。</w:t>
            </w:r>
          </w:p>
        </w:tc>
        <w:tc>
          <w:tcPr>
            <w:tcW w:w="4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58025">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批</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1D553">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r>
      <w:tr w14:paraId="4D3AA3E5">
        <w:tblPrEx>
          <w:tblCellMar>
            <w:top w:w="0" w:type="dxa"/>
            <w:left w:w="108" w:type="dxa"/>
            <w:bottom w:w="0" w:type="dxa"/>
            <w:right w:w="108" w:type="dxa"/>
          </w:tblCellMar>
        </w:tblPrEx>
        <w:trPr>
          <w:trHeight w:val="84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99FB1">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03AD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点位成套立杆服务提升</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D44F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根据现场点位运行情况，合理化提供成套的监控立杆服务提升，视情况酌情可选性的对杆件基础、杆件、挑臂、标识牌进行服务品质提升。</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B4D76">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77546">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159</w:t>
            </w:r>
          </w:p>
        </w:tc>
      </w:tr>
      <w:tr w14:paraId="4C7A8B05">
        <w:tblPrEx>
          <w:tblCellMar>
            <w:top w:w="0" w:type="dxa"/>
            <w:left w:w="108" w:type="dxa"/>
            <w:bottom w:w="0" w:type="dxa"/>
            <w:right w:w="108" w:type="dxa"/>
          </w:tblCellMar>
        </w:tblPrEx>
        <w:trPr>
          <w:trHeight w:val="84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E5B23">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B2A7B">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点位配套管线服务提升</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5F3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根据现场点位运行情况，合理化提供管管线服务提升，提升内容有且不仅限于管线、手井、合规取电方面。</w:t>
            </w:r>
            <w:r>
              <w:rPr>
                <w:rFonts w:hint="eastAsia" w:ascii="仿宋_GB2312" w:hAnsi="仿宋_GB2312" w:eastAsia="仿宋_GB2312" w:cs="仿宋_GB2312"/>
                <w:snapToGrid w:val="0"/>
                <w:color w:val="auto"/>
                <w:kern w:val="0"/>
                <w:sz w:val="24"/>
                <w:highlight w:val="none"/>
                <w:lang w:val="en-US" w:eastAsia="zh-CN"/>
              </w:rPr>
              <w:br w:type="textWrapping"/>
            </w:r>
            <w:r>
              <w:rPr>
                <w:rFonts w:hint="eastAsia" w:ascii="仿宋_GB2312" w:hAnsi="仿宋_GB2312" w:eastAsia="仿宋_GB2312" w:cs="仿宋_GB2312"/>
                <w:snapToGrid w:val="0"/>
                <w:color w:val="auto"/>
                <w:kern w:val="0"/>
                <w:sz w:val="24"/>
                <w:highlight w:val="none"/>
                <w:lang w:val="en-US" w:eastAsia="zh-CN"/>
              </w:rPr>
              <w:t>投标人可在报价清单中，结合自身情况及现场勘探后的判断，对本项进行拆解展开报价。</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6931A">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套</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62948">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159</w:t>
            </w:r>
          </w:p>
        </w:tc>
      </w:tr>
      <w:tr w14:paraId="0EC4DD52">
        <w:tblPrEx>
          <w:tblCellMar>
            <w:top w:w="0" w:type="dxa"/>
            <w:left w:w="108" w:type="dxa"/>
            <w:bottom w:w="0" w:type="dxa"/>
            <w:right w:w="108" w:type="dxa"/>
          </w:tblCellMar>
        </w:tblPrEx>
        <w:trPr>
          <w:trHeight w:val="1128"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40CD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C8B23">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点位升级技术安装调试实施全套服务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2960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根据现场点位运行情况，提供设备、杆件、地下线管井一体化升级的全套技术服务，有切不仅限于新点位设备安装调测、上线联调、检测报告等。检测范围包括但不限于：网络线路、设备机箱、监控杆件、前端设备、存储设备。新建内容全部进行第三方检测，并符合国家标准。</w:t>
            </w:r>
            <w:r>
              <w:rPr>
                <w:rFonts w:hint="eastAsia" w:ascii="仿宋_GB2312" w:hAnsi="仿宋_GB2312" w:eastAsia="仿宋_GB2312" w:cs="仿宋_GB2312"/>
                <w:snapToGrid w:val="0"/>
                <w:color w:val="auto"/>
                <w:kern w:val="0"/>
                <w:sz w:val="24"/>
                <w:highlight w:val="none"/>
                <w:lang w:val="en-US" w:eastAsia="zh-CN"/>
              </w:rPr>
              <w:br w:type="textWrapping"/>
            </w:r>
            <w:r>
              <w:rPr>
                <w:rFonts w:hint="eastAsia" w:ascii="仿宋_GB2312" w:hAnsi="仿宋_GB2312" w:eastAsia="仿宋_GB2312" w:cs="仿宋_GB2312"/>
                <w:snapToGrid w:val="0"/>
                <w:color w:val="auto"/>
                <w:kern w:val="0"/>
                <w:sz w:val="24"/>
                <w:highlight w:val="none"/>
                <w:lang w:val="en-US" w:eastAsia="zh-CN"/>
              </w:rPr>
              <w:t>投标人可在报价清单中，结合自身情况及现场勘探后的判断，对本项进行拆解展开报价。</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376D9">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套</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31B8E">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159</w:t>
            </w:r>
          </w:p>
        </w:tc>
      </w:tr>
      <w:tr w14:paraId="28445994">
        <w:tblPrEx>
          <w:tblCellMar>
            <w:top w:w="0" w:type="dxa"/>
            <w:left w:w="108" w:type="dxa"/>
            <w:bottom w:w="0" w:type="dxa"/>
            <w:right w:w="108" w:type="dxa"/>
          </w:tblCellMar>
        </w:tblPrEx>
        <w:trPr>
          <w:trHeight w:val="197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B5840">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5155">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交通信号控制器应用服务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EBA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支持区域协调控制、无电缆线缆控制、单点优化感应控制、多时段控制、手动控制、黄闪控制、全红控制、关灯控制、行人过街按钮、公交优先功能、紧急撤离优先控制、快速路入口控制、可变标志控制、指挥中心联网控制等多种控制方式；</w:t>
            </w:r>
          </w:p>
          <w:p w14:paraId="237AD0B8">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具有故障检测功能；</w:t>
            </w:r>
          </w:p>
          <w:p w14:paraId="39A5F54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支持32路或以上相位控制，相序可又用户设置；支持72路或以上信号灯控制输出，单路配套保险管；支持地磁检测，视频检测，线圈检测，支持4路行人按钮检测；可指定多于30个特殊日配时方案，每天可设16个时段和10种配时方案；</w:t>
            </w:r>
          </w:p>
          <w:p w14:paraId="2EBF040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通过前端检测与中心算法结合，支持实现特殊车辆、公交优先，支持警卫路线定灯控制；</w:t>
            </w:r>
          </w:p>
          <w:p w14:paraId="710B321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交通信号控制器在静电放电、电快速瞬变脉冲群、浪涌、电压短时中断等电磁骚扰环境下不出现电气故障；在电源电极或与电源电极相连的其它导电电路和机柜、安装机箱等易触及部件之间施加1500V、50Hz电压，不出现击穿现象；</w:t>
            </w:r>
          </w:p>
          <w:p w14:paraId="558DDEF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信号控制机能够无缝接入现有的信号控制平台</w:t>
            </w:r>
          </w:p>
          <w:p w14:paraId="3EAEB91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保障现有交通信号控制器正常运行</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06726">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1FFEF">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r>
      <w:tr w14:paraId="5CCE1668">
        <w:tblPrEx>
          <w:tblCellMar>
            <w:top w:w="0" w:type="dxa"/>
            <w:left w:w="108" w:type="dxa"/>
            <w:bottom w:w="0" w:type="dxa"/>
            <w:right w:w="108" w:type="dxa"/>
          </w:tblCellMar>
        </w:tblPrEx>
        <w:trPr>
          <w:trHeight w:val="564"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D4FD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DCDF8">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网络通讯服务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3602A">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公安专网，包含3年网络费</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CE029">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04183">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160</w:t>
            </w:r>
          </w:p>
        </w:tc>
      </w:tr>
    </w:tbl>
    <w:p w14:paraId="693E691F">
      <w:pPr>
        <w:ind w:firstLine="0" w:firstLineChars="0"/>
      </w:pPr>
    </w:p>
    <w:p w14:paraId="1A53C632">
      <w:pPr>
        <w:pStyle w:val="3"/>
        <w:numPr>
          <w:ilvl w:val="0"/>
          <w:numId w:val="0"/>
        </w:numPr>
        <w:spacing w:afterAutospacing="0" w:line="240" w:lineRule="auto"/>
        <w:ind w:left="0" w:leftChars="0" w:firstLine="0" w:firstLineChars="0"/>
        <w:rPr>
          <w:lang w:val="en-US"/>
        </w:rPr>
      </w:pPr>
      <w:r>
        <w:rPr>
          <w:rFonts w:hint="eastAsia" w:ascii="仿宋_GB2312" w:hAnsi="仿宋_GB2312" w:eastAsia="仿宋_GB2312" w:cs="仿宋_GB2312"/>
          <w:b/>
          <w:bCs w:val="0"/>
          <w:color w:val="auto"/>
          <w:kern w:val="2"/>
          <w:sz w:val="24"/>
          <w:szCs w:val="24"/>
          <w:highlight w:val="none"/>
          <w:lang w:val="en-US" w:eastAsia="zh-CN" w:bidi="ar-SA"/>
        </w:rPr>
        <w:t>3</w:t>
      </w:r>
      <w:r>
        <w:rPr>
          <w:rFonts w:hint="eastAsia" w:hAnsi="仿宋_GB2312" w:cs="仿宋_GB2312"/>
          <w:b/>
          <w:bCs w:val="0"/>
          <w:color w:val="auto"/>
          <w:kern w:val="2"/>
          <w:sz w:val="24"/>
          <w:szCs w:val="24"/>
          <w:highlight w:val="none"/>
          <w:lang w:val="en-US" w:eastAsia="zh-CN" w:bidi="ar-SA"/>
        </w:rPr>
        <w:t>.</w:t>
      </w:r>
      <w:r>
        <w:rPr>
          <w:rFonts w:hint="eastAsia" w:ascii="仿宋_GB2312" w:hAnsi="仿宋_GB2312" w:eastAsia="仿宋_GB2312" w:cs="仿宋_GB2312"/>
          <w:b/>
          <w:bCs w:val="0"/>
          <w:color w:val="auto"/>
          <w:kern w:val="2"/>
          <w:sz w:val="24"/>
          <w:szCs w:val="24"/>
          <w:highlight w:val="none"/>
          <w:lang w:val="en-US" w:eastAsia="zh-CN" w:bidi="ar-SA"/>
        </w:rPr>
        <w:t>服务实施要求</w:t>
      </w:r>
    </w:p>
    <w:p w14:paraId="1AE73047">
      <w:pPr>
        <w:pStyle w:val="4"/>
        <w:numPr>
          <w:ilvl w:val="0"/>
          <w:numId w:val="0"/>
        </w:numPr>
        <w:spacing w:before="0" w:beforeAutospacing="0" w:after="0" w:afterAutospacing="0" w:line="240" w:lineRule="auto"/>
        <w:ind w:left="0" w:leftChars="0" w:firstLine="0" w:firstLineChars="0"/>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b/>
          <w:bCs/>
          <w:snapToGrid w:val="0"/>
          <w:color w:val="auto"/>
          <w:kern w:val="0"/>
          <w:sz w:val="24"/>
          <w:szCs w:val="24"/>
          <w:highlight w:val="none"/>
          <w:lang w:val="en-US" w:eastAsia="zh-CN" w:bidi="ar-SA"/>
        </w:rPr>
        <w:t>3.1工期要求</w:t>
      </w:r>
    </w:p>
    <w:p w14:paraId="3233CB8A">
      <w:pPr>
        <w:spacing w:beforeAutospacing="0"/>
        <w:ind w:firstLine="48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1）本项目服务需求清单中的内容服务期为3年，自合试运行完毕起计。</w:t>
      </w:r>
    </w:p>
    <w:p w14:paraId="08144C5F">
      <w:pPr>
        <w:ind w:firstLine="48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▲2）投标人需承诺中标后，需合同生效后方可开展服务提升工作，不得在合同生效之前、即纸面明确甲、乙方权利与义务前开展工作、接触雪亮专网有关的任何点位地上与地下部件。</w:t>
      </w:r>
    </w:p>
    <w:p w14:paraId="0DC286D2">
      <w:pPr>
        <w:ind w:firstLine="48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本项目时间紧任务重，投保人需承诺安排足够的服务并发实施队伍服务，服务上线期限为合同签订后的30个自然日，承诺第15个自然日完成60%以上的点位设备在专网内上线可看。所有点位上线后，试运行1个月，试运行结束后进入服务期。</w:t>
      </w:r>
    </w:p>
    <w:p w14:paraId="7ABAE381">
      <w:pPr>
        <w:ind w:firstLine="48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4）承载钱塘区治安监控设备的视频专网必须是一张和互联网完全隔离的单独网络，同时提供相关技术支持，解决电源故障、环境异常等问题，确保通信网络稳定‌。</w:t>
      </w:r>
    </w:p>
    <w:p w14:paraId="6EB6B50F">
      <w:pPr>
        <w:spacing w:line="240" w:lineRule="auto"/>
        <w:ind w:firstLine="480"/>
        <w:rPr>
          <w:rFonts w:ascii="宋体" w:hAnsi="宋体" w:cs="仿宋"/>
          <w:szCs w:val="21"/>
        </w:rPr>
      </w:pPr>
      <w:r>
        <w:rPr>
          <w:rFonts w:hint="eastAsia" w:ascii="仿宋_GB2312" w:hAnsi="仿宋_GB2312" w:eastAsia="仿宋_GB2312" w:cs="仿宋_GB2312"/>
          <w:snapToGrid w:val="0"/>
          <w:color w:val="auto"/>
          <w:kern w:val="0"/>
          <w:sz w:val="24"/>
          <w:highlight w:val="none"/>
          <w:lang w:val="en-US" w:eastAsia="zh-CN"/>
        </w:rPr>
        <w:t>5）服务过程中，取电方式以从路灯开关箱接入为主，特殊情况接入需经由招标人同意；施工过程中涉及到道路、绿化等基础设施的破坏、通信网络电源系统的运行与维护由中标人负责修复，所有责任由投标人承担。</w:t>
      </w:r>
    </w:p>
    <w:p w14:paraId="724D018C">
      <w:pPr>
        <w:ind w:firstLine="480"/>
      </w:pPr>
    </w:p>
    <w:p w14:paraId="0F4156DE">
      <w:pPr>
        <w:keepNext w:val="0"/>
        <w:keepLines w:val="0"/>
        <w:pageBreakBefore w:val="0"/>
        <w:widowControl w:val="0"/>
        <w:kinsoku/>
        <w:wordWrap/>
        <w:overflowPunct/>
        <w:topLinePunct w:val="0"/>
        <w:autoSpaceDE/>
        <w:autoSpaceDN/>
        <w:bidi w:val="0"/>
        <w:adjustRightInd w:val="0"/>
        <w:snapToGrid/>
        <w:spacing w:afterAutospacing="0" w:line="240" w:lineRule="auto"/>
        <w:ind w:firstLine="482" w:firstLineChars="200"/>
        <w:textAlignment w:val="auto"/>
        <w:rPr>
          <w:rFonts w:ascii="宋体" w:hAnsi="宋体" w:cs="仿宋"/>
          <w:b/>
          <w:bCs/>
          <w:color w:val="C00000"/>
          <w:kern w:val="0"/>
          <w:lang w:bidi="ar"/>
        </w:rPr>
      </w:pPr>
      <w:r>
        <w:rPr>
          <w:rFonts w:hint="eastAsia" w:ascii="仿宋_GB2312" w:hAnsi="仿宋_GB2312" w:eastAsia="仿宋_GB2312" w:cs="仿宋_GB2312"/>
          <w:b/>
          <w:bCs/>
          <w:snapToGrid w:val="0"/>
          <w:color w:val="auto"/>
          <w:kern w:val="0"/>
          <w:sz w:val="24"/>
          <w:highlight w:val="none"/>
          <w:lang w:val="en-US" w:eastAsia="zh-CN"/>
        </w:rPr>
        <w:t>（打</w:t>
      </w:r>
      <w:r>
        <w:rPr>
          <w:rFonts w:hint="eastAsia" w:ascii="仿宋_GB2312" w:hAnsi="仿宋_GB2312" w:eastAsia="仿宋_GB2312" w:cs="仿宋_GB2312"/>
          <w:b/>
          <w:bCs/>
          <w:snapToGrid w:val="0"/>
          <w:color w:val="auto"/>
          <w:kern w:val="0"/>
          <w:sz w:val="24"/>
          <w:highlight w:val="none"/>
          <w:lang w:val="zh-CN" w:eastAsia="zh-CN"/>
        </w:rPr>
        <w:t>▲</w:t>
      </w:r>
      <w:r>
        <w:rPr>
          <w:rFonts w:hint="eastAsia" w:ascii="仿宋_GB2312" w:hAnsi="仿宋_GB2312" w:eastAsia="仿宋_GB2312" w:cs="仿宋_GB2312"/>
          <w:b/>
          <w:bCs/>
          <w:snapToGrid w:val="0"/>
          <w:color w:val="auto"/>
          <w:kern w:val="0"/>
          <w:sz w:val="24"/>
          <w:highlight w:val="none"/>
          <w:lang w:val="en-US" w:eastAsia="zh-CN"/>
        </w:rPr>
        <w:t>的条款为强制性套框，格式自拟，未提供投标文件无效）。</w:t>
      </w:r>
    </w:p>
    <w:p w14:paraId="58AE31A1">
      <w:pPr>
        <w:pStyle w:val="4"/>
        <w:numPr>
          <w:ilvl w:val="0"/>
          <w:numId w:val="0"/>
        </w:numPr>
        <w:spacing w:before="0" w:beforeAutospacing="0" w:after="0" w:afterAutospacing="0" w:line="240" w:lineRule="auto"/>
        <w:ind w:left="0" w:leftChars="0" w:firstLine="0" w:firstLineChars="0"/>
      </w:pPr>
      <w:r>
        <w:rPr>
          <w:rFonts w:hint="eastAsia" w:ascii="仿宋_GB2312" w:hAnsi="仿宋_GB2312" w:eastAsia="仿宋_GB2312" w:cs="仿宋_GB2312"/>
          <w:b/>
          <w:bCs/>
          <w:snapToGrid w:val="0"/>
          <w:color w:val="auto"/>
          <w:kern w:val="0"/>
          <w:sz w:val="24"/>
          <w:szCs w:val="24"/>
          <w:highlight w:val="none"/>
          <w:lang w:val="en-US" w:eastAsia="zh-CN" w:bidi="ar-SA"/>
        </w:rPr>
        <w:t>3.2▲无感升级要求</w:t>
      </w:r>
    </w:p>
    <w:p w14:paraId="2DB2C30F">
      <w:pPr>
        <w:spacing w:beforeAutospacing="0"/>
        <w:ind w:firstLine="480"/>
      </w:pPr>
      <w:r>
        <w:rPr>
          <w:rFonts w:hint="eastAsia" w:ascii="仿宋_GB2312" w:hAnsi="仿宋_GB2312" w:eastAsia="仿宋_GB2312" w:cs="仿宋_GB2312"/>
          <w:snapToGrid w:val="0"/>
          <w:color w:val="auto"/>
          <w:kern w:val="0"/>
          <w:sz w:val="24"/>
          <w:highlight w:val="none"/>
          <w:lang w:val="en-US" w:eastAsia="zh-CN"/>
        </w:rPr>
        <w:t>在钱塘区范围内，中标人提供承诺，即与之前提供治安、交通监控服务点位（含政府投资和社会接入）的运营商主动无偿协调，整合接入原有监控系统及原有前端。点位的升级造成的单点网络间断≤15mins，不得对社会治安工作的开展造成影响。</w:t>
      </w:r>
    </w:p>
    <w:p w14:paraId="3DF1DA8F">
      <w:pPr>
        <w:keepNext w:val="0"/>
        <w:keepLines w:val="0"/>
        <w:pageBreakBefore w:val="0"/>
        <w:widowControl w:val="0"/>
        <w:kinsoku/>
        <w:wordWrap/>
        <w:overflowPunct/>
        <w:topLinePunct w:val="0"/>
        <w:autoSpaceDE/>
        <w:autoSpaceDN/>
        <w:bidi w:val="0"/>
        <w:adjustRightInd w:val="0"/>
        <w:snapToGrid/>
        <w:spacing w:afterAutospacing="0" w:line="240" w:lineRule="auto"/>
        <w:ind w:firstLine="482" w:firstLineChars="200"/>
        <w:textAlignment w:val="auto"/>
        <w:rPr>
          <w:rFonts w:hint="eastAsia" w:ascii="仿宋_GB2312" w:hAnsi="仿宋_GB2312" w:eastAsia="仿宋_GB2312" w:cs="仿宋_GB2312"/>
          <w:b/>
          <w:bCs/>
          <w:snapToGrid w:val="0"/>
          <w:color w:val="auto"/>
          <w:kern w:val="0"/>
          <w:sz w:val="24"/>
          <w:highlight w:val="none"/>
          <w:lang w:val="en-US" w:eastAsia="zh-CN"/>
        </w:rPr>
      </w:pPr>
      <w:r>
        <w:rPr>
          <w:rFonts w:hint="eastAsia" w:ascii="仿宋_GB2312" w:hAnsi="仿宋_GB2312" w:eastAsia="仿宋_GB2312" w:cs="仿宋_GB2312"/>
          <w:b/>
          <w:bCs/>
          <w:snapToGrid w:val="0"/>
          <w:color w:val="auto"/>
          <w:kern w:val="0"/>
          <w:sz w:val="24"/>
          <w:highlight w:val="none"/>
          <w:lang w:val="en-US" w:eastAsia="zh-CN"/>
        </w:rPr>
        <w:t>（打</w:t>
      </w:r>
      <w:r>
        <w:rPr>
          <w:rFonts w:hint="eastAsia" w:ascii="仿宋_GB2312" w:hAnsi="仿宋_GB2312" w:eastAsia="仿宋_GB2312" w:cs="仿宋_GB2312"/>
          <w:b/>
          <w:bCs/>
          <w:snapToGrid w:val="0"/>
          <w:color w:val="auto"/>
          <w:kern w:val="0"/>
          <w:sz w:val="24"/>
          <w:highlight w:val="none"/>
          <w:lang w:val="zh-CN" w:eastAsia="zh-CN"/>
        </w:rPr>
        <w:t>▲</w:t>
      </w:r>
      <w:r>
        <w:rPr>
          <w:rFonts w:hint="eastAsia" w:ascii="仿宋_GB2312" w:hAnsi="仿宋_GB2312" w:eastAsia="仿宋_GB2312" w:cs="仿宋_GB2312"/>
          <w:b/>
          <w:bCs/>
          <w:snapToGrid w:val="0"/>
          <w:color w:val="auto"/>
          <w:kern w:val="0"/>
          <w:sz w:val="24"/>
          <w:highlight w:val="none"/>
          <w:lang w:val="en-US" w:eastAsia="zh-CN"/>
        </w:rPr>
        <w:t>的条款为强制性套框，格式自拟，未提供投标文件无效）。</w:t>
      </w:r>
    </w:p>
    <w:p w14:paraId="025A7E10">
      <w:pPr>
        <w:pStyle w:val="4"/>
        <w:numPr>
          <w:ilvl w:val="0"/>
          <w:numId w:val="0"/>
        </w:numPr>
        <w:spacing w:before="0" w:beforeAutospacing="0" w:after="0" w:afterAutospacing="0" w:line="240" w:lineRule="auto"/>
        <w:ind w:left="0" w:leftChars="0" w:firstLine="0" w:firstLineChars="0"/>
      </w:pPr>
      <w:r>
        <w:rPr>
          <w:rFonts w:hint="eastAsia" w:ascii="仿宋_GB2312" w:hAnsi="仿宋_GB2312" w:eastAsia="仿宋_GB2312" w:cs="仿宋_GB2312"/>
          <w:b/>
          <w:bCs/>
          <w:snapToGrid w:val="0"/>
          <w:color w:val="auto"/>
          <w:kern w:val="0"/>
          <w:sz w:val="24"/>
          <w:szCs w:val="24"/>
          <w:highlight w:val="none"/>
          <w:lang w:val="en-US" w:eastAsia="zh-CN" w:bidi="ar-SA"/>
        </w:rPr>
        <w:t>3.3对接要求</w:t>
      </w:r>
    </w:p>
    <w:p w14:paraId="64A2E4AE">
      <w:pPr>
        <w:spacing w:beforeAutospacing="0"/>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lang w:val="en-US" w:eastAsia="zh-CN"/>
        </w:rPr>
        <w:t>1）</w:t>
      </w:r>
      <w:r>
        <w:rPr>
          <w:rFonts w:hint="eastAsia" w:ascii="仿宋_GB2312" w:hAnsi="仿宋_GB2312" w:eastAsia="仿宋_GB2312" w:cs="仿宋_GB2312"/>
          <w:snapToGrid w:val="0"/>
          <w:color w:val="auto"/>
          <w:kern w:val="0"/>
          <w:sz w:val="24"/>
          <w:highlight w:val="none"/>
        </w:rPr>
        <w:t>本次服务点位全部接入到钱塘区原有的专网汇聚云平台中；</w:t>
      </w:r>
    </w:p>
    <w:p w14:paraId="582BE23F">
      <w:pPr>
        <w:ind w:firstLine="480"/>
        <w:rPr>
          <w:rFonts w:ascii="宋体" w:hAnsi="宋体" w:cs="仿宋"/>
          <w:szCs w:val="21"/>
        </w:rPr>
      </w:pPr>
      <w:r>
        <w:rPr>
          <w:rFonts w:hint="eastAsia" w:ascii="仿宋_GB2312" w:hAnsi="仿宋_GB2312" w:eastAsia="仿宋_GB2312" w:cs="仿宋_GB2312"/>
          <w:snapToGrid w:val="0"/>
          <w:color w:val="auto"/>
          <w:kern w:val="0"/>
          <w:sz w:val="24"/>
          <w:highlight w:val="none"/>
          <w:lang w:val="en-US" w:eastAsia="zh-CN"/>
        </w:rPr>
        <w:t>2）</w:t>
      </w:r>
      <w:r>
        <w:rPr>
          <w:rFonts w:hint="eastAsia" w:ascii="仿宋_GB2312" w:hAnsi="仿宋_GB2312" w:eastAsia="仿宋_GB2312" w:cs="仿宋_GB2312"/>
          <w:snapToGrid w:val="0"/>
          <w:color w:val="auto"/>
          <w:kern w:val="0"/>
          <w:sz w:val="24"/>
          <w:highlight w:val="none"/>
        </w:rPr>
        <w:t>本次项目须与现有钱塘公安分局现有视频平台无缝对接，以及将数据推送至、区公安平台、区政法委平台和区大数据局总平台。治安监控、设备的视频和结构化数据必须与现有钱塘区分局视频汇聚平台及钱塘智慧警务平台保持无缝对接，云存储必须与现有钱塘区分局云存储中心保持无缝对接。</w:t>
      </w:r>
    </w:p>
    <w:p w14:paraId="26935F1C">
      <w:pPr>
        <w:pStyle w:val="3"/>
        <w:numPr>
          <w:ilvl w:val="0"/>
          <w:numId w:val="0"/>
        </w:numPr>
        <w:spacing w:line="240" w:lineRule="auto"/>
        <w:ind w:left="0" w:leftChars="0" w:firstLine="0" w:firstLineChars="0"/>
        <w:rPr>
          <w:lang w:val="en-US"/>
        </w:rPr>
      </w:pPr>
      <w:r>
        <w:rPr>
          <w:rFonts w:hint="eastAsia" w:ascii="仿宋_GB2312" w:hAnsi="仿宋_GB2312" w:eastAsia="仿宋_GB2312" w:cs="仿宋_GB2312"/>
          <w:b/>
          <w:bCs/>
          <w:snapToGrid w:val="0"/>
          <w:color w:val="auto"/>
          <w:kern w:val="0"/>
          <w:sz w:val="24"/>
          <w:szCs w:val="24"/>
          <w:highlight w:val="none"/>
          <w:lang w:val="en-US" w:eastAsia="zh-CN" w:bidi="ar-SA"/>
        </w:rPr>
        <w:t>3.4售后服务要求</w:t>
      </w:r>
    </w:p>
    <w:p w14:paraId="7EB46EF0">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中标人对本项目服务内容按要求提供3年保障服务，与服务期起始时间保持一致。</w:t>
      </w:r>
    </w:p>
    <w:p w14:paraId="6B10EF1C">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服务期内，如设备出现故障，中标人在接到电话后，立即响应，4小时以内到现场处理，12小时内修复，现场不能修复的，必须采取无偿提供采购物品的备用件或整机等措施，以保证用户单位的正常使用。</w:t>
      </w:r>
    </w:p>
    <w:p w14:paraId="03B2042E">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每年提供项目点位总量1%以内的移位服务，由此造成的费用包含在投标总价中，超出部分由采购人另行承担。</w:t>
      </w:r>
    </w:p>
    <w:p w14:paraId="5F5707B0">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租赁期内，由投标人工程师、用户对所供设备每季度进行一次全面检查，任何缺陷必须由投标人负责修理，在修复之后，投标人应将缺陷原因、修理内容、完成修理及恢复正常的时间和日期等报告给用户，如遇到节假日或重大事件，具体巡检时间双方协商确定。</w:t>
      </w:r>
    </w:p>
    <w:p w14:paraId="28CEE6DF">
      <w:pPr>
        <w:pStyle w:val="3"/>
        <w:numPr>
          <w:ilvl w:val="0"/>
          <w:numId w:val="0"/>
        </w:numPr>
        <w:spacing w:line="240" w:lineRule="auto"/>
        <w:ind w:left="0" w:leftChars="0" w:firstLine="0" w:firstLineChars="0"/>
        <w:rPr>
          <w:lang w:val="en-US"/>
        </w:rPr>
      </w:pPr>
      <w:r>
        <w:rPr>
          <w:rFonts w:hint="eastAsia" w:ascii="仿宋_GB2312" w:hAnsi="仿宋_GB2312" w:eastAsia="仿宋_GB2312" w:cs="仿宋_GB2312"/>
          <w:b/>
          <w:bCs/>
          <w:snapToGrid w:val="0"/>
          <w:color w:val="auto"/>
          <w:kern w:val="0"/>
          <w:sz w:val="24"/>
          <w:szCs w:val="24"/>
          <w:highlight w:val="none"/>
          <w:lang w:val="en-US" w:eastAsia="zh-CN" w:bidi="ar-SA"/>
        </w:rPr>
        <w:t>3.5保密要求</w:t>
      </w:r>
    </w:p>
    <w:p w14:paraId="247BBD20">
      <w:pPr>
        <w:ind w:firstLine="480"/>
      </w:pPr>
      <w:r>
        <w:rPr>
          <w:rFonts w:hint="eastAsia" w:ascii="仿宋_GB2312" w:hAnsi="仿宋_GB2312" w:eastAsia="仿宋_GB2312" w:cs="仿宋_GB2312"/>
          <w:snapToGrid w:val="0"/>
          <w:color w:val="auto"/>
          <w:kern w:val="0"/>
          <w:sz w:val="24"/>
          <w:highlight w:val="none"/>
        </w:rPr>
        <w:t>前端采集的全部数据所有权归采购人所有，中标人应与采购人签订保密协议，并严格按照协议要求落实。</w:t>
      </w:r>
    </w:p>
    <w:p w14:paraId="3A132C5F">
      <w:pPr>
        <w:pStyle w:val="3"/>
        <w:numPr>
          <w:ilvl w:val="0"/>
          <w:numId w:val="0"/>
        </w:numPr>
        <w:spacing w:line="240" w:lineRule="auto"/>
        <w:ind w:left="0" w:leftChars="0" w:firstLine="0" w:firstLineChars="0"/>
        <w:rPr>
          <w:lang w:val="en-US"/>
        </w:rPr>
      </w:pPr>
      <w:r>
        <w:rPr>
          <w:rFonts w:hint="eastAsia" w:ascii="仿宋_GB2312" w:hAnsi="仿宋_GB2312" w:eastAsia="仿宋_GB2312" w:cs="仿宋_GB2312"/>
          <w:b/>
          <w:bCs/>
          <w:snapToGrid w:val="0"/>
          <w:color w:val="auto"/>
          <w:kern w:val="0"/>
          <w:sz w:val="24"/>
          <w:szCs w:val="24"/>
          <w:highlight w:val="none"/>
          <w:lang w:val="en-US" w:eastAsia="zh-CN" w:bidi="ar-SA"/>
        </w:rPr>
        <w:t>3.6产权要求</w:t>
      </w:r>
    </w:p>
    <w:p w14:paraId="0C9A17C0">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投标人所提供的服务其任何一部分均不会侵犯任何第三方的知识产权。</w:t>
      </w:r>
    </w:p>
    <w:p w14:paraId="0E8DCF0F">
      <w:pPr>
        <w:ind w:firstLine="480"/>
      </w:pPr>
      <w:r>
        <w:rPr>
          <w:rFonts w:hint="eastAsia" w:ascii="仿宋_GB2312" w:hAnsi="仿宋_GB2312" w:eastAsia="仿宋_GB2312" w:cs="仿宋_GB2312"/>
          <w:snapToGrid w:val="0"/>
          <w:color w:val="auto"/>
          <w:kern w:val="0"/>
          <w:sz w:val="24"/>
          <w:highlight w:val="none"/>
        </w:rPr>
        <w:t>投标人所提供的服务的所有权完全属于乙方且无任何抵押、查封等产权瑕疵。</w:t>
      </w:r>
    </w:p>
    <w:p w14:paraId="714D2FAA">
      <w:pPr>
        <w:pStyle w:val="3"/>
        <w:numPr>
          <w:ilvl w:val="0"/>
          <w:numId w:val="0"/>
        </w:numPr>
        <w:spacing w:line="240" w:lineRule="auto"/>
        <w:ind w:left="0" w:leftChars="0" w:firstLine="0" w:firstLineChars="0"/>
        <w:rPr>
          <w:lang w:val="en-US"/>
        </w:rPr>
      </w:pPr>
      <w:r>
        <w:rPr>
          <w:rFonts w:hint="eastAsia" w:ascii="仿宋_GB2312" w:hAnsi="仿宋_GB2312" w:eastAsia="仿宋_GB2312" w:cs="仿宋_GB2312"/>
          <w:b/>
          <w:bCs/>
          <w:snapToGrid w:val="0"/>
          <w:color w:val="auto"/>
          <w:kern w:val="0"/>
          <w:sz w:val="24"/>
          <w:szCs w:val="24"/>
          <w:highlight w:val="none"/>
          <w:lang w:val="en-US" w:eastAsia="zh-CN" w:bidi="ar-SA"/>
        </w:rPr>
        <w:t>3.7商务要求</w:t>
      </w:r>
    </w:p>
    <w:p w14:paraId="50E175C2">
      <w:pPr>
        <w:pStyle w:val="25"/>
        <w:snapToGrid w:val="0"/>
        <w:ind w:firstLine="480" w:firstLineChars="200"/>
        <w:rPr>
          <w:rFonts w:ascii="仿宋_GB2312" w:hAnsi="仿宋_GB2312" w:eastAsia="仿宋_GB2312" w:cs="仿宋_GB2312"/>
          <w:color w:val="auto"/>
          <w:highlight w:val="none"/>
          <w:lang w:val="en-US"/>
        </w:rPr>
        <w:sectPr>
          <w:footerReference r:id="rId8" w:type="default"/>
          <w:pgSz w:w="11907" w:h="16840"/>
          <w:pgMar w:top="680" w:right="1417" w:bottom="471" w:left="1417" w:header="850" w:footer="992" w:gutter="0"/>
          <w:cols w:space="720" w:num="1"/>
        </w:sectPr>
      </w:pPr>
      <w:r>
        <w:rPr>
          <w:rFonts w:hint="eastAsia" w:ascii="仿宋" w:hAnsi="仿宋" w:eastAsia="仿宋" w:cs="仿宋"/>
          <w:color w:val="auto"/>
          <w:sz w:val="24"/>
          <w:szCs w:val="24"/>
          <w:lang w:val="en-US" w:eastAsia="zh-CN"/>
        </w:rPr>
        <w:t>合同签订后5个工作日内，采购人向中标人支付中标价单年款项的40%作为预付款，经招标人核实认可后按季支付（预付款在结算时予以全额抵扣）。后续每年以此类推。（预付款在结算时予以全额抵扣）。每个业务点每月累计故障时间不超过36小时，所有点位在线率不低于95%。</w:t>
      </w:r>
    </w:p>
    <w:p w14:paraId="688DD75D">
      <w:pPr>
        <w:snapToGrid w:val="0"/>
        <w:spacing w:line="360" w:lineRule="auto"/>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 xml:space="preserve">第四部分   </w:t>
      </w:r>
      <w:bookmarkStart w:id="26" w:name="_Toc184310333"/>
      <w:bookmarkEnd w:id="26"/>
      <w:bookmarkStart w:id="27" w:name="_Toc184310313"/>
      <w:bookmarkEnd w:id="27"/>
      <w:bookmarkStart w:id="28" w:name="_Toc184310301"/>
      <w:bookmarkEnd w:id="28"/>
      <w:bookmarkStart w:id="29" w:name="_Toc184313295"/>
      <w:bookmarkEnd w:id="29"/>
      <w:bookmarkStart w:id="30" w:name="_Toc184313309"/>
      <w:bookmarkEnd w:id="30"/>
      <w:bookmarkStart w:id="31" w:name="_Toc184314462"/>
      <w:bookmarkEnd w:id="31"/>
      <w:bookmarkStart w:id="32" w:name="_Toc184313298"/>
      <w:bookmarkEnd w:id="32"/>
      <w:bookmarkStart w:id="33" w:name="_Toc184313246"/>
      <w:bookmarkEnd w:id="33"/>
      <w:bookmarkStart w:id="34" w:name="_Toc184310327"/>
      <w:bookmarkEnd w:id="34"/>
      <w:bookmarkStart w:id="35" w:name="_Toc184308097"/>
      <w:bookmarkEnd w:id="35"/>
      <w:bookmarkStart w:id="36" w:name="_Toc184310328"/>
      <w:bookmarkEnd w:id="36"/>
      <w:bookmarkStart w:id="37" w:name="_Toc184310292"/>
      <w:bookmarkEnd w:id="37"/>
      <w:bookmarkStart w:id="38" w:name="_Toc184313252"/>
      <w:bookmarkEnd w:id="38"/>
      <w:bookmarkStart w:id="39" w:name="_Toc184314471"/>
      <w:bookmarkEnd w:id="39"/>
      <w:bookmarkStart w:id="40" w:name="_Toc184310338"/>
      <w:bookmarkEnd w:id="40"/>
      <w:bookmarkStart w:id="41" w:name="_Toc184314453"/>
      <w:bookmarkEnd w:id="41"/>
      <w:bookmarkStart w:id="42" w:name="_Toc184308039"/>
      <w:bookmarkEnd w:id="42"/>
      <w:bookmarkStart w:id="43" w:name="_Toc184313248"/>
      <w:bookmarkEnd w:id="43"/>
      <w:bookmarkStart w:id="44" w:name="_Toc184308041"/>
      <w:bookmarkEnd w:id="44"/>
      <w:bookmarkStart w:id="45" w:name="_Toc184310310"/>
      <w:bookmarkEnd w:id="45"/>
      <w:bookmarkStart w:id="46" w:name="_Toc184308083"/>
      <w:bookmarkEnd w:id="46"/>
      <w:bookmarkStart w:id="47" w:name="_Toc184314412"/>
      <w:bookmarkEnd w:id="47"/>
      <w:bookmarkStart w:id="48" w:name="_Toc184314454"/>
      <w:bookmarkEnd w:id="48"/>
      <w:bookmarkStart w:id="49" w:name="_Toc184312101"/>
      <w:bookmarkEnd w:id="49"/>
      <w:bookmarkStart w:id="50" w:name="_Toc184313301"/>
      <w:bookmarkEnd w:id="50"/>
      <w:bookmarkStart w:id="51" w:name="_Toc184312123"/>
      <w:bookmarkEnd w:id="51"/>
      <w:bookmarkStart w:id="52" w:name="_Toc184308082"/>
      <w:bookmarkEnd w:id="52"/>
      <w:bookmarkStart w:id="53" w:name="_Toc184308089"/>
      <w:bookmarkEnd w:id="53"/>
      <w:bookmarkStart w:id="54" w:name="_Toc184314464"/>
      <w:bookmarkEnd w:id="54"/>
      <w:bookmarkStart w:id="55" w:name="_Toc184308044"/>
      <w:bookmarkEnd w:id="55"/>
      <w:bookmarkStart w:id="56" w:name="_Toc184312115"/>
      <w:bookmarkEnd w:id="56"/>
      <w:bookmarkStart w:id="57" w:name="_Toc184308064"/>
      <w:bookmarkEnd w:id="57"/>
      <w:bookmarkStart w:id="58" w:name="_Toc184313241"/>
      <w:bookmarkEnd w:id="58"/>
      <w:bookmarkStart w:id="59" w:name="_Toc184308080"/>
      <w:bookmarkEnd w:id="59"/>
      <w:bookmarkStart w:id="60" w:name="_Toc184313300"/>
      <w:bookmarkEnd w:id="60"/>
      <w:bookmarkStart w:id="61" w:name="_Toc184312091"/>
      <w:bookmarkEnd w:id="61"/>
      <w:bookmarkStart w:id="62" w:name="_Toc184308062"/>
      <w:bookmarkEnd w:id="62"/>
      <w:bookmarkStart w:id="63" w:name="_Toc184312067"/>
      <w:bookmarkEnd w:id="63"/>
      <w:bookmarkStart w:id="64" w:name="_Toc184310339"/>
      <w:bookmarkEnd w:id="64"/>
      <w:bookmarkStart w:id="65" w:name="_Toc184310284"/>
      <w:bookmarkEnd w:id="65"/>
      <w:bookmarkStart w:id="66" w:name="_Toc184313293"/>
      <w:bookmarkEnd w:id="66"/>
      <w:bookmarkStart w:id="67" w:name="_Toc184310300"/>
      <w:bookmarkEnd w:id="67"/>
      <w:bookmarkStart w:id="68" w:name="_Toc184310302"/>
      <w:bookmarkEnd w:id="68"/>
      <w:bookmarkStart w:id="69" w:name="_Toc184312107"/>
      <w:bookmarkEnd w:id="69"/>
      <w:bookmarkStart w:id="70" w:name="_Toc184314425"/>
      <w:bookmarkEnd w:id="70"/>
      <w:bookmarkStart w:id="71" w:name="_Toc184310282"/>
      <w:bookmarkEnd w:id="71"/>
      <w:bookmarkStart w:id="72" w:name="_Toc184312069"/>
      <w:bookmarkEnd w:id="72"/>
      <w:bookmarkStart w:id="73" w:name="_Toc184310329"/>
      <w:bookmarkEnd w:id="73"/>
      <w:bookmarkStart w:id="74" w:name="_Toc184314468"/>
      <w:bookmarkEnd w:id="74"/>
      <w:bookmarkStart w:id="75" w:name="_Toc184308078"/>
      <w:bookmarkEnd w:id="75"/>
      <w:bookmarkStart w:id="76" w:name="_Toc184314458"/>
      <w:bookmarkEnd w:id="76"/>
      <w:bookmarkStart w:id="77" w:name="_Toc184312083"/>
      <w:bookmarkEnd w:id="77"/>
      <w:bookmarkStart w:id="78" w:name="_Toc184314451"/>
      <w:bookmarkEnd w:id="78"/>
      <w:bookmarkStart w:id="79" w:name="_Toc184308056"/>
      <w:bookmarkEnd w:id="79"/>
      <w:bookmarkStart w:id="80" w:name="_Toc184312082"/>
      <w:bookmarkEnd w:id="80"/>
      <w:bookmarkStart w:id="81" w:name="_Toc184314452"/>
      <w:bookmarkEnd w:id="81"/>
      <w:bookmarkStart w:id="82" w:name="_Toc184314460"/>
      <w:bookmarkEnd w:id="82"/>
      <w:bookmarkStart w:id="83" w:name="_Toc184312095"/>
      <w:bookmarkEnd w:id="83"/>
      <w:bookmarkStart w:id="84" w:name="_Toc184312080"/>
      <w:bookmarkEnd w:id="84"/>
      <w:bookmarkStart w:id="85" w:name="_Toc184308076"/>
      <w:bookmarkEnd w:id="85"/>
      <w:bookmarkStart w:id="86" w:name="_Toc184312098"/>
      <w:bookmarkEnd w:id="86"/>
      <w:bookmarkStart w:id="87" w:name="_Toc184308102"/>
      <w:bookmarkEnd w:id="87"/>
      <w:bookmarkStart w:id="88" w:name="_Toc184310344"/>
      <w:bookmarkEnd w:id="88"/>
      <w:bookmarkStart w:id="89" w:name="_Toc184313263"/>
      <w:bookmarkEnd w:id="89"/>
      <w:bookmarkStart w:id="90" w:name="_Toc184314434"/>
      <w:bookmarkEnd w:id="90"/>
      <w:bookmarkStart w:id="91" w:name="_Toc184313255"/>
      <w:bookmarkEnd w:id="91"/>
      <w:bookmarkStart w:id="92" w:name="_Toc184308099"/>
      <w:bookmarkEnd w:id="92"/>
      <w:bookmarkStart w:id="93" w:name="_Toc184314466"/>
      <w:bookmarkEnd w:id="93"/>
      <w:bookmarkStart w:id="94" w:name="_Toc184312108"/>
      <w:bookmarkEnd w:id="94"/>
      <w:bookmarkStart w:id="95" w:name="_Toc184314422"/>
      <w:bookmarkEnd w:id="95"/>
      <w:bookmarkStart w:id="96" w:name="_Toc184314438"/>
      <w:bookmarkEnd w:id="96"/>
      <w:bookmarkStart w:id="97" w:name="_Toc184314418"/>
      <w:bookmarkEnd w:id="97"/>
      <w:bookmarkStart w:id="98" w:name="_Toc184314431"/>
      <w:bookmarkEnd w:id="98"/>
      <w:bookmarkStart w:id="99" w:name="_Toc184308069"/>
      <w:bookmarkEnd w:id="99"/>
      <w:bookmarkStart w:id="100" w:name="_Toc184314436"/>
      <w:bookmarkEnd w:id="100"/>
      <w:bookmarkStart w:id="101" w:name="_Toc184310342"/>
      <w:bookmarkEnd w:id="101"/>
      <w:bookmarkStart w:id="102" w:name="_Toc184312137"/>
      <w:bookmarkEnd w:id="102"/>
      <w:bookmarkStart w:id="103" w:name="_Toc184308054"/>
      <w:bookmarkEnd w:id="103"/>
      <w:bookmarkStart w:id="104" w:name="_Toc184310303"/>
      <w:bookmarkEnd w:id="104"/>
      <w:bookmarkStart w:id="105" w:name="_Toc184312117"/>
      <w:bookmarkEnd w:id="105"/>
      <w:bookmarkStart w:id="106" w:name="_Toc184314477"/>
      <w:bookmarkEnd w:id="106"/>
      <w:bookmarkStart w:id="107" w:name="_Toc184312112"/>
      <w:bookmarkEnd w:id="107"/>
      <w:bookmarkStart w:id="108" w:name="_Toc184308108"/>
      <w:bookmarkEnd w:id="108"/>
      <w:bookmarkStart w:id="109" w:name="_Toc184313282"/>
      <w:bookmarkEnd w:id="109"/>
      <w:bookmarkStart w:id="110" w:name="_Toc184313290"/>
      <w:bookmarkEnd w:id="110"/>
      <w:bookmarkStart w:id="111" w:name="_Toc184312121"/>
      <w:bookmarkEnd w:id="111"/>
      <w:bookmarkStart w:id="112" w:name="_Toc184312118"/>
      <w:bookmarkEnd w:id="112"/>
      <w:bookmarkStart w:id="113" w:name="_Toc184308042"/>
      <w:bookmarkEnd w:id="113"/>
      <w:bookmarkStart w:id="114" w:name="_Toc184310294"/>
      <w:bookmarkEnd w:id="114"/>
      <w:bookmarkStart w:id="115" w:name="_Toc184314428"/>
      <w:bookmarkEnd w:id="115"/>
      <w:bookmarkStart w:id="116" w:name="_Toc184308047"/>
      <w:bookmarkEnd w:id="116"/>
      <w:bookmarkStart w:id="117" w:name="_Toc184312129"/>
      <w:bookmarkEnd w:id="117"/>
      <w:bookmarkStart w:id="118" w:name="_Toc184314430"/>
      <w:bookmarkEnd w:id="118"/>
      <w:bookmarkStart w:id="119" w:name="_Toc184312075"/>
      <w:bookmarkEnd w:id="119"/>
      <w:bookmarkStart w:id="120" w:name="_Toc184313275"/>
      <w:bookmarkEnd w:id="120"/>
      <w:bookmarkStart w:id="121" w:name="_Toc184312079"/>
      <w:bookmarkEnd w:id="121"/>
      <w:bookmarkStart w:id="122" w:name="_Toc184308098"/>
      <w:bookmarkEnd w:id="122"/>
      <w:bookmarkStart w:id="123" w:name="_Toc184312073"/>
      <w:bookmarkEnd w:id="123"/>
      <w:bookmarkStart w:id="124" w:name="_Toc184310314"/>
      <w:bookmarkEnd w:id="124"/>
      <w:bookmarkStart w:id="125" w:name="_Toc184312135"/>
      <w:bookmarkEnd w:id="125"/>
      <w:bookmarkStart w:id="126" w:name="_Toc184312078"/>
      <w:bookmarkEnd w:id="126"/>
      <w:bookmarkStart w:id="127" w:name="_Toc184314450"/>
      <w:bookmarkEnd w:id="127"/>
      <w:bookmarkStart w:id="128" w:name="_Toc184313272"/>
      <w:bookmarkEnd w:id="128"/>
      <w:bookmarkStart w:id="129" w:name="_Toc184313266"/>
      <w:bookmarkEnd w:id="129"/>
      <w:bookmarkStart w:id="130" w:name="_Toc184313310"/>
      <w:bookmarkEnd w:id="130"/>
      <w:bookmarkStart w:id="131" w:name="_Toc184314463"/>
      <w:bookmarkEnd w:id="131"/>
      <w:bookmarkStart w:id="132" w:name="_Toc184312138"/>
      <w:bookmarkEnd w:id="132"/>
      <w:bookmarkStart w:id="133" w:name="_Toc184312093"/>
      <w:bookmarkEnd w:id="133"/>
      <w:bookmarkStart w:id="134" w:name="_Toc184310334"/>
      <w:bookmarkEnd w:id="134"/>
      <w:bookmarkStart w:id="135" w:name="_Toc184308101"/>
      <w:bookmarkEnd w:id="135"/>
      <w:bookmarkStart w:id="136" w:name="_Toc184308048"/>
      <w:bookmarkEnd w:id="136"/>
      <w:bookmarkStart w:id="137" w:name="_Toc184314449"/>
      <w:bookmarkEnd w:id="137"/>
      <w:bookmarkStart w:id="138" w:name="_Toc184308081"/>
      <w:bookmarkEnd w:id="138"/>
      <w:bookmarkStart w:id="139" w:name="_Toc184314421"/>
      <w:bookmarkEnd w:id="139"/>
      <w:bookmarkStart w:id="140" w:name="_Toc184310336"/>
      <w:bookmarkEnd w:id="140"/>
      <w:bookmarkStart w:id="141" w:name="_Toc184314440"/>
      <w:bookmarkEnd w:id="141"/>
      <w:bookmarkStart w:id="142" w:name="_Toc184310309"/>
      <w:bookmarkEnd w:id="142"/>
      <w:bookmarkStart w:id="143" w:name="_Toc184310286"/>
      <w:bookmarkEnd w:id="143"/>
      <w:bookmarkStart w:id="144" w:name="_Toc184308067"/>
      <w:bookmarkEnd w:id="144"/>
      <w:bookmarkStart w:id="145" w:name="_Toc184310295"/>
      <w:bookmarkEnd w:id="145"/>
      <w:bookmarkStart w:id="146" w:name="_Toc184308103"/>
      <w:bookmarkEnd w:id="146"/>
      <w:bookmarkStart w:id="147" w:name="_Toc184314410"/>
      <w:bookmarkEnd w:id="147"/>
      <w:bookmarkStart w:id="148" w:name="_Toc184313251"/>
      <w:bookmarkEnd w:id="148"/>
      <w:bookmarkStart w:id="149" w:name="_Toc184312071"/>
      <w:bookmarkEnd w:id="149"/>
      <w:bookmarkStart w:id="150" w:name="_Toc184313289"/>
      <w:bookmarkEnd w:id="150"/>
      <w:bookmarkStart w:id="151" w:name="_Toc184310283"/>
      <w:bookmarkEnd w:id="151"/>
      <w:bookmarkStart w:id="152" w:name="_Toc184312134"/>
      <w:bookmarkEnd w:id="152"/>
      <w:bookmarkStart w:id="153" w:name="_Toc184310285"/>
      <w:bookmarkEnd w:id="153"/>
      <w:bookmarkStart w:id="154" w:name="_Toc184308107"/>
      <w:bookmarkEnd w:id="154"/>
      <w:bookmarkStart w:id="155" w:name="_Toc184310325"/>
      <w:bookmarkEnd w:id="155"/>
      <w:bookmarkStart w:id="156" w:name="_Toc184308055"/>
      <w:bookmarkEnd w:id="156"/>
      <w:bookmarkStart w:id="157" w:name="_Toc184313267"/>
      <w:bookmarkEnd w:id="157"/>
      <w:bookmarkStart w:id="158" w:name="_Toc184308074"/>
      <w:bookmarkEnd w:id="158"/>
      <w:bookmarkStart w:id="159" w:name="_Toc184314447"/>
      <w:bookmarkEnd w:id="159"/>
      <w:bookmarkStart w:id="160" w:name="_Toc184310281"/>
      <w:bookmarkEnd w:id="160"/>
      <w:bookmarkStart w:id="161" w:name="_Toc184314419"/>
      <w:bookmarkEnd w:id="161"/>
      <w:bookmarkStart w:id="162" w:name="_Toc184308093"/>
      <w:bookmarkEnd w:id="162"/>
      <w:bookmarkStart w:id="163" w:name="_Toc184308050"/>
      <w:bookmarkEnd w:id="163"/>
      <w:bookmarkStart w:id="164" w:name="_Toc184310305"/>
      <w:bookmarkEnd w:id="164"/>
      <w:bookmarkStart w:id="165" w:name="_Toc184313254"/>
      <w:bookmarkEnd w:id="165"/>
      <w:bookmarkStart w:id="166" w:name="_Toc184310340"/>
      <w:bookmarkEnd w:id="166"/>
      <w:bookmarkStart w:id="167" w:name="_Toc184313268"/>
      <w:bookmarkEnd w:id="167"/>
      <w:bookmarkStart w:id="168" w:name="_Toc184313273"/>
      <w:bookmarkEnd w:id="168"/>
      <w:bookmarkStart w:id="169" w:name="_Toc184312097"/>
      <w:bookmarkEnd w:id="169"/>
      <w:bookmarkStart w:id="170" w:name="_Toc184310317"/>
      <w:bookmarkEnd w:id="170"/>
      <w:bookmarkStart w:id="171" w:name="_Toc184313247"/>
      <w:bookmarkEnd w:id="171"/>
      <w:bookmarkStart w:id="172" w:name="_Toc184310272"/>
      <w:bookmarkEnd w:id="172"/>
      <w:bookmarkStart w:id="173" w:name="_Toc184312068"/>
      <w:bookmarkEnd w:id="173"/>
      <w:bookmarkStart w:id="174" w:name="_Toc184308052"/>
      <w:bookmarkEnd w:id="174"/>
      <w:bookmarkStart w:id="175" w:name="_Toc184310326"/>
      <w:bookmarkEnd w:id="175"/>
      <w:bookmarkStart w:id="176" w:name="_Toc184313261"/>
      <w:bookmarkEnd w:id="176"/>
      <w:bookmarkStart w:id="177" w:name="_Toc184313244"/>
      <w:bookmarkEnd w:id="177"/>
      <w:bookmarkStart w:id="178" w:name="_Toc184310306"/>
      <w:bookmarkEnd w:id="178"/>
      <w:bookmarkStart w:id="179" w:name="_Toc184313284"/>
      <w:bookmarkEnd w:id="179"/>
      <w:bookmarkStart w:id="180" w:name="_Toc184313262"/>
      <w:bookmarkEnd w:id="180"/>
      <w:bookmarkStart w:id="181" w:name="_Toc184312120"/>
      <w:bookmarkEnd w:id="181"/>
      <w:bookmarkStart w:id="182" w:name="_Toc184308088"/>
      <w:bookmarkEnd w:id="182"/>
      <w:bookmarkStart w:id="183" w:name="_Toc184314426"/>
      <w:bookmarkEnd w:id="183"/>
      <w:bookmarkStart w:id="184" w:name="_Toc184310279"/>
      <w:bookmarkEnd w:id="184"/>
      <w:bookmarkStart w:id="185" w:name="_Toc184314417"/>
      <w:bookmarkEnd w:id="185"/>
      <w:bookmarkStart w:id="186" w:name="_Toc184314456"/>
      <w:bookmarkEnd w:id="186"/>
      <w:bookmarkStart w:id="187" w:name="_Toc184310320"/>
      <w:bookmarkEnd w:id="187"/>
      <w:bookmarkStart w:id="188" w:name="_Toc184313240"/>
      <w:bookmarkEnd w:id="188"/>
      <w:bookmarkStart w:id="189" w:name="_Toc184312128"/>
      <w:bookmarkEnd w:id="189"/>
      <w:bookmarkStart w:id="190" w:name="_Toc184314411"/>
      <w:bookmarkEnd w:id="190"/>
      <w:bookmarkStart w:id="191" w:name="_Toc184308100"/>
      <w:bookmarkEnd w:id="191"/>
      <w:bookmarkStart w:id="192" w:name="_Toc184313239"/>
      <w:bookmarkEnd w:id="192"/>
      <w:bookmarkStart w:id="193" w:name="_Toc184313286"/>
      <w:bookmarkEnd w:id="193"/>
      <w:bookmarkStart w:id="194" w:name="_Toc184310275"/>
      <w:bookmarkEnd w:id="194"/>
      <w:bookmarkStart w:id="195" w:name="_Toc184314416"/>
      <w:bookmarkEnd w:id="195"/>
      <w:bookmarkStart w:id="196" w:name="_Toc184314439"/>
      <w:bookmarkEnd w:id="196"/>
      <w:bookmarkStart w:id="197" w:name="_Toc184313288"/>
      <w:bookmarkEnd w:id="197"/>
      <w:bookmarkStart w:id="198" w:name="_Toc184308046"/>
      <w:bookmarkEnd w:id="198"/>
      <w:bookmarkStart w:id="199" w:name="_Toc184312125"/>
      <w:bookmarkEnd w:id="199"/>
      <w:bookmarkStart w:id="200" w:name="_Toc184314478"/>
      <w:bookmarkEnd w:id="200"/>
      <w:bookmarkStart w:id="201" w:name="_Toc184308049"/>
      <w:bookmarkEnd w:id="201"/>
      <w:bookmarkStart w:id="202" w:name="_Toc184314414"/>
      <w:bookmarkEnd w:id="202"/>
      <w:bookmarkStart w:id="203" w:name="_Toc184314461"/>
      <w:bookmarkEnd w:id="203"/>
      <w:bookmarkStart w:id="204" w:name="_Toc184312100"/>
      <w:bookmarkEnd w:id="204"/>
      <w:bookmarkStart w:id="205" w:name="_Toc184310343"/>
      <w:bookmarkEnd w:id="205"/>
      <w:bookmarkStart w:id="206" w:name="_Toc184313243"/>
      <w:bookmarkEnd w:id="206"/>
      <w:bookmarkStart w:id="207" w:name="_Toc184314459"/>
      <w:bookmarkEnd w:id="207"/>
      <w:bookmarkStart w:id="208" w:name="_Toc184314448"/>
      <w:bookmarkEnd w:id="208"/>
      <w:bookmarkStart w:id="209" w:name="_Toc184314455"/>
      <w:bookmarkEnd w:id="209"/>
      <w:bookmarkStart w:id="210" w:name="_Toc184313297"/>
      <w:bookmarkEnd w:id="210"/>
      <w:bookmarkStart w:id="211" w:name="_Toc184313278"/>
      <w:bookmarkEnd w:id="211"/>
      <w:bookmarkStart w:id="212" w:name="_Toc184312131"/>
      <w:bookmarkEnd w:id="212"/>
      <w:bookmarkStart w:id="213" w:name="_Toc184314433"/>
      <w:bookmarkEnd w:id="213"/>
      <w:bookmarkStart w:id="214" w:name="_Toc184314424"/>
      <w:bookmarkEnd w:id="214"/>
      <w:bookmarkStart w:id="215" w:name="_Toc184314474"/>
      <w:bookmarkEnd w:id="215"/>
      <w:bookmarkStart w:id="216" w:name="_Toc184312130"/>
      <w:bookmarkEnd w:id="216"/>
      <w:bookmarkStart w:id="217" w:name="_Toc184313285"/>
      <w:bookmarkEnd w:id="217"/>
      <w:bookmarkStart w:id="218" w:name="_Toc184314441"/>
      <w:bookmarkEnd w:id="218"/>
      <w:bookmarkStart w:id="219" w:name="_Toc184310318"/>
      <w:bookmarkEnd w:id="219"/>
      <w:bookmarkStart w:id="220" w:name="_Toc184308095"/>
      <w:bookmarkEnd w:id="220"/>
      <w:bookmarkStart w:id="221" w:name="_Toc184310337"/>
      <w:bookmarkEnd w:id="221"/>
      <w:bookmarkStart w:id="222" w:name="_Toc184313271"/>
      <w:bookmarkEnd w:id="222"/>
      <w:bookmarkStart w:id="223" w:name="_Toc184313299"/>
      <w:bookmarkEnd w:id="223"/>
      <w:bookmarkStart w:id="224" w:name="_Toc184308037"/>
      <w:bookmarkEnd w:id="224"/>
      <w:bookmarkStart w:id="225" w:name="_Toc184310296"/>
      <w:bookmarkEnd w:id="225"/>
      <w:bookmarkStart w:id="226" w:name="_Toc184310280"/>
      <w:bookmarkEnd w:id="226"/>
      <w:bookmarkStart w:id="227" w:name="_Toc184310277"/>
      <w:bookmarkEnd w:id="227"/>
      <w:bookmarkStart w:id="228" w:name="_Toc184308066"/>
      <w:bookmarkEnd w:id="228"/>
      <w:bookmarkStart w:id="229" w:name="_Toc184314445"/>
      <w:bookmarkEnd w:id="229"/>
      <w:bookmarkStart w:id="230" w:name="_Toc184313302"/>
      <w:bookmarkEnd w:id="230"/>
      <w:bookmarkStart w:id="231" w:name="_Toc184312076"/>
      <w:bookmarkEnd w:id="231"/>
      <w:bookmarkStart w:id="232" w:name="_Toc184308057"/>
      <w:bookmarkEnd w:id="232"/>
      <w:bookmarkStart w:id="233" w:name="_Toc184313287"/>
      <w:bookmarkEnd w:id="233"/>
      <w:bookmarkStart w:id="234" w:name="_Toc184310308"/>
      <w:bookmarkEnd w:id="234"/>
      <w:bookmarkStart w:id="235" w:name="_Toc184310304"/>
      <w:bookmarkEnd w:id="235"/>
      <w:bookmarkStart w:id="236" w:name="_Toc184312088"/>
      <w:bookmarkEnd w:id="236"/>
      <w:bookmarkStart w:id="237" w:name="_Toc184310330"/>
      <w:bookmarkEnd w:id="237"/>
      <w:bookmarkStart w:id="238" w:name="_Toc184313238"/>
      <w:bookmarkEnd w:id="238"/>
      <w:bookmarkStart w:id="239" w:name="_Toc184308059"/>
      <w:bookmarkEnd w:id="239"/>
      <w:bookmarkStart w:id="240" w:name="_Toc184313260"/>
      <w:bookmarkEnd w:id="240"/>
      <w:bookmarkStart w:id="241" w:name="_Toc184308053"/>
      <w:bookmarkEnd w:id="241"/>
      <w:bookmarkStart w:id="242" w:name="_Toc184308040"/>
      <w:bookmarkEnd w:id="242"/>
      <w:bookmarkStart w:id="243" w:name="_Toc184313304"/>
      <w:bookmarkEnd w:id="243"/>
      <w:bookmarkStart w:id="244" w:name="_Toc184308063"/>
      <w:bookmarkEnd w:id="244"/>
      <w:bookmarkStart w:id="245" w:name="_Toc184310331"/>
      <w:bookmarkEnd w:id="245"/>
      <w:bookmarkStart w:id="246" w:name="_Toc184308104"/>
      <w:bookmarkEnd w:id="246"/>
      <w:bookmarkStart w:id="247" w:name="_Toc184314482"/>
      <w:bookmarkEnd w:id="247"/>
      <w:bookmarkStart w:id="248" w:name="_Toc184312074"/>
      <w:bookmarkEnd w:id="248"/>
      <w:bookmarkStart w:id="249" w:name="_Toc184314423"/>
      <w:bookmarkEnd w:id="249"/>
      <w:bookmarkStart w:id="250" w:name="_Toc184312136"/>
      <w:bookmarkEnd w:id="250"/>
      <w:bookmarkStart w:id="251" w:name="_Toc184312110"/>
      <w:bookmarkEnd w:id="251"/>
      <w:bookmarkStart w:id="252" w:name="_Toc184312086"/>
      <w:bookmarkEnd w:id="252"/>
      <w:bookmarkStart w:id="253" w:name="_Toc184312087"/>
      <w:bookmarkEnd w:id="253"/>
      <w:bookmarkStart w:id="254" w:name="_Toc184312133"/>
      <w:bookmarkEnd w:id="254"/>
      <w:bookmarkStart w:id="255" w:name="_Toc184312119"/>
      <w:bookmarkEnd w:id="255"/>
      <w:bookmarkStart w:id="256" w:name="_Toc184314480"/>
      <w:bookmarkEnd w:id="256"/>
      <w:bookmarkStart w:id="257" w:name="_Toc184308084"/>
      <w:bookmarkEnd w:id="257"/>
      <w:bookmarkStart w:id="258" w:name="_Toc184308061"/>
      <w:bookmarkEnd w:id="258"/>
      <w:bookmarkStart w:id="259" w:name="_Toc184310274"/>
      <w:bookmarkEnd w:id="259"/>
      <w:bookmarkStart w:id="260" w:name="_Toc184314476"/>
      <w:bookmarkEnd w:id="260"/>
      <w:bookmarkStart w:id="261" w:name="_Toc184313265"/>
      <w:bookmarkEnd w:id="261"/>
      <w:bookmarkStart w:id="262" w:name="_Toc184312124"/>
      <w:bookmarkEnd w:id="262"/>
      <w:bookmarkStart w:id="263" w:name="_Toc184312109"/>
      <w:bookmarkEnd w:id="263"/>
      <w:bookmarkStart w:id="264" w:name="_Toc184310288"/>
      <w:bookmarkEnd w:id="264"/>
      <w:bookmarkStart w:id="265" w:name="_Toc184312089"/>
      <w:bookmarkEnd w:id="265"/>
      <w:bookmarkStart w:id="266" w:name="_Toc184310335"/>
      <w:bookmarkEnd w:id="266"/>
      <w:bookmarkStart w:id="267" w:name="_Toc184308036"/>
      <w:bookmarkEnd w:id="267"/>
      <w:bookmarkStart w:id="268" w:name="_Toc184308092"/>
      <w:bookmarkEnd w:id="268"/>
      <w:bookmarkStart w:id="269" w:name="_Toc184313253"/>
      <w:bookmarkEnd w:id="269"/>
      <w:bookmarkStart w:id="270" w:name="_Toc184308086"/>
      <w:bookmarkEnd w:id="270"/>
      <w:bookmarkStart w:id="271" w:name="_Toc184313264"/>
      <w:bookmarkEnd w:id="271"/>
      <w:bookmarkStart w:id="272" w:name="_Toc184310332"/>
      <w:bookmarkEnd w:id="272"/>
      <w:bookmarkStart w:id="273" w:name="_Toc184308060"/>
      <w:bookmarkEnd w:id="273"/>
      <w:bookmarkStart w:id="274" w:name="_Toc184314470"/>
      <w:bookmarkEnd w:id="274"/>
      <w:bookmarkStart w:id="275" w:name="_Toc184312106"/>
      <w:bookmarkEnd w:id="275"/>
      <w:bookmarkStart w:id="276" w:name="_Toc184312084"/>
      <w:bookmarkEnd w:id="276"/>
      <w:bookmarkStart w:id="277" w:name="_Toc184308091"/>
      <w:bookmarkEnd w:id="277"/>
      <w:bookmarkStart w:id="278" w:name="_Toc184314469"/>
      <w:bookmarkEnd w:id="278"/>
      <w:bookmarkStart w:id="279" w:name="_Toc184313257"/>
      <w:bookmarkEnd w:id="279"/>
      <w:bookmarkStart w:id="280" w:name="_Toc184312122"/>
      <w:bookmarkEnd w:id="280"/>
      <w:bookmarkStart w:id="281" w:name="_Toc184313296"/>
      <w:bookmarkEnd w:id="281"/>
      <w:bookmarkStart w:id="282" w:name="_Toc184310299"/>
      <w:bookmarkEnd w:id="282"/>
      <w:bookmarkStart w:id="283" w:name="_Toc184313274"/>
      <w:bookmarkEnd w:id="283"/>
      <w:bookmarkStart w:id="284" w:name="_Toc184308077"/>
      <w:bookmarkEnd w:id="284"/>
      <w:bookmarkStart w:id="285" w:name="_Toc184314472"/>
      <w:bookmarkEnd w:id="285"/>
      <w:bookmarkStart w:id="286" w:name="_Toc184313245"/>
      <w:bookmarkEnd w:id="286"/>
      <w:bookmarkStart w:id="287" w:name="_Toc184310341"/>
      <w:bookmarkEnd w:id="287"/>
      <w:bookmarkStart w:id="288" w:name="_Toc184308094"/>
      <w:bookmarkEnd w:id="288"/>
      <w:bookmarkStart w:id="289" w:name="_Toc184313276"/>
      <w:bookmarkEnd w:id="289"/>
      <w:bookmarkStart w:id="290" w:name="_Toc184308071"/>
      <w:bookmarkEnd w:id="290"/>
      <w:bookmarkStart w:id="291" w:name="_Toc184314473"/>
      <w:bookmarkEnd w:id="291"/>
      <w:bookmarkStart w:id="292" w:name="_Toc184314457"/>
      <w:bookmarkEnd w:id="292"/>
      <w:bookmarkStart w:id="293" w:name="_Toc184312090"/>
      <w:bookmarkEnd w:id="293"/>
      <w:bookmarkStart w:id="294" w:name="_Toc184312081"/>
      <w:bookmarkEnd w:id="294"/>
      <w:bookmarkStart w:id="295" w:name="_Toc184308038"/>
      <w:bookmarkEnd w:id="295"/>
      <w:bookmarkStart w:id="296" w:name="_Toc184312070"/>
      <w:bookmarkEnd w:id="296"/>
      <w:bookmarkStart w:id="297" w:name="_Toc184308085"/>
      <w:bookmarkEnd w:id="297"/>
      <w:bookmarkStart w:id="298" w:name="_Toc184308079"/>
      <w:bookmarkEnd w:id="298"/>
      <w:bookmarkStart w:id="299" w:name="_Toc184312102"/>
      <w:bookmarkEnd w:id="299"/>
      <w:bookmarkStart w:id="300" w:name="_Toc184312113"/>
      <w:bookmarkEnd w:id="300"/>
      <w:bookmarkStart w:id="301" w:name="_Toc184313259"/>
      <w:bookmarkEnd w:id="301"/>
      <w:bookmarkStart w:id="302" w:name="_Toc184308065"/>
      <w:bookmarkEnd w:id="302"/>
      <w:bookmarkStart w:id="303" w:name="_Toc184308051"/>
      <w:bookmarkEnd w:id="303"/>
      <w:bookmarkStart w:id="304" w:name="_Toc184310287"/>
      <w:bookmarkEnd w:id="304"/>
      <w:bookmarkStart w:id="305" w:name="_Toc184308058"/>
      <w:bookmarkEnd w:id="305"/>
      <w:bookmarkStart w:id="306" w:name="_Toc184313294"/>
      <w:bookmarkEnd w:id="306"/>
      <w:bookmarkStart w:id="307" w:name="_Toc184312114"/>
      <w:bookmarkEnd w:id="307"/>
      <w:bookmarkStart w:id="308" w:name="_Toc184312094"/>
      <w:bookmarkEnd w:id="308"/>
      <w:bookmarkStart w:id="309" w:name="_Toc184310276"/>
      <w:bookmarkEnd w:id="309"/>
      <w:bookmarkStart w:id="310" w:name="_Toc184314465"/>
      <w:bookmarkEnd w:id="310"/>
      <w:bookmarkStart w:id="311" w:name="_Toc184312105"/>
      <w:bookmarkEnd w:id="311"/>
      <w:bookmarkStart w:id="312" w:name="_Toc184314442"/>
      <w:bookmarkEnd w:id="312"/>
      <w:bookmarkStart w:id="313" w:name="_Toc184313305"/>
      <w:bookmarkEnd w:id="313"/>
      <w:bookmarkStart w:id="314" w:name="_Toc184308105"/>
      <w:bookmarkEnd w:id="314"/>
      <w:bookmarkStart w:id="315" w:name="_Toc184313270"/>
      <w:bookmarkEnd w:id="315"/>
      <w:bookmarkStart w:id="316" w:name="_Toc184310291"/>
      <w:bookmarkEnd w:id="316"/>
      <w:bookmarkStart w:id="317" w:name="_Toc184313279"/>
      <w:bookmarkEnd w:id="317"/>
      <w:bookmarkStart w:id="318" w:name="_Toc184314427"/>
      <w:bookmarkEnd w:id="318"/>
      <w:bookmarkStart w:id="319" w:name="_Toc184308075"/>
      <w:bookmarkEnd w:id="319"/>
      <w:bookmarkStart w:id="320" w:name="_Toc184313250"/>
      <w:bookmarkEnd w:id="320"/>
      <w:bookmarkStart w:id="321" w:name="_Toc184310322"/>
      <w:bookmarkEnd w:id="321"/>
      <w:bookmarkStart w:id="322" w:name="_Toc184308043"/>
      <w:bookmarkEnd w:id="322"/>
      <w:bookmarkStart w:id="323" w:name="_Toc184313291"/>
      <w:bookmarkEnd w:id="323"/>
      <w:bookmarkStart w:id="324" w:name="_Toc184310290"/>
      <w:bookmarkEnd w:id="324"/>
      <w:bookmarkStart w:id="325" w:name="_Toc184310324"/>
      <w:bookmarkEnd w:id="325"/>
      <w:bookmarkStart w:id="326" w:name="_Toc184312077"/>
      <w:bookmarkEnd w:id="326"/>
      <w:bookmarkStart w:id="327" w:name="_Toc184314413"/>
      <w:bookmarkEnd w:id="327"/>
      <w:bookmarkStart w:id="328" w:name="_Toc184312111"/>
      <w:bookmarkEnd w:id="328"/>
      <w:bookmarkStart w:id="329" w:name="_Toc184314467"/>
      <w:bookmarkEnd w:id="329"/>
      <w:bookmarkStart w:id="330" w:name="_Toc184310315"/>
      <w:bookmarkEnd w:id="330"/>
      <w:bookmarkStart w:id="331" w:name="_Toc184312127"/>
      <w:bookmarkEnd w:id="331"/>
      <w:bookmarkStart w:id="332" w:name="_Toc184313306"/>
      <w:bookmarkEnd w:id="332"/>
      <w:bookmarkStart w:id="333" w:name="_Toc184312126"/>
      <w:bookmarkEnd w:id="333"/>
      <w:bookmarkStart w:id="334" w:name="_Toc184312104"/>
      <w:bookmarkEnd w:id="334"/>
      <w:bookmarkStart w:id="335" w:name="_Toc184313256"/>
      <w:bookmarkEnd w:id="335"/>
      <w:bookmarkStart w:id="336" w:name="_Toc184313308"/>
      <w:bookmarkEnd w:id="336"/>
      <w:bookmarkStart w:id="337" w:name="_Toc184314479"/>
      <w:bookmarkEnd w:id="337"/>
      <w:bookmarkStart w:id="338" w:name="_Toc184312103"/>
      <w:bookmarkEnd w:id="338"/>
      <w:bookmarkStart w:id="339" w:name="_Toc184310316"/>
      <w:bookmarkEnd w:id="339"/>
      <w:bookmarkStart w:id="340" w:name="_Toc184308073"/>
      <w:bookmarkEnd w:id="340"/>
      <w:bookmarkStart w:id="341" w:name="_Toc184310323"/>
      <w:bookmarkEnd w:id="341"/>
      <w:bookmarkStart w:id="342" w:name="_Toc184312132"/>
      <w:bookmarkEnd w:id="342"/>
      <w:bookmarkStart w:id="343" w:name="_Toc184313280"/>
      <w:bookmarkEnd w:id="343"/>
      <w:bookmarkStart w:id="344" w:name="_Toc184308106"/>
      <w:bookmarkEnd w:id="344"/>
      <w:bookmarkStart w:id="345" w:name="_Toc184313269"/>
      <w:bookmarkEnd w:id="345"/>
      <w:bookmarkStart w:id="346" w:name="_Toc184310297"/>
      <w:bookmarkEnd w:id="346"/>
      <w:bookmarkStart w:id="347" w:name="_Toc184310319"/>
      <w:bookmarkEnd w:id="347"/>
      <w:bookmarkStart w:id="348" w:name="_Toc184313242"/>
      <w:bookmarkEnd w:id="348"/>
      <w:bookmarkStart w:id="349" w:name="_Toc184314444"/>
      <w:bookmarkEnd w:id="349"/>
      <w:bookmarkStart w:id="350" w:name="_Toc184310307"/>
      <w:bookmarkEnd w:id="350"/>
      <w:bookmarkStart w:id="351" w:name="_Toc184313249"/>
      <w:bookmarkEnd w:id="351"/>
      <w:bookmarkStart w:id="352" w:name="_Toc184312096"/>
      <w:bookmarkEnd w:id="352"/>
      <w:bookmarkStart w:id="353" w:name="_Toc184312085"/>
      <w:bookmarkEnd w:id="353"/>
      <w:bookmarkStart w:id="354" w:name="_Toc184314443"/>
      <w:bookmarkEnd w:id="354"/>
      <w:bookmarkStart w:id="355" w:name="_Toc184313307"/>
      <w:bookmarkEnd w:id="355"/>
      <w:bookmarkStart w:id="356" w:name="_Toc184313258"/>
      <w:bookmarkEnd w:id="356"/>
      <w:bookmarkStart w:id="357" w:name="_Toc184310289"/>
      <w:bookmarkEnd w:id="357"/>
      <w:bookmarkStart w:id="358" w:name="_Toc184308087"/>
      <w:bookmarkEnd w:id="358"/>
      <w:bookmarkStart w:id="359" w:name="_Toc184314429"/>
      <w:bookmarkEnd w:id="359"/>
      <w:bookmarkStart w:id="360" w:name="_Toc184313292"/>
      <w:bookmarkEnd w:id="360"/>
      <w:bookmarkStart w:id="361" w:name="_Toc184310311"/>
      <w:bookmarkEnd w:id="361"/>
      <w:bookmarkStart w:id="362" w:name="_Toc184314475"/>
      <w:bookmarkEnd w:id="362"/>
      <w:bookmarkStart w:id="363" w:name="_Toc184308068"/>
      <w:bookmarkEnd w:id="363"/>
      <w:bookmarkStart w:id="364" w:name="_Toc184308045"/>
      <w:bookmarkEnd w:id="364"/>
      <w:bookmarkStart w:id="365" w:name="_Toc184313283"/>
      <w:bookmarkEnd w:id="365"/>
      <w:bookmarkStart w:id="366" w:name="_Toc184308096"/>
      <w:bookmarkEnd w:id="366"/>
      <w:bookmarkStart w:id="367" w:name="_Toc184308072"/>
      <w:bookmarkEnd w:id="367"/>
      <w:bookmarkStart w:id="368" w:name="_Toc184314446"/>
      <w:bookmarkEnd w:id="368"/>
      <w:bookmarkStart w:id="369" w:name="_Toc184312139"/>
      <w:bookmarkEnd w:id="369"/>
      <w:bookmarkStart w:id="370" w:name="_Toc184314435"/>
      <w:bookmarkEnd w:id="370"/>
      <w:bookmarkStart w:id="371" w:name="_Toc184310298"/>
      <w:bookmarkEnd w:id="371"/>
      <w:bookmarkStart w:id="372" w:name="_Toc184310321"/>
      <w:bookmarkEnd w:id="372"/>
      <w:bookmarkStart w:id="373" w:name="_Toc184308070"/>
      <w:bookmarkEnd w:id="373"/>
      <w:bookmarkStart w:id="374" w:name="_Toc184314420"/>
      <w:bookmarkEnd w:id="374"/>
      <w:bookmarkStart w:id="375" w:name="_Toc184310278"/>
      <w:bookmarkEnd w:id="375"/>
      <w:bookmarkStart w:id="376" w:name="_Toc184314415"/>
      <w:bookmarkEnd w:id="376"/>
      <w:bookmarkStart w:id="377" w:name="_Toc184308090"/>
      <w:bookmarkEnd w:id="377"/>
      <w:bookmarkStart w:id="378" w:name="_Toc184314481"/>
      <w:bookmarkEnd w:id="378"/>
      <w:bookmarkStart w:id="379" w:name="_Toc184310312"/>
      <w:bookmarkEnd w:id="379"/>
      <w:bookmarkStart w:id="380" w:name="_Toc184310293"/>
      <w:bookmarkEnd w:id="380"/>
      <w:bookmarkStart w:id="381" w:name="_Toc184312116"/>
      <w:bookmarkEnd w:id="381"/>
      <w:bookmarkStart w:id="382" w:name="_Toc184313277"/>
      <w:bookmarkEnd w:id="382"/>
      <w:bookmarkStart w:id="383" w:name="_Toc184313303"/>
      <w:bookmarkEnd w:id="383"/>
      <w:bookmarkStart w:id="384" w:name="_Toc184312099"/>
      <w:bookmarkEnd w:id="384"/>
      <w:bookmarkStart w:id="385" w:name="_Toc184312092"/>
      <w:bookmarkEnd w:id="385"/>
      <w:bookmarkStart w:id="386" w:name="_Toc184312072"/>
      <w:bookmarkEnd w:id="386"/>
      <w:bookmarkStart w:id="387" w:name="_Toc184314432"/>
      <w:bookmarkEnd w:id="387"/>
      <w:bookmarkStart w:id="388" w:name="_Toc184313281"/>
      <w:bookmarkEnd w:id="388"/>
      <w:bookmarkStart w:id="389" w:name="_Toc184310273"/>
      <w:bookmarkEnd w:id="389"/>
      <w:bookmarkStart w:id="390" w:name="_Toc184314437"/>
      <w:bookmarkEnd w:id="390"/>
      <w:r>
        <w:rPr>
          <w:rFonts w:hint="eastAsia" w:ascii="仿宋_GB2312" w:hAnsi="仿宋_GB2312" w:eastAsia="仿宋_GB2312" w:cs="仿宋_GB2312"/>
          <w:b/>
          <w:color w:val="auto"/>
          <w:sz w:val="36"/>
          <w:szCs w:val="36"/>
          <w:highlight w:val="none"/>
        </w:rPr>
        <w:t>评标办法</w:t>
      </w:r>
    </w:p>
    <w:p w14:paraId="16B60731">
      <w:pPr>
        <w:snapToGrid w:val="0"/>
        <w:spacing w:line="360" w:lineRule="auto"/>
        <w:jc w:val="center"/>
        <w:outlineLvl w:val="1"/>
        <w:rPr>
          <w:rFonts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评标办法前附表</w:t>
      </w:r>
    </w:p>
    <w:tbl>
      <w:tblPr>
        <w:tblStyle w:val="65"/>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760"/>
        <w:gridCol w:w="690"/>
        <w:gridCol w:w="1080"/>
        <w:gridCol w:w="1485"/>
      </w:tblGrid>
      <w:tr w14:paraId="6B82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031BF93D">
            <w:pPr>
              <w:adjustRightInd w:val="0"/>
              <w:spacing w:line="360" w:lineRule="auto"/>
              <w:jc w:val="center"/>
              <w:outlineLvl w:val="0"/>
              <w:rPr>
                <w:vertAlign w:val="baseline"/>
              </w:rPr>
            </w:pPr>
            <w:r>
              <w:rPr>
                <w:rFonts w:hint="eastAsia" w:ascii="仿宋_GB2312" w:hAnsi="仿宋_GB2312" w:eastAsia="仿宋_GB2312" w:cs="仿宋_GB2312"/>
                <w:b/>
                <w:color w:val="auto"/>
                <w:sz w:val="24"/>
                <w:highlight w:val="none"/>
                <w:lang w:val="en-US" w:eastAsia="zh-CN"/>
              </w:rPr>
              <w:t>序号</w:t>
            </w:r>
          </w:p>
        </w:tc>
        <w:tc>
          <w:tcPr>
            <w:tcW w:w="5760" w:type="dxa"/>
            <w:vAlign w:val="center"/>
          </w:tcPr>
          <w:p w14:paraId="6A0B6C3F">
            <w:pPr>
              <w:adjustRightInd w:val="0"/>
              <w:spacing w:line="360" w:lineRule="auto"/>
              <w:jc w:val="center"/>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评标标准</w:t>
            </w:r>
          </w:p>
        </w:tc>
        <w:tc>
          <w:tcPr>
            <w:tcW w:w="690" w:type="dxa"/>
            <w:vAlign w:val="center"/>
          </w:tcPr>
          <w:p w14:paraId="7BB4512B">
            <w:pPr>
              <w:adjustRightInd w:val="0"/>
              <w:spacing w:line="360" w:lineRule="auto"/>
              <w:jc w:val="center"/>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分值</w:t>
            </w:r>
          </w:p>
        </w:tc>
        <w:tc>
          <w:tcPr>
            <w:tcW w:w="1080" w:type="dxa"/>
            <w:vAlign w:val="center"/>
          </w:tcPr>
          <w:p w14:paraId="19B5D2E5">
            <w:pPr>
              <w:adjustRightInd w:val="0"/>
              <w:spacing w:line="360" w:lineRule="auto"/>
              <w:jc w:val="center"/>
              <w:outlineLvl w:val="0"/>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主观分/客观分属性</w:t>
            </w:r>
          </w:p>
        </w:tc>
        <w:tc>
          <w:tcPr>
            <w:tcW w:w="1485" w:type="dxa"/>
            <w:vAlign w:val="center"/>
          </w:tcPr>
          <w:p w14:paraId="2C81BC54">
            <w:pPr>
              <w:adjustRightInd w:val="0"/>
              <w:spacing w:line="360" w:lineRule="auto"/>
              <w:jc w:val="center"/>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投标文件中评标标准相应的商务技术资料目录</w:t>
            </w:r>
            <w:r>
              <w:rPr>
                <w:rFonts w:hint="eastAsia" w:ascii="仿宋_GB2312" w:hAnsi="仿宋_GB2312" w:eastAsia="仿宋_GB2312" w:cs="仿宋_GB2312"/>
                <w:b/>
                <w:color w:val="auto"/>
                <w:sz w:val="24"/>
                <w:highlight w:val="none"/>
                <w:shd w:val="clear" w:color="auto" w:fill="FFFFFF"/>
              </w:rPr>
              <w:t> *</w:t>
            </w:r>
          </w:p>
        </w:tc>
      </w:tr>
      <w:tr w14:paraId="1526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78C7C89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1</w:t>
            </w:r>
          </w:p>
        </w:tc>
        <w:tc>
          <w:tcPr>
            <w:tcW w:w="5760" w:type="dxa"/>
            <w:vAlign w:val="center"/>
          </w:tcPr>
          <w:p w14:paraId="05A10B7A">
            <w:pPr>
              <w:widowControl/>
              <w:adjustRightInd w:val="0"/>
              <w:snapToGrid w:val="0"/>
              <w:spacing w:line="360" w:lineRule="auto"/>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1.投标人具有质量管理体系认证得1分;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2.投标人职业健康安全管理体系认证得1分；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3.投标人具有有效环境管理体系认证得1分；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（投标文件中提供证书扫描件，证书须在有效期内，附证书在全国认证认可信息公共服务平台（http：//cx.cnca.cn/）状态为有效的截图，不提供或证书无法在上述平台查询确认状态为有效的不得分。）</w:t>
            </w:r>
          </w:p>
        </w:tc>
        <w:tc>
          <w:tcPr>
            <w:tcW w:w="690" w:type="dxa"/>
            <w:vAlign w:val="center"/>
          </w:tcPr>
          <w:p w14:paraId="3B68E300">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3</w:t>
            </w:r>
          </w:p>
        </w:tc>
        <w:tc>
          <w:tcPr>
            <w:tcW w:w="1080" w:type="dxa"/>
            <w:vAlign w:val="center"/>
          </w:tcPr>
          <w:p w14:paraId="10EE8AF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5DB6087F">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体系认证</w:t>
            </w:r>
          </w:p>
        </w:tc>
      </w:tr>
      <w:tr w14:paraId="0080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11EAC3C">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2</w:t>
            </w:r>
          </w:p>
        </w:tc>
        <w:tc>
          <w:tcPr>
            <w:tcW w:w="5760" w:type="dxa"/>
            <w:vAlign w:val="center"/>
          </w:tcPr>
          <w:p w14:paraId="112B71A5">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投标人自2022年1月1日以来（以合同签订日期为准），承担过类似项目的，每提供一个得0.5分，最高得1分，提供业绩的合同复印件并加盖投标人公章或CA签章，否则不得分。</w:t>
            </w:r>
          </w:p>
        </w:tc>
        <w:tc>
          <w:tcPr>
            <w:tcW w:w="690" w:type="dxa"/>
            <w:vAlign w:val="center"/>
          </w:tcPr>
          <w:p w14:paraId="20B6051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w:t>
            </w:r>
          </w:p>
        </w:tc>
        <w:tc>
          <w:tcPr>
            <w:tcW w:w="1080" w:type="dxa"/>
            <w:vAlign w:val="center"/>
          </w:tcPr>
          <w:p w14:paraId="00CBB044">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4B64E537">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业绩案例</w:t>
            </w:r>
          </w:p>
        </w:tc>
      </w:tr>
      <w:tr w14:paraId="3977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45F78745">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3</w:t>
            </w:r>
          </w:p>
        </w:tc>
        <w:tc>
          <w:tcPr>
            <w:tcW w:w="5760" w:type="dxa"/>
            <w:vAlign w:val="center"/>
          </w:tcPr>
          <w:p w14:paraId="0A67BBB6">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根据投标人对原系统平台现状的调查程度等。</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根据编制内容的全面性、针对性以及符合采购需求情况等进行评分。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337A6D97">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25EFB21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6B64C06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平台理解</w:t>
            </w:r>
          </w:p>
        </w:tc>
      </w:tr>
      <w:tr w14:paraId="55D1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EC8337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4</w:t>
            </w:r>
          </w:p>
        </w:tc>
        <w:tc>
          <w:tcPr>
            <w:tcW w:w="5760" w:type="dxa"/>
            <w:vAlign w:val="center"/>
          </w:tcPr>
          <w:p w14:paraId="67F64031">
            <w:pPr>
              <w:widowControl/>
              <w:adjustRightInd w:val="0"/>
              <w:snapToGrid w:val="0"/>
              <w:spacing w:line="360" w:lineRule="auto"/>
              <w:ind w:firstLine="480" w:firstLineChars="200"/>
              <w:jc w:val="left"/>
              <w:rPr>
                <w:rFonts w:hint="default" w:ascii="仿宋_GB2312" w:hAnsi="仿宋_GB2312" w:eastAsia="仿宋_GB2312" w:cs="仿宋_GB2312"/>
                <w:snapToGrid w:val="0"/>
                <w:color w:val="auto"/>
                <w:sz w:val="24"/>
                <w:highlight w:val="none"/>
                <w:lang w:val="en-US"/>
              </w:rPr>
            </w:pPr>
            <w:r>
              <w:rPr>
                <w:rFonts w:hint="eastAsia" w:ascii="仿宋_GB2312" w:hAnsi="仿宋_GB2312" w:eastAsia="仿宋_GB2312" w:cs="仿宋_GB2312"/>
                <w:snapToGrid w:val="0"/>
                <w:color w:val="auto"/>
                <w:sz w:val="24"/>
                <w:highlight w:val="none"/>
                <w:lang w:val="en-US" w:eastAsia="zh-CN"/>
              </w:rPr>
              <w:t>根据投标人对原系统云存储现状的调查程度等。</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根据编制内容的全面性、针对性以及符合采购需求情况等进行评分。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5606E5E7">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754FE021">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0D3B789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存储调研</w:t>
            </w:r>
          </w:p>
        </w:tc>
      </w:tr>
      <w:tr w14:paraId="5D46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45A813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5</w:t>
            </w:r>
          </w:p>
        </w:tc>
        <w:tc>
          <w:tcPr>
            <w:tcW w:w="5760" w:type="dxa"/>
            <w:vAlign w:val="center"/>
          </w:tcPr>
          <w:p w14:paraId="30B1DA6D">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根据投标人对视频、人脸、车辆、移动采集、大数据等应用模块的设计方案。</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根据方案内容的全面性、针对性以及符合采购需求情况等进行评分。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04B9D5E9">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34E0A125">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2CA28E43">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模块设计</w:t>
            </w:r>
          </w:p>
        </w:tc>
      </w:tr>
      <w:tr w14:paraId="21CE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3C091C2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6</w:t>
            </w:r>
          </w:p>
        </w:tc>
        <w:tc>
          <w:tcPr>
            <w:tcW w:w="5760" w:type="dxa"/>
            <w:vAlign w:val="center"/>
          </w:tcPr>
          <w:p w14:paraId="7A4781BE">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投标人对项目传输网络了解程度，科学设计，提供详细的传输网络方案。</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根据方案内容的全面性、针对性以及符合采购需求情况等进行评分。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6A8D8CD0">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01B8D4B2">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3EEB8920">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网络传输方案</w:t>
            </w:r>
          </w:p>
        </w:tc>
      </w:tr>
      <w:tr w14:paraId="082D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7429A07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7</w:t>
            </w:r>
          </w:p>
        </w:tc>
        <w:tc>
          <w:tcPr>
            <w:tcW w:w="5760" w:type="dxa"/>
            <w:vAlign w:val="center"/>
          </w:tcPr>
          <w:p w14:paraId="35DC341C">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为保证项目实施，投标人提供网络覆盖方案。</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根据方案内容的全面性、针对性以及符合采购需求情况等进行评分。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7291255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43DB6767">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6C8E851F">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网络覆盖方案</w:t>
            </w:r>
          </w:p>
        </w:tc>
      </w:tr>
      <w:tr w14:paraId="70EC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F576F3A">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8</w:t>
            </w:r>
          </w:p>
        </w:tc>
        <w:tc>
          <w:tcPr>
            <w:tcW w:w="5760" w:type="dxa"/>
            <w:vAlign w:val="center"/>
          </w:tcPr>
          <w:p w14:paraId="04AEDE25">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根据投标人拟在投标区域内独立的公安专用监控容灾备份机房配置情况评定打分。（投标文件中可提供相关证明或承诺）。根据拟配置情况评定打分。</w:t>
            </w:r>
          </w:p>
          <w:p w14:paraId="1D981C95">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配置情况符合采购需求等情况的得4分；配置情况较为符合采购需求等情况的得2分；配置情况基本符合采购需求等情况的得1分；未提供不得分。</w:t>
            </w:r>
          </w:p>
        </w:tc>
        <w:tc>
          <w:tcPr>
            <w:tcW w:w="690" w:type="dxa"/>
            <w:vAlign w:val="center"/>
          </w:tcPr>
          <w:p w14:paraId="4C0098A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6A092434">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61982060">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机房配备</w:t>
            </w:r>
          </w:p>
        </w:tc>
      </w:tr>
      <w:tr w14:paraId="69D2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ECB344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9</w:t>
            </w:r>
          </w:p>
        </w:tc>
        <w:tc>
          <w:tcPr>
            <w:tcW w:w="5760" w:type="dxa"/>
            <w:vAlign w:val="center"/>
          </w:tcPr>
          <w:p w14:paraId="540C491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本次项目与原有视频专网监控平台是否能无缝对接，投标人参照需求提供的整合对接方案。根据方案内容的全面性、针对性以及符合采购需求情况等进行评分。</w:t>
            </w:r>
          </w:p>
          <w:p w14:paraId="185B664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方案全面、针对性强且符合采购需求等情况的得4分；方案较为全面、针对性较强且较为符合采购需求等情况的得2分；方案一般、针对性一般且基本符合采购需求等情况的得1分；未提供不得分。</w:t>
            </w:r>
          </w:p>
        </w:tc>
        <w:tc>
          <w:tcPr>
            <w:tcW w:w="690" w:type="dxa"/>
            <w:vAlign w:val="center"/>
          </w:tcPr>
          <w:p w14:paraId="1EE892D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2DF855D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658CE96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网络对接方案</w:t>
            </w:r>
          </w:p>
        </w:tc>
      </w:tr>
      <w:tr w14:paraId="69C3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C35D44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10</w:t>
            </w:r>
          </w:p>
        </w:tc>
        <w:tc>
          <w:tcPr>
            <w:tcW w:w="5760" w:type="dxa"/>
            <w:vAlign w:val="center"/>
          </w:tcPr>
          <w:p w14:paraId="7445A1B1">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本次项目与原有云存储是否能无缝对接或云存储能够满足采购人及相关主管部门相应需求的，投标人参照需求提供的整合对接方案。根据方案内容的全面性、针对性以及符合采购需求情况等进行评分。</w:t>
            </w:r>
          </w:p>
          <w:p w14:paraId="7C0BD4B1">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方案全面、针对性强且符合采购需求等情况的得4分；方案较为全面、针对性较强且较为符合采购需求等情况的得2分；方案一般、针对性一般且基本符合采购需求等情况的得1分；未提供不得分。</w:t>
            </w:r>
          </w:p>
        </w:tc>
        <w:tc>
          <w:tcPr>
            <w:tcW w:w="690" w:type="dxa"/>
            <w:vAlign w:val="center"/>
          </w:tcPr>
          <w:p w14:paraId="1F48369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50753C6B">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1AB8B193">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存储整合方案</w:t>
            </w:r>
          </w:p>
        </w:tc>
      </w:tr>
      <w:tr w14:paraId="7A9B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1F3ED13">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11</w:t>
            </w:r>
          </w:p>
        </w:tc>
        <w:tc>
          <w:tcPr>
            <w:tcW w:w="5760" w:type="dxa"/>
            <w:vAlign w:val="center"/>
          </w:tcPr>
          <w:p w14:paraId="03708EF9">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本次项目与原有实战应用平台是否能无缝对接，投标人参照需求提供的整合对接方案，根据方案内容的全面性、针对性以及符合采购需求情况等进行评分。</w:t>
            </w:r>
          </w:p>
          <w:p w14:paraId="3B1705FE">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方案全面、针对性强且符合采购需求等情况的得4分；方案较为全面、针对性较强且较为符合采购需求等情况的得2分；方案一般、针对性一般且基本符合采购需求等情况的得1分；未提供不得分。</w:t>
            </w:r>
          </w:p>
        </w:tc>
        <w:tc>
          <w:tcPr>
            <w:tcW w:w="690" w:type="dxa"/>
            <w:vAlign w:val="center"/>
          </w:tcPr>
          <w:p w14:paraId="0F63B64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5C62DF0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0FBED575">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应用对接方案</w:t>
            </w:r>
          </w:p>
        </w:tc>
      </w:tr>
      <w:tr w14:paraId="30BC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327ECE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12</w:t>
            </w:r>
          </w:p>
        </w:tc>
        <w:tc>
          <w:tcPr>
            <w:tcW w:w="5760" w:type="dxa"/>
            <w:vAlign w:val="center"/>
          </w:tcPr>
          <w:p w14:paraId="330A2389">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投标产品中重要的基本功能、技术指标与需求的吻合程度和偏差情况（打★的技术指标每负偏离一项扣1分，扣完为止，未提供第三方有效检测报告加盖投标人公章的，视为偏离；）</w:t>
            </w:r>
          </w:p>
        </w:tc>
        <w:tc>
          <w:tcPr>
            <w:tcW w:w="690" w:type="dxa"/>
            <w:vAlign w:val="center"/>
          </w:tcPr>
          <w:p w14:paraId="609ECCE8">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15</w:t>
            </w:r>
          </w:p>
        </w:tc>
        <w:tc>
          <w:tcPr>
            <w:tcW w:w="1080" w:type="dxa"/>
            <w:vAlign w:val="center"/>
          </w:tcPr>
          <w:p w14:paraId="341BEDAE">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761120E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参数响应</w:t>
            </w:r>
          </w:p>
        </w:tc>
      </w:tr>
      <w:tr w14:paraId="7C2C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82DB8AF">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13</w:t>
            </w:r>
          </w:p>
        </w:tc>
        <w:tc>
          <w:tcPr>
            <w:tcW w:w="5760" w:type="dxa"/>
            <w:vAlign w:val="center"/>
          </w:tcPr>
          <w:p w14:paraId="44A2F2F6">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投标人需对提供的软硬件产品的维护方案进行阐述。根据提供的方案内容的完整性、与项目的匹配性进行评分。</w:t>
            </w:r>
          </w:p>
          <w:p w14:paraId="0062C0E9">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方案完整、与项目匹配性强的得5分；方案较为完整、与项目匹配性较强的得3分；方案一般、基本与项目匹配的得1分；未提供不得分。</w:t>
            </w:r>
          </w:p>
        </w:tc>
        <w:tc>
          <w:tcPr>
            <w:tcW w:w="690" w:type="dxa"/>
            <w:vAlign w:val="center"/>
          </w:tcPr>
          <w:p w14:paraId="5BAA7477">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5795F162">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269F73C2">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提升方案</w:t>
            </w:r>
          </w:p>
        </w:tc>
      </w:tr>
      <w:tr w14:paraId="3D85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5C2FB3F">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14</w:t>
            </w:r>
          </w:p>
        </w:tc>
        <w:tc>
          <w:tcPr>
            <w:tcW w:w="5760" w:type="dxa"/>
            <w:vAlign w:val="center"/>
          </w:tcPr>
          <w:p w14:paraId="5CB902B7">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投标人需对提供的软硬件产品的更新方案进行阐述。根据提供的方案内容的完整性、与项目的匹配性进行评分。</w:t>
            </w:r>
          </w:p>
          <w:p w14:paraId="27DB81F1">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方案完整、与项目匹配性强的得4分；方案较为完整、与项目匹配性较强的得2分；方案一般、基本与项目匹配的得1分；未提供不得分。</w:t>
            </w:r>
          </w:p>
        </w:tc>
        <w:tc>
          <w:tcPr>
            <w:tcW w:w="690" w:type="dxa"/>
            <w:vAlign w:val="center"/>
          </w:tcPr>
          <w:p w14:paraId="439947F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09BBCD92">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4E28FB4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更新方案</w:t>
            </w:r>
          </w:p>
        </w:tc>
      </w:tr>
      <w:tr w14:paraId="4FA2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4E4E69D1">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15</w:t>
            </w:r>
          </w:p>
        </w:tc>
        <w:tc>
          <w:tcPr>
            <w:tcW w:w="5760" w:type="dxa"/>
            <w:vAlign w:val="center"/>
          </w:tcPr>
          <w:p w14:paraId="133C2A9B">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投标人的施工组织方案。根据提供的方案内容的完整性、与项目的匹配性进行评分。</w:t>
            </w:r>
          </w:p>
          <w:p w14:paraId="6BD4F22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方案完整、与项目匹配性强的得4分；方案较为完整、与项目匹配性较强的得2分；方案一般、基本与项目匹配的得1分；未提供不得分。</w:t>
            </w:r>
          </w:p>
        </w:tc>
        <w:tc>
          <w:tcPr>
            <w:tcW w:w="690" w:type="dxa"/>
            <w:vAlign w:val="center"/>
          </w:tcPr>
          <w:p w14:paraId="2C5A9B4C">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3011F1F7">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50D362C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实施方案</w:t>
            </w:r>
          </w:p>
        </w:tc>
      </w:tr>
      <w:tr w14:paraId="4A7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66FCE3AA">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16</w:t>
            </w:r>
          </w:p>
        </w:tc>
        <w:tc>
          <w:tcPr>
            <w:tcW w:w="5760" w:type="dxa"/>
            <w:vAlign w:val="center"/>
          </w:tcPr>
          <w:p w14:paraId="79E90063">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拟派的项目经理同时具有高级信息系统项目管理师证书、一级建造师证书、高级工程师(信息技术系统集成)职称证书的得3分，每具备1张证书得1分，本项最高得3分。注：须提供以上相关证书复印件或扫描件及投标人为其缴纳的近三个月内任意一月得社保证明材料并加盖投标人公章或CA签章，不提供或缺一不得分。</w:t>
            </w:r>
          </w:p>
        </w:tc>
        <w:tc>
          <w:tcPr>
            <w:tcW w:w="690" w:type="dxa"/>
            <w:vAlign w:val="center"/>
          </w:tcPr>
          <w:p w14:paraId="4502C89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3</w:t>
            </w:r>
          </w:p>
        </w:tc>
        <w:tc>
          <w:tcPr>
            <w:tcW w:w="1080" w:type="dxa"/>
            <w:vAlign w:val="center"/>
          </w:tcPr>
          <w:p w14:paraId="5BEE19B4">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0793FD05">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项目经理</w:t>
            </w:r>
          </w:p>
        </w:tc>
      </w:tr>
      <w:tr w14:paraId="53C8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590567C">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17</w:t>
            </w:r>
          </w:p>
        </w:tc>
        <w:tc>
          <w:tcPr>
            <w:tcW w:w="5760" w:type="dxa"/>
            <w:vAlign w:val="center"/>
          </w:tcPr>
          <w:p w14:paraId="4D7508E2">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1）技术负责人1人，同时具有中级系统集成项目管理工程师证书、一级建造师证书的，每具备1张证书得1分，最高得2分；</w:t>
            </w:r>
          </w:p>
          <w:p w14:paraId="20F8F0D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2）设计人员1人，同时具备电气工程、信息技术职称的，得2分。</w:t>
            </w:r>
          </w:p>
          <w:p w14:paraId="38484CB0">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3）实施人员具备系统实施工程师职称的，得1分。</w:t>
            </w:r>
          </w:p>
          <w:p w14:paraId="1E16C00E">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4）网络管理员具备局域网管理员国家职业资格证书的，得1分。</w:t>
            </w:r>
          </w:p>
          <w:p w14:paraId="03304778">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5）实施人员具有网络工程师职称的，得1分。</w:t>
            </w:r>
          </w:p>
          <w:p w14:paraId="459A7240">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注：须提供以上相关证书复印件或扫描件及投标人为其缴纳的近三个月内任意一月社保证明材料并加盖投标人公章或CA签章，不提供或缺一不得分。</w:t>
            </w:r>
          </w:p>
        </w:tc>
        <w:tc>
          <w:tcPr>
            <w:tcW w:w="690" w:type="dxa"/>
            <w:vAlign w:val="center"/>
          </w:tcPr>
          <w:p w14:paraId="57050531">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7</w:t>
            </w:r>
          </w:p>
        </w:tc>
        <w:tc>
          <w:tcPr>
            <w:tcW w:w="1080" w:type="dxa"/>
            <w:vAlign w:val="center"/>
          </w:tcPr>
          <w:p w14:paraId="15ED0AF1">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3FD0FB8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项目团队</w:t>
            </w:r>
          </w:p>
        </w:tc>
      </w:tr>
      <w:tr w14:paraId="6F0A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47EED33A">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18</w:t>
            </w:r>
          </w:p>
        </w:tc>
        <w:tc>
          <w:tcPr>
            <w:tcW w:w="5760" w:type="dxa"/>
            <w:vAlign w:val="center"/>
          </w:tcPr>
          <w:p w14:paraId="4F1E7FD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根据投标人提供的应急预案及相应的措施进行打分。根据内容的全面性、操作性以及符合采购需求情况等进行评分。</w:t>
            </w:r>
          </w:p>
          <w:p w14:paraId="00006D69">
            <w:pPr>
              <w:widowControl/>
              <w:adjustRightInd w:val="0"/>
              <w:snapToGrid w:val="0"/>
              <w:spacing w:line="360" w:lineRule="auto"/>
              <w:ind w:firstLine="480" w:firstLineChars="200"/>
              <w:jc w:val="left"/>
              <w:rPr>
                <w:rFonts w:hint="default"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内容全面、操作性强且符合采购需求情况的得4分；内容较为全面、操作性较强且较为符合采购需求情况的得2分；内容一般、操作性一般且基本符合采购需求情况的得1分；未提供不得分。</w:t>
            </w:r>
          </w:p>
        </w:tc>
        <w:tc>
          <w:tcPr>
            <w:tcW w:w="690" w:type="dxa"/>
            <w:vAlign w:val="center"/>
          </w:tcPr>
          <w:p w14:paraId="6D6E871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06C0EE26">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452E7BF3">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应急响应方案</w:t>
            </w:r>
          </w:p>
        </w:tc>
      </w:tr>
      <w:tr w14:paraId="5D19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0BF52D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19</w:t>
            </w:r>
          </w:p>
        </w:tc>
        <w:tc>
          <w:tcPr>
            <w:tcW w:w="5760" w:type="dxa"/>
            <w:vAlign w:val="center"/>
          </w:tcPr>
          <w:p w14:paraId="5364C039">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投标人提供的人员培训计划是否合理规范，培训课程是否具体丰富，师资配备是否合理进行打分。</w:t>
            </w:r>
          </w:p>
          <w:p w14:paraId="11F406D2">
            <w:pPr>
              <w:widowControl/>
              <w:adjustRightInd w:val="0"/>
              <w:snapToGrid w:val="0"/>
              <w:spacing w:line="360" w:lineRule="auto"/>
              <w:ind w:firstLine="480" w:firstLineChars="200"/>
              <w:jc w:val="left"/>
              <w:rPr>
                <w:rFonts w:hint="default"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培训计划合理规范、课程具体丰富且师资配备合理的得3分；培训计划较合理规范、课程内容较丰富且师资配备较为合理的得2分；培训计划一般、课程内容一般且师资配备一般的得1分；未提供不得分。</w:t>
            </w:r>
          </w:p>
        </w:tc>
        <w:tc>
          <w:tcPr>
            <w:tcW w:w="690" w:type="dxa"/>
            <w:vAlign w:val="center"/>
          </w:tcPr>
          <w:p w14:paraId="5EAB56AB">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3</w:t>
            </w:r>
          </w:p>
        </w:tc>
        <w:tc>
          <w:tcPr>
            <w:tcW w:w="1080" w:type="dxa"/>
            <w:vAlign w:val="center"/>
          </w:tcPr>
          <w:p w14:paraId="4E53D731">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4E21D157">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培训方案</w:t>
            </w:r>
          </w:p>
        </w:tc>
      </w:tr>
      <w:tr w14:paraId="5A45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30DF66D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20</w:t>
            </w:r>
          </w:p>
        </w:tc>
        <w:tc>
          <w:tcPr>
            <w:tcW w:w="5760" w:type="dxa"/>
            <w:shd w:val="clear" w:color="auto" w:fill="auto"/>
            <w:vAlign w:val="center"/>
          </w:tcPr>
          <w:p w14:paraId="008EE647">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有效最后报价的最低价作为评审基准价，其最低报价为满分；按［最后报价得分=（评审基准价/最后报价）×10］的计算公式计算。</w:t>
            </w:r>
          </w:p>
          <w:p w14:paraId="3CA95CDB">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评审过程中，不得去掉报价中的最高报价和最低报价。</w:t>
            </w:r>
          </w:p>
          <w:p w14:paraId="77615FFC">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因落实政府采购政策需要进行价格调整的，以调整后的价格计算评审基准价和最后报价。</w:t>
            </w:r>
          </w:p>
        </w:tc>
        <w:tc>
          <w:tcPr>
            <w:tcW w:w="690" w:type="dxa"/>
            <w:shd w:val="clear" w:color="auto" w:fill="auto"/>
            <w:vAlign w:val="center"/>
          </w:tcPr>
          <w:p w14:paraId="02BE3234">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10</w:t>
            </w:r>
          </w:p>
        </w:tc>
        <w:tc>
          <w:tcPr>
            <w:tcW w:w="1080" w:type="dxa"/>
            <w:shd w:val="clear" w:color="auto" w:fill="auto"/>
            <w:vAlign w:val="center"/>
          </w:tcPr>
          <w:p w14:paraId="2849517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p>
        </w:tc>
        <w:tc>
          <w:tcPr>
            <w:tcW w:w="1485" w:type="dxa"/>
            <w:shd w:val="clear" w:color="auto" w:fill="auto"/>
            <w:vAlign w:val="center"/>
          </w:tcPr>
          <w:p w14:paraId="4500E60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价格分</w:t>
            </w:r>
          </w:p>
        </w:tc>
      </w:tr>
    </w:tbl>
    <w:p w14:paraId="3B9440AE">
      <w:pPr>
        <w:snapToGrid w:val="0"/>
        <w:spacing w:line="360" w:lineRule="auto"/>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24"/>
          <w:highlight w:val="none"/>
        </w:rPr>
        <w:t>*备注：</w:t>
      </w:r>
      <w:r>
        <w:rPr>
          <w:rFonts w:hint="eastAsia" w:ascii="仿宋_GB2312" w:hAnsi="仿宋_GB2312" w:eastAsia="仿宋_GB2312" w:cs="仿宋_GB2312"/>
          <w:color w:val="auto"/>
          <w:sz w:val="24"/>
          <w:highlight w:val="none"/>
        </w:rPr>
        <w:t>投标人编制投标文件（商务技术文件部分）时，建议按此目录（序号和内容）提供评标标准相应的商务技术资料。 </w:t>
      </w:r>
    </w:p>
    <w:p w14:paraId="3AB6B354">
      <w:pPr>
        <w:snapToGrid w:val="0"/>
        <w:spacing w:line="360" w:lineRule="auto"/>
        <w:outlineLvl w:val="1"/>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2"/>
          <w:highlight w:val="none"/>
        </w:rPr>
        <w:t>一、评标方法</w:t>
      </w:r>
    </w:p>
    <w:p w14:paraId="2F1E381B">
      <w:pPr>
        <w:adjustRightInd/>
        <w:spacing w:line="360" w:lineRule="auto"/>
        <w:ind w:firstLine="472" w:firstLineChars="196"/>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1.本项目采用综合评分法。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p>
    <w:p w14:paraId="2FC26FE7">
      <w:pPr>
        <w:adjustRightInd/>
        <w:spacing w:line="360" w:lineRule="auto"/>
        <w:outlineLvl w:val="1"/>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32"/>
          <w:highlight w:val="none"/>
        </w:rPr>
        <w:t>二、评标标准</w:t>
      </w:r>
    </w:p>
    <w:p w14:paraId="48FEA13A">
      <w:pPr>
        <w:spacing w:line="360" w:lineRule="auto"/>
        <w:ind w:firstLine="472" w:firstLineChars="196"/>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_GB2312" w:eastAsia="仿宋_GB2312" w:cs="仿宋_GB2312"/>
          <w:color w:val="auto"/>
          <w:kern w:val="0"/>
          <w:sz w:val="24"/>
          <w:highlight w:val="none"/>
        </w:rPr>
        <w:t>见评标办法前附表。</w:t>
      </w:r>
    </w:p>
    <w:p w14:paraId="06820876">
      <w:pPr>
        <w:adjustRightInd/>
        <w:spacing w:line="360" w:lineRule="auto"/>
        <w:outlineLvl w:val="1"/>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三、评标原则</w:t>
      </w:r>
    </w:p>
    <w:p w14:paraId="7DD66488">
      <w:pPr>
        <w:spacing w:line="360" w:lineRule="auto"/>
        <w:ind w:firstLine="480" w:firstLineChars="200"/>
        <w:outlineLvl w:val="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lang w:val="en"/>
        </w:rPr>
        <w:t>3.</w:t>
      </w:r>
      <w:r>
        <w:rPr>
          <w:rFonts w:hint="eastAsia" w:ascii="仿宋_GB2312" w:hAnsi="仿宋_GB2312" w:eastAsia="仿宋_GB2312" w:cs="仿宋_GB2312"/>
          <w:color w:val="auto"/>
          <w:sz w:val="24"/>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C34D33D">
      <w:pPr>
        <w:pStyle w:val="36"/>
        <w:snapToGrid w:val="0"/>
        <w:spacing w:line="360" w:lineRule="auto"/>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56FB8A1">
      <w:pPr>
        <w:pStyle w:val="36"/>
        <w:snapToGrid w:val="0"/>
        <w:spacing w:line="360" w:lineRule="auto"/>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AF504F4">
      <w:pPr>
        <w:pStyle w:val="36"/>
        <w:snapToGrid w:val="0"/>
        <w:spacing w:line="360" w:lineRule="auto"/>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方推荐资格；评审得分相同的，由采购人或者采购人委托评标委员会按照招标文件规定的方式确定一个投标人获得中标方推荐资格，招标文件未规定的采取随机抽取方式确定，其他同品牌投标人不作为中标候选人。</w:t>
      </w:r>
    </w:p>
    <w:p w14:paraId="5CFE9ECC">
      <w:pPr>
        <w:pStyle w:val="36"/>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262FE99E">
      <w:pPr>
        <w:pStyle w:val="36"/>
        <w:snapToGrid w:val="0"/>
        <w:spacing w:line="360" w:lineRule="auto"/>
        <w:ind w:firstLine="480" w:firstLineChars="200"/>
        <w:rPr>
          <w:color w:val="auto"/>
          <w:highlight w:val="none"/>
        </w:rPr>
      </w:pPr>
      <w:r>
        <w:rPr>
          <w:rFonts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或者评审小组人数需设置7人及以上单数。</w:t>
      </w:r>
    </w:p>
    <w:p w14:paraId="0A9D3D1A">
      <w:pPr>
        <w:spacing w:line="360" w:lineRule="auto"/>
        <w:outlineLvl w:val="1"/>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sz w:val="36"/>
          <w:szCs w:val="36"/>
          <w:highlight w:val="none"/>
        </w:rPr>
        <w:t>四、评标程序</w:t>
      </w:r>
    </w:p>
    <w:p w14:paraId="13608928">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4.1开启开标场地录音录像采集设备，并确保正常运行。</w:t>
      </w:r>
    </w:p>
    <w:p w14:paraId="7E4972DA">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4.2按规定统一收缴、保存评标现场相关人员通讯工具。</w:t>
      </w:r>
    </w:p>
    <w:p w14:paraId="219FFCED">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4.3介绍评审现场的人员情况，宣布评审工作纪律，告知评审人员应当回避情形；组织推选评标委员会组长。</w:t>
      </w:r>
    </w:p>
    <w:p w14:paraId="603C2B8F">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4.4采购代理机构组织评标委员会各位成员签订纸质形式的《政府采购评审人员廉洁自律承诺书》。</w:t>
      </w:r>
    </w:p>
    <w:p w14:paraId="1A34A38C">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4.5采购人可以在评标前说明项目背景和采购需求，说明内容不得含有歧视性、倾向性意见，不得超出招标文件所述范围。说明应当提交书面材料，并随采购文件一并存档。</w:t>
      </w:r>
    </w:p>
    <w:p w14:paraId="62BE543A">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05327A5">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4.7采购人代表根据采购文件的规定，对资格文件进行审查，以确定供应商是否具有响应资格。资格审查内容如下：</w:t>
      </w:r>
    </w:p>
    <w:tbl>
      <w:tblPr>
        <w:tblStyle w:val="6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4897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41F5DEB9">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序号</w:t>
            </w:r>
          </w:p>
        </w:tc>
        <w:tc>
          <w:tcPr>
            <w:tcW w:w="4176" w:type="dxa"/>
            <w:vAlign w:val="center"/>
          </w:tcPr>
          <w:p w14:paraId="094570EC">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审查因素</w:t>
            </w:r>
          </w:p>
        </w:tc>
        <w:tc>
          <w:tcPr>
            <w:tcW w:w="4176" w:type="dxa"/>
            <w:vAlign w:val="center"/>
          </w:tcPr>
          <w:p w14:paraId="09EC37F7">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审查项目</w:t>
            </w:r>
          </w:p>
        </w:tc>
      </w:tr>
      <w:tr w14:paraId="2E40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4B89FCC">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4176" w:type="dxa"/>
            <w:vAlign w:val="center"/>
          </w:tcPr>
          <w:p w14:paraId="49BD7961">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合格供应商的资格要求：</w:t>
            </w:r>
          </w:p>
          <w:p w14:paraId="32CA4EF7">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B5266AA">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2.落实政府采购政策需满足的资格要求：</w:t>
            </w:r>
            <w:r>
              <w:rPr>
                <w:rFonts w:hint="eastAsia" w:ascii="仿宋_GB2312" w:hAnsi="仿宋_GB2312" w:eastAsia="仿宋_GB2312" w:cs="仿宋_GB2312"/>
                <w:color w:val="auto"/>
                <w:szCs w:val="21"/>
                <w:highlight w:val="none"/>
                <w:lang w:eastAsia="zh-CN"/>
              </w:rPr>
              <w:t>无</w:t>
            </w:r>
            <w:r>
              <w:rPr>
                <w:rFonts w:hint="eastAsia" w:ascii="仿宋_GB2312" w:hAnsi="仿宋_GB2312" w:eastAsia="仿宋_GB2312" w:cs="仿宋_GB2312"/>
                <w:color w:val="auto"/>
                <w:szCs w:val="21"/>
                <w:highlight w:val="none"/>
              </w:rPr>
              <w:t>。</w:t>
            </w:r>
          </w:p>
          <w:p w14:paraId="4F28E330">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3.本项目的特定资格要求：无。</w:t>
            </w:r>
          </w:p>
        </w:tc>
        <w:tc>
          <w:tcPr>
            <w:tcW w:w="4176" w:type="dxa"/>
            <w:vAlign w:val="center"/>
          </w:tcPr>
          <w:p w14:paraId="5F24DCBA">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1.符合参加政府采购活动应当具备的一般条件的承诺函。</w:t>
            </w:r>
          </w:p>
          <w:p w14:paraId="0E3E60C5">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.信用信息查询</w:t>
            </w:r>
          </w:p>
          <w:p w14:paraId="07889E7C">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.1采购人代表在进行供应商资格审查环节时在“信用中国”（www.creditchina.gov.cn）、中国政府采购网（www.ccgp.gov.cn）进行查询。在评审过程中因不可抗力无法进行查询的，则在评审结束后进行查询。</w:t>
            </w:r>
          </w:p>
          <w:p w14:paraId="6D6D3B6D">
            <w:pPr>
              <w:wordWrap w:val="0"/>
              <w:spacing w:line="360" w:lineRule="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kern w:val="0"/>
                <w:highlight w:val="none"/>
              </w:rPr>
              <w:t>信用信息查询记录和证据留存的具体方式：现场查询的投标人的信用记录、查询结果经确认后将与采购文件一起存档。</w:t>
            </w:r>
          </w:p>
          <w:p w14:paraId="281E4815">
            <w:pPr>
              <w:wordWrap w:val="0"/>
              <w:spacing w:line="360" w:lineRule="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en-US" w:eastAsia="zh-CN"/>
              </w:rPr>
              <w:t>2</w:t>
            </w:r>
            <w:r>
              <w:rPr>
                <w:rFonts w:hint="eastAsia" w:ascii="仿宋_GB2312" w:hAnsi="仿宋_GB2312" w:eastAsia="仿宋_GB2312" w:cs="仿宋_GB2312"/>
                <w:color w:val="auto"/>
                <w:kern w:val="0"/>
                <w:highlight w:val="none"/>
              </w:rPr>
              <w:t>.3信用信息的使用规则：经查询列入失信被执行人名单、重大税收违法案件当事人名单、政府采购严重违法失信行为记录名单的投标人将被拒绝参与政府采购活动。</w:t>
            </w:r>
          </w:p>
          <w:p w14:paraId="6BFCF091">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highlight w:val="none"/>
                <w:lang w:val="en-US" w:eastAsia="zh-CN"/>
              </w:rPr>
              <w:t>2</w:t>
            </w:r>
            <w:r>
              <w:rPr>
                <w:rFonts w:hint="eastAsia" w:ascii="仿宋_GB2312" w:hAnsi="仿宋_GB2312" w:eastAsia="仿宋_GB2312" w:cs="仿宋_GB2312"/>
                <w:color w:val="auto"/>
                <w:kern w:val="0"/>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highlight w:val="none"/>
              </w:rPr>
              <w:t>。</w:t>
            </w:r>
          </w:p>
        </w:tc>
      </w:tr>
      <w:tr w14:paraId="31DF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FB2726C">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4176" w:type="dxa"/>
            <w:vAlign w:val="center"/>
          </w:tcPr>
          <w:p w14:paraId="5004F371">
            <w:pPr>
              <w:spacing w:line="360" w:lineRule="auto"/>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合格供应商的其他要求：</w:t>
            </w:r>
          </w:p>
          <w:p w14:paraId="7FB9C1EF">
            <w:pPr>
              <w:spacing w:line="360" w:lineRule="auto"/>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1.单位负责人为同一人或者存在直接控股、管理关系的不同供应商，不得参加同一合同项下的政府采购活动。</w:t>
            </w:r>
          </w:p>
          <w:p w14:paraId="26C07F41">
            <w:pPr>
              <w:spacing w:line="360" w:lineRule="auto"/>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2.除单一来源采购项目外，为采购项目提供整体设计、规范编制或者项目管理、监理、检测等服务的供应商，不得再参加该采购项目的其他采购活动。</w:t>
            </w:r>
          </w:p>
          <w:p w14:paraId="2ABFA41B">
            <w:pPr>
              <w:spacing w:line="360" w:lineRule="auto"/>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3.本项目接受联合体投标。</w:t>
            </w:r>
          </w:p>
        </w:tc>
        <w:tc>
          <w:tcPr>
            <w:tcW w:w="4176" w:type="dxa"/>
            <w:vAlign w:val="center"/>
          </w:tcPr>
          <w:p w14:paraId="4ACAB663">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1.符合参加政府采购活动应当具备的一般条件的承诺函。</w:t>
            </w:r>
          </w:p>
          <w:p w14:paraId="3AB5CE74">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2.供应商为联合体的，提供《联合体协议书》。</w:t>
            </w:r>
          </w:p>
        </w:tc>
      </w:tr>
    </w:tbl>
    <w:p w14:paraId="6116CCE6">
      <w:pPr>
        <w:pStyle w:val="24"/>
        <w:snapToGrid w:val="0"/>
        <w:ind w:firstLine="480" w:firstLineChars="200"/>
        <w:rPr>
          <w:rFonts w:ascii="仿宋_GB2312" w:hAnsi="仿宋_GB2312" w:eastAsia="仿宋_GB2312" w:cs="仿宋_GB2312"/>
          <w:b/>
          <w:color w:val="auto"/>
          <w:sz w:val="32"/>
          <w:highlight w:val="none"/>
        </w:rPr>
      </w:pPr>
      <w:r>
        <w:rPr>
          <w:rFonts w:hint="eastAsia" w:ascii="仿宋_GB2312" w:hAnsi="仿宋_GB2312" w:eastAsia="仿宋_GB2312" w:cs="仿宋_GB2312"/>
          <w:bCs/>
          <w:color w:val="auto"/>
          <w:szCs w:val="24"/>
          <w:highlight w:val="none"/>
          <w:lang w:val="en-US"/>
        </w:rPr>
        <w:t>资格不符合的，采购代理机构或采购人代表将通过电子交易平台告知投标人不通过的原因。</w:t>
      </w:r>
    </w:p>
    <w:p w14:paraId="2CD5179E">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4.8评标委员会组长组织评审人员独立评审。评标委员会对拟认定为投标文件无效，应组织相关投标人代表进行陈述、澄清或申辩；招标方可协助评标委员会组长对打分结果进行校对、核对并汇总统计；对明显畸高、畸低的评分，评标委员会组长应提醒相关评审人员进行复核或书面说明理由，评审人员拒绝说明的，由现场监督员据实记录；评审人员的评审、修改记录应保留原件，随项目其他资料一并存档。</w:t>
      </w:r>
    </w:p>
    <w:p w14:paraId="6D436EE0">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4.8.1</w:t>
      </w:r>
      <w:r>
        <w:rPr>
          <w:rFonts w:hint="eastAsia" w:ascii="仿宋_GB2312" w:hAnsi="仿宋_GB2312" w:eastAsia="仿宋_GB2312" w:cs="仿宋_GB2312"/>
          <w:b/>
          <w:color w:val="auto"/>
          <w:kern w:val="0"/>
          <w:sz w:val="24"/>
          <w:highlight w:val="none"/>
        </w:rPr>
        <w:t>符合性审查。</w:t>
      </w:r>
      <w:r>
        <w:rPr>
          <w:rFonts w:hint="eastAsia" w:ascii="仿宋_GB2312" w:hAnsi="仿宋_GB2312" w:eastAsia="仿宋_GB2312" w:cs="仿宋_GB2312"/>
          <w:color w:val="auto"/>
          <w:kern w:val="0"/>
          <w:sz w:val="24"/>
          <w:highlight w:val="none"/>
        </w:rPr>
        <w:t>评标委员会应当对符合资格的投标人的投标文件进行符合性审查，以确定其是否满足招标文件的实质性要求。不满足招标文件的实质性要求的，投标无效。符合性审查内容如下：</w:t>
      </w:r>
    </w:p>
    <w:tbl>
      <w:tblPr>
        <w:tblStyle w:val="6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6571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7477125">
            <w:pPr>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序号</w:t>
            </w:r>
          </w:p>
        </w:tc>
        <w:tc>
          <w:tcPr>
            <w:tcW w:w="4179" w:type="dxa"/>
            <w:vAlign w:val="center"/>
          </w:tcPr>
          <w:p w14:paraId="7C6E3BFB">
            <w:pPr>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审查因素</w:t>
            </w:r>
          </w:p>
        </w:tc>
        <w:tc>
          <w:tcPr>
            <w:tcW w:w="4179" w:type="dxa"/>
            <w:vAlign w:val="center"/>
          </w:tcPr>
          <w:p w14:paraId="2D0126BB">
            <w:pPr>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审查标准</w:t>
            </w:r>
          </w:p>
        </w:tc>
      </w:tr>
      <w:tr w14:paraId="54CC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13853C0">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4179" w:type="dxa"/>
            <w:vAlign w:val="center"/>
          </w:tcPr>
          <w:p w14:paraId="5B2DDC72">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供应商或联合体牵头人或联合体成员名称</w:t>
            </w:r>
          </w:p>
        </w:tc>
        <w:tc>
          <w:tcPr>
            <w:tcW w:w="4179" w:type="dxa"/>
            <w:vAlign w:val="center"/>
          </w:tcPr>
          <w:p w14:paraId="4AF52A3B">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与电子交易平台中一致。</w:t>
            </w:r>
          </w:p>
        </w:tc>
      </w:tr>
      <w:tr w14:paraId="2118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D6FC50D">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4179" w:type="dxa"/>
            <w:vAlign w:val="center"/>
          </w:tcPr>
          <w:p w14:paraId="090B3BEE">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授权委托书或法定代表人（单位负责人、自然人本人）身份证明</w:t>
            </w:r>
          </w:p>
        </w:tc>
        <w:tc>
          <w:tcPr>
            <w:tcW w:w="4179" w:type="dxa"/>
            <w:vAlign w:val="center"/>
          </w:tcPr>
          <w:p w14:paraId="6DEB445A">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授权委托书或法定代表人（单位负责人、自然人本人）身份证明有效，盖章齐全。</w:t>
            </w:r>
          </w:p>
        </w:tc>
      </w:tr>
      <w:tr w14:paraId="476E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EDD936C">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4179" w:type="dxa"/>
            <w:vAlign w:val="center"/>
          </w:tcPr>
          <w:p w14:paraId="7A1491A4">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投标有效期</w:t>
            </w:r>
          </w:p>
        </w:tc>
        <w:tc>
          <w:tcPr>
            <w:tcW w:w="4179" w:type="dxa"/>
            <w:vAlign w:val="center"/>
          </w:tcPr>
          <w:p w14:paraId="054499C3">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符合采购文件</w:t>
            </w:r>
            <w:r>
              <w:rPr>
                <w:rFonts w:hint="eastAsia" w:ascii="仿宋_GB2312" w:hAnsi="仿宋_GB2312" w:eastAsia="仿宋_GB2312" w:cs="仿宋_GB2312"/>
                <w:color w:val="auto"/>
                <w:szCs w:val="21"/>
                <w:highlight w:val="none"/>
                <w:lang w:val="zh-CN"/>
              </w:rPr>
              <w:t>规定。投标有效期为从提交投标文件的截止之日起90天。</w:t>
            </w:r>
          </w:p>
        </w:tc>
      </w:tr>
      <w:tr w14:paraId="7533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7C449D4">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4179" w:type="dxa"/>
            <w:vAlign w:val="center"/>
          </w:tcPr>
          <w:p w14:paraId="241FC5B3">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投标文件签署、盖章</w:t>
            </w:r>
          </w:p>
        </w:tc>
        <w:tc>
          <w:tcPr>
            <w:tcW w:w="4179" w:type="dxa"/>
            <w:vAlign w:val="center"/>
          </w:tcPr>
          <w:p w14:paraId="7DA6966B">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投标文件由供应商在规定位置盖章，投标文件必须由法定代表人或授权代表签署。</w:t>
            </w:r>
          </w:p>
        </w:tc>
      </w:tr>
      <w:tr w14:paraId="0406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1DB27A6A">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179" w:type="dxa"/>
            <w:vAlign w:val="center"/>
          </w:tcPr>
          <w:p w14:paraId="627B72D2">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投标文件内容</w:t>
            </w:r>
          </w:p>
        </w:tc>
        <w:tc>
          <w:tcPr>
            <w:tcW w:w="4179" w:type="dxa"/>
            <w:vAlign w:val="center"/>
          </w:tcPr>
          <w:p w14:paraId="6F0940B0">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对采购文件作出实质性响应。</w:t>
            </w:r>
          </w:p>
        </w:tc>
      </w:tr>
      <w:tr w14:paraId="11A9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3060165">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179" w:type="dxa"/>
            <w:vAlign w:val="center"/>
          </w:tcPr>
          <w:p w14:paraId="551D0805">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报价有效且唯一</w:t>
            </w:r>
          </w:p>
        </w:tc>
        <w:tc>
          <w:tcPr>
            <w:tcW w:w="4179" w:type="dxa"/>
            <w:vAlign w:val="center"/>
          </w:tcPr>
          <w:p w14:paraId="6889E725">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lang w:val="zh-CN"/>
              </w:rPr>
              <w:t>报价不能超过预算金额或者最高限价，</w:t>
            </w:r>
            <w:r>
              <w:rPr>
                <w:rFonts w:hint="eastAsia" w:ascii="仿宋_GB2312" w:hAnsi="仿宋_GB2312" w:eastAsia="仿宋_GB2312" w:cs="仿宋_GB2312"/>
                <w:color w:val="auto"/>
                <w:szCs w:val="21"/>
                <w:highlight w:val="none"/>
              </w:rPr>
              <w:t>只允许有一个报价，有选择的或有条件的报价将不予接受。</w:t>
            </w:r>
          </w:p>
        </w:tc>
      </w:tr>
      <w:tr w14:paraId="7720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421B7CB">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4179" w:type="dxa"/>
            <w:vAlign w:val="center"/>
          </w:tcPr>
          <w:p w14:paraId="79C7309D">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w:t>
            </w:r>
          </w:p>
        </w:tc>
        <w:tc>
          <w:tcPr>
            <w:tcW w:w="4179" w:type="dxa"/>
            <w:vAlign w:val="center"/>
          </w:tcPr>
          <w:p w14:paraId="03151A4F">
            <w:pPr>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未出现本评标办法“</w:t>
            </w:r>
            <w:r>
              <w:rPr>
                <w:rFonts w:hint="eastAsia" w:ascii="仿宋_GB2312" w:hAnsi="仿宋_GB2312" w:eastAsia="仿宋_GB2312" w:cs="仿宋_GB2312"/>
                <w:color w:val="auto"/>
                <w:szCs w:val="21"/>
                <w:highlight w:val="none"/>
              </w:rPr>
              <w:t>5.1投标无效的情况</w:t>
            </w:r>
            <w:r>
              <w:rPr>
                <w:rFonts w:hint="eastAsia" w:ascii="仿宋_GB2312" w:hAnsi="仿宋_GB2312" w:eastAsia="仿宋_GB2312" w:cs="仿宋_GB2312"/>
                <w:color w:val="auto"/>
                <w:szCs w:val="21"/>
                <w:highlight w:val="none"/>
                <w:lang w:val="zh-CN"/>
              </w:rPr>
              <w:t>”中的情况。</w:t>
            </w:r>
          </w:p>
        </w:tc>
      </w:tr>
    </w:tbl>
    <w:p w14:paraId="3F06B83D">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4.8.2</w:t>
      </w:r>
      <w:r>
        <w:rPr>
          <w:rFonts w:hint="eastAsia" w:ascii="仿宋_GB2312" w:hAnsi="仿宋_GB2312" w:eastAsia="仿宋_GB2312" w:cs="仿宋_GB2312"/>
          <w:b/>
          <w:color w:val="auto"/>
          <w:kern w:val="0"/>
          <w:sz w:val="24"/>
          <w:highlight w:val="none"/>
        </w:rPr>
        <w:t>比较与评价。</w:t>
      </w:r>
      <w:r>
        <w:rPr>
          <w:rFonts w:hint="eastAsia" w:ascii="仿宋_GB2312" w:hAnsi="仿宋_GB2312" w:eastAsia="仿宋_GB2312" w:cs="仿宋_GB2312"/>
          <w:color w:val="auto"/>
          <w:kern w:val="0"/>
          <w:sz w:val="24"/>
          <w:highlight w:val="none"/>
        </w:rPr>
        <w:t>评标委员会应当按照招标文件中规定的评标方法和标准，依法独立对符合性审查合格的投标文件进行评估，综合比较并给与评价或打分，不受任何单位和个人的干预。</w:t>
      </w:r>
    </w:p>
    <w:p w14:paraId="1648E092">
      <w:pPr>
        <w:snapToGrid w:val="0"/>
        <w:spacing w:line="360" w:lineRule="auto"/>
        <w:ind w:firstLine="480" w:firstLineChars="200"/>
        <w:rPr>
          <w:rFonts w:ascii="仿宋_GB2312" w:hAnsi="仿宋_GB2312" w:eastAsia="仿宋" w:cs="仿宋_GB2312"/>
          <w:color w:val="auto"/>
          <w:kern w:val="0"/>
          <w:sz w:val="24"/>
          <w:highlight w:val="none"/>
        </w:rPr>
      </w:pPr>
      <w:r>
        <w:rPr>
          <w:rFonts w:hint="eastAsia" w:ascii="仿宋_GB2312" w:hAnsi="仿宋_GB2312" w:eastAsia="仿宋_GB2312" w:cs="仿宋_GB2312"/>
          <w:color w:val="auto"/>
          <w:kern w:val="0"/>
          <w:sz w:val="24"/>
          <w:highlight w:val="none"/>
        </w:rPr>
        <w:t>4.8.3</w:t>
      </w:r>
      <w:r>
        <w:rPr>
          <w:rFonts w:hint="eastAsia" w:ascii="仿宋_GB2312" w:hAnsi="仿宋_GB2312" w:eastAsia="仿宋_GB2312" w:cs="仿宋_GB2312"/>
          <w:b/>
          <w:color w:val="auto"/>
          <w:kern w:val="0"/>
          <w:sz w:val="24"/>
          <w:highlight w:val="none"/>
        </w:rPr>
        <w:t>汇总商务技术得分。</w:t>
      </w:r>
      <w:r>
        <w:rPr>
          <w:rFonts w:hint="eastAsia" w:ascii="仿宋_GB2312" w:hAnsi="仿宋_GB2312" w:eastAsia="仿宋_GB2312" w:cs="仿宋_GB2312"/>
          <w:color w:val="auto"/>
          <w:kern w:val="0"/>
          <w:sz w:val="24"/>
          <w:highlight w:val="none"/>
        </w:rPr>
        <w:t>评标委员会各成员应当独立对每个投标人的商务和技术文件进行评价，并汇总商务技术得分情况。</w:t>
      </w:r>
      <w:r>
        <w:rPr>
          <w:rFonts w:hint="eastAsia" w:ascii="仿宋_GB2312" w:hAnsi="仿宋_GB2312" w:eastAsia="仿宋_GB2312" w:cs="仿宋_GB2312"/>
          <w:color w:val="auto"/>
          <w:sz w:val="24"/>
          <w:highlight w:val="none"/>
        </w:rPr>
        <w:t>对明显畸高、畸低的评分（</w:t>
      </w:r>
      <w:r>
        <w:rPr>
          <w:rFonts w:hint="eastAsia" w:ascii="仿宋_GB2312" w:hAnsi="仿宋_GB2312" w:eastAsia="仿宋_GB2312" w:cs="仿宋_GB2312"/>
          <w:color w:val="auto"/>
          <w:kern w:val="0"/>
          <w:sz w:val="24"/>
          <w:highlight w:val="none"/>
        </w:rPr>
        <w:t>评标委员会成员个人</w:t>
      </w:r>
      <w:r>
        <w:rPr>
          <w:rFonts w:hint="eastAsia" w:ascii="仿宋_GB2312" w:hAnsi="仿宋_GB2312" w:eastAsia="仿宋_GB2312" w:cs="仿宋_GB2312"/>
          <w:color w:val="auto"/>
          <w:sz w:val="24"/>
          <w:highlight w:val="none"/>
        </w:rPr>
        <w:t>其商务技术主观分总评分偏离平均分30%以上的），评标委员会组长应提醒相关评审人员进行复核或书面说明理由，评审人员拒绝说明的，由现场监督员据实记录。</w:t>
      </w:r>
    </w:p>
    <w:p w14:paraId="37572CBC">
      <w:pPr>
        <w:spacing w:line="360" w:lineRule="auto"/>
        <w:ind w:firstLine="482" w:firstLineChars="200"/>
        <w:outlineLvl w:val="2"/>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4.8.4报价评审。</w:t>
      </w:r>
    </w:p>
    <w:p w14:paraId="556D8020">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4.8.4.1投标文件报价出现前后不一致的，按照下列规定修正：</w:t>
      </w:r>
    </w:p>
    <w:p w14:paraId="329D175C">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A.投标文件中开标一览表（报价表）内容与投标文件中相应内容不一致的，以开标一览表（报价表）为准;</w:t>
      </w:r>
    </w:p>
    <w:p w14:paraId="63EB3F70">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B.大写金额和小写金额不一致的，以大写金额为准;</w:t>
      </w:r>
    </w:p>
    <w:p w14:paraId="4C7DA08F">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C.单价金额小数点或者百分比有明显错位的，以开标一览表（报价表）的总价为准，并修改单价;</w:t>
      </w:r>
    </w:p>
    <w:p w14:paraId="77CA906B">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D.总价金额与按单价汇总金额不一致的，以单价金额计算结果为准。</w:t>
      </w:r>
    </w:p>
    <w:p w14:paraId="5D8E9CB7">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E.同时出现两种以上不一致的，按照4.8.4.1规定的顺序修正。修正后的报价按照财政部第87号令 《政府采购货物和服务招标投标管理办法》第五十一条第二款的规定经投标人确认后产生约束力。</w:t>
      </w:r>
    </w:p>
    <w:p w14:paraId="7D72E66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4.8.4.2投标文件出现不是唯一的、有选择性投标报价的，投标无效。</w:t>
      </w:r>
    </w:p>
    <w:p w14:paraId="485A639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4.8.4.3投标报价超过招标文件中规定的预算金额或者最高限价的，投标无效。</w:t>
      </w:r>
    </w:p>
    <w:p w14:paraId="381DE564">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2A0318">
      <w:pPr>
        <w:pStyle w:val="150"/>
        <w:ind w:firstLine="48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4"/>
          <w:highlight w:val="none"/>
        </w:rPr>
        <w:t>4.8.4.5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852847">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kern w:val="0"/>
          <w:sz w:val="24"/>
          <w:highlight w:val="none"/>
        </w:rPr>
        <w:t>4.9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评标委员会和投标人通过电子交易平台交换数据电文，投标人提交使用电子签名的相关数据电文或通过平台上传加盖公章的扫描件。给予投标人不少于半小时的时间提交澄清、说明，投标人已经明确表示澄清说明完毕的除外。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2464752A">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4.10评审人员需对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3DEE7A2">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4.11评标委员会根据评审汇总情况和招标文件规定确定中标候选供应商排序名单。</w:t>
      </w:r>
      <w:r>
        <w:rPr>
          <w:rFonts w:hint="eastAsia" w:ascii="仿宋_GB2312" w:hAnsi="仿宋_GB2312" w:eastAsia="仿宋_GB2312" w:cs="仿宋_GB2312"/>
          <w:color w:val="auto"/>
          <w:kern w:val="0"/>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97EB5A">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4.12</w:t>
      </w:r>
      <w:r>
        <w:rPr>
          <w:rFonts w:hint="eastAsia" w:ascii="仿宋_GB2312" w:hAnsi="仿宋_GB2312" w:eastAsia="仿宋_GB2312" w:cs="仿宋_GB2312"/>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采购代理机构</w:t>
      </w:r>
      <w:r>
        <w:rPr>
          <w:rFonts w:hint="eastAsia" w:ascii="仿宋_GB2312" w:hAnsi="仿宋_GB2312" w:eastAsia="仿宋_GB2312" w:cs="仿宋_GB2312"/>
          <w:bCs/>
          <w:color w:val="auto"/>
          <w:sz w:val="24"/>
          <w:highlight w:val="none"/>
        </w:rPr>
        <w:t>做好评审现场相关记录，协助评标委员会组长做好评审报告起草、有关内容电脑文字录入等工作，并要求评标委员会各成员签字确认。</w:t>
      </w:r>
    </w:p>
    <w:p w14:paraId="7CD8871F">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4.13评审结束后，采购代理机构按规定向评审专家发放评审费，并交还评审人员及其他现场相关人员的通讯工具。</w:t>
      </w:r>
    </w:p>
    <w:p w14:paraId="095D9FBF">
      <w:pPr>
        <w:spacing w:line="360" w:lineRule="auto"/>
        <w:ind w:firstLine="470" w:firstLineChars="196"/>
        <w:rPr>
          <w:rFonts w:ascii="仿宋_GB2312" w:hAnsi="仿宋_GB2312" w:eastAsia="仿宋_GB2312" w:cs="仿宋_GB2312"/>
          <w:b/>
          <w:color w:val="auto"/>
          <w:kern w:val="0"/>
          <w:sz w:val="24"/>
          <w:highlight w:val="none"/>
        </w:rPr>
      </w:pPr>
      <w:r>
        <w:rPr>
          <w:rFonts w:hint="eastAsia" w:ascii="仿宋_GB2312" w:hAnsi="仿宋_GB2312" w:eastAsia="仿宋_GB2312" w:cs="仿宋_GB2312"/>
          <w:bCs/>
          <w:color w:val="auto"/>
          <w:sz w:val="24"/>
          <w:highlight w:val="none"/>
        </w:rPr>
        <w:t>4.14采购代理机构将在《中标(成交)结果公告》中，公开评标委员会对每个投标人的《评分明细》以及《得分汇总表》情况。</w:t>
      </w:r>
    </w:p>
    <w:p w14:paraId="14FBA422">
      <w:pPr>
        <w:pStyle w:val="150"/>
        <w:spacing w:before="0"/>
        <w:ind w:firstLine="0" w:firstLineChars="0"/>
        <w:outlineLvl w:val="1"/>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五、评标中的其他事项</w:t>
      </w:r>
    </w:p>
    <w:p w14:paraId="26A2FF90">
      <w:pPr>
        <w:pStyle w:val="27"/>
        <w:spacing w:line="360" w:lineRule="auto"/>
        <w:ind w:left="954" w:leftChars="226" w:hanging="479" w:firstLineChars="0"/>
        <w:outlineLvl w:val="2"/>
        <w:rPr>
          <w:rFonts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highlight w:val="none"/>
        </w:rPr>
        <w:t>5.1投标无效的情况。</w:t>
      </w:r>
      <w:r>
        <w:rPr>
          <w:rFonts w:hint="eastAsia" w:ascii="仿宋_GB2312" w:hAnsi="仿宋_GB2312" w:eastAsia="仿宋_GB2312" w:cs="仿宋_GB2312"/>
          <w:color w:val="auto"/>
          <w:szCs w:val="21"/>
          <w:highlight w:val="none"/>
        </w:rPr>
        <w:t>有下列情况之一的，投标无效：</w:t>
      </w:r>
    </w:p>
    <w:p w14:paraId="62DC623F">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5.1.1投标人不具备招标文件中规定的资格要求的（投标人未提供有效的资格文件的，未按照招标文件要求提供与资格条件相应的有效资格证明材料的，均视为投标人不具备招标文件中规定的资格要求）；</w:t>
      </w:r>
    </w:p>
    <w:p w14:paraId="6857CCB6">
      <w:pPr>
        <w:spacing w:line="360" w:lineRule="auto"/>
        <w:ind w:firstLine="480" w:firstLineChars="200"/>
        <w:outlineLvl w:val="3"/>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5.1.2投标文件未按照招标文件要求签署、盖章的；</w:t>
      </w:r>
    </w:p>
    <w:p w14:paraId="0B051CA3">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5.1.3采购人拟采购的产品属于政府强制采购的节能产品品目清单范围的，投标人相应的投标产品未获得国家确定的认证机构出具的、处于有效期之内的节能产品认证证书的；</w:t>
      </w:r>
    </w:p>
    <w:p w14:paraId="5E703836">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5.1.4投标文件含有采购人不能接受的附加条件的（</w:t>
      </w:r>
      <w:r>
        <w:rPr>
          <w:rFonts w:hint="eastAsia" w:ascii="仿宋_GB2312" w:hAnsi="仿宋_GB2312" w:eastAsia="仿宋_GB2312" w:cs="仿宋_GB2312"/>
          <w:color w:val="auto"/>
          <w:kern w:val="0"/>
          <w:sz w:val="24"/>
          <w:highlight w:val="none"/>
          <w:lang w:val="zh-CN"/>
        </w:rPr>
        <w:t>投标人未按开标一览表（报价表）格式填写的，采购内容未包含在《开标一览表（报价表）》名称栏中</w:t>
      </w:r>
      <w:r>
        <w:rPr>
          <w:rFonts w:hint="eastAsia" w:ascii="仿宋_GB2312" w:hAnsi="仿宋_GB2312" w:eastAsia="仿宋_GB2312" w:cs="仿宋_GB2312"/>
          <w:color w:val="auto"/>
          <w:kern w:val="0"/>
          <w:sz w:val="24"/>
          <w:highlight w:val="none"/>
        </w:rPr>
        <w:t>或数量少于采购需求的</w:t>
      </w:r>
      <w:r>
        <w:rPr>
          <w:rFonts w:hint="eastAsia" w:ascii="仿宋_GB2312" w:hAnsi="仿宋_GB2312" w:eastAsia="仿宋_GB2312" w:cs="仿宋_GB2312"/>
          <w:color w:val="auto"/>
          <w:kern w:val="0"/>
          <w:sz w:val="24"/>
          <w:highlight w:val="none"/>
          <w:lang w:val="zh-CN"/>
        </w:rPr>
        <w:t>，投标人不能作出合理解释的，均视为投标文件含有采购人不能接受的附加条件</w:t>
      </w:r>
      <w:r>
        <w:rPr>
          <w:rFonts w:hint="eastAsia" w:ascii="仿宋_GB2312" w:hAnsi="仿宋_GB2312" w:eastAsia="仿宋_GB2312" w:cs="仿宋_GB2312"/>
          <w:color w:val="auto"/>
          <w:kern w:val="0"/>
          <w:sz w:val="24"/>
          <w:highlight w:val="none"/>
        </w:rPr>
        <w:t>）；</w:t>
      </w:r>
    </w:p>
    <w:p w14:paraId="22A5DB88">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5.1.5投标文件中承诺的投标有效期少于招标文件中载明的投标有效期的；</w:t>
      </w:r>
    </w:p>
    <w:p w14:paraId="0556B073">
      <w:pPr>
        <w:spacing w:line="36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5.1.6在原定投标有效期满之前，如果出现特殊情况，采购代理机构以书面形式通知投标人延长投标有效期，投标人拒绝延长的；</w:t>
      </w:r>
    </w:p>
    <w:p w14:paraId="2B7F323E">
      <w:pPr>
        <w:snapToGrid w:val="0"/>
        <w:spacing w:line="360" w:lineRule="auto"/>
        <w:ind w:firstLine="120" w:firstLineChars="50"/>
        <w:jc w:val="left"/>
        <w:outlineLvl w:val="3"/>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5.1.7投标文件出现不是唯一的、有选择性投标报价的;</w:t>
      </w:r>
    </w:p>
    <w:p w14:paraId="466F16F3">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5.1.8投标报价超过招标文件中规定的预算金额或者最高限价的;</w:t>
      </w:r>
    </w:p>
    <w:p w14:paraId="2E564CAD">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5.1.9报价明显低于其他通过符合性审查投标人的报价，有可能影响产品质量或者不能诚信履约的，未能按要求提供书面说明或者提交相关证明材料，不能证明其报价合理性的;</w:t>
      </w:r>
    </w:p>
    <w:p w14:paraId="4FE705C7">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5.1.10投标人对根据修正原则修正后的报价不确认的；</w:t>
      </w:r>
    </w:p>
    <w:p w14:paraId="5D260C6E">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5.1.11投标人提供虚假材料投标的；</w:t>
      </w:r>
    </w:p>
    <w:p w14:paraId="752BD6D5">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5.1.12投标人有恶意串通、妨碍其他投标人的竞争行为、损害采购人或者其他投标人的合法权益情形的；</w:t>
      </w:r>
    </w:p>
    <w:p w14:paraId="4E544979">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5.1.13招标文件要求提供样品，投标人未提供样品或提供的样品不满足采购需求实质性条件的；</w:t>
      </w:r>
    </w:p>
    <w:p w14:paraId="2F083D8A">
      <w:pPr>
        <w:spacing w:line="360" w:lineRule="auto"/>
        <w:ind w:firstLine="480" w:firstLineChars="200"/>
        <w:outlineLvl w:val="3"/>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5.1.14投标文件不满足招标文件的其它实质性要求的；</w:t>
      </w:r>
    </w:p>
    <w:p w14:paraId="48E56433">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5.1.15法律、法规、规章（适用本市的）及省级以上规范性文件（适用本市的）规定的其他无效情形。</w:t>
      </w:r>
    </w:p>
    <w:p w14:paraId="23746449">
      <w:pPr>
        <w:pStyle w:val="27"/>
        <w:snapToGrid w:val="0"/>
        <w:spacing w:line="360" w:lineRule="auto"/>
        <w:ind w:firstLine="472" w:firstLineChars="196"/>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5.2废标。</w:t>
      </w:r>
      <w:r>
        <w:rPr>
          <w:rFonts w:hint="eastAsia" w:ascii="仿宋_GB2312" w:hAnsi="仿宋_GB2312" w:eastAsia="仿宋_GB2312" w:cs="仿宋_GB2312"/>
          <w:color w:val="auto"/>
          <w:highlight w:val="none"/>
        </w:rPr>
        <w:t>根据《中华人民共和国政府采购法》第三十六条之规定，在采购中，出现下列情形之一的，应予废标：</w:t>
      </w:r>
    </w:p>
    <w:p w14:paraId="2A50C845">
      <w:pPr>
        <w:pStyle w:val="27"/>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5.2.1符合专业条件的供应商或者对招标文件作实质响应的供应商不足3家的；</w:t>
      </w:r>
    </w:p>
    <w:p w14:paraId="7B3144A4">
      <w:pPr>
        <w:pStyle w:val="27"/>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5.2.2出现影响采购公正的违法、违规行为的；</w:t>
      </w:r>
    </w:p>
    <w:p w14:paraId="313271F0">
      <w:pPr>
        <w:pStyle w:val="27"/>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5.2.3投标人的报价均超过了采购预算，采购人不能支付的；</w:t>
      </w:r>
    </w:p>
    <w:p w14:paraId="2489884F">
      <w:pPr>
        <w:pStyle w:val="27"/>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5.2.4因重大变故，采购任务取消的。</w:t>
      </w:r>
    </w:p>
    <w:p w14:paraId="141F8620">
      <w:pPr>
        <w:pStyle w:val="27"/>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废标后，采购代理机构应当将废标理由通知所有投标人。</w:t>
      </w:r>
    </w:p>
    <w:p w14:paraId="60579842">
      <w:pPr>
        <w:pStyle w:val="27"/>
        <w:snapToGrid w:val="0"/>
        <w:spacing w:line="360" w:lineRule="auto"/>
        <w:ind w:firstLine="590" w:firstLineChars="245"/>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5.3修改招标文件，重新组织采购活动。</w:t>
      </w:r>
      <w:r>
        <w:rPr>
          <w:rFonts w:hint="eastAsia" w:ascii="仿宋_GB2312" w:hAnsi="仿宋_GB2312" w:eastAsia="仿宋_GB2312"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766D95">
      <w:pPr>
        <w:pStyle w:val="27"/>
        <w:snapToGrid w:val="0"/>
        <w:spacing w:line="360" w:lineRule="auto"/>
        <w:ind w:firstLine="590" w:firstLineChars="245"/>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5.4重新开展采购。</w:t>
      </w:r>
      <w:r>
        <w:rPr>
          <w:rFonts w:hint="eastAsia" w:ascii="仿宋_GB2312" w:hAnsi="仿宋_GB2312" w:eastAsia="仿宋_GB2312" w:cs="仿宋_GB2312"/>
          <w:color w:val="auto"/>
          <w:highlight w:val="none"/>
        </w:rPr>
        <w:t>有政府采购法第七十一条、第七十二条规定的违法行为之一，影响或者可能影响中标结果的，依照下列规定处理：</w:t>
      </w:r>
    </w:p>
    <w:p w14:paraId="69336EE9">
      <w:pPr>
        <w:pStyle w:val="27"/>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5.4.1未确定中标供应商的，终止本次政府采购活动，重新开展政府采购活动。</w:t>
      </w:r>
    </w:p>
    <w:p w14:paraId="070D0E0B">
      <w:pPr>
        <w:pStyle w:val="27"/>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5.4.2已确定中标供应商但尚未签订政府采购合同的，中标结果无效，从合格的中标候选人中另行确定中标人；没有合格的中标候选人的，重新开展政府采购活动。</w:t>
      </w:r>
    </w:p>
    <w:p w14:paraId="51DD9F22">
      <w:pPr>
        <w:pStyle w:val="27"/>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5.4.3政府采购合同已签订但尚未履行的，撤销合同，从合格的中标候选人中另行确定中标人；没有合格的中标候选人的，重新开展政府采购活动。</w:t>
      </w:r>
    </w:p>
    <w:p w14:paraId="65363D3F">
      <w:pPr>
        <w:pStyle w:val="27"/>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5.4.4政府采购合同已经履行，给采购人、供应商造成损失的，由责任人承担赔偿责任。</w:t>
      </w:r>
    </w:p>
    <w:p w14:paraId="3C68EF5C">
      <w:pPr>
        <w:pStyle w:val="27"/>
        <w:snapToGrid w:val="0"/>
        <w:spacing w:line="360" w:lineRule="auto"/>
        <w:rPr>
          <w:rFonts w:ascii="仿宋_GB2312" w:hAnsi="仿宋_GB2312" w:eastAsia="仿宋_GB2312" w:cs="仿宋_GB2312"/>
          <w:color w:val="auto"/>
          <w:highlight w:val="none"/>
        </w:rPr>
        <w:sectPr>
          <w:pgSz w:w="11907" w:h="16840"/>
          <w:pgMar w:top="680" w:right="1417" w:bottom="471" w:left="1417" w:header="851" w:footer="851" w:gutter="0"/>
          <w:cols w:space="720" w:num="1"/>
        </w:sectPr>
      </w:pPr>
      <w:r>
        <w:rPr>
          <w:rFonts w:hint="eastAsia" w:ascii="仿宋_GB2312" w:hAnsi="仿宋_GB2312" w:eastAsia="仿宋_GB2312" w:cs="仿宋_GB2312"/>
          <w:color w:val="auto"/>
          <w:highlight w:val="none"/>
        </w:rPr>
        <w:t>5.4.5政府采购当事人有其他违反政府采购法</w:t>
      </w:r>
      <w:r>
        <w:rPr>
          <w:rFonts w:hint="eastAsia" w:ascii="仿宋_GB2312" w:hAnsi="仿宋_GB2312" w:eastAsia="仿宋_GB2312" w:cs="仿宋_GB2312"/>
          <w:color w:val="auto"/>
          <w:kern w:val="0"/>
          <w:highlight w:val="none"/>
        </w:rPr>
        <w:t>或者政府采购法实施条例等法律法规规定</w:t>
      </w:r>
      <w:r>
        <w:rPr>
          <w:rFonts w:hint="eastAsia" w:ascii="仿宋_GB2312" w:hAnsi="仿宋_GB2312" w:eastAsia="仿宋_GB2312" w:cs="仿宋_GB2312"/>
          <w:color w:val="auto"/>
          <w:highlight w:val="none"/>
        </w:rPr>
        <w:t>的行为，经改正后仍然影响或者可能影响中标结果或者依法被认定为中标无效的，依照5.4.1-5.4.4规定处理。</w:t>
      </w:r>
      <w:bookmarkEnd w:id="25"/>
    </w:p>
    <w:p w14:paraId="5CBC9DF8">
      <w:pPr>
        <w:spacing w:line="360" w:lineRule="auto"/>
        <w:ind w:left="720" w:leftChars="343" w:firstLine="1084" w:firstLineChars="300"/>
        <w:outlineLvl w:val="0"/>
        <w:rPr>
          <w:rFonts w:ascii="仿宋_GB2312" w:hAnsi="仿宋_GB2312" w:eastAsia="仿宋_GB2312" w:cs="仿宋_GB2312"/>
          <w:b/>
          <w:color w:val="auto"/>
          <w:sz w:val="36"/>
          <w:szCs w:val="36"/>
          <w:highlight w:val="none"/>
        </w:rPr>
      </w:pPr>
      <w:bookmarkStart w:id="391" w:name="第五部分"/>
      <w:bookmarkStart w:id="392" w:name="_Toc86217003"/>
      <w:r>
        <w:rPr>
          <w:rFonts w:hint="eastAsia" w:ascii="仿宋_GB2312" w:hAnsi="仿宋_GB2312" w:eastAsia="仿宋_GB2312" w:cs="仿宋_GB2312"/>
          <w:b/>
          <w:color w:val="auto"/>
          <w:sz w:val="36"/>
          <w:szCs w:val="36"/>
          <w:highlight w:val="none"/>
        </w:rPr>
        <w:t>第五部分 拟签订的合同文本</w:t>
      </w:r>
    </w:p>
    <w:p w14:paraId="0C9386BE">
      <w:pP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合同编号：</w:t>
      </w:r>
      <w:r>
        <w:rPr>
          <w:rFonts w:hint="eastAsia" w:ascii="仿宋_GB2312" w:hAnsi="仿宋_GB2312" w:eastAsia="仿宋_GB2312" w:cs="仿宋_GB2312"/>
          <w:color w:val="auto"/>
          <w:sz w:val="24"/>
          <w:highlight w:val="none"/>
          <w:u w:val="single"/>
        </w:rPr>
        <w:t xml:space="preserve">           </w:t>
      </w:r>
    </w:p>
    <w:p w14:paraId="58B9A88C">
      <w:pPr>
        <w:spacing w:line="480" w:lineRule="auto"/>
        <w:jc w:val="center"/>
        <w:rPr>
          <w:rFonts w:ascii="仿宋_GB2312" w:hAnsi="仿宋_GB2312" w:eastAsia="仿宋_GB2312" w:cs="仿宋_GB2312"/>
          <w:b/>
          <w:color w:val="auto"/>
          <w:sz w:val="24"/>
          <w:highlight w:val="none"/>
        </w:rPr>
      </w:pPr>
    </w:p>
    <w:p w14:paraId="24B081E5">
      <w:pPr>
        <w:spacing w:before="120" w:line="360" w:lineRule="auto"/>
        <w:jc w:val="center"/>
        <w:outlineLvl w:val="1"/>
        <w:rPr>
          <w:rFonts w:ascii="仿宋_GB2312" w:hAnsi="仿宋_GB2312" w:eastAsia="仿宋_GB2312" w:cs="仿宋_GB2312"/>
          <w:color w:val="auto"/>
          <w:sz w:val="44"/>
          <w:szCs w:val="44"/>
          <w:highlight w:val="none"/>
        </w:rPr>
      </w:pPr>
      <w:r>
        <w:rPr>
          <w:rFonts w:hint="eastAsia" w:ascii="仿宋_GB2312" w:hAnsi="仿宋_GB2312" w:eastAsia="仿宋_GB2312" w:cs="仿宋_GB2312"/>
          <w:b/>
          <w:color w:val="auto"/>
          <w:sz w:val="44"/>
          <w:szCs w:val="44"/>
          <w:highlight w:val="none"/>
          <w:lang w:eastAsia="zh-CN"/>
        </w:rPr>
        <w:t>新湾街道2025年雪亮工程二期续建项目</w:t>
      </w:r>
      <w:r>
        <w:rPr>
          <w:rFonts w:hint="eastAsia" w:ascii="仿宋_GB2312" w:hAnsi="仿宋_GB2312" w:eastAsia="仿宋_GB2312" w:cs="仿宋_GB2312"/>
          <w:b/>
          <w:color w:val="auto"/>
          <w:sz w:val="44"/>
          <w:szCs w:val="44"/>
          <w:highlight w:val="none"/>
        </w:rPr>
        <w:t>合同</w:t>
      </w:r>
    </w:p>
    <w:p w14:paraId="1B8810EE">
      <w:pPr>
        <w:pStyle w:val="711"/>
        <w:ind w:left="0" w:leftChars="0" w:firstLine="0" w:firstLineChars="0"/>
        <w:rPr>
          <w:rFonts w:ascii="仿宋_GB2312" w:hAnsi="仿宋_GB2312" w:eastAsia="仿宋_GB2312" w:cs="仿宋_GB2312"/>
          <w:color w:val="auto"/>
          <w:szCs w:val="24"/>
          <w:highlight w:val="none"/>
        </w:rPr>
      </w:pPr>
    </w:p>
    <w:p w14:paraId="1930333D">
      <w:pPr>
        <w:pStyle w:val="711"/>
        <w:jc w:val="center"/>
        <w:rPr>
          <w:rFonts w:ascii="仿宋_GB2312" w:hAnsi="仿宋_GB2312" w:eastAsia="仿宋_GB2312" w:cs="仿宋_GB2312"/>
          <w:color w:val="auto"/>
          <w:szCs w:val="24"/>
          <w:highlight w:val="none"/>
        </w:rPr>
      </w:pPr>
    </w:p>
    <w:p w14:paraId="24F5E6E2">
      <w:pPr>
        <w:pStyle w:val="711"/>
        <w:ind w:firstLine="2843" w:firstLineChars="1180"/>
        <w:outlineLvl w:val="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第一部分 合同书</w:t>
      </w:r>
    </w:p>
    <w:p w14:paraId="298BD5B5">
      <w:pPr>
        <w:pStyle w:val="711"/>
        <w:rPr>
          <w:rFonts w:ascii="仿宋_GB2312" w:hAnsi="仿宋_GB2312" w:eastAsia="仿宋_GB2312" w:cs="仿宋_GB2312"/>
          <w:color w:val="auto"/>
          <w:szCs w:val="24"/>
          <w:highlight w:val="none"/>
        </w:rPr>
      </w:pPr>
    </w:p>
    <w:p w14:paraId="67AA3EEF">
      <w:pPr>
        <w:pStyle w:val="711"/>
        <w:rPr>
          <w:rFonts w:ascii="仿宋_GB2312" w:hAnsi="仿宋_GB2312" w:eastAsia="仿宋_GB2312" w:cs="仿宋_GB2312"/>
          <w:color w:val="auto"/>
          <w:szCs w:val="24"/>
          <w:highlight w:val="none"/>
        </w:rPr>
      </w:pPr>
    </w:p>
    <w:p w14:paraId="4B6CA333">
      <w:pPr>
        <w:spacing w:before="120" w:line="22" w:lineRule="atLeast"/>
        <w:rPr>
          <w:rFonts w:ascii="仿宋_GB2312" w:hAnsi="仿宋_GB2312" w:eastAsia="仿宋_GB2312" w:cs="仿宋_GB2312"/>
          <w:color w:val="auto"/>
          <w:sz w:val="24"/>
          <w:highlight w:val="none"/>
        </w:rPr>
      </w:pPr>
    </w:p>
    <w:p w14:paraId="0C26FD78">
      <w:pPr>
        <w:spacing w:before="120" w:line="22" w:lineRule="atLeast"/>
        <w:ind w:left="96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p>
    <w:p w14:paraId="17BCED1E">
      <w:pPr>
        <w:pStyle w:val="610"/>
        <w:spacing w:before="120" w:line="22" w:lineRule="atLeast"/>
        <w:rPr>
          <w:rFonts w:hAnsi="仿宋_GB2312" w:cs="仿宋_GB2312"/>
          <w:color w:val="auto"/>
          <w:szCs w:val="24"/>
          <w:highlight w:val="none"/>
        </w:rPr>
      </w:pPr>
    </w:p>
    <w:p w14:paraId="48985316">
      <w:pPr>
        <w:pStyle w:val="610"/>
        <w:spacing w:before="120" w:line="22" w:lineRule="atLeast"/>
        <w:rPr>
          <w:rFonts w:hAnsi="仿宋_GB2312" w:cs="仿宋_GB2312"/>
          <w:color w:val="auto"/>
          <w:szCs w:val="24"/>
          <w:highlight w:val="none"/>
        </w:rPr>
      </w:pPr>
    </w:p>
    <w:p w14:paraId="5B145D4C">
      <w:pPr>
        <w:rPr>
          <w:rFonts w:ascii="仿宋_GB2312" w:hAnsi="仿宋_GB2312" w:eastAsia="仿宋_GB2312" w:cs="仿宋_GB2312"/>
          <w:color w:val="auto"/>
          <w:sz w:val="24"/>
          <w:highlight w:val="none"/>
        </w:rPr>
      </w:pPr>
    </w:p>
    <w:p w14:paraId="45ECE2B6">
      <w:pPr>
        <w:spacing w:before="120" w:line="22" w:lineRule="atLeast"/>
        <w:ind w:left="96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甲方：</w:t>
      </w:r>
      <w:r>
        <w:rPr>
          <w:rFonts w:hint="eastAsia" w:ascii="仿宋_GB2312" w:hAnsi="仿宋_GB2312" w:eastAsia="仿宋_GB2312" w:cs="仿宋_GB2312"/>
          <w:color w:val="auto"/>
          <w:sz w:val="24"/>
          <w:highlight w:val="none"/>
          <w:u w:val="single"/>
        </w:rPr>
        <w:t xml:space="preserve">                                       </w:t>
      </w:r>
    </w:p>
    <w:p w14:paraId="08D1844F">
      <w:pPr>
        <w:spacing w:before="120" w:line="22" w:lineRule="atLeast"/>
        <w:rPr>
          <w:rFonts w:ascii="仿宋_GB2312" w:hAnsi="仿宋_GB2312" w:eastAsia="仿宋_GB2312" w:cs="仿宋_GB2312"/>
          <w:color w:val="auto"/>
          <w:sz w:val="24"/>
          <w:highlight w:val="none"/>
        </w:rPr>
      </w:pPr>
    </w:p>
    <w:p w14:paraId="502EB47F">
      <w:pPr>
        <w:spacing w:before="120" w:line="22" w:lineRule="atLeast"/>
        <w:ind w:left="96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乙方：</w:t>
      </w:r>
      <w:r>
        <w:rPr>
          <w:rFonts w:hint="eastAsia" w:ascii="仿宋_GB2312" w:hAnsi="仿宋_GB2312" w:eastAsia="仿宋_GB2312" w:cs="仿宋_GB2312"/>
          <w:color w:val="auto"/>
          <w:sz w:val="24"/>
          <w:highlight w:val="none"/>
          <w:u w:val="single"/>
        </w:rPr>
        <w:t xml:space="preserve">                                       </w:t>
      </w:r>
    </w:p>
    <w:p w14:paraId="2BAAB4F1">
      <w:pPr>
        <w:spacing w:before="120" w:line="22" w:lineRule="atLeast"/>
        <w:rPr>
          <w:rFonts w:ascii="仿宋_GB2312" w:hAnsi="仿宋_GB2312" w:eastAsia="仿宋_GB2312" w:cs="仿宋_GB2312"/>
          <w:color w:val="auto"/>
          <w:sz w:val="24"/>
          <w:highlight w:val="none"/>
        </w:rPr>
      </w:pPr>
    </w:p>
    <w:p w14:paraId="56C2412F">
      <w:pPr>
        <w:spacing w:before="120" w:line="22" w:lineRule="atLeast"/>
        <w:ind w:firstLine="960" w:firstLineChars="4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签订地：</w:t>
      </w:r>
      <w:r>
        <w:rPr>
          <w:rFonts w:hint="eastAsia" w:ascii="仿宋_GB2312" w:hAnsi="仿宋_GB2312" w:eastAsia="仿宋_GB2312" w:cs="仿宋_GB2312"/>
          <w:color w:val="auto"/>
          <w:sz w:val="24"/>
          <w:highlight w:val="none"/>
          <w:u w:val="single"/>
        </w:rPr>
        <w:t xml:space="preserve">                                     </w:t>
      </w:r>
    </w:p>
    <w:p w14:paraId="500D86BD">
      <w:pPr>
        <w:spacing w:before="120" w:line="22" w:lineRule="atLeast"/>
        <w:rPr>
          <w:rFonts w:ascii="仿宋_GB2312" w:hAnsi="仿宋_GB2312" w:eastAsia="仿宋_GB2312" w:cs="仿宋_GB2312"/>
          <w:color w:val="auto"/>
          <w:sz w:val="24"/>
          <w:highlight w:val="none"/>
        </w:rPr>
      </w:pPr>
    </w:p>
    <w:p w14:paraId="1CDDC6D3">
      <w:pPr>
        <w:spacing w:before="120" w:line="22" w:lineRule="atLeast"/>
        <w:ind w:firstLine="960" w:firstLineChars="4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2EAE3071">
      <w:pPr>
        <w:widowControl/>
        <w:jc w:val="left"/>
        <w:rPr>
          <w:rFonts w:ascii="仿宋_GB2312" w:hAnsi="仿宋_GB2312" w:eastAsia="仿宋_GB2312" w:cs="仿宋_GB2312"/>
          <w:color w:val="auto"/>
          <w:kern w:val="0"/>
          <w:sz w:val="24"/>
          <w:highlight w:val="none"/>
        </w:rPr>
        <w:sectPr>
          <w:pgSz w:w="11907" w:h="16840"/>
          <w:pgMar w:top="1474" w:right="1473" w:bottom="1474" w:left="1394" w:header="851" w:footer="851" w:gutter="0"/>
          <w:cols w:space="720" w:num="1"/>
        </w:sectPr>
      </w:pPr>
    </w:p>
    <w:p w14:paraId="6C3FE374">
      <w:pPr>
        <w:snapToGrid w:val="0"/>
        <w:spacing w:line="360" w:lineRule="auto"/>
        <w:ind w:firstLine="480" w:firstLineChars="200"/>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合同将由</w:t>
      </w:r>
      <w:r>
        <w:rPr>
          <w:rFonts w:hint="eastAsia" w:ascii="仿宋_GB2312" w:hAnsi="仿宋_GB2312" w:eastAsia="仿宋_GB2312" w:cs="仿宋_GB2312"/>
          <w:bCs/>
          <w:snapToGrid w:val="0"/>
          <w:color w:val="auto"/>
          <w:sz w:val="24"/>
          <w:highlight w:val="none"/>
          <w:lang w:eastAsia="zh-CN"/>
        </w:rPr>
        <w:t>杭州市钱塘区人民政府新湾街道办事处</w:t>
      </w:r>
      <w:r>
        <w:rPr>
          <w:rFonts w:hint="eastAsia" w:ascii="仿宋_GB2312" w:hAnsi="仿宋_GB2312" w:eastAsia="仿宋_GB2312" w:cs="仿宋_GB2312"/>
          <w:bCs/>
          <w:snapToGrid w:val="0"/>
          <w:color w:val="auto"/>
          <w:sz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5C7F9493">
      <w:pPr>
        <w:snapToGrid w:val="0"/>
        <w:spacing w:line="360" w:lineRule="auto"/>
        <w:rPr>
          <w:rFonts w:ascii="仿宋_GB2312" w:hAnsi="仿宋_GB2312" w:eastAsia="仿宋_GB2312" w:cs="仿宋_GB2312"/>
          <w:snapToGrid w:val="0"/>
          <w:color w:val="auto"/>
          <w:kern w:val="0"/>
          <w:sz w:val="24"/>
          <w:highlight w:val="none"/>
        </w:rPr>
      </w:pPr>
    </w:p>
    <w:p w14:paraId="235F2ADD">
      <w:pPr>
        <w:snapToGrid w:val="0"/>
        <w:spacing w:line="360" w:lineRule="auto"/>
        <w:jc w:val="center"/>
        <w:outlineLvl w:val="1"/>
        <w:rPr>
          <w:rFonts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（本合同为合同样稿）</w:t>
      </w:r>
    </w:p>
    <w:p w14:paraId="270B724C">
      <w:pPr>
        <w:snapToGrid w:val="0"/>
        <w:spacing w:line="360" w:lineRule="auto"/>
        <w:jc w:val="center"/>
        <w:rPr>
          <w:rFonts w:ascii="仿宋_GB2312" w:hAnsi="仿宋_GB2312" w:eastAsia="仿宋_GB2312" w:cs="仿宋_GB2312"/>
          <w:b/>
          <w:color w:val="auto"/>
          <w:sz w:val="24"/>
          <w:highlight w:val="none"/>
          <w:lang w:val="zh-CN"/>
        </w:rPr>
      </w:pPr>
      <w:r>
        <w:rPr>
          <w:rFonts w:hint="eastAsia" w:ascii="仿宋_GB2312" w:hAnsi="仿宋_GB2312" w:eastAsia="仿宋_GB2312" w:cs="仿宋_GB2312"/>
          <w:b/>
          <w:color w:val="auto"/>
          <w:sz w:val="24"/>
          <w:highlight w:val="none"/>
          <w:lang w:val="zh-CN"/>
        </w:rPr>
        <w:t>杭州市钱塘区人民政府新湾街道办事处2024年“雪亮工程”</w:t>
      </w:r>
    </w:p>
    <w:p w14:paraId="01F09722">
      <w:pPr>
        <w:snapToGrid w:val="0"/>
        <w:spacing w:line="360" w:lineRule="auto"/>
        <w:jc w:val="center"/>
        <w:rPr>
          <w:rFonts w:ascii="仿宋_GB2312" w:hAnsi="仿宋_GB2312" w:eastAsia="仿宋_GB2312" w:cs="仿宋_GB2312"/>
          <w:b/>
          <w:color w:val="auto"/>
          <w:sz w:val="24"/>
          <w:highlight w:val="none"/>
          <w:lang w:val="zh-CN"/>
        </w:rPr>
      </w:pPr>
      <w:r>
        <w:rPr>
          <w:rFonts w:hint="eastAsia" w:ascii="仿宋_GB2312" w:hAnsi="仿宋_GB2312" w:eastAsia="仿宋_GB2312" w:cs="仿宋_GB2312"/>
          <w:b/>
          <w:color w:val="auto"/>
          <w:sz w:val="24"/>
          <w:highlight w:val="none"/>
          <w:lang w:val="zh-CN"/>
        </w:rPr>
        <w:t>续租服务项目</w:t>
      </w:r>
      <w:r>
        <w:rPr>
          <w:rFonts w:hint="eastAsia" w:ascii="仿宋_GB2312" w:hAnsi="仿宋_GB2312" w:eastAsia="仿宋_GB2312" w:cs="仿宋_GB2312"/>
          <w:b/>
          <w:color w:val="auto"/>
          <w:sz w:val="24"/>
          <w:highlight w:val="none"/>
        </w:rPr>
        <w:t>服务</w:t>
      </w:r>
      <w:r>
        <w:rPr>
          <w:rFonts w:hint="eastAsia" w:ascii="仿宋_GB2312" w:hAnsi="仿宋_GB2312" w:eastAsia="仿宋_GB2312" w:cs="仿宋_GB2312"/>
          <w:b/>
          <w:color w:val="auto"/>
          <w:sz w:val="24"/>
          <w:highlight w:val="none"/>
          <w:lang w:val="zh-CN"/>
        </w:rPr>
        <w:t>合同</w:t>
      </w:r>
    </w:p>
    <w:p w14:paraId="661C107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甲方（需方）：</w:t>
      </w:r>
      <w:r>
        <w:rPr>
          <w:rFonts w:hint="eastAsia" w:ascii="仿宋_GB2312" w:hAnsi="仿宋_GB2312" w:eastAsia="仿宋_GB2312" w:cs="仿宋_GB2312"/>
          <w:iCs/>
          <w:color w:val="auto"/>
          <w:sz w:val="24"/>
          <w:highlight w:val="none"/>
          <w:lang w:eastAsia="zh-CN"/>
        </w:rPr>
        <w:t>杭州市钱塘区人民政府新湾街道办事处</w:t>
      </w:r>
      <w:r>
        <w:rPr>
          <w:rFonts w:hint="eastAsia" w:ascii="仿宋_GB2312" w:hAnsi="仿宋_GB2312" w:eastAsia="仿宋_GB2312" w:cs="仿宋_GB2312"/>
          <w:bCs/>
          <w:snapToGrid w:val="0"/>
          <w:color w:val="auto"/>
          <w:sz w:val="24"/>
          <w:highlight w:val="none"/>
        </w:rPr>
        <w:t xml:space="preserve">   </w:t>
      </w:r>
      <w:r>
        <w:rPr>
          <w:rFonts w:hint="eastAsia" w:ascii="仿宋_GB2312" w:hAnsi="仿宋_GB2312" w:eastAsia="仿宋_GB2312" w:cs="仿宋_GB2312"/>
          <w:iCs/>
          <w:color w:val="auto"/>
          <w:sz w:val="24"/>
          <w:highlight w:val="none"/>
        </w:rPr>
        <w:t xml:space="preserve">     合同编号：</w:t>
      </w:r>
    </w:p>
    <w:p w14:paraId="13D3726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乙方 (供方)：                                 </w:t>
      </w:r>
    </w:p>
    <w:p w14:paraId="4C7B4E6A">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1．定义</w:t>
      </w:r>
    </w:p>
    <w:p w14:paraId="43D3709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1．1“合同”即由甲乙方双方签订的合同格式中的文件，包括所有的附件、附录和组成合同部分的所有其他文件。</w:t>
      </w:r>
    </w:p>
    <w:p w14:paraId="40F48817">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1．2“合同价格”系指根据合同规定，在供应商全面正确地履行合同义务时，采购人应支付给供应商的款项。</w:t>
      </w:r>
    </w:p>
    <w:p w14:paraId="54F6DBFF">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1．3“服务”系指招标文件规定供应商须承担的安装、调试技术协助、校准、培训以及其它类似的义务。</w:t>
      </w:r>
    </w:p>
    <w:p w14:paraId="12F51F46">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1．4“甲方”系指通过采购接受合同及服务的</w:t>
      </w:r>
      <w:r>
        <w:rPr>
          <w:rFonts w:hint="eastAsia" w:ascii="仿宋_GB2312" w:hAnsi="仿宋_GB2312" w:eastAsia="仿宋_GB2312" w:cs="仿宋_GB2312"/>
          <w:iCs/>
          <w:color w:val="auto"/>
          <w:sz w:val="24"/>
          <w:highlight w:val="none"/>
          <w:lang w:eastAsia="zh-CN"/>
        </w:rPr>
        <w:t>杭州市钱塘区人民政府新湾街道办事处</w:t>
      </w:r>
      <w:r>
        <w:rPr>
          <w:rFonts w:hint="eastAsia" w:ascii="仿宋_GB2312" w:hAnsi="仿宋_GB2312" w:eastAsia="仿宋_GB2312" w:cs="仿宋_GB2312"/>
          <w:iCs/>
          <w:color w:val="auto"/>
          <w:sz w:val="24"/>
          <w:highlight w:val="none"/>
        </w:rPr>
        <w:t>。</w:t>
      </w:r>
    </w:p>
    <w:p w14:paraId="08FB14A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1．5“乙方”系指经评审最终确定的中标人。</w:t>
      </w:r>
    </w:p>
    <w:p w14:paraId="5863C0AF">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1．6“现场”系指将要进行系统安装和运转的地点。</w:t>
      </w:r>
    </w:p>
    <w:p w14:paraId="22FACB0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1．7“验收”系指采购人依据技术规格规定接受合同所依据的程序和条件。序和条件。</w:t>
      </w:r>
    </w:p>
    <w:p w14:paraId="235E9886">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2．适用范围</w:t>
      </w:r>
    </w:p>
    <w:p w14:paraId="69E35AE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本合同条款适用与本次采购活动。项目实施范围详见附件——招标文件和投标文件及补充文件、采购设计图、承诺书等。</w:t>
      </w:r>
    </w:p>
    <w:p w14:paraId="0E39EB42">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3．系统建设</w:t>
      </w:r>
    </w:p>
    <w:p w14:paraId="26FE29A0">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3．1乙方必须根据招标文件规定的服务内容，进一步深入需求分析，对需要改建和新建内容，编制详细技术方案，同时编制全部服务内容的详细实施方案，向甲方提供上述文档并需经甲方</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审查。</w:t>
      </w:r>
    </w:p>
    <w:p w14:paraId="6195844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3.2乙方对甲方提供的业务资料、技术资料应严格保密，不得扩散。</w:t>
      </w:r>
    </w:p>
    <w:p w14:paraId="16FA3054">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3.3 乙方及其工作人员对在项目建设期间所获得的甲方的情报和资料有保密义务，泄漏秘密应承担相应责任，乙方对其工作人员的泄密承担连带责任。不论本合同是否变更、解除、终止，本条款均有效。</w:t>
      </w:r>
    </w:p>
    <w:p w14:paraId="3E0E4EF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3．4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14:paraId="5821E0A6">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4．安装调试</w:t>
      </w:r>
    </w:p>
    <w:p w14:paraId="399CBE06">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4.1 甲方提供堆放材料和工具场地，设备和材料的堆放安全由乙方负责。</w:t>
      </w:r>
    </w:p>
    <w:p w14:paraId="6FE5007B">
      <w:pPr>
        <w:snapToGrid w:val="0"/>
        <w:spacing w:line="360" w:lineRule="auto"/>
        <w:ind w:firstLine="480"/>
        <w:outlineLvl w:val="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4.2 甲方提供工程所需的水源和电源，费用由乙方承担。</w:t>
      </w:r>
    </w:p>
    <w:p w14:paraId="1D785926">
      <w:pPr>
        <w:snapToGrid w:val="0"/>
        <w:spacing w:line="360" w:lineRule="auto"/>
        <w:ind w:firstLine="48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4.3 乙方项目实施人员须服从甲方、监理管理人员管理，项目质量纳入现场监理。乙方项目实施人员必须遵守现场的各项规章制度。</w:t>
      </w:r>
      <w:r>
        <w:rPr>
          <w:rFonts w:hint="eastAsia" w:ascii="仿宋_GB2312" w:hAnsi="仿宋_GB2312" w:eastAsia="仿宋_GB2312" w:cs="仿宋_GB2312"/>
          <w:color w:val="auto"/>
          <w:sz w:val="24"/>
          <w:highlight w:val="none"/>
          <w:lang w:eastAsia="zh-Hans"/>
        </w:rPr>
        <w:t>乙方需为其工作人员签订劳动合同、缴纳社会保险等，如出现工伤等事故，均由乙方自行承担，与甲方无关。</w:t>
      </w:r>
    </w:p>
    <w:p w14:paraId="11CAEC2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4.4 乙方应根据项目情况提供安装、到货计划，安装的实施进度计划，经甲、乙双方共同确定后作为双方共同执行的合同条款，乙方应按计划完工交付验收，若超过计划完工日15天以上的天数按超期处罚，处罚按13.2条办法。</w:t>
      </w:r>
    </w:p>
    <w:p w14:paraId="5303178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4.5竣工验收时必须提供完整的竣工资料，包括竣工图、隐检工程记录资料、性能测试报告。非标准产品设计图（接线图）系统使用说明书、各类产品证明书等。</w:t>
      </w:r>
    </w:p>
    <w:p w14:paraId="0F6D254A">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5．系统运行维护</w:t>
      </w:r>
    </w:p>
    <w:p w14:paraId="3A0063C5">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乙方向甲方提供招标文件和合同规定的所有服务内容，并承诺免费承担与本项目建设任务以外的子系统之间的协调解决工作。</w:t>
      </w:r>
    </w:p>
    <w:p w14:paraId="35A288D2">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6．验收</w:t>
      </w:r>
    </w:p>
    <w:p w14:paraId="5A443C74">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6.1 本项目建设工期为合同签订后3个月，乙方应按工期规定完成全部系统建设任务，投入试运行前，由甲方组织对项目进行初步验收，通过初验后进行试运行。投入试运行后正常运行3个月，由甲方会同有关部门对项目进行最终验收。</w:t>
      </w:r>
    </w:p>
    <w:p w14:paraId="320F3CA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6.2 验收合格后，甲乙双方共同签署验收报告，一式二份，一份交甲方留存，一份由乙方用作结算凭证，同时由甲方填写《杭州市政府采购售后服务质量反馈表》，该表与设备运行期内甲方的反馈意见，都将作为考核乙方售后服务和质量的依据。</w:t>
      </w:r>
    </w:p>
    <w:p w14:paraId="4FE5933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6.3 验收时如果发现项目建设内容与合同中要求不符，乙方应无条件返工，并承担由此发生的一切损失和费用及项目延误责任，若返工重做仍然不符合合同要求，甲方有权终止合同，并没收项目履约保证金。</w:t>
      </w:r>
    </w:p>
    <w:p w14:paraId="6EAB489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6.4 验收时必须提供完整的竣工验收资料，包括招标文件第三部分项目技术规范和服务要求中所列的所有文档资料等，包括但不限于竣工图、工程记录资料、性能测试报告、非标准产品设计图、系统说明书、各类产品证明书等。</w:t>
      </w:r>
    </w:p>
    <w:p w14:paraId="42A848E3">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7．支付</w:t>
      </w:r>
    </w:p>
    <w:p w14:paraId="09288DE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7.</w:t>
      </w:r>
      <w:r>
        <w:rPr>
          <w:rFonts w:hint="eastAsia" w:ascii="仿宋_GB2312" w:hAnsi="仿宋_GB2312" w:eastAsia="仿宋_GB2312" w:cs="仿宋_GB2312"/>
          <w:iCs/>
          <w:color w:val="auto"/>
          <w:sz w:val="24"/>
          <w:highlight w:val="none"/>
          <w:lang w:val="en-US" w:eastAsia="zh-CN"/>
        </w:rPr>
        <w:t>1</w:t>
      </w:r>
      <w:r>
        <w:rPr>
          <w:rFonts w:hint="eastAsia" w:ascii="仿宋" w:hAnsi="仿宋" w:eastAsia="仿宋" w:cs="仿宋"/>
          <w:color w:val="auto"/>
          <w:sz w:val="24"/>
          <w:szCs w:val="24"/>
          <w:lang w:val="en-US" w:eastAsia="zh-CN"/>
        </w:rPr>
        <w:t>合同签订后5个工作日内，采购人向中标人支付中标价单年款项的40%（</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元）作为预付款，经招标人核实认可后按季支付（预付款在结算时予以全额抵扣）。后续每年以此类推。（预付款在结算时予以全额抵扣）。</w:t>
      </w:r>
    </w:p>
    <w:p w14:paraId="08FE7FA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7.</w:t>
      </w:r>
      <w:r>
        <w:rPr>
          <w:rFonts w:hint="eastAsia" w:ascii="仿宋_GB2312" w:hAnsi="仿宋_GB2312" w:eastAsia="仿宋_GB2312" w:cs="仿宋_GB2312"/>
          <w:iCs/>
          <w:color w:val="auto"/>
          <w:sz w:val="24"/>
          <w:highlight w:val="none"/>
          <w:lang w:val="en-US" w:eastAsia="zh-CN"/>
        </w:rPr>
        <w:t>2</w:t>
      </w:r>
      <w:r>
        <w:rPr>
          <w:rFonts w:hint="eastAsia" w:ascii="仿宋_GB2312" w:hAnsi="仿宋_GB2312" w:eastAsia="仿宋_GB2312" w:cs="仿宋_GB2312"/>
          <w:iCs/>
          <w:color w:val="auto"/>
          <w:sz w:val="24"/>
          <w:highlight w:val="none"/>
        </w:rPr>
        <w:t>本合同签订后15个工作日内，乙方应向甲方支付合同总价</w:t>
      </w:r>
      <w:r>
        <w:rPr>
          <w:rFonts w:hint="eastAsia" w:ascii="仿宋_GB2312" w:hAnsi="仿宋_GB2312" w:eastAsia="仿宋_GB2312" w:cs="仿宋_GB2312"/>
          <w:iCs/>
          <w:color w:val="auto"/>
          <w:sz w:val="24"/>
          <w:highlight w:val="none"/>
          <w:u w:val="single"/>
        </w:rPr>
        <w:t>1%</w:t>
      </w:r>
      <w:r>
        <w:rPr>
          <w:rFonts w:hint="eastAsia" w:ascii="仿宋_GB2312" w:hAnsi="仿宋_GB2312" w:eastAsia="仿宋_GB2312" w:cs="仿宋_GB2312"/>
          <w:iCs/>
          <w:color w:val="auto"/>
          <w:sz w:val="24"/>
          <w:highlight w:val="none"/>
        </w:rPr>
        <w:t>的履约保证金，计</w:t>
      </w:r>
      <w:r>
        <w:rPr>
          <w:rFonts w:hint="eastAsia" w:ascii="仿宋_GB2312" w:hAnsi="仿宋_GB2312" w:eastAsia="仿宋_GB2312" w:cs="仿宋_GB2312"/>
          <w:iCs/>
          <w:color w:val="auto"/>
          <w:sz w:val="24"/>
          <w:highlight w:val="none"/>
          <w:u w:val="single"/>
        </w:rPr>
        <w:t xml:space="preserve">    </w:t>
      </w:r>
      <w:r>
        <w:rPr>
          <w:rFonts w:hint="eastAsia" w:ascii="仿宋_GB2312" w:hAnsi="仿宋_GB2312" w:eastAsia="仿宋_GB2312" w:cs="仿宋_GB2312"/>
          <w:iCs/>
          <w:color w:val="auto"/>
          <w:sz w:val="24"/>
          <w:highlight w:val="none"/>
        </w:rPr>
        <w:t>元，作为乙方认真履行合同的条款的保证，待项目终验结束后30个工作日内由乙方提供相应票据，甲方无息退还。</w:t>
      </w:r>
      <w:r>
        <w:rPr>
          <w:rFonts w:hint="eastAsia" w:ascii="仿宋_GB2312" w:hAnsi="仿宋_GB2312" w:eastAsia="仿宋_GB2312" w:cs="仿宋_GB2312"/>
          <w:iCs/>
          <w:color w:val="auto"/>
          <w:sz w:val="24"/>
          <w:highlight w:val="none"/>
          <w:lang w:eastAsia="zh-Hans"/>
        </w:rPr>
        <w:t>逾期支付的，每逾期一日需向甲方需支付未付款的万分之五作为违约金。</w:t>
      </w:r>
      <w:r>
        <w:rPr>
          <w:rFonts w:hint="eastAsia" w:ascii="仿宋_GB2312" w:hAnsi="仿宋_GB2312" w:eastAsia="仿宋_GB2312" w:cs="仿宋_GB2312"/>
          <w:iCs/>
          <w:color w:val="auto"/>
          <w:sz w:val="24"/>
          <w:highlight w:val="none"/>
        </w:rPr>
        <w:t>如在建设和使用过程中发现乙方提供的设备或软件不能满足采购需求，甲方有权直接从保证金中扣除，保证金不足以扣除的，甲方有权从任何一笔租赁服务费中扣除。</w:t>
      </w:r>
    </w:p>
    <w:p w14:paraId="78E44B56">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7.</w:t>
      </w:r>
      <w:r>
        <w:rPr>
          <w:rFonts w:hint="eastAsia" w:ascii="仿宋_GB2312" w:hAnsi="仿宋_GB2312" w:eastAsia="仿宋_GB2312" w:cs="仿宋_GB2312"/>
          <w:iCs/>
          <w:color w:val="auto"/>
          <w:sz w:val="24"/>
          <w:highlight w:val="none"/>
          <w:lang w:val="en-US" w:eastAsia="zh-CN"/>
        </w:rPr>
        <w:t>3</w:t>
      </w:r>
      <w:r>
        <w:rPr>
          <w:rFonts w:hint="eastAsia" w:ascii="仿宋_GB2312" w:hAnsi="仿宋_GB2312" w:eastAsia="仿宋_GB2312" w:cs="仿宋_GB2312"/>
          <w:iCs/>
          <w:color w:val="auto"/>
          <w:sz w:val="24"/>
          <w:highlight w:val="none"/>
        </w:rPr>
        <w:t>甲方根据杭州市政府采购网公布的乙方履约评价情况减免履约保证金。乙方履约验收评价总分为 100 分的，甲方应当免收履约保证金；评价总分在100 分以下或者暂无评分的，收取履约保证金为合同总价 1%。乙方的履约验收评价分：</w:t>
      </w:r>
      <w:r>
        <w:rPr>
          <w:rFonts w:hint="eastAsia" w:ascii="仿宋_GB2312" w:hAnsi="仿宋_GB2312" w:eastAsia="仿宋_GB2312" w:cs="仿宋_GB2312"/>
          <w:iCs/>
          <w:color w:val="auto"/>
          <w:sz w:val="24"/>
          <w:highlight w:val="none"/>
          <w:u w:val="single"/>
        </w:rPr>
        <w:t xml:space="preserve">   </w:t>
      </w:r>
      <w:r>
        <w:rPr>
          <w:rFonts w:hint="eastAsia" w:ascii="仿宋_GB2312" w:hAnsi="仿宋_GB2312" w:eastAsia="仿宋_GB2312" w:cs="仿宋_GB2312"/>
          <w:iCs/>
          <w:color w:val="auto"/>
          <w:sz w:val="24"/>
          <w:highlight w:val="none"/>
        </w:rPr>
        <w:t>分 ；收取履约保证金为合同金额：</w:t>
      </w:r>
      <w:r>
        <w:rPr>
          <w:rFonts w:hint="eastAsia" w:ascii="仿宋_GB2312" w:hAnsi="仿宋_GB2312" w:eastAsia="仿宋_GB2312" w:cs="仿宋_GB2312"/>
          <w:iCs/>
          <w:color w:val="auto"/>
          <w:sz w:val="24"/>
          <w:highlight w:val="none"/>
          <w:u w:val="single"/>
        </w:rPr>
        <w:t xml:space="preserve">   </w:t>
      </w:r>
      <w:r>
        <w:rPr>
          <w:rFonts w:hint="eastAsia" w:ascii="仿宋_GB2312" w:hAnsi="仿宋_GB2312" w:eastAsia="仿宋_GB2312" w:cs="仿宋_GB2312"/>
          <w:iCs/>
          <w:color w:val="auto"/>
          <w:sz w:val="24"/>
          <w:highlight w:val="none"/>
        </w:rPr>
        <w:t>%。</w:t>
      </w:r>
    </w:p>
    <w:p w14:paraId="1D064D1B">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8．延期交付与核定损失额</w:t>
      </w:r>
    </w:p>
    <w:p w14:paraId="1319079F">
      <w:pPr>
        <w:snapToGrid w:val="0"/>
        <w:spacing w:line="360" w:lineRule="auto"/>
        <w:ind w:firstLine="48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如果乙方在正常情况下未能按合同规定的时间按期交付使用，乙方应承担相应后果。</w:t>
      </w:r>
    </w:p>
    <w:p w14:paraId="06C398FC">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9．不可抗力</w:t>
      </w:r>
    </w:p>
    <w:p w14:paraId="5AD1275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2E3DCFEF">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10. 乙方的责任与义务</w:t>
      </w:r>
    </w:p>
    <w:p w14:paraId="48451FB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10.1 根据投标文件的承诺向甲方委派项目负责人、技术负责人和专业技术人员。</w:t>
      </w:r>
    </w:p>
    <w:p w14:paraId="7AA6726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10.2 在履行本合同义务的期间，应运用合理的技能，认真、勤奋的工作。</w:t>
      </w:r>
    </w:p>
    <w:p w14:paraId="31EE6C4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10.3 在本合同期内或合同终止后，未征得有关方</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同意，不得泄漏与本项目、本合同有关的技术、资料等，不得以任何形式侵害甲方的知识产权。</w:t>
      </w:r>
    </w:p>
    <w:p w14:paraId="20B87BFF">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10.4 负责本系统项目建设及整体联动，负责处理好与其他项目实施单位的协调。</w:t>
      </w:r>
    </w:p>
    <w:p w14:paraId="5592D3E7">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10.5 项目建设有关事项包括：项目规划、设计标准、规范和使用功能要求，向甲方的建议权；</w:t>
      </w:r>
    </w:p>
    <w:p w14:paraId="3356BD3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10.6 项目设计中的技术问题，按照安全和优化的原则，提出建议，并向甲方提出书面报告。如果由于拟提出的建议会提高项目造价，或延长工期，应当事先取的甲方的</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同意；</w:t>
      </w:r>
    </w:p>
    <w:p w14:paraId="6857DC5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10.7 项目实施组织设计和技术方案，按照保质量、保工期和降低成本的原则，向甲方提出书面报告。如果由于拟提出的建议会提高项目造价，或延长工期，应当事先取得甲方的</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同意。</w:t>
      </w:r>
    </w:p>
    <w:p w14:paraId="74F7D356">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11. 甲方的责任与义务</w:t>
      </w:r>
    </w:p>
    <w:p w14:paraId="433C9370">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11.1甲方应当主要负责项目建设的所有外部关系的联系与协调，为乙方工作提供良好的外部条件。</w:t>
      </w:r>
    </w:p>
    <w:p w14:paraId="62DA357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11.2 甲方应当按合同专用条款双方约定的内容和时间，向乙方提供与项目建设有关的项目等资料。</w:t>
      </w:r>
    </w:p>
    <w:p w14:paraId="69E07E7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11.3 甲方应当按合同专用条款约定的时间就乙方书面提交并要求做出决定的一切事宜做出书面决定。</w:t>
      </w:r>
    </w:p>
    <w:p w14:paraId="20073FA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11.4 甲方应授权一名熟悉本项目情况、能迅速做出决定的项目代表，负责与乙方联系。更换代表，要提前通知乙方。</w:t>
      </w:r>
    </w:p>
    <w:p w14:paraId="0CAEE409">
      <w:pPr>
        <w:snapToGrid w:val="0"/>
        <w:spacing w:line="360" w:lineRule="auto"/>
        <w:ind w:firstLine="480"/>
        <w:outlineLvl w:val="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11.5 甲方有与乙方订立补充合同的签订权。</w:t>
      </w:r>
    </w:p>
    <w:p w14:paraId="38E13D2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11.6 甲方有对项目规模、设计标准、规范和设计使用功能要求的认定权，以及对项目建设、设计变更的审批权。</w:t>
      </w:r>
    </w:p>
    <w:p w14:paraId="5910DC3D">
      <w:pPr>
        <w:snapToGrid w:val="0"/>
        <w:spacing w:line="360" w:lineRule="auto"/>
        <w:ind w:firstLine="480"/>
        <w:outlineLvl w:val="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11.7 甲方有权要求乙方提交工作月度报告及专项报告等。</w:t>
      </w:r>
    </w:p>
    <w:p w14:paraId="1972C5C7">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12. 合同生效、变更和终止</w:t>
      </w:r>
    </w:p>
    <w:p w14:paraId="4AC9415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12.1 本合同经甲乙双方法定代表人或其委托人签字盖章后生效，至合同期止，标项1，2合同期3年、标项3合同期1年（自最终验收通过后起计）。</w:t>
      </w:r>
    </w:p>
    <w:p w14:paraId="6FA539B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12.2 在乙方的责任期即合同的有效期内，如因甲方的原因，导致项目建设进度的推迟或延误而超过约定的日期，甲乙双方应协商，重新约定相应延长的合同期。因乙方的责任，导致项目建设进度的推迟或延误而超过约定的日期按违约责任处罚。</w:t>
      </w:r>
    </w:p>
    <w:p w14:paraId="11C3D9B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12.3 在合同签订后，因项目需求发生重大变化，使得乙方不能按原计划全部或部分执行项目时，乙方应当立即</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通知甲方。该项目的完成时间是否延长或当恢复执行项目时，是否需增加时间用于恢复执行，由双方协商确定。</w:t>
      </w:r>
    </w:p>
    <w:p w14:paraId="26E0464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4DC36972">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13. 违约责任</w:t>
      </w:r>
    </w:p>
    <w:p w14:paraId="192CC0B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13.1甲方应当履行合同约定的义务，如有违反，须承担相应的违约责任。</w:t>
      </w:r>
    </w:p>
    <w:p w14:paraId="1DBEDF0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13.2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相应延误点位月使用费的10%赔偿甲方的经济损失。如因甲方原因造成不能按期完工，工期相应顺延。</w:t>
      </w:r>
    </w:p>
    <w:p w14:paraId="6DFE184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13.3 如在合同规定的工期内，达不到项目规定的技术指标，乙方应当承担违约责任。承担方式和违约金额如下：超期30天内，每天扣不合格点位月使用费的5%；累计超期30天，甲方有权终止执行合同。</w:t>
      </w:r>
    </w:p>
    <w:p w14:paraId="3230214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13.4未经甲方</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同意，乙方不得在任何时期擅自更换投标文件中规定的项目负责人和技术负责人，同时必须确保项目技术人员的数量和水平与投标文件一致，否则甲方有权放弃或终止合同。</w:t>
      </w:r>
    </w:p>
    <w:p w14:paraId="460245A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13.5因乙方原因造成甲方其他系统不能正常运行，酿成重大事故（正常工作日系统中断24小时或24小时以上）的，将承担全部法律责任，并赔偿相应经济损失。</w:t>
      </w:r>
    </w:p>
    <w:p w14:paraId="49E0728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13.6 履行本合同的过程中，确因在现有水平和条件下难以克服的技术困难，导致部分或全部失败所造成的损失，风险责任由乙方全部承担。</w:t>
      </w:r>
    </w:p>
    <w:p w14:paraId="7C8B3C2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13.7因不可抗力导致合同不能全部或部分履行，甲、乙双方协商解决。</w:t>
      </w:r>
    </w:p>
    <w:p w14:paraId="5FA2ED43">
      <w:pPr>
        <w:snapToGrid w:val="0"/>
        <w:spacing w:line="360" w:lineRule="auto"/>
        <w:ind w:firstLine="480"/>
        <w:outlineLvl w:val="2"/>
        <w:rPr>
          <w:rFonts w:ascii="仿宋_GB2312" w:hAnsi="仿宋_GB2312" w:eastAsia="仿宋_GB2312" w:cs="仿宋_GB2312"/>
          <w:iCs/>
          <w:color w:val="auto"/>
          <w:sz w:val="24"/>
          <w:highlight w:val="none"/>
          <w:u w:val="single"/>
        </w:rPr>
      </w:pPr>
      <w:r>
        <w:rPr>
          <w:rFonts w:hint="eastAsia" w:ascii="仿宋_GB2312" w:hAnsi="仿宋_GB2312" w:eastAsia="仿宋_GB2312" w:cs="仿宋_GB2312"/>
          <w:iCs/>
          <w:color w:val="auto"/>
          <w:sz w:val="24"/>
          <w:highlight w:val="none"/>
        </w:rPr>
        <w:t xml:space="preserve">13.8 其他约定： / </w:t>
      </w:r>
      <w:r>
        <w:rPr>
          <w:rFonts w:hint="eastAsia" w:ascii="仿宋_GB2312" w:hAnsi="仿宋_GB2312" w:eastAsia="仿宋_GB2312" w:cs="仿宋_GB2312"/>
          <w:iCs/>
          <w:color w:val="auto"/>
          <w:sz w:val="24"/>
          <w:highlight w:val="none"/>
          <w:u w:val="single"/>
        </w:rPr>
        <w:t xml:space="preserve">           </w:t>
      </w:r>
    </w:p>
    <w:p w14:paraId="538DC644">
      <w:pPr>
        <w:snapToGrid w:val="0"/>
        <w:spacing w:line="360" w:lineRule="auto"/>
        <w:ind w:firstLine="480"/>
        <w:outlineLvl w:val="1"/>
        <w:rPr>
          <w:rFonts w:ascii="仿宋_GB2312" w:hAnsi="仿宋_GB2312" w:eastAsia="仿宋_GB2312" w:cs="仿宋_GB2312"/>
          <w:b/>
          <w:iCs/>
          <w:color w:val="auto"/>
          <w:sz w:val="24"/>
          <w:highlight w:val="none"/>
        </w:rPr>
      </w:pPr>
      <w:r>
        <w:rPr>
          <w:rFonts w:hint="eastAsia" w:ascii="仿宋_GB2312" w:hAnsi="仿宋_GB2312" w:eastAsia="仿宋_GB2312" w:cs="仿宋_GB2312"/>
          <w:b/>
          <w:iCs/>
          <w:color w:val="auto"/>
          <w:sz w:val="24"/>
          <w:highlight w:val="none"/>
        </w:rPr>
        <w:t>14考核制度</w:t>
      </w:r>
    </w:p>
    <w:p w14:paraId="09E487AE">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14.1 服务期内，甲方通过第三方运维管理软件和第三方监理公司人工复核的方式对乙方故障点位进行确认并发送报修单。乙方承诺提供7*24*365天的故障响应热线服务，保障在接到报修通知的第一时间立即响应，并且在1小时内到达现场，一般故障2小时内恢复故障，重大故障4小时内解决，现场不能修复的，采取无偿提供采购物品的备用件或整机等措施，保证甲方单位的正常使用。乙方逾期完成，甲方可另外委托第三方维修，因此产生的费用全部由乙方承担。乙方承诺若每个业务点每月的累计故障时间超过36 小时，则甲方有权在下次付款时直接扣除该点位的当月服务费。若遇道路施工、电力部门检修或大面积停电等原因造成的点位故障，由第三方监理公司提供故障原因的书面报告，经甲方书面审核认可后，可不计入故障考核时间。故障包括现实发生的以及存储发生的故障。</w:t>
      </w:r>
    </w:p>
    <w:p w14:paraId="221CD0D1">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14.2除已报备点位外在租赁期内要求本期点位每月平均在线率达到98%以上(含)，达不到要求的每降低一个百分点，扣除乙方当月合同费用1%(月合同费用=合同年租赁费/12)作为违约金，如遇部分点位因自然灾害或其他不可抗力情况出现不在线的，由乙方负责梳理报送采购人，由采购人确认后作为报备点位不计入在线率考核中。</w:t>
      </w:r>
    </w:p>
    <w:p w14:paraId="3C711C81">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14.3卡口、人脸点位每日依据抓拍图片判定活跃度，人脸点位、卡口点位当日无抓拍的，视为该点位不活跃，扣除当日租费；当月累计不活跃天数达3天及以上的，扣除当月租费，如乙方经核查设备功能正常，因客观因素无抓拍数据可向甲方提出书面复议，甲方经审查情况属实，不予扣款。</w:t>
      </w:r>
    </w:p>
    <w:p w14:paraId="16E0AF7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14.4乙方应对点位定期巡检，如有点位质量问题，及时进行核实、整改。运维单位应按项目合同要求每周进行监控点位分批巡检，并按时提交。</w:t>
      </w:r>
    </w:p>
    <w:p w14:paraId="478C07B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14.5乙方对点位自查自检、监理单位抽查、甲方通报发现的经纬度不准确、画面遮挡等点位质量问题，应当及时进行整改，整改时间不得大于24小时，逾期未整改扣除当日租费。</w:t>
      </w:r>
    </w:p>
    <w:p w14:paraId="5E2425CE">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14.6乙方应对分局交办的任务和临时性工作，不得推诿拖延、不执行或执行不到位。</w:t>
      </w:r>
    </w:p>
    <w:p w14:paraId="78B94356">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14.7乙方应当做好日常社会面点位的巡检工作，如遇到社会面链路单条全面离线，与被接入单位联系核实并及时修复，7天未修复的扣除当月租费。因客观原因暂时无法及时修复的，或被接入单位搬离等特殊情况需撤除的，应当报备。</w:t>
      </w:r>
    </w:p>
    <w:p w14:paraId="2FD71E61">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14.8乙方提供服务过程中，应详细细则参考《</w:t>
      </w:r>
      <w:r>
        <w:rPr>
          <w:rFonts w:hint="eastAsia" w:ascii="仿宋_GB2312" w:hAnsi="仿宋_GB2312" w:eastAsia="仿宋_GB2312" w:cs="仿宋_GB2312"/>
          <w:iCs/>
          <w:color w:val="auto"/>
          <w:sz w:val="24"/>
          <w:highlight w:val="none"/>
          <w:lang w:eastAsia="zh-CN"/>
        </w:rPr>
        <w:t>杭州市钱塘区人民政府新湾街道办事处</w:t>
      </w:r>
      <w:r>
        <w:rPr>
          <w:rFonts w:hint="eastAsia" w:ascii="仿宋_GB2312" w:hAnsi="仿宋_GB2312" w:eastAsia="仿宋_GB2312" w:cs="仿宋_GB2312"/>
          <w:iCs/>
          <w:color w:val="auto"/>
          <w:sz w:val="24"/>
          <w:highlight w:val="none"/>
        </w:rPr>
        <w:t>监控系统运维管理办法》，</w:t>
      </w:r>
      <w:r>
        <w:rPr>
          <w:rFonts w:hint="eastAsia" w:ascii="仿宋_GB2312" w:hAnsi="仿宋_GB2312" w:eastAsia="仿宋_GB2312" w:cs="仿宋_GB2312"/>
          <w:iCs/>
          <w:color w:val="auto"/>
          <w:sz w:val="24"/>
          <w:highlight w:val="none"/>
          <w:lang w:eastAsia="zh-CN"/>
        </w:rPr>
        <w:t>杭州市钱塘区人民政府新湾街道办事处</w:t>
      </w:r>
      <w:r>
        <w:rPr>
          <w:rFonts w:hint="eastAsia" w:ascii="仿宋_GB2312" w:hAnsi="仿宋_GB2312" w:eastAsia="仿宋_GB2312" w:cs="仿宋_GB2312"/>
          <w:iCs/>
          <w:color w:val="auto"/>
          <w:sz w:val="24"/>
          <w:highlight w:val="none"/>
        </w:rPr>
        <w:t>对本办法有最终解释和决定权。</w:t>
      </w:r>
    </w:p>
    <w:p w14:paraId="64DDE3B3">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15项目质量</w:t>
      </w:r>
    </w:p>
    <w:p w14:paraId="705B98B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15.1 乙方保证按ISO900</w:t>
      </w:r>
      <w:r>
        <w:rPr>
          <w:rFonts w:ascii="仿宋_GB2312" w:hAnsi="仿宋_GB2312" w:eastAsia="仿宋_GB2312" w:cs="仿宋_GB2312"/>
          <w:iCs/>
          <w:color w:val="auto"/>
          <w:sz w:val="24"/>
          <w:highlight w:val="none"/>
        </w:rPr>
        <w:t>1</w:t>
      </w:r>
      <w:r>
        <w:rPr>
          <w:rFonts w:hint="eastAsia" w:ascii="仿宋_GB2312" w:hAnsi="仿宋_GB2312" w:eastAsia="仿宋_GB2312" w:cs="仿宋_GB2312"/>
          <w:iCs/>
          <w:color w:val="auto"/>
          <w:sz w:val="24"/>
          <w:highlight w:val="none"/>
        </w:rPr>
        <w:t>系列标准或相应的质量管理和质量保证体系，对项目实施、调试、检测等各个环节进行严格的质量和质量控制。</w:t>
      </w:r>
    </w:p>
    <w:p w14:paraId="2ACE634E">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15.2 乙方须严格按设计方案和国家现行项目实施验收规范有关规定，精心组织实施、记录、检测。</w:t>
      </w:r>
    </w:p>
    <w:p w14:paraId="34B4485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15.3 项目的质量、技术标准如在招标文件和投标文件中无相应说明，则按中华人民共和国有关部门颁布的最新的国家或专业（部）标准或相应的国际标准执行。没有国家或专业（部）标准的，按企业标准执行。</w:t>
      </w:r>
    </w:p>
    <w:p w14:paraId="51DF564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15.4 项目竣工验收：应按设计方案、技术交底、会审纪要、设计变更通知单、国家和（部）颁发的有关规范和质量检验评定标准、相关的国际标准为依据，并有相关专业测试单位出具相应的测验结论报告（第三方检测由甲方负责）。</w:t>
      </w:r>
    </w:p>
    <w:p w14:paraId="36C1E2B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15.5 项目实施过程中应严格做好安全防范措施，如乙方项目实施人员在实施中违反操作规定造成人员伤亡事故或实施现场防范措施设置不明造成人员伤害事故，一切责任均有乙方负责。</w:t>
      </w:r>
    </w:p>
    <w:p w14:paraId="021B1AB2">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16. 争议处理</w:t>
      </w:r>
    </w:p>
    <w:p w14:paraId="38515A6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16．1 合同在履行过程中发生争议时，甲方与乙方及时协商解决。协商不成时，</w:t>
      </w:r>
      <w:r>
        <w:rPr>
          <w:rFonts w:hint="eastAsia" w:ascii="仿宋_GB2312" w:hAnsi="仿宋_GB2312" w:eastAsia="仿宋_GB2312" w:cs="仿宋_GB2312"/>
          <w:iCs/>
          <w:color w:val="auto"/>
          <w:sz w:val="24"/>
          <w:highlight w:val="none"/>
          <w:lang w:eastAsia="zh-Hans"/>
        </w:rPr>
        <w:t>均可向甲方所在地人民法院起诉。</w:t>
      </w:r>
    </w:p>
    <w:p w14:paraId="3A3238E1">
      <w:pPr>
        <w:snapToGrid w:val="0"/>
        <w:spacing w:line="360" w:lineRule="auto"/>
        <w:ind w:firstLine="480"/>
        <w:rPr>
          <w:rFonts w:ascii="仿宋_GB2312" w:hAnsi="仿宋_GB2312" w:eastAsia="仿宋_GB2312" w:cs="仿宋_GB2312"/>
          <w:iCs/>
          <w:color w:val="auto"/>
          <w:sz w:val="24"/>
          <w:highlight w:val="none"/>
          <w:lang w:eastAsia="zh-Hans"/>
        </w:rPr>
      </w:pPr>
      <w:r>
        <w:rPr>
          <w:rFonts w:hint="eastAsia" w:ascii="仿宋_GB2312" w:hAnsi="仿宋_GB2312" w:eastAsia="仿宋_GB2312" w:cs="仿宋_GB2312"/>
          <w:iCs/>
          <w:color w:val="auto"/>
          <w:sz w:val="24"/>
          <w:highlight w:val="none"/>
        </w:rPr>
        <w:t>16．2 对于因违反或终止合同而引起的损失、损害的赔偿，由甲方与乙方友好协商解决，经协商仍未能达成一致的，</w:t>
      </w:r>
      <w:r>
        <w:rPr>
          <w:rFonts w:hint="eastAsia" w:ascii="仿宋_GB2312" w:hAnsi="仿宋_GB2312" w:eastAsia="仿宋_GB2312" w:cs="仿宋_GB2312"/>
          <w:iCs/>
          <w:color w:val="auto"/>
          <w:sz w:val="24"/>
          <w:highlight w:val="none"/>
          <w:lang w:eastAsia="zh-Hans"/>
        </w:rPr>
        <w:t>均可向甲方所在地人民法院起诉。</w:t>
      </w:r>
      <w:r>
        <w:rPr>
          <w:rFonts w:hint="eastAsia" w:ascii="仿宋_GB2312" w:hAnsi="仿宋_GB2312" w:eastAsia="仿宋_GB2312" w:cs="仿宋_GB2312"/>
          <w:color w:val="auto"/>
          <w:sz w:val="24"/>
          <w:highlight w:val="none"/>
          <w:lang w:eastAsia="zh-Hans"/>
        </w:rPr>
        <w:t>包括但不限于因主张权利而产生的律师费、诉讼费、保全费等全部费用。</w:t>
      </w:r>
    </w:p>
    <w:p w14:paraId="2859283F">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17. 其他</w:t>
      </w:r>
    </w:p>
    <w:p w14:paraId="1AF26794">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17．1乙方同意向小微企业合理分包合同项下的义务和将本项目完成。</w:t>
      </w:r>
    </w:p>
    <w:p w14:paraId="546E61E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17．2 乙方不得参与可能与合同规定的与甲方的利益相冲突的任何活动。</w:t>
      </w:r>
    </w:p>
    <w:p w14:paraId="5E7A844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17．3 乙方人员在甲方场地工作时，应遵守甲方相关规章、制度。</w:t>
      </w:r>
    </w:p>
    <w:p w14:paraId="715AC5A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17．4 本合同任何一方给另一方的通知，都应以书面或电传/传真/电报的形式发送，而另一方应以书面形式确认并发送到对方明确的地址。</w:t>
      </w:r>
    </w:p>
    <w:p w14:paraId="1CFCB97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17．5 合同履行期内甲乙双方均不得随意变更或解除合同。合同若有未尽事宜，需经双方共同协商，订立补充协议，补充协议与本合同有同等法律效力。</w:t>
      </w:r>
    </w:p>
    <w:p w14:paraId="4937EE3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17．6 招标文件、投标文件及评标过程中形成的文字资料、询标纪要均作为本合同的组成部分，具有同等效力。</w:t>
      </w:r>
    </w:p>
    <w:p w14:paraId="7FF7198E">
      <w:pPr>
        <w:snapToGrid w:val="0"/>
        <w:spacing w:line="360" w:lineRule="auto"/>
        <w:ind w:firstLine="480"/>
        <w:outlineLvl w:val="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17．7 本合同一式捌份，甲方执肆份，乙方执</w:t>
      </w:r>
      <w:r>
        <w:rPr>
          <w:rFonts w:hint="eastAsia" w:ascii="仿宋_GB2312" w:hAnsi="仿宋_GB2312" w:eastAsia="仿宋_GB2312" w:cs="仿宋_GB2312"/>
          <w:iCs/>
          <w:color w:val="auto"/>
          <w:sz w:val="24"/>
          <w:highlight w:val="none"/>
          <w:u w:val="single"/>
        </w:rPr>
        <w:t xml:space="preserve"> 肆 </w:t>
      </w:r>
      <w:r>
        <w:rPr>
          <w:rFonts w:hint="eastAsia" w:ascii="仿宋_GB2312" w:hAnsi="仿宋_GB2312" w:eastAsia="仿宋_GB2312" w:cs="仿宋_GB2312"/>
          <w:iCs/>
          <w:color w:val="auto"/>
          <w:sz w:val="24"/>
          <w:highlight w:val="none"/>
        </w:rPr>
        <w:t>份。</w:t>
      </w:r>
    </w:p>
    <w:p w14:paraId="1185A19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17．8 本合同经双方签名并加盖单位公章后生效，标项1和标项2有效期自项目验收合格之日起3年止、标项3有效期自项目验收合格之日起1年止，如有未尽事宜，双方友好协商另行签订补充协议。</w:t>
      </w:r>
    </w:p>
    <w:p w14:paraId="5FC339D0">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17．9 适用法律：本合同应按照中华人民共和国的法律进行解释。</w:t>
      </w:r>
    </w:p>
    <w:p w14:paraId="762C0E9B">
      <w:pPr>
        <w:snapToGrid w:val="0"/>
        <w:spacing w:line="360" w:lineRule="auto"/>
        <w:ind w:firstLine="480"/>
        <w:rPr>
          <w:rFonts w:ascii="仿宋_GB2312" w:hAnsi="仿宋_GB2312" w:eastAsia="仿宋_GB2312" w:cs="仿宋_GB2312"/>
          <w:iCs/>
          <w:color w:val="auto"/>
          <w:sz w:val="24"/>
          <w:highlight w:val="none"/>
        </w:rPr>
      </w:pPr>
    </w:p>
    <w:p w14:paraId="328B977B">
      <w:pPr>
        <w:snapToGrid w:val="0"/>
        <w:spacing w:line="360" w:lineRule="auto"/>
        <w:ind w:firstLine="480"/>
        <w:rPr>
          <w:rFonts w:ascii="仿宋_GB2312" w:hAnsi="仿宋_GB2312" w:eastAsia="仿宋_GB2312" w:cs="仿宋_GB2312"/>
          <w:iCs/>
          <w:color w:val="auto"/>
          <w:sz w:val="24"/>
          <w:highlight w:val="none"/>
        </w:rPr>
      </w:pPr>
    </w:p>
    <w:p w14:paraId="62B531C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甲方（盖章）：                             乙方（盖章）：        </w:t>
      </w:r>
    </w:p>
    <w:p w14:paraId="77D03FF4">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法定代表人：                              法定代表人：                   </w:t>
      </w:r>
    </w:p>
    <w:p w14:paraId="387A4EE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或受委托人（签字）：                       或受委托人（签字）：                  </w:t>
      </w:r>
    </w:p>
    <w:p w14:paraId="6621C9C0">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联系人：                                  联系人：</w:t>
      </w:r>
    </w:p>
    <w:p w14:paraId="3734A9A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地址：                                    地址： </w:t>
      </w:r>
    </w:p>
    <w:p w14:paraId="78DE796E">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电话：                                    电话：</w:t>
      </w:r>
    </w:p>
    <w:p w14:paraId="076DCBF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传真：                                    传真：</w:t>
      </w:r>
    </w:p>
    <w:p w14:paraId="0B18A12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开户银行：                                开户银行： </w:t>
      </w:r>
    </w:p>
    <w:p w14:paraId="297FA0E4">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iCs/>
          <w:color w:val="auto"/>
          <w:sz w:val="24"/>
          <w:highlight w:val="none"/>
        </w:rPr>
        <w:t>帐号：                                    帐号：</w:t>
      </w:r>
    </w:p>
    <w:p w14:paraId="2D5BC320">
      <w:pPr>
        <w:keepNext/>
        <w:keepLines/>
        <w:numPr>
          <w:ilvl w:val="2"/>
          <w:numId w:val="0"/>
        </w:numPr>
        <w:tabs>
          <w:tab w:val="left" w:pos="420"/>
        </w:tabs>
        <w:outlineLvl w:val="9"/>
        <w:rPr>
          <w:rFonts w:ascii="仿宋_GB2312" w:hAnsi="仿宋_GB2312" w:eastAsia="仿宋_GB2312" w:cs="仿宋_GB2312"/>
          <w:color w:val="auto"/>
          <w:kern w:val="0"/>
          <w:sz w:val="24"/>
          <w:highlight w:val="none"/>
        </w:rPr>
        <w:sectPr>
          <w:pgSz w:w="11907" w:h="16840"/>
          <w:pgMar w:top="680" w:right="1417" w:bottom="471" w:left="1417" w:header="851" w:footer="851" w:gutter="0"/>
          <w:cols w:space="720" w:num="1"/>
        </w:sectPr>
      </w:pPr>
    </w:p>
    <w:p w14:paraId="08DC42BD">
      <w:pPr>
        <w:pStyle w:val="47"/>
        <w:rPr>
          <w:rFonts w:ascii="仿宋_GB2312" w:hAnsi="仿宋_GB2312" w:eastAsia="仿宋_GB2312" w:cs="仿宋_GB2312"/>
          <w:color w:val="auto"/>
          <w:highlight w:val="none"/>
        </w:rPr>
      </w:pPr>
    </w:p>
    <w:p w14:paraId="21A63CC7">
      <w:pPr>
        <w:spacing w:line="360" w:lineRule="auto"/>
        <w:ind w:left="-420" w:leftChars="-200" w:right="-420" w:rightChars="-200" w:firstLine="480" w:firstLineChars="200"/>
        <w:jc w:val="center"/>
        <w:outlineLvl w:val="9"/>
        <w:rPr>
          <w:rFonts w:ascii="仿宋_GB2312" w:hAnsi="仿宋_GB2312" w:eastAsia="仿宋_GB2312" w:cs="仿宋_GB2312"/>
          <w:color w:val="auto"/>
          <w:sz w:val="24"/>
          <w:highlight w:val="none"/>
        </w:rPr>
      </w:pPr>
    </w:p>
    <w:p w14:paraId="77A90F3F">
      <w:pPr>
        <w:spacing w:line="360" w:lineRule="auto"/>
        <w:ind w:left="720" w:firstLine="723" w:firstLineChars="200"/>
        <w:outlineLvl w:val="0"/>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第六部分</w:t>
      </w:r>
      <w:bookmarkEnd w:id="391"/>
      <w:r>
        <w:rPr>
          <w:rFonts w:hint="eastAsia" w:ascii="仿宋_GB2312" w:hAnsi="仿宋_GB2312" w:eastAsia="仿宋_GB2312" w:cs="仿宋_GB2312"/>
          <w:b/>
          <w:color w:val="auto"/>
          <w:sz w:val="36"/>
          <w:szCs w:val="20"/>
          <w:highlight w:val="none"/>
        </w:rPr>
        <w:t xml:space="preserve"> </w:t>
      </w:r>
      <w:bookmarkEnd w:id="392"/>
      <w:r>
        <w:rPr>
          <w:rFonts w:hint="eastAsia" w:ascii="仿宋_GB2312" w:hAnsi="仿宋_GB2312" w:eastAsia="仿宋_GB2312" w:cs="仿宋_GB2312"/>
          <w:b/>
          <w:color w:val="auto"/>
          <w:sz w:val="36"/>
          <w:szCs w:val="20"/>
          <w:highlight w:val="none"/>
        </w:rPr>
        <w:t>应提交的有关格式范例</w:t>
      </w:r>
    </w:p>
    <w:p w14:paraId="16879BAF">
      <w:pPr>
        <w:spacing w:line="360" w:lineRule="auto"/>
        <w:jc w:val="center"/>
        <w:outlineLvl w:val="9"/>
        <w:rPr>
          <w:rFonts w:ascii="仿宋_GB2312" w:hAnsi="仿宋_GB2312" w:eastAsia="仿宋_GB2312" w:cs="仿宋_GB2312"/>
          <w:b/>
          <w:color w:val="auto"/>
          <w:kern w:val="0"/>
          <w:sz w:val="36"/>
          <w:szCs w:val="36"/>
          <w:highlight w:val="none"/>
        </w:rPr>
      </w:pPr>
    </w:p>
    <w:p w14:paraId="06EEE8D5">
      <w:pPr>
        <w:spacing w:line="360" w:lineRule="auto"/>
        <w:jc w:val="center"/>
        <w:outlineLvl w:val="1"/>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资格文件部分</w:t>
      </w:r>
    </w:p>
    <w:p w14:paraId="5C9618C2">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14:paraId="08DC5E81">
      <w:pPr>
        <w:spacing w:line="360" w:lineRule="auto"/>
        <w:jc w:val="center"/>
        <w:outlineLvl w:val="9"/>
        <w:rPr>
          <w:rFonts w:ascii="仿宋_GB2312" w:hAnsi="仿宋_GB2312" w:eastAsia="仿宋_GB2312" w:cs="仿宋_GB2312"/>
          <w:b/>
          <w:color w:val="auto"/>
          <w:kern w:val="0"/>
          <w:sz w:val="36"/>
          <w:szCs w:val="36"/>
          <w:highlight w:val="none"/>
        </w:rPr>
      </w:pPr>
    </w:p>
    <w:p w14:paraId="273BAEF8">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（1）符合参加政府采购活动应当具备的一般条件的承诺函……………（页码）</w:t>
      </w:r>
    </w:p>
    <w:p w14:paraId="0A5BA555">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（2）联合协议（如果有）…………………………………………………（页码）</w:t>
      </w:r>
    </w:p>
    <w:p w14:paraId="57269A78">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（3）落实政府采购政策需满足的资格要求（如果有）…………………（页码）</w:t>
      </w:r>
    </w:p>
    <w:p w14:paraId="616B0A36">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（4）本项目的特定资格要求（如果有）…………………………………（页码）</w:t>
      </w:r>
    </w:p>
    <w:p w14:paraId="2FA5E919">
      <w:pPr>
        <w:pStyle w:val="25"/>
        <w:rPr>
          <w:rFonts w:ascii="仿宋_GB2312" w:hAnsi="仿宋_GB2312" w:eastAsia="仿宋_GB2312" w:cs="仿宋_GB2312"/>
          <w:color w:val="auto"/>
          <w:highlight w:val="none"/>
        </w:rPr>
      </w:pPr>
    </w:p>
    <w:p w14:paraId="3B55CA78">
      <w:pPr>
        <w:snapToGrid w:val="0"/>
        <w:spacing w:line="360" w:lineRule="auto"/>
        <w:ind w:firstLine="480" w:firstLineChars="200"/>
        <w:rPr>
          <w:rFonts w:ascii="仿宋_GB2312" w:hAnsi="仿宋_GB2312" w:eastAsia="仿宋_GB2312" w:cs="仿宋_GB2312"/>
          <w:color w:val="auto"/>
          <w:sz w:val="24"/>
          <w:highlight w:val="none"/>
        </w:rPr>
      </w:pPr>
    </w:p>
    <w:p w14:paraId="71398DC1">
      <w:pPr>
        <w:spacing w:line="360" w:lineRule="auto"/>
        <w:ind w:firstLine="480" w:firstLineChars="200"/>
        <w:rPr>
          <w:rFonts w:ascii="仿宋_GB2312" w:hAnsi="仿宋_GB2312" w:eastAsia="仿宋_GB2312" w:cs="仿宋_GB2312"/>
          <w:color w:val="auto"/>
          <w:sz w:val="24"/>
          <w:highlight w:val="none"/>
        </w:rPr>
      </w:pPr>
    </w:p>
    <w:p w14:paraId="58436C41">
      <w:pPr>
        <w:snapToGrid w:val="0"/>
        <w:spacing w:line="360" w:lineRule="auto"/>
        <w:ind w:right="480"/>
        <w:jc w:val="center"/>
        <w:rPr>
          <w:rFonts w:ascii="仿宋_GB2312" w:hAnsi="仿宋_GB2312" w:eastAsia="仿宋_GB2312" w:cs="仿宋_GB2312"/>
          <w:b/>
          <w:color w:val="auto"/>
          <w:kern w:val="0"/>
          <w:sz w:val="32"/>
          <w:szCs w:val="32"/>
          <w:highlight w:val="none"/>
        </w:rPr>
        <w:sectPr>
          <w:headerReference r:id="rId10" w:type="first"/>
          <w:footerReference r:id="rId12" w:type="first"/>
          <w:headerReference r:id="rId9" w:type="default"/>
          <w:footerReference r:id="rId11" w:type="default"/>
          <w:pgSz w:w="11906" w:h="16838"/>
          <w:pgMar w:top="680" w:right="1418" w:bottom="471" w:left="1418" w:header="851" w:footer="992" w:gutter="0"/>
          <w:cols w:space="720" w:num="1"/>
          <w:titlePg/>
          <w:docGrid w:linePitch="312" w:charSpace="0"/>
        </w:sectPr>
      </w:pPr>
    </w:p>
    <w:p w14:paraId="2EFD62FB">
      <w:pPr>
        <w:snapToGrid w:val="0"/>
        <w:spacing w:line="360" w:lineRule="auto"/>
        <w:ind w:right="480"/>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  一、 符合参加政府采购活动应当具备的一般条件的承诺函</w:t>
      </w:r>
    </w:p>
    <w:p w14:paraId="22C90833">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sz w:val="24"/>
          <w:highlight w:val="none"/>
        </w:rPr>
        <w:t>：</w:t>
      </w:r>
    </w:p>
    <w:p w14:paraId="5BC6A6E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我方参与</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】政府采购活动，郑重承诺：</w:t>
      </w:r>
    </w:p>
    <w:p w14:paraId="70FD8DAB">
      <w:pPr>
        <w:snapToGrid w:val="0"/>
        <w:spacing w:line="360" w:lineRule="auto"/>
        <w:ind w:firstLine="360" w:firstLineChars="15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（一）具备《中华人民共和国政府采购法》第二十二条第一款规定的条件：</w:t>
      </w:r>
    </w:p>
    <w:p w14:paraId="1DE8895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14:paraId="2A43CC96">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2、具有良好的商业信誉和健全的财务会计制度； </w:t>
      </w:r>
    </w:p>
    <w:p w14:paraId="37671F15">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3、具有履行合同所必需的设备和专业技术能力；</w:t>
      </w:r>
    </w:p>
    <w:p w14:paraId="2CB443F0">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4、有依法缴纳税收和社会保障资金的良好记录；</w:t>
      </w:r>
    </w:p>
    <w:p w14:paraId="0CF09DBD">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5、参加政府采购活动前三年内，在经营活动中没有重大违法记录；</w:t>
      </w:r>
    </w:p>
    <w:p w14:paraId="5D29259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6、具有法律、行政法规规定的其他条件。</w:t>
      </w:r>
    </w:p>
    <w:p w14:paraId="40D76F46">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（二）未被信用中国（www.creditchina.gov.cn)、中国政府采购网（www.ccgp.gov.cn）列入失信被执行人、重大税收违法案件当事人名单、政府采购严重违法失信行为记录名单。</w:t>
      </w:r>
    </w:p>
    <w:p w14:paraId="30730E02">
      <w:pPr>
        <w:snapToGrid w:val="0"/>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（三）不存在以下情况：</w:t>
      </w:r>
    </w:p>
    <w:p w14:paraId="295A536B">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1、单位负责人为同一人或者存在直接控股、管理关系的不同供应商参加同一合同项下的政府采购活动的；</w:t>
      </w:r>
    </w:p>
    <w:p w14:paraId="7649D689">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2、为采购项目提供整体设计、规范编制或者项目管理、监理、检测等服务后再参加该采购项目的其他采购活动的。</w:t>
      </w:r>
    </w:p>
    <w:p w14:paraId="09D65F2A">
      <w:pPr>
        <w:snapToGrid w:val="0"/>
        <w:spacing w:line="360" w:lineRule="auto"/>
        <w:ind w:firstLine="5520" w:firstLineChars="23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14:paraId="3332CADE">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14:paraId="7EF39261">
      <w:pPr>
        <w:snapToGrid w:val="0"/>
        <w:ind w:right="480"/>
        <w:jc w:val="center"/>
        <w:rPr>
          <w:rFonts w:ascii="仿宋_GB2312" w:hAnsi="仿宋_GB2312" w:eastAsia="仿宋_GB2312" w:cs="仿宋_GB2312"/>
          <w:b/>
          <w:color w:val="auto"/>
          <w:kern w:val="0"/>
          <w:sz w:val="10"/>
          <w:szCs w:val="10"/>
          <w:highlight w:val="none"/>
        </w:rPr>
      </w:pPr>
    </w:p>
    <w:p w14:paraId="45E8F53B">
      <w:pPr>
        <w:snapToGrid w:val="0"/>
        <w:spacing w:line="360" w:lineRule="auto"/>
        <w:ind w:right="480" w:firstLine="559" w:firstLineChars="233"/>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_GB2312" w:hAnsi="仿宋_GB2312" w:eastAsia="仿宋_GB2312"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80874DD">
      <w:pPr>
        <w:widowControl/>
        <w:spacing w:line="360" w:lineRule="auto"/>
        <w:ind w:firstLine="643" w:firstLineChars="200"/>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二、联合协议（如果有）</w:t>
      </w:r>
    </w:p>
    <w:p w14:paraId="653A7146">
      <w:pPr>
        <w:widowControl/>
        <w:spacing w:line="360" w:lineRule="auto"/>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[以联合体形式投标的，提供联合协议（附件5）；本项目不接受联合体投标或者投标人不以联合体形式投标的，则不需要提供]</w:t>
      </w:r>
    </w:p>
    <w:p w14:paraId="60F2A5B3">
      <w:pPr>
        <w:snapToGrid w:val="0"/>
        <w:spacing w:line="360" w:lineRule="auto"/>
        <w:ind w:right="480"/>
        <w:rPr>
          <w:rFonts w:ascii="仿宋_GB2312" w:hAnsi="仿宋_GB2312" w:eastAsia="仿宋_GB2312" w:cs="仿宋_GB2312"/>
          <w:b/>
          <w:color w:val="auto"/>
          <w:kern w:val="0"/>
          <w:sz w:val="32"/>
          <w:szCs w:val="32"/>
          <w:highlight w:val="none"/>
        </w:rPr>
      </w:pPr>
    </w:p>
    <w:p w14:paraId="4CB9F4AB">
      <w:pPr>
        <w:pStyle w:val="3"/>
        <w:outlineLvl w:val="9"/>
        <w:rPr>
          <w:rFonts w:hAnsi="仿宋_GB2312" w:cs="仿宋_GB2312"/>
          <w:color w:val="auto"/>
          <w:highlight w:val="none"/>
        </w:rPr>
      </w:pPr>
    </w:p>
    <w:p w14:paraId="3C709D77">
      <w:pPr>
        <w:snapToGrid w:val="0"/>
        <w:spacing w:line="360" w:lineRule="auto"/>
        <w:ind w:right="480"/>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三、落实政府采购政策需满足的资格要求（如果有）</w:t>
      </w:r>
    </w:p>
    <w:p w14:paraId="29DB8968">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（根据招标公告落实政府采购政策需满足的资格要求选择提供相应的材料；未要求的，无需提供）</w:t>
      </w:r>
    </w:p>
    <w:p w14:paraId="471C10C8">
      <w:pPr>
        <w:snapToGrid w:val="0"/>
        <w:spacing w:before="50" w:after="50" w:line="360" w:lineRule="auto"/>
        <w:ind w:firstLine="472" w:firstLineChars="196"/>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A</w:t>
      </w:r>
      <w:r>
        <w:rPr>
          <w:rFonts w:hint="eastAsia" w:ascii="仿宋_GB2312" w:hAnsi="仿宋_GB2312" w:eastAsia="仿宋_GB2312" w:cs="仿宋_GB2312"/>
          <w:color w:val="auto"/>
          <w:sz w:val="24"/>
          <w:highlight w:val="none"/>
        </w:rPr>
        <w:t xml:space="preserve">.专门面向中小企业，服务全部由符合政策要求的中小企业（或小微企业）承接的，提供相应的中小企业声明函（附件7）。 </w:t>
      </w:r>
    </w:p>
    <w:p w14:paraId="44A12F25">
      <w:pPr>
        <w:widowControl/>
        <w:spacing w:line="360" w:lineRule="auto"/>
        <w:ind w:firstLine="480"/>
        <w:jc w:val="left"/>
        <w:rPr>
          <w:rFonts w:ascii="仿宋_GB2312" w:hAnsi="仿宋_GB2312" w:eastAsia="仿宋_GB2312" w:cs="仿宋_GB2312"/>
          <w:color w:val="auto"/>
          <w:sz w:val="24"/>
          <w:highlight w:val="none"/>
        </w:rPr>
      </w:pPr>
    </w:p>
    <w:p w14:paraId="63F766EA">
      <w:pPr>
        <w:widowControl/>
        <w:spacing w:line="360" w:lineRule="auto"/>
        <w:ind w:firstLine="472" w:firstLineChars="196"/>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B.</w:t>
      </w:r>
      <w:r>
        <w:rPr>
          <w:rFonts w:hint="eastAsia" w:ascii="仿宋_GB2312" w:hAnsi="仿宋_GB2312" w:eastAsia="仿宋_GB2312" w:cs="仿宋_GB2312"/>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1618C6E7">
      <w:pPr>
        <w:spacing w:line="360" w:lineRule="auto"/>
        <w:ind w:firstLine="480" w:firstLineChars="200"/>
        <w:rPr>
          <w:rFonts w:ascii="仿宋_GB2312" w:hAnsi="仿宋_GB2312" w:eastAsia="仿宋_GB2312" w:cs="仿宋_GB2312"/>
          <w:color w:val="auto"/>
          <w:sz w:val="24"/>
          <w:highlight w:val="none"/>
        </w:rPr>
      </w:pPr>
    </w:p>
    <w:p w14:paraId="5C6637CD">
      <w:pPr>
        <w:spacing w:line="360" w:lineRule="auto"/>
        <w:ind w:firstLine="482" w:firstLineChars="2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z w:val="24"/>
          <w:highlight w:val="none"/>
        </w:rPr>
        <w:t>C.</w:t>
      </w:r>
      <w:r>
        <w:rPr>
          <w:rFonts w:hint="eastAsia" w:ascii="仿宋_GB2312" w:hAnsi="仿宋_GB2312" w:eastAsia="仿宋_GB2312" w:cs="仿宋_GB2312"/>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510182E8">
      <w:pPr>
        <w:widowControl/>
        <w:spacing w:line="360" w:lineRule="auto"/>
        <w:ind w:left="150"/>
        <w:jc w:val="center"/>
        <w:rPr>
          <w:rFonts w:ascii="仿宋_GB2312" w:hAnsi="仿宋_GB2312" w:eastAsia="仿宋_GB2312" w:cs="仿宋_GB2312"/>
          <w:b/>
          <w:color w:val="auto"/>
          <w:kern w:val="0"/>
          <w:sz w:val="32"/>
          <w:szCs w:val="32"/>
          <w:highlight w:val="none"/>
        </w:rPr>
      </w:pPr>
    </w:p>
    <w:p w14:paraId="1F550508">
      <w:pPr>
        <w:widowControl/>
        <w:spacing w:line="360" w:lineRule="auto"/>
        <w:ind w:left="150"/>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四、本项目的特定资格要求（如果有）</w:t>
      </w:r>
    </w:p>
    <w:p w14:paraId="3DBEDBA0">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（根据招标公告本项目的特定资格要求提供相应的材料；未要求的，无需提供）</w:t>
      </w:r>
    </w:p>
    <w:p w14:paraId="3501E3F2">
      <w:pPr>
        <w:pStyle w:val="25"/>
        <w:rPr>
          <w:color w:val="auto"/>
          <w:highlight w:val="none"/>
        </w:rPr>
        <w:sectPr>
          <w:pgSz w:w="11906" w:h="16838"/>
          <w:pgMar w:top="680" w:right="1418" w:bottom="471" w:left="1418" w:header="851" w:footer="992" w:gutter="0"/>
          <w:cols w:space="720" w:num="1"/>
          <w:titlePg/>
          <w:docGrid w:linePitch="312" w:charSpace="0"/>
        </w:sectPr>
      </w:pPr>
    </w:p>
    <w:p w14:paraId="45FFECB9">
      <w:pPr>
        <w:spacing w:line="360" w:lineRule="auto"/>
        <w:ind w:right="420"/>
        <w:jc w:val="center"/>
        <w:outlineLvl w:val="2"/>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商务技术文件部分</w:t>
      </w:r>
    </w:p>
    <w:p w14:paraId="015899F1">
      <w:pPr>
        <w:spacing w:line="360" w:lineRule="auto"/>
        <w:jc w:val="center"/>
        <w:outlineLvl w:val="9"/>
        <w:rPr>
          <w:rFonts w:ascii="仿宋_GB2312" w:hAnsi="仿宋_GB2312" w:eastAsia="仿宋_GB2312" w:cs="仿宋_GB2312"/>
          <w:b/>
          <w:color w:val="auto"/>
          <w:kern w:val="0"/>
          <w:sz w:val="24"/>
          <w:highlight w:val="none"/>
        </w:rPr>
      </w:pPr>
    </w:p>
    <w:p w14:paraId="6CFC59DA">
      <w:pPr>
        <w:spacing w:line="360" w:lineRule="auto"/>
        <w:jc w:val="center"/>
        <w:outlineLvl w:val="0"/>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目录</w:t>
      </w:r>
    </w:p>
    <w:p w14:paraId="79E2192E">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（1）投标函………………………………………………………………………（页码）</w:t>
      </w:r>
    </w:p>
    <w:p w14:paraId="326F2EB1">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（2）授权委托书或法定代表人（单位负责人、自然人本人）身份证明……（页码）</w:t>
      </w:r>
    </w:p>
    <w:p w14:paraId="5B03F5AB">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（3）分包意向协议（如果有）…………………………………………………（页码）</w:t>
      </w:r>
    </w:p>
    <w:p w14:paraId="1BB7468E">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（4）符合性审查资料……………………………………………………………（页码）</w:t>
      </w:r>
    </w:p>
    <w:p w14:paraId="19D6EC54">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（5）评标标准相应的商务技术资料……………………………………………（页码）</w:t>
      </w:r>
    </w:p>
    <w:p w14:paraId="0E253EA2">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（6）投标标的清单………………………………………………………………（页码）</w:t>
      </w:r>
    </w:p>
    <w:p w14:paraId="7EF82CA3">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（7）商务技术偏离表……………………………………………………………（页码）</w:t>
      </w:r>
    </w:p>
    <w:p w14:paraId="1AC78594">
      <w:pPr>
        <w:snapToGrid w:val="0"/>
        <w:spacing w:line="360" w:lineRule="auto"/>
        <w:ind w:left="479" w:leftChars="228"/>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r>
        <w:rPr>
          <w:rFonts w:hint="eastAsia" w:ascii="仿宋_GB2312" w:hAnsi="仿宋_GB2312" w:eastAsia="仿宋_GB2312" w:cs="仿宋_GB2312"/>
          <w:color w:val="auto"/>
          <w:sz w:val="24"/>
          <w:highlight w:val="none"/>
        </w:rPr>
        <w:t>…………………………………………（页码）</w:t>
      </w:r>
    </w:p>
    <w:p w14:paraId="6B413965">
      <w:pPr>
        <w:snapToGrid w:val="0"/>
        <w:spacing w:line="360" w:lineRule="auto"/>
        <w:outlineLvl w:val="9"/>
        <w:rPr>
          <w:rFonts w:ascii="仿宋_GB2312" w:hAnsi="仿宋_GB2312" w:eastAsia="仿宋_GB2312" w:cs="仿宋_GB2312"/>
          <w:b/>
          <w:color w:val="auto"/>
          <w:kern w:val="0"/>
          <w:sz w:val="32"/>
          <w:szCs w:val="32"/>
          <w:highlight w:val="none"/>
        </w:rPr>
      </w:pPr>
    </w:p>
    <w:p w14:paraId="74E88F37">
      <w:pPr>
        <w:pStyle w:val="25"/>
        <w:rPr>
          <w:rFonts w:eastAsia="仿宋_GB2312"/>
          <w:color w:val="auto"/>
          <w:highlight w:val="none"/>
        </w:rPr>
        <w:sectPr>
          <w:pgSz w:w="11906" w:h="16838"/>
          <w:pgMar w:top="680" w:right="1418" w:bottom="471" w:left="1418" w:header="851" w:footer="992" w:gutter="0"/>
          <w:cols w:space="720" w:num="1"/>
          <w:titlePg/>
          <w:docGrid w:linePitch="312" w:charSpace="0"/>
        </w:sectPr>
      </w:pPr>
    </w:p>
    <w:p w14:paraId="083B867F">
      <w:pPr>
        <w:snapToGrid w:val="0"/>
        <w:spacing w:line="360" w:lineRule="auto"/>
        <w:jc w:val="center"/>
        <w:outlineLvl w:val="1"/>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kern w:val="0"/>
          <w:sz w:val="32"/>
          <w:szCs w:val="32"/>
          <w:highlight w:val="none"/>
        </w:rPr>
        <w:t>一、投标</w:t>
      </w:r>
      <w:r>
        <w:rPr>
          <w:rFonts w:hint="eastAsia" w:ascii="仿宋_GB2312" w:hAnsi="仿宋_GB2312" w:eastAsia="仿宋_GB2312" w:cs="仿宋_GB2312"/>
          <w:b/>
          <w:color w:val="auto"/>
          <w:sz w:val="32"/>
          <w:szCs w:val="32"/>
          <w:highlight w:val="none"/>
        </w:rPr>
        <w:t>函</w:t>
      </w:r>
    </w:p>
    <w:p w14:paraId="6D17B6D1">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sz w:val="24"/>
          <w:highlight w:val="none"/>
        </w:rPr>
        <w:t>：</w:t>
      </w:r>
    </w:p>
    <w:p w14:paraId="4C08608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我方参加你方组织的</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】招标的有关活动，并对此项目进行投标。为此：</w:t>
      </w:r>
    </w:p>
    <w:p w14:paraId="6FE6B573">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1、我方承诺投标有效期从提交投标文件的截止之日起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天（不少于90天）</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本投标文件在投标有效期满之前均具有约束力。</w:t>
      </w:r>
    </w:p>
    <w:p w14:paraId="15841C15">
      <w:pPr>
        <w:snapToGrid w:val="0"/>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2、我方的投标文件包括以下内容：</w:t>
      </w:r>
    </w:p>
    <w:p w14:paraId="77DBBFBE">
      <w:pPr>
        <w:snapToGrid w:val="0"/>
        <w:spacing w:line="360" w:lineRule="auto"/>
        <w:ind w:firstLine="720" w:firstLineChars="3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2.1资格文件：</w:t>
      </w:r>
    </w:p>
    <w:p w14:paraId="23413497">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2.1.1承诺函；</w:t>
      </w:r>
    </w:p>
    <w:p w14:paraId="26D943BC">
      <w:pPr>
        <w:snapToGrid w:val="0"/>
        <w:spacing w:line="360" w:lineRule="auto"/>
        <w:ind w:left="420" w:lef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2.1.2联合协议（如果有）；</w:t>
      </w:r>
    </w:p>
    <w:p w14:paraId="5DE3DE4C">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2.1.3落实政府采购政策需满足的资格要求（如果有）；</w:t>
      </w:r>
    </w:p>
    <w:p w14:paraId="2D7E2B91">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2.1.4本项目的特定资格要求（如果有）。</w:t>
      </w:r>
    </w:p>
    <w:p w14:paraId="4CF06E9F">
      <w:pPr>
        <w:snapToGrid w:val="0"/>
        <w:spacing w:line="360" w:lineRule="auto"/>
        <w:ind w:firstLine="720" w:firstLineChars="300"/>
        <w:outlineLvl w:val="3"/>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color w:val="auto"/>
          <w:sz w:val="24"/>
          <w:highlight w:val="none"/>
        </w:rPr>
        <w:t>商务技术</w:t>
      </w:r>
      <w:r>
        <w:rPr>
          <w:rFonts w:hint="eastAsia" w:ascii="仿宋_GB2312" w:hAnsi="仿宋_GB2312" w:eastAsia="仿宋_GB2312" w:cs="仿宋_GB2312"/>
          <w:color w:val="auto"/>
          <w:sz w:val="24"/>
          <w:highlight w:val="none"/>
          <w:lang w:val="zh-CN"/>
        </w:rPr>
        <w:t>文件：</w:t>
      </w:r>
    </w:p>
    <w:p w14:paraId="5E20E579">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2.2.1投标函；</w:t>
      </w:r>
      <w:r>
        <w:rPr>
          <w:rFonts w:hint="eastAsia" w:ascii="仿宋_GB2312" w:hAnsi="仿宋_GB2312" w:eastAsia="仿宋_GB2312" w:cs="仿宋_GB2312"/>
          <w:color w:val="auto"/>
          <w:sz w:val="24"/>
          <w:highlight w:val="none"/>
          <w:lang w:val="zh-CN"/>
        </w:rPr>
        <w:t xml:space="preserve"> </w:t>
      </w:r>
    </w:p>
    <w:p w14:paraId="1A0F9376">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2.2.2授权委托书或法定代表人（单位负责人）身份证明；</w:t>
      </w:r>
    </w:p>
    <w:p w14:paraId="1B6E5D50">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2.2.3分包意向协议（如果有）；</w:t>
      </w:r>
    </w:p>
    <w:p w14:paraId="52724D69">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2.2.4符合性审查资料；</w:t>
      </w:r>
    </w:p>
    <w:p w14:paraId="459B841C">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2.2.5评标标准相应的商务技术资料；</w:t>
      </w:r>
    </w:p>
    <w:p w14:paraId="18F1BACB">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2.2.6投标标的清单；</w:t>
      </w:r>
    </w:p>
    <w:p w14:paraId="3F1EBB0D">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2.2.7商务技术偏离表；</w:t>
      </w:r>
    </w:p>
    <w:p w14:paraId="58240995">
      <w:pPr>
        <w:snapToGrid w:val="0"/>
        <w:spacing w:line="360" w:lineRule="auto"/>
        <w:ind w:left="420" w:leftChars="200"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14:paraId="41B91C7C">
      <w:pPr>
        <w:snapToGrid w:val="0"/>
        <w:spacing w:line="360" w:lineRule="auto"/>
        <w:ind w:firstLine="720" w:firstLineChars="3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3报价文件</w:t>
      </w:r>
    </w:p>
    <w:p w14:paraId="2C465A26">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2.3.1开标一览表（报价表）；</w:t>
      </w:r>
    </w:p>
    <w:p w14:paraId="016C31AD">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2.3.2中小企业声明函（如果有）。</w:t>
      </w:r>
    </w:p>
    <w:p w14:paraId="3B35E8FC">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3、我方承诺除商务技术偏离表列出的偏离外，我方响应招标文件的全部要求。</w:t>
      </w:r>
    </w:p>
    <w:p w14:paraId="2E30A4B9">
      <w:pPr>
        <w:snapToGrid w:val="0"/>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4、如我方中标，我方承诺：</w:t>
      </w:r>
    </w:p>
    <w:p w14:paraId="0CE801DC">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4.1在收到中标通知书后，在中标通知书规定的期限内与你方签订合同； </w:t>
      </w:r>
    </w:p>
    <w:p w14:paraId="48B3FAED">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4.2在签订合同时不向你方提出附加条件； </w:t>
      </w:r>
    </w:p>
    <w:p w14:paraId="19E1DA48">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4.3按照招标文件要求提交履约保证金； </w:t>
      </w:r>
    </w:p>
    <w:p w14:paraId="460A39F7">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4.4在合同约定的期限内完成合同规定的全部义务。 </w:t>
      </w:r>
    </w:p>
    <w:p w14:paraId="0D3C1213">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5、其他补充说明:</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34524C45">
      <w:pPr>
        <w:spacing w:line="360" w:lineRule="auto"/>
        <w:ind w:firstLine="3600" w:firstLineChars="15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投标人名称（电子签名）：                          </w:t>
      </w:r>
    </w:p>
    <w:p w14:paraId="4797948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14:paraId="59E63C04">
      <w:pPr>
        <w:spacing w:line="360" w:lineRule="auto"/>
        <w:ind w:right="420"/>
        <w:rPr>
          <w:rFonts w:ascii="仿宋_GB2312" w:hAnsi="仿宋_GB2312" w:eastAsia="仿宋_GB2312" w:cs="仿宋_GB2312"/>
          <w:color w:val="auto"/>
          <w:sz w:val="24"/>
          <w:highlight w:val="none"/>
        </w:rPr>
      </w:pPr>
    </w:p>
    <w:p w14:paraId="67BEE896">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5C732F14">
      <w:pPr>
        <w:jc w:val="center"/>
        <w:rPr>
          <w:rFonts w:ascii="仿宋_GB2312" w:hAnsi="仿宋_GB2312" w:eastAsia="仿宋_GB2312" w:cs="仿宋_GB2312"/>
          <w:b/>
          <w:color w:val="auto"/>
          <w:kern w:val="0"/>
          <w:sz w:val="32"/>
          <w:szCs w:val="32"/>
          <w:highlight w:val="none"/>
        </w:rPr>
      </w:pPr>
    </w:p>
    <w:p w14:paraId="72787E78">
      <w:pPr>
        <w:pStyle w:val="3"/>
        <w:outlineLvl w:val="9"/>
        <w:rPr>
          <w:rFonts w:hAnsi="仿宋_GB2312" w:cs="仿宋_GB2312"/>
          <w:color w:val="auto"/>
          <w:highlight w:val="none"/>
          <w:lang w:val="en-US"/>
        </w:rPr>
        <w:sectPr>
          <w:pgSz w:w="11906" w:h="16838"/>
          <w:pgMar w:top="680" w:right="1418" w:bottom="471" w:left="1418" w:header="851" w:footer="992" w:gutter="0"/>
          <w:cols w:space="720" w:num="1"/>
          <w:titlePg/>
          <w:docGrid w:linePitch="312" w:charSpace="0"/>
        </w:sectPr>
      </w:pPr>
    </w:p>
    <w:p w14:paraId="7825C63B">
      <w:pPr>
        <w:jc w:val="center"/>
        <w:outlineLvl w:val="1"/>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二、授权委托书或法定代表人（单位负责人、自然人本人）身份证明</w:t>
      </w:r>
    </w:p>
    <w:p w14:paraId="6B79F60E">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4B653F55">
      <w:pPr>
        <w:snapToGrid w:val="0"/>
        <w:spacing w:line="360" w:lineRule="auto"/>
        <w:jc w:val="center"/>
        <w:outlineLvl w:val="2"/>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lang w:val="zh-CN"/>
        </w:rPr>
        <w:t>授权委托书（适用于非联合体投标）</w:t>
      </w:r>
    </w:p>
    <w:p w14:paraId="1482950E">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kern w:val="0"/>
          <w:sz w:val="24"/>
          <w:highlight w:val="none"/>
          <w:lang w:val="zh-CN"/>
        </w:rPr>
        <w:t>：</w:t>
      </w:r>
    </w:p>
    <w:p w14:paraId="553FE518">
      <w:pPr>
        <w:snapToGrid w:val="0"/>
        <w:spacing w:line="360" w:lineRule="auto"/>
        <w:ind w:firstLine="576"/>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），以我方名义处理</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政府采购投标的一切事项，其法律后果由我方承担。</w:t>
      </w:r>
    </w:p>
    <w:p w14:paraId="2E0A450A">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日止。</w:t>
      </w:r>
    </w:p>
    <w:p w14:paraId="025806B3">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特此告知。</w:t>
      </w:r>
    </w:p>
    <w:p w14:paraId="7AE4EDF5">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投标人名称(电子签名)：</w:t>
      </w:r>
    </w:p>
    <w:p w14:paraId="0AAED348">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 xml:space="preserve">                                                 签发日期：  年  月   日</w:t>
      </w:r>
    </w:p>
    <w:p w14:paraId="511BDE6B">
      <w:pPr>
        <w:pStyle w:val="168"/>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授权代表的身份证件扫描件：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37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1496A7">
            <w:pPr>
              <w:pStyle w:val="168"/>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14:paraId="3E4D4D99">
            <w:pPr>
              <w:pStyle w:val="168"/>
              <w:adjustRightInd w:val="0"/>
              <w:spacing w:line="360" w:lineRule="auto"/>
              <w:rPr>
                <w:rFonts w:ascii="仿宋_GB2312" w:hAnsi="仿宋_GB2312" w:eastAsia="仿宋_GB2312" w:cs="仿宋_GB2312"/>
                <w:bCs/>
                <w:color w:val="auto"/>
                <w:sz w:val="24"/>
                <w:highlight w:val="none"/>
              </w:rPr>
            </w:pPr>
          </w:p>
        </w:tc>
      </w:tr>
    </w:tbl>
    <w:p w14:paraId="168C8D42">
      <w:pPr>
        <w:snapToGrid w:val="0"/>
        <w:spacing w:line="360" w:lineRule="auto"/>
        <w:ind w:firstLine="480" w:firstLineChars="200"/>
        <w:rPr>
          <w:rFonts w:ascii="仿宋_GB2312" w:hAnsi="仿宋_GB2312" w:eastAsia="仿宋_GB2312" w:cs="仿宋_GB2312"/>
          <w:color w:val="auto"/>
          <w:kern w:val="0"/>
          <w:sz w:val="24"/>
          <w:highlight w:val="none"/>
          <w:lang w:val="zh-CN"/>
        </w:rPr>
      </w:pPr>
    </w:p>
    <w:p w14:paraId="2D0B5F63">
      <w:pPr>
        <w:snapToGrid w:val="0"/>
        <w:spacing w:line="360" w:lineRule="auto"/>
        <w:ind w:firstLine="480" w:firstLineChars="200"/>
        <w:rPr>
          <w:rFonts w:ascii="仿宋_GB2312" w:hAnsi="仿宋_GB2312" w:eastAsia="仿宋_GB2312" w:cs="仿宋_GB2312"/>
          <w:color w:val="auto"/>
          <w:kern w:val="0"/>
          <w:sz w:val="24"/>
          <w:highlight w:val="none"/>
          <w:lang w:val="zh-CN"/>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05F96DF">
      <w:pPr>
        <w:snapToGrid w:val="0"/>
        <w:spacing w:line="360" w:lineRule="auto"/>
        <w:ind w:firstLine="480" w:firstLineChars="200"/>
        <w:rPr>
          <w:rFonts w:ascii="仿宋_GB2312" w:hAnsi="仿宋_GB2312" w:eastAsia="仿宋_GB2312" w:cs="仿宋_GB2312"/>
          <w:color w:val="auto"/>
          <w:kern w:val="0"/>
          <w:sz w:val="24"/>
          <w:highlight w:val="none"/>
          <w:lang w:val="zh-CN"/>
        </w:rPr>
      </w:pPr>
    </w:p>
    <w:p w14:paraId="21CF9ECA">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val="zh-CN"/>
        </w:rPr>
        <w:t xml:space="preserve">      </w:t>
      </w: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b/>
          <w:color w:val="auto"/>
          <w:kern w:val="0"/>
          <w:sz w:val="32"/>
          <w:szCs w:val="32"/>
          <w:highlight w:val="none"/>
          <w:lang w:val="zh-CN"/>
        </w:rPr>
        <w:t>授权委托书（适用于联合体投标）</w:t>
      </w:r>
    </w:p>
    <w:p w14:paraId="4C1D7152">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kern w:val="0"/>
          <w:sz w:val="24"/>
          <w:highlight w:val="none"/>
          <w:lang w:val="zh-CN"/>
        </w:rPr>
        <w:t>：</w:t>
      </w:r>
    </w:p>
    <w:p w14:paraId="334F21C1">
      <w:pPr>
        <w:snapToGrid w:val="0"/>
        <w:spacing w:line="360" w:lineRule="auto"/>
        <w:ind w:firstLine="576"/>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w:t>
      </w:r>
      <w:r>
        <w:rPr>
          <w:rFonts w:hint="eastAsia" w:ascii="仿宋_GB2312" w:hAnsi="仿宋_GB2312" w:eastAsia="仿宋_GB2312" w:cs="仿宋_GB2312"/>
          <w:color w:val="auto"/>
          <w:kern w:val="0"/>
          <w:sz w:val="24"/>
          <w:highlight w:val="none"/>
          <w:u w:val="single"/>
          <w:lang w:val="zh-CN"/>
        </w:rPr>
        <w:t>理</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政府采购投标的一切事项，其法律后果由我方承担。</w:t>
      </w:r>
    </w:p>
    <w:p w14:paraId="30662E8F">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日止。</w:t>
      </w:r>
    </w:p>
    <w:p w14:paraId="6F86E328">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特此告知。</w:t>
      </w:r>
    </w:p>
    <w:p w14:paraId="11077C4B">
      <w:pPr>
        <w:rPr>
          <w:rFonts w:ascii="仿宋_GB2312" w:hAnsi="仿宋_GB2312" w:eastAsia="仿宋_GB2312" w:cs="仿宋_GB2312"/>
          <w:b/>
          <w:color w:val="auto"/>
          <w:kern w:val="0"/>
          <w:sz w:val="32"/>
          <w:szCs w:val="32"/>
          <w:highlight w:val="none"/>
        </w:rPr>
      </w:pPr>
    </w:p>
    <w:p w14:paraId="5107748F">
      <w:pPr>
        <w:rPr>
          <w:rFonts w:ascii="仿宋_GB2312" w:hAnsi="仿宋_GB2312" w:eastAsia="仿宋_GB2312" w:cs="仿宋_GB2312"/>
          <w:color w:val="auto"/>
          <w:highlight w:val="none"/>
        </w:rPr>
      </w:pPr>
    </w:p>
    <w:p w14:paraId="1980EF19">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4D204F64">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4E7EA94A">
      <w:pPr>
        <w:snapToGrid w:val="0"/>
        <w:spacing w:line="360" w:lineRule="auto"/>
        <w:ind w:firstLine="5760" w:firstLineChars="24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14:paraId="060AA8DF">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6603F298">
      <w:pPr>
        <w:pStyle w:val="168"/>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授权代表的身份证件扫描件：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85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CCCFD1">
            <w:pPr>
              <w:pStyle w:val="168"/>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14:paraId="12332549">
            <w:pPr>
              <w:pStyle w:val="168"/>
              <w:adjustRightInd w:val="0"/>
              <w:spacing w:line="360" w:lineRule="auto"/>
              <w:rPr>
                <w:rFonts w:ascii="仿宋_GB2312" w:hAnsi="仿宋_GB2312" w:eastAsia="仿宋_GB2312" w:cs="仿宋_GB2312"/>
                <w:bCs/>
                <w:color w:val="auto"/>
                <w:sz w:val="24"/>
                <w:highlight w:val="none"/>
              </w:rPr>
            </w:pPr>
          </w:p>
        </w:tc>
      </w:tr>
    </w:tbl>
    <w:p w14:paraId="7D94B26B">
      <w:pPr>
        <w:spacing w:line="360" w:lineRule="auto"/>
        <w:ind w:firstLine="480" w:firstLineChars="200"/>
        <w:rPr>
          <w:rFonts w:ascii="仿宋_GB2312" w:hAnsi="仿宋_GB2312" w:eastAsia="仿宋_GB2312" w:cs="仿宋_GB2312"/>
          <w:color w:val="auto"/>
          <w:kern w:val="0"/>
          <w:sz w:val="24"/>
          <w:highlight w:val="none"/>
          <w:lang w:val="zh-CN"/>
        </w:rPr>
      </w:pPr>
    </w:p>
    <w:p w14:paraId="36878254">
      <w:pPr>
        <w:spacing w:line="360" w:lineRule="auto"/>
        <w:ind w:firstLine="480" w:firstLineChars="200"/>
        <w:rPr>
          <w:rFonts w:ascii="仿宋_GB2312" w:hAnsi="仿宋_GB2312" w:eastAsia="仿宋_GB2312" w:cs="仿宋_GB2312"/>
          <w:color w:val="auto"/>
          <w:sz w:val="24"/>
          <w:highlight w:val="none"/>
          <w:lang w:val="zh-CN"/>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A7B87B9">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32"/>
          <w:szCs w:val="32"/>
          <w:highlight w:val="none"/>
          <w:lang w:val="zh-CN"/>
        </w:rPr>
        <w:t>法定代表人、单位负责人或自然人本人</w:t>
      </w:r>
      <w:r>
        <w:rPr>
          <w:rFonts w:hint="eastAsia" w:ascii="仿宋_GB2312" w:hAnsi="仿宋_GB2312" w:eastAsia="仿宋_GB2312" w:cs="仿宋_GB2312"/>
          <w:b/>
          <w:color w:val="auto"/>
          <w:sz w:val="30"/>
          <w:szCs w:val="30"/>
          <w:highlight w:val="none"/>
        </w:rPr>
        <w:t>的身份证明（适用于法定代表人、单位负责人或者自然人本人代表投标人参加投标）</w:t>
      </w:r>
    </w:p>
    <w:p w14:paraId="29434815">
      <w:pPr>
        <w:pStyle w:val="168"/>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3E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37C698">
            <w:pPr>
              <w:pStyle w:val="168"/>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14:paraId="27ECF5D1">
            <w:pPr>
              <w:pStyle w:val="168"/>
              <w:adjustRightInd w:val="0"/>
              <w:spacing w:line="360" w:lineRule="auto"/>
              <w:rPr>
                <w:rFonts w:ascii="仿宋_GB2312" w:hAnsi="仿宋_GB2312" w:eastAsia="仿宋_GB2312" w:cs="仿宋_GB2312"/>
                <w:bCs/>
                <w:color w:val="auto"/>
                <w:sz w:val="24"/>
                <w:highlight w:val="none"/>
              </w:rPr>
            </w:pPr>
          </w:p>
        </w:tc>
      </w:tr>
    </w:tbl>
    <w:p w14:paraId="18BB12C7">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14:paraId="075AAF3A">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                              </w:t>
      </w:r>
    </w:p>
    <w:p w14:paraId="6C62ADD0">
      <w:pPr>
        <w:spacing w:line="360" w:lineRule="auto"/>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4A16AA74">
      <w:pPr>
        <w:snapToGrid w:val="0"/>
        <w:spacing w:line="360" w:lineRule="auto"/>
        <w:rPr>
          <w:rFonts w:ascii="仿宋_GB2312" w:hAnsi="仿宋_GB2312" w:eastAsia="仿宋_GB2312" w:cs="仿宋_GB2312"/>
          <w:b/>
          <w:color w:val="auto"/>
          <w:kern w:val="0"/>
          <w:sz w:val="32"/>
          <w:szCs w:val="32"/>
          <w:highlight w:val="none"/>
        </w:rPr>
        <w:sectPr>
          <w:headerReference r:id="rId14" w:type="first"/>
          <w:footerReference r:id="rId16" w:type="first"/>
          <w:headerReference r:id="rId13" w:type="default"/>
          <w:footerReference r:id="rId15" w:type="default"/>
          <w:pgSz w:w="11906" w:h="16838"/>
          <w:pgMar w:top="680" w:right="1418" w:bottom="471" w:left="1418" w:header="851" w:footer="992" w:gutter="0"/>
          <w:cols w:space="720" w:num="1"/>
          <w:titlePg/>
          <w:docGrid w:linePitch="312" w:charSpace="0"/>
        </w:sectPr>
      </w:pPr>
    </w:p>
    <w:p w14:paraId="0768E87A">
      <w:pPr>
        <w:snapToGrid w:val="0"/>
        <w:spacing w:line="360" w:lineRule="auto"/>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三、分包意向协议（如果有）</w:t>
      </w:r>
    </w:p>
    <w:p w14:paraId="79A36B91">
      <w:pPr>
        <w:widowControl/>
        <w:spacing w:line="360" w:lineRule="auto"/>
        <w:ind w:firstLine="120" w:firstLine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14:paraId="5F382EA9">
      <w:pPr>
        <w:pStyle w:val="3"/>
        <w:outlineLvl w:val="9"/>
        <w:rPr>
          <w:rFonts w:hAnsi="仿宋_GB2312" w:cs="仿宋_GB2312"/>
          <w:color w:val="auto"/>
          <w:highlight w:val="none"/>
        </w:rPr>
      </w:pPr>
    </w:p>
    <w:p w14:paraId="4BA53DA3">
      <w:pPr>
        <w:rPr>
          <w:rFonts w:ascii="仿宋_GB2312" w:hAnsi="仿宋_GB2312" w:eastAsia="仿宋_GB2312" w:cs="仿宋_GB2312"/>
          <w:color w:val="auto"/>
          <w:highlight w:val="none"/>
        </w:rPr>
      </w:pPr>
    </w:p>
    <w:p w14:paraId="4D79D313">
      <w:pPr>
        <w:pStyle w:val="3"/>
        <w:outlineLvl w:val="9"/>
        <w:rPr>
          <w:rFonts w:hAnsi="仿宋_GB2312" w:cs="仿宋_GB2312"/>
          <w:color w:val="auto"/>
          <w:highlight w:val="none"/>
        </w:rPr>
      </w:pPr>
    </w:p>
    <w:p w14:paraId="628A5062">
      <w:pPr>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四、符合性审查资料</w:t>
      </w:r>
    </w:p>
    <w:p w14:paraId="0B7322C0">
      <w:pPr>
        <w:jc w:val="center"/>
        <w:rPr>
          <w:rFonts w:ascii="仿宋_GB2312" w:hAnsi="仿宋_GB2312" w:eastAsia="仿宋_GB2312"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0C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A0D2C95">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4991" w:type="dxa"/>
            <w:vAlign w:val="center"/>
          </w:tcPr>
          <w:p w14:paraId="5A114595">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实质性要求</w:t>
            </w:r>
          </w:p>
        </w:tc>
        <w:tc>
          <w:tcPr>
            <w:tcW w:w="2551" w:type="dxa"/>
            <w:vAlign w:val="center"/>
          </w:tcPr>
          <w:p w14:paraId="742F47BB">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需要提供的符合性审查资料</w:t>
            </w:r>
          </w:p>
        </w:tc>
        <w:tc>
          <w:tcPr>
            <w:tcW w:w="1418" w:type="dxa"/>
            <w:vAlign w:val="center"/>
          </w:tcPr>
          <w:p w14:paraId="197F5B0A">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投标文件中的</w:t>
            </w:r>
          </w:p>
          <w:p w14:paraId="34A8288D">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页码位置</w:t>
            </w:r>
          </w:p>
        </w:tc>
      </w:tr>
      <w:tr w14:paraId="18CA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6E742">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991" w:type="dxa"/>
          </w:tcPr>
          <w:p w14:paraId="35BC60C5">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授权委托书或法定代表人（单位负责人、自然人本人）身份证明有效，盖章齐全。</w:t>
            </w:r>
          </w:p>
        </w:tc>
        <w:tc>
          <w:tcPr>
            <w:tcW w:w="2551" w:type="dxa"/>
            <w:vAlign w:val="center"/>
          </w:tcPr>
          <w:p w14:paraId="31BD39C1">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w:t>
            </w:r>
          </w:p>
        </w:tc>
        <w:tc>
          <w:tcPr>
            <w:tcW w:w="1418" w:type="dxa"/>
          </w:tcPr>
          <w:p w14:paraId="7BFA9085">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14:paraId="1F047610">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73D6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27E7F4">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991" w:type="dxa"/>
          </w:tcPr>
          <w:p w14:paraId="1CA31652">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投标文件中承诺的投标有效期不少于招标文件中载明的投标有效期。</w:t>
            </w:r>
          </w:p>
        </w:tc>
        <w:tc>
          <w:tcPr>
            <w:tcW w:w="2551" w:type="dxa"/>
            <w:vAlign w:val="center"/>
          </w:tcPr>
          <w:p w14:paraId="539A3ECA">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投标函</w:t>
            </w:r>
          </w:p>
        </w:tc>
        <w:tc>
          <w:tcPr>
            <w:tcW w:w="1418" w:type="dxa"/>
          </w:tcPr>
          <w:p w14:paraId="7EE8E599">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2B6A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159A8A">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991" w:type="dxa"/>
          </w:tcPr>
          <w:p w14:paraId="62596890">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投标文件按照招标文件要求签署、盖章。</w:t>
            </w:r>
          </w:p>
        </w:tc>
        <w:tc>
          <w:tcPr>
            <w:tcW w:w="2551" w:type="dxa"/>
            <w:vAlign w:val="center"/>
          </w:tcPr>
          <w:p w14:paraId="5744FD10">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需要使用电子签名或者签字盖章的投标文件的组成部分</w:t>
            </w:r>
          </w:p>
        </w:tc>
        <w:tc>
          <w:tcPr>
            <w:tcW w:w="1418" w:type="dxa"/>
          </w:tcPr>
          <w:p w14:paraId="7FD3D8CB">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14:paraId="24D02F39">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68DF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18C55">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991" w:type="dxa"/>
          </w:tcPr>
          <w:p w14:paraId="7CC1B91B">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投标文件满足招标文件的其它实质性要求。</w:t>
            </w:r>
          </w:p>
        </w:tc>
        <w:tc>
          <w:tcPr>
            <w:tcW w:w="2551" w:type="dxa"/>
            <w:vAlign w:val="center"/>
          </w:tcPr>
          <w:p w14:paraId="6A8A3D2D">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招标文件其它实质性要求相应的材料（“▲” 系指实质性要求条款，招标文件无其它实质性要求的，无需提供）</w:t>
            </w:r>
          </w:p>
        </w:tc>
        <w:tc>
          <w:tcPr>
            <w:tcW w:w="1418" w:type="dxa"/>
          </w:tcPr>
          <w:p w14:paraId="62C2EC5A">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41ED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85ED4A">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4991" w:type="dxa"/>
          </w:tcPr>
          <w:p w14:paraId="6AAF548C">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报价不能超过预算金额或者最高限价，</w:t>
            </w:r>
            <w:r>
              <w:rPr>
                <w:rFonts w:hint="eastAsia" w:ascii="仿宋_GB2312" w:hAnsi="仿宋_GB2312" w:eastAsia="仿宋_GB2312" w:cs="仿宋_GB2312"/>
                <w:color w:val="auto"/>
                <w:sz w:val="24"/>
                <w:highlight w:val="none"/>
              </w:rPr>
              <w:t>只允许有一个报价，有选择的或有条件的报价将不予接受。</w:t>
            </w:r>
          </w:p>
        </w:tc>
        <w:tc>
          <w:tcPr>
            <w:tcW w:w="2551" w:type="dxa"/>
            <w:vAlign w:val="center"/>
          </w:tcPr>
          <w:p w14:paraId="475B2784">
            <w:pP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开标一览表（报价表）</w:t>
            </w:r>
          </w:p>
        </w:tc>
        <w:tc>
          <w:tcPr>
            <w:tcW w:w="1418" w:type="dxa"/>
          </w:tcPr>
          <w:p w14:paraId="2E121A1E">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bl>
    <w:p w14:paraId="5648BACC">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2952B8AB">
      <w:pPr>
        <w:jc w:val="center"/>
        <w:rPr>
          <w:rFonts w:ascii="仿宋_GB2312" w:hAnsi="仿宋_GB2312" w:eastAsia="仿宋_GB2312" w:cs="仿宋_GB2312"/>
          <w:b/>
          <w:color w:val="auto"/>
          <w:kern w:val="0"/>
          <w:sz w:val="32"/>
          <w:szCs w:val="32"/>
          <w:highlight w:val="none"/>
        </w:rPr>
      </w:pPr>
    </w:p>
    <w:p w14:paraId="035FFB69">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5DECCE6A">
      <w:pPr>
        <w:pStyle w:val="27"/>
        <w:rPr>
          <w:rFonts w:ascii="仿宋_GB2312" w:hAnsi="仿宋_GB2312" w:eastAsia="仿宋_GB2312" w:cs="仿宋_GB2312"/>
          <w:color w:val="auto"/>
          <w:highlight w:val="none"/>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highlight w:val="none"/>
          <w:lang w:val="zh-CN"/>
        </w:rPr>
        <w:t xml:space="preserve">                   </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日期：  年  月  日</w:t>
      </w:r>
    </w:p>
    <w:p w14:paraId="3BC98E91">
      <w:pPr>
        <w:jc w:val="center"/>
        <w:outlineLvl w:val="1"/>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rPr>
        <w:t>五、评标标准相应的商务技术资料</w:t>
      </w:r>
    </w:p>
    <w:p w14:paraId="6CA938B3">
      <w:pPr>
        <w:snapToGrid w:val="0"/>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（按招标文件第四部分评标办法前附表中“投标文件中评标标准相应的商务技术资料目录”提供资料）</w:t>
      </w:r>
    </w:p>
    <w:p w14:paraId="14460ADB">
      <w:pPr>
        <w:pStyle w:val="3"/>
        <w:outlineLvl w:val="9"/>
        <w:rPr>
          <w:color w:val="auto"/>
          <w:highlight w:val="none"/>
        </w:rPr>
      </w:pPr>
    </w:p>
    <w:p w14:paraId="09D1D3FA">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6C6A8CFF">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1B50F8C7">
      <w:pPr>
        <w:jc w:val="center"/>
        <w:rPr>
          <w:rFonts w:ascii="仿宋_GB2312" w:hAnsi="仿宋_GB2312" w:eastAsia="仿宋_GB2312" w:cs="仿宋_GB2312"/>
          <w:b/>
          <w:color w:val="auto"/>
          <w:kern w:val="0"/>
          <w:sz w:val="32"/>
          <w:szCs w:val="32"/>
          <w:highlight w:val="none"/>
        </w:rPr>
      </w:pPr>
    </w:p>
    <w:p w14:paraId="6F5A5668">
      <w:pPr>
        <w:ind w:firstLine="2891" w:firstLineChars="900"/>
        <w:rPr>
          <w:rFonts w:ascii="仿宋_GB2312" w:hAnsi="仿宋_GB2312" w:eastAsia="仿宋_GB2312" w:cs="仿宋_GB2312"/>
          <w:b/>
          <w:color w:val="auto"/>
          <w:kern w:val="0"/>
          <w:sz w:val="32"/>
          <w:szCs w:val="32"/>
          <w:highlight w:val="none"/>
        </w:rPr>
      </w:pPr>
    </w:p>
    <w:p w14:paraId="3C09F2D7">
      <w:pPr>
        <w:ind w:firstLine="2891" w:firstLineChars="900"/>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六、投标标的清单</w:t>
      </w:r>
    </w:p>
    <w:tbl>
      <w:tblPr>
        <w:tblStyle w:val="6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14:paraId="1AFB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D164D4">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B77804">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573539C9">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14:paraId="68962EB6">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14:paraId="79A4C10C">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14:paraId="100B2BEE">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14:paraId="076AC50C">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14:paraId="4D66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85B2F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5784CB">
            <w:pPr>
              <w:snapToGrid w:val="0"/>
              <w:spacing w:line="360" w:lineRule="auto"/>
              <w:jc w:val="center"/>
              <w:rPr>
                <w:rFonts w:ascii="仿宋_GB2312" w:hAnsi="仿宋_GB2312" w:eastAsia="仿宋_GB2312"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DE3D4FD">
            <w:pPr>
              <w:snapToGrid w:val="0"/>
              <w:spacing w:line="360" w:lineRule="auto"/>
              <w:jc w:val="center"/>
              <w:rPr>
                <w:rFonts w:ascii="仿宋_GB2312" w:hAnsi="仿宋_GB2312" w:eastAsia="仿宋_GB2312" w:cs="仿宋_GB2312"/>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102A43A3">
            <w:pPr>
              <w:snapToGrid w:val="0"/>
              <w:spacing w:line="360" w:lineRule="auto"/>
              <w:jc w:val="center"/>
              <w:rPr>
                <w:rFonts w:ascii="仿宋_GB2312" w:hAnsi="仿宋_GB2312" w:eastAsia="仿宋_GB2312" w:cs="仿宋_GB2312"/>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00B1ECE">
            <w:pPr>
              <w:spacing w:line="360" w:lineRule="auto"/>
              <w:jc w:val="center"/>
              <w:rPr>
                <w:rFonts w:ascii="仿宋_GB2312" w:hAnsi="仿宋_GB2312" w:eastAsia="仿宋_GB2312" w:cs="仿宋_GB2312"/>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0CACCF52">
            <w:pPr>
              <w:spacing w:line="360" w:lineRule="auto"/>
              <w:jc w:val="center"/>
              <w:rPr>
                <w:rFonts w:ascii="仿宋_GB2312" w:hAnsi="仿宋_GB2312" w:eastAsia="仿宋_GB2312" w:cs="仿宋_GB2312"/>
                <w:color w:val="auto"/>
                <w:sz w:val="24"/>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FAE69AA">
            <w:pPr>
              <w:spacing w:line="360" w:lineRule="auto"/>
              <w:jc w:val="center"/>
              <w:rPr>
                <w:rFonts w:ascii="仿宋_GB2312" w:hAnsi="仿宋_GB2312" w:eastAsia="仿宋_GB2312" w:cs="仿宋_GB2312"/>
                <w:color w:val="auto"/>
                <w:sz w:val="24"/>
                <w:highlight w:val="none"/>
              </w:rPr>
            </w:pPr>
          </w:p>
        </w:tc>
      </w:tr>
      <w:tr w14:paraId="743A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F03C47">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E04CE3">
            <w:pPr>
              <w:snapToGrid w:val="0"/>
              <w:spacing w:line="360" w:lineRule="auto"/>
              <w:jc w:val="center"/>
              <w:rPr>
                <w:rFonts w:ascii="仿宋_GB2312" w:hAnsi="仿宋_GB2312" w:eastAsia="仿宋_GB2312"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C380CD0">
            <w:pPr>
              <w:snapToGrid w:val="0"/>
              <w:spacing w:line="360" w:lineRule="auto"/>
              <w:jc w:val="center"/>
              <w:rPr>
                <w:rFonts w:ascii="仿宋_GB2312" w:hAnsi="仿宋_GB2312" w:eastAsia="仿宋_GB2312" w:cs="仿宋_GB2312"/>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5ABDBBE3">
            <w:pPr>
              <w:snapToGrid w:val="0"/>
              <w:spacing w:line="360" w:lineRule="auto"/>
              <w:jc w:val="center"/>
              <w:rPr>
                <w:rFonts w:ascii="仿宋_GB2312" w:hAnsi="仿宋_GB2312" w:eastAsia="仿宋_GB2312" w:cs="仿宋_GB2312"/>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3EF170D">
            <w:pPr>
              <w:spacing w:line="360" w:lineRule="auto"/>
              <w:jc w:val="center"/>
              <w:rPr>
                <w:rFonts w:ascii="仿宋_GB2312" w:hAnsi="仿宋_GB2312" w:eastAsia="仿宋_GB2312" w:cs="仿宋_GB2312"/>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6BCD4E54">
            <w:pPr>
              <w:spacing w:line="360" w:lineRule="auto"/>
              <w:jc w:val="center"/>
              <w:rPr>
                <w:rFonts w:ascii="仿宋_GB2312" w:hAnsi="仿宋_GB2312" w:eastAsia="仿宋_GB2312" w:cs="仿宋_GB2312"/>
                <w:color w:val="auto"/>
                <w:sz w:val="24"/>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B218D7">
            <w:pPr>
              <w:spacing w:line="360" w:lineRule="auto"/>
              <w:jc w:val="center"/>
              <w:rPr>
                <w:rFonts w:ascii="仿宋_GB2312" w:hAnsi="仿宋_GB2312" w:eastAsia="仿宋_GB2312" w:cs="仿宋_GB2312"/>
                <w:color w:val="auto"/>
                <w:sz w:val="24"/>
                <w:highlight w:val="none"/>
              </w:rPr>
            </w:pPr>
          </w:p>
        </w:tc>
      </w:tr>
      <w:tr w14:paraId="3F5B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1AFA98">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48BAF6">
            <w:pPr>
              <w:snapToGrid w:val="0"/>
              <w:spacing w:line="360" w:lineRule="auto"/>
              <w:jc w:val="center"/>
              <w:rPr>
                <w:rFonts w:ascii="仿宋_GB2312" w:hAnsi="仿宋_GB2312" w:eastAsia="仿宋_GB2312"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8D60DC5">
            <w:pPr>
              <w:snapToGrid w:val="0"/>
              <w:spacing w:line="360" w:lineRule="auto"/>
              <w:jc w:val="center"/>
              <w:rPr>
                <w:rFonts w:ascii="仿宋_GB2312" w:hAnsi="仿宋_GB2312" w:eastAsia="仿宋_GB2312" w:cs="仿宋_GB2312"/>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52474707">
            <w:pPr>
              <w:snapToGrid w:val="0"/>
              <w:spacing w:line="360" w:lineRule="auto"/>
              <w:jc w:val="center"/>
              <w:rPr>
                <w:rFonts w:ascii="仿宋_GB2312" w:hAnsi="仿宋_GB2312" w:eastAsia="仿宋_GB2312" w:cs="仿宋_GB2312"/>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DF701F8">
            <w:pPr>
              <w:spacing w:line="360" w:lineRule="auto"/>
              <w:jc w:val="center"/>
              <w:rPr>
                <w:rFonts w:ascii="仿宋_GB2312" w:hAnsi="仿宋_GB2312" w:eastAsia="仿宋_GB2312" w:cs="仿宋_GB2312"/>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754425E8">
            <w:pPr>
              <w:spacing w:line="360" w:lineRule="auto"/>
              <w:jc w:val="center"/>
              <w:rPr>
                <w:rFonts w:ascii="仿宋_GB2312" w:hAnsi="仿宋_GB2312" w:eastAsia="仿宋_GB2312" w:cs="仿宋_GB2312"/>
                <w:color w:val="auto"/>
                <w:sz w:val="24"/>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798D7C6">
            <w:pPr>
              <w:spacing w:line="360" w:lineRule="auto"/>
              <w:jc w:val="center"/>
              <w:rPr>
                <w:rFonts w:ascii="仿宋_GB2312" w:hAnsi="仿宋_GB2312" w:eastAsia="仿宋_GB2312" w:cs="仿宋_GB2312"/>
                <w:color w:val="auto"/>
                <w:sz w:val="24"/>
                <w:highlight w:val="none"/>
              </w:rPr>
            </w:pPr>
          </w:p>
        </w:tc>
      </w:tr>
    </w:tbl>
    <w:p w14:paraId="77D982A6">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20E22994">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4F971740">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671A163A">
      <w:pPr>
        <w:jc w:val="center"/>
        <w:rPr>
          <w:rFonts w:ascii="仿宋_GB2312" w:hAnsi="仿宋_GB2312" w:eastAsia="仿宋_GB2312" w:cs="仿宋_GB2312"/>
          <w:b/>
          <w:color w:val="auto"/>
          <w:kern w:val="0"/>
          <w:sz w:val="32"/>
          <w:szCs w:val="32"/>
          <w:highlight w:val="none"/>
        </w:rPr>
      </w:pPr>
    </w:p>
    <w:p w14:paraId="70A365ED">
      <w:pPr>
        <w:jc w:val="center"/>
        <w:rPr>
          <w:rFonts w:ascii="仿宋_GB2312" w:hAnsi="仿宋_GB2312" w:eastAsia="仿宋_GB2312" w:cs="仿宋_GB2312"/>
          <w:b/>
          <w:color w:val="auto"/>
          <w:kern w:val="0"/>
          <w:sz w:val="32"/>
          <w:szCs w:val="32"/>
          <w:highlight w:val="none"/>
        </w:rPr>
      </w:pPr>
    </w:p>
    <w:p w14:paraId="0C6F9D42">
      <w:pPr>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8FF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186FED">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3683" w:type="dxa"/>
          </w:tcPr>
          <w:p w14:paraId="6236A0CF">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招标文件章节及具体内容</w:t>
            </w:r>
          </w:p>
        </w:tc>
        <w:tc>
          <w:tcPr>
            <w:tcW w:w="3546" w:type="dxa"/>
          </w:tcPr>
          <w:p w14:paraId="0F90C833">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投标文件章节及具体内容</w:t>
            </w:r>
          </w:p>
        </w:tc>
        <w:tc>
          <w:tcPr>
            <w:tcW w:w="1276" w:type="dxa"/>
          </w:tcPr>
          <w:p w14:paraId="408AF02B">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r>
      <w:tr w14:paraId="2C15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02B90A">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683" w:type="dxa"/>
          </w:tcPr>
          <w:p w14:paraId="188676D0">
            <w:pPr>
              <w:jc w:val="center"/>
              <w:rPr>
                <w:rFonts w:ascii="仿宋_GB2312" w:hAnsi="仿宋_GB2312" w:eastAsia="仿宋_GB2312" w:cs="仿宋_GB2312"/>
                <w:b/>
                <w:color w:val="auto"/>
                <w:kern w:val="0"/>
                <w:sz w:val="32"/>
                <w:szCs w:val="32"/>
                <w:highlight w:val="none"/>
              </w:rPr>
            </w:pPr>
          </w:p>
        </w:tc>
        <w:tc>
          <w:tcPr>
            <w:tcW w:w="3546" w:type="dxa"/>
          </w:tcPr>
          <w:p w14:paraId="1A04432B">
            <w:pPr>
              <w:jc w:val="center"/>
              <w:rPr>
                <w:rFonts w:ascii="仿宋_GB2312" w:hAnsi="仿宋_GB2312" w:eastAsia="仿宋_GB2312" w:cs="仿宋_GB2312"/>
                <w:b/>
                <w:color w:val="auto"/>
                <w:kern w:val="0"/>
                <w:sz w:val="32"/>
                <w:szCs w:val="32"/>
                <w:highlight w:val="none"/>
              </w:rPr>
            </w:pPr>
          </w:p>
        </w:tc>
        <w:tc>
          <w:tcPr>
            <w:tcW w:w="1276" w:type="dxa"/>
          </w:tcPr>
          <w:p w14:paraId="76498111">
            <w:pPr>
              <w:jc w:val="center"/>
              <w:rPr>
                <w:rFonts w:ascii="仿宋_GB2312" w:hAnsi="仿宋_GB2312" w:eastAsia="仿宋_GB2312" w:cs="仿宋_GB2312"/>
                <w:b/>
                <w:color w:val="auto"/>
                <w:kern w:val="0"/>
                <w:sz w:val="32"/>
                <w:szCs w:val="32"/>
                <w:highlight w:val="none"/>
              </w:rPr>
            </w:pPr>
          </w:p>
        </w:tc>
      </w:tr>
      <w:tr w14:paraId="14CD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53AB67">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683" w:type="dxa"/>
          </w:tcPr>
          <w:p w14:paraId="0C810D50">
            <w:pPr>
              <w:jc w:val="center"/>
              <w:rPr>
                <w:rFonts w:ascii="仿宋_GB2312" w:hAnsi="仿宋_GB2312" w:eastAsia="仿宋_GB2312" w:cs="仿宋_GB2312"/>
                <w:b/>
                <w:color w:val="auto"/>
                <w:kern w:val="0"/>
                <w:sz w:val="32"/>
                <w:szCs w:val="32"/>
                <w:highlight w:val="none"/>
              </w:rPr>
            </w:pPr>
          </w:p>
        </w:tc>
        <w:tc>
          <w:tcPr>
            <w:tcW w:w="3546" w:type="dxa"/>
          </w:tcPr>
          <w:p w14:paraId="42A2AC79">
            <w:pPr>
              <w:jc w:val="center"/>
              <w:rPr>
                <w:rFonts w:ascii="仿宋_GB2312" w:hAnsi="仿宋_GB2312" w:eastAsia="仿宋_GB2312" w:cs="仿宋_GB2312"/>
                <w:b/>
                <w:color w:val="auto"/>
                <w:kern w:val="0"/>
                <w:sz w:val="32"/>
                <w:szCs w:val="32"/>
                <w:highlight w:val="none"/>
              </w:rPr>
            </w:pPr>
          </w:p>
        </w:tc>
        <w:tc>
          <w:tcPr>
            <w:tcW w:w="1276" w:type="dxa"/>
          </w:tcPr>
          <w:p w14:paraId="0003A3CE">
            <w:pPr>
              <w:jc w:val="center"/>
              <w:rPr>
                <w:rFonts w:ascii="仿宋_GB2312" w:hAnsi="仿宋_GB2312" w:eastAsia="仿宋_GB2312" w:cs="仿宋_GB2312"/>
                <w:b/>
                <w:color w:val="auto"/>
                <w:kern w:val="0"/>
                <w:sz w:val="32"/>
                <w:szCs w:val="32"/>
                <w:highlight w:val="none"/>
              </w:rPr>
            </w:pPr>
          </w:p>
        </w:tc>
      </w:tr>
      <w:tr w14:paraId="60C8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A72176">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tc>
        <w:tc>
          <w:tcPr>
            <w:tcW w:w="3683" w:type="dxa"/>
          </w:tcPr>
          <w:p w14:paraId="03F5778E">
            <w:pPr>
              <w:jc w:val="center"/>
              <w:rPr>
                <w:rFonts w:ascii="仿宋_GB2312" w:hAnsi="仿宋_GB2312" w:eastAsia="仿宋_GB2312" w:cs="仿宋_GB2312"/>
                <w:b/>
                <w:color w:val="auto"/>
                <w:kern w:val="0"/>
                <w:sz w:val="32"/>
                <w:szCs w:val="32"/>
                <w:highlight w:val="none"/>
              </w:rPr>
            </w:pPr>
          </w:p>
        </w:tc>
        <w:tc>
          <w:tcPr>
            <w:tcW w:w="3546" w:type="dxa"/>
          </w:tcPr>
          <w:p w14:paraId="5553CF5D">
            <w:pPr>
              <w:jc w:val="center"/>
              <w:rPr>
                <w:rFonts w:ascii="仿宋_GB2312" w:hAnsi="仿宋_GB2312" w:eastAsia="仿宋_GB2312" w:cs="仿宋_GB2312"/>
                <w:b/>
                <w:color w:val="auto"/>
                <w:kern w:val="0"/>
                <w:sz w:val="32"/>
                <w:szCs w:val="32"/>
                <w:highlight w:val="none"/>
              </w:rPr>
            </w:pPr>
          </w:p>
        </w:tc>
        <w:tc>
          <w:tcPr>
            <w:tcW w:w="1276" w:type="dxa"/>
          </w:tcPr>
          <w:p w14:paraId="6FEAD0F0">
            <w:pPr>
              <w:jc w:val="center"/>
              <w:rPr>
                <w:rFonts w:ascii="仿宋_GB2312" w:hAnsi="仿宋_GB2312" w:eastAsia="仿宋_GB2312" w:cs="仿宋_GB2312"/>
                <w:b/>
                <w:color w:val="auto"/>
                <w:kern w:val="0"/>
                <w:sz w:val="32"/>
                <w:szCs w:val="32"/>
                <w:highlight w:val="none"/>
              </w:rPr>
            </w:pPr>
          </w:p>
        </w:tc>
      </w:tr>
    </w:tbl>
    <w:p w14:paraId="1EFFF45C">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投标人保证：除商务技术偏离表列出的偏离外，投标人响应招标文件的全部要求</w:t>
      </w:r>
    </w:p>
    <w:p w14:paraId="47556203">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注：按本格式和要求提供。</w:t>
      </w:r>
    </w:p>
    <w:p w14:paraId="406D45E1">
      <w:pPr>
        <w:ind w:firstLine="1911" w:firstLineChars="595"/>
        <w:rPr>
          <w:rFonts w:ascii="仿宋_GB2312" w:hAnsi="仿宋_GB2312" w:eastAsia="仿宋_GB2312" w:cs="仿宋_GB2312"/>
          <w:b/>
          <w:color w:val="auto"/>
          <w:kern w:val="0"/>
          <w:sz w:val="32"/>
          <w:szCs w:val="32"/>
          <w:highlight w:val="none"/>
        </w:rPr>
      </w:pPr>
    </w:p>
    <w:p w14:paraId="3F6D4BD9">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33B0729A">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3916FC76">
      <w:pPr>
        <w:pStyle w:val="27"/>
        <w:rPr>
          <w:rFonts w:ascii="仿宋_GB2312" w:hAnsi="仿宋_GB2312" w:eastAsia="仿宋_GB2312" w:cs="仿宋_GB2312"/>
          <w:color w:val="auto"/>
          <w:highlight w:val="none"/>
        </w:rPr>
        <w:sectPr>
          <w:pgSz w:w="11906" w:h="16838"/>
          <w:pgMar w:top="680" w:right="1418" w:bottom="471" w:left="1418" w:header="851" w:footer="992" w:gutter="0"/>
          <w:cols w:space="720" w:num="1"/>
          <w:titlePg/>
          <w:docGrid w:linePitch="312" w:charSpace="0"/>
        </w:sectPr>
      </w:pPr>
    </w:p>
    <w:p w14:paraId="008957C5">
      <w:pPr>
        <w:ind w:firstLine="1911" w:firstLineChars="595"/>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八、</w:t>
      </w:r>
      <w:r>
        <w:rPr>
          <w:rFonts w:hint="eastAsia" w:ascii="仿宋_GB2312" w:hAnsi="仿宋_GB2312" w:eastAsia="仿宋_GB2312" w:cs="仿宋_GB2312"/>
          <w:b/>
          <w:color w:val="auto"/>
          <w:kern w:val="0"/>
          <w:sz w:val="32"/>
          <w:szCs w:val="32"/>
          <w:highlight w:val="none"/>
          <w:lang w:val="zh-CN"/>
        </w:rPr>
        <w:t>政府采购供应商廉洁自律承诺书</w:t>
      </w:r>
    </w:p>
    <w:p w14:paraId="7492A1C3">
      <w:pPr>
        <w:snapToGrid w:val="0"/>
        <w:spacing w:line="360" w:lineRule="auto"/>
        <w:rPr>
          <w:rFonts w:ascii="仿宋_GB2312" w:hAnsi="仿宋_GB2312" w:eastAsia="仿宋_GB2312" w:cs="仿宋_GB2312"/>
          <w:color w:val="auto"/>
          <w:sz w:val="24"/>
          <w:highlight w:val="none"/>
        </w:rPr>
      </w:pPr>
    </w:p>
    <w:p w14:paraId="263DBB6E">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kern w:val="0"/>
          <w:sz w:val="24"/>
          <w:highlight w:val="none"/>
          <w:lang w:val="zh-CN"/>
        </w:rPr>
        <w:t>：</w:t>
      </w:r>
    </w:p>
    <w:p w14:paraId="68F3AE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213861A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一、不向项目有关人员及部门赠送礼金礼物、有价证券、回扣以及中介费、介绍费、咨询费等好处费； </w:t>
      </w:r>
    </w:p>
    <w:p w14:paraId="3C36B222">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二、不为项目有关人员及部门报销应由你方单位或个人支付的费用； </w:t>
      </w:r>
    </w:p>
    <w:p w14:paraId="3AA8A187">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三、不向项目有关人员及部门提供有可能影响公正的宴请和健身娱乐等活动； </w:t>
      </w:r>
    </w:p>
    <w:p w14:paraId="26665CCA">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441E6525">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57AEAB6A">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0BE56161">
      <w:pPr>
        <w:autoSpaceDE w:val="0"/>
        <w:autoSpaceDN w:val="0"/>
        <w:spacing w:line="360" w:lineRule="auto"/>
        <w:ind w:left="481" w:leftChars="229"/>
        <w:jc w:val="left"/>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12A75D91">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仿宋_GB2312" w:eastAsia="仿宋_GB2312" w:cs="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 xml:space="preserve">等法律法规，诚实守信，合法经营，坚决抵制各种违法违纪行为。 </w:t>
      </w:r>
    </w:p>
    <w:p w14:paraId="006AADF5">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149D6587">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F3BACD1">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59DC239E">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036CB0E">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 xml:space="preserve">）：                                                                                                                                                                                                               </w:t>
      </w:r>
    </w:p>
    <w:p w14:paraId="5093EE94">
      <w:pPr>
        <w:spacing w:line="360" w:lineRule="auto"/>
        <w:ind w:left="4620" w:leftChars="2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14:paraId="280CD03C">
      <w:pPr>
        <w:spacing w:line="360" w:lineRule="auto"/>
        <w:jc w:val="center"/>
        <w:rPr>
          <w:rFonts w:ascii="仿宋_GB2312" w:hAnsi="仿宋_GB2312" w:eastAsia="仿宋_GB2312" w:cs="仿宋_GB2312"/>
          <w:b/>
          <w:bCs/>
          <w:color w:val="auto"/>
          <w:sz w:val="24"/>
          <w:highlight w:val="none"/>
        </w:rPr>
      </w:pPr>
    </w:p>
    <w:p w14:paraId="6943D371">
      <w:pPr>
        <w:spacing w:line="360" w:lineRule="auto"/>
        <w:jc w:val="center"/>
        <w:rPr>
          <w:rFonts w:ascii="仿宋_GB2312" w:hAnsi="仿宋_GB2312" w:eastAsia="仿宋_GB2312" w:cs="仿宋_GB2312"/>
          <w:b/>
          <w:bCs/>
          <w:color w:val="auto"/>
          <w:sz w:val="24"/>
          <w:highlight w:val="none"/>
        </w:rPr>
        <w:sectPr>
          <w:pgSz w:w="11906" w:h="16838"/>
          <w:pgMar w:top="680" w:right="1418" w:bottom="471" w:left="1418" w:header="851" w:footer="992" w:gutter="0"/>
          <w:cols w:space="720" w:num="1"/>
          <w:titlePg/>
          <w:docGrid w:linePitch="312" w:charSpace="0"/>
        </w:sectPr>
      </w:pPr>
    </w:p>
    <w:p w14:paraId="0AD8F2FB">
      <w:pPr>
        <w:spacing w:line="360" w:lineRule="auto"/>
        <w:jc w:val="center"/>
        <w:outlineLvl w:val="2"/>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报价文件部分</w:t>
      </w:r>
    </w:p>
    <w:p w14:paraId="33762AC4">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14:paraId="34BCDC63">
      <w:pPr>
        <w:spacing w:line="360" w:lineRule="auto"/>
        <w:jc w:val="center"/>
        <w:outlineLvl w:val="9"/>
        <w:rPr>
          <w:rFonts w:ascii="仿宋_GB2312" w:hAnsi="仿宋_GB2312" w:eastAsia="仿宋_GB2312" w:cs="仿宋_GB2312"/>
          <w:b/>
          <w:color w:val="auto"/>
          <w:kern w:val="0"/>
          <w:sz w:val="36"/>
          <w:szCs w:val="36"/>
          <w:highlight w:val="none"/>
        </w:rPr>
      </w:pPr>
    </w:p>
    <w:p w14:paraId="43E69D6F">
      <w:pPr>
        <w:snapToGrid w:val="0"/>
        <w:spacing w:line="360" w:lineRule="auto"/>
        <w:ind w:right="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（1）开标一览表（报价表）………………………………………………（页码）</w:t>
      </w:r>
    </w:p>
    <w:p w14:paraId="20E7FF06">
      <w:pPr>
        <w:snapToGrid w:val="0"/>
        <w:spacing w:line="360" w:lineRule="auto"/>
        <w:ind w:right="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（2）中小企业声明函（如果有）…………………………………………（页码）</w:t>
      </w:r>
    </w:p>
    <w:p w14:paraId="5F9B94D7">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FF0DFDF">
      <w:pPr>
        <w:snapToGrid w:val="0"/>
        <w:spacing w:line="360" w:lineRule="auto"/>
        <w:ind w:right="480"/>
        <w:jc w:val="center"/>
        <w:rPr>
          <w:rFonts w:ascii="仿宋_GB2312" w:hAnsi="仿宋_GB2312" w:eastAsia="仿宋_GB2312" w:cs="仿宋_GB2312"/>
          <w:b/>
          <w:color w:val="auto"/>
          <w:kern w:val="0"/>
          <w:sz w:val="32"/>
          <w:szCs w:val="32"/>
          <w:highlight w:val="none"/>
        </w:rPr>
      </w:pPr>
    </w:p>
    <w:p w14:paraId="1085623E">
      <w:pPr>
        <w:snapToGrid w:val="0"/>
        <w:spacing w:line="360" w:lineRule="auto"/>
        <w:ind w:right="480"/>
        <w:jc w:val="center"/>
        <w:rPr>
          <w:rFonts w:ascii="仿宋_GB2312" w:hAnsi="仿宋_GB2312" w:eastAsia="仿宋_GB2312" w:cs="仿宋_GB2312"/>
          <w:b/>
          <w:color w:val="auto"/>
          <w:kern w:val="0"/>
          <w:sz w:val="32"/>
          <w:szCs w:val="32"/>
          <w:highlight w:val="none"/>
        </w:rPr>
      </w:pPr>
    </w:p>
    <w:p w14:paraId="3678ABBE">
      <w:pPr>
        <w:snapToGrid w:val="0"/>
        <w:spacing w:line="360" w:lineRule="auto"/>
        <w:ind w:right="480"/>
        <w:jc w:val="center"/>
        <w:rPr>
          <w:rFonts w:ascii="仿宋_GB2312" w:hAnsi="仿宋_GB2312" w:eastAsia="仿宋_GB2312" w:cs="仿宋_GB2312"/>
          <w:b/>
          <w:color w:val="auto"/>
          <w:kern w:val="0"/>
          <w:sz w:val="32"/>
          <w:szCs w:val="32"/>
          <w:highlight w:val="none"/>
        </w:rPr>
      </w:pPr>
    </w:p>
    <w:p w14:paraId="7D8FFD46">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A1599F2">
      <w:pPr>
        <w:snapToGrid w:val="0"/>
        <w:spacing w:line="360" w:lineRule="auto"/>
        <w:ind w:right="480"/>
        <w:jc w:val="center"/>
        <w:rPr>
          <w:rFonts w:ascii="仿宋_GB2312" w:hAnsi="仿宋_GB2312" w:eastAsia="仿宋_GB2312" w:cs="仿宋_GB2312"/>
          <w:b/>
          <w:color w:val="auto"/>
          <w:kern w:val="0"/>
          <w:sz w:val="32"/>
          <w:szCs w:val="32"/>
          <w:highlight w:val="none"/>
        </w:rPr>
      </w:pPr>
    </w:p>
    <w:p w14:paraId="104D1CCE">
      <w:pPr>
        <w:snapToGrid w:val="0"/>
        <w:spacing w:line="360" w:lineRule="auto"/>
        <w:ind w:right="480"/>
        <w:jc w:val="center"/>
        <w:rPr>
          <w:rFonts w:ascii="仿宋_GB2312" w:hAnsi="仿宋_GB2312" w:eastAsia="仿宋_GB2312" w:cs="仿宋_GB2312"/>
          <w:b/>
          <w:color w:val="auto"/>
          <w:kern w:val="0"/>
          <w:sz w:val="32"/>
          <w:szCs w:val="32"/>
          <w:highlight w:val="none"/>
        </w:rPr>
      </w:pPr>
    </w:p>
    <w:p w14:paraId="6D7BD6F0">
      <w:pPr>
        <w:snapToGrid w:val="0"/>
        <w:spacing w:line="360" w:lineRule="auto"/>
        <w:ind w:right="480"/>
        <w:jc w:val="center"/>
        <w:rPr>
          <w:rFonts w:ascii="仿宋_GB2312" w:hAnsi="仿宋_GB2312" w:eastAsia="仿宋_GB2312" w:cs="仿宋_GB2312"/>
          <w:b/>
          <w:color w:val="auto"/>
          <w:kern w:val="0"/>
          <w:sz w:val="32"/>
          <w:szCs w:val="32"/>
          <w:highlight w:val="none"/>
        </w:rPr>
      </w:pPr>
    </w:p>
    <w:p w14:paraId="5B3AF35F">
      <w:pPr>
        <w:snapToGrid w:val="0"/>
        <w:spacing w:line="360" w:lineRule="auto"/>
        <w:ind w:right="480"/>
        <w:jc w:val="center"/>
        <w:rPr>
          <w:rFonts w:ascii="仿宋_GB2312" w:hAnsi="仿宋_GB2312" w:eastAsia="仿宋_GB2312" w:cs="仿宋_GB2312"/>
          <w:b/>
          <w:color w:val="auto"/>
          <w:kern w:val="0"/>
          <w:sz w:val="32"/>
          <w:szCs w:val="32"/>
          <w:highlight w:val="none"/>
        </w:rPr>
      </w:pPr>
    </w:p>
    <w:p w14:paraId="3DFB3ADF">
      <w:pPr>
        <w:snapToGrid w:val="0"/>
        <w:spacing w:line="360" w:lineRule="auto"/>
        <w:ind w:right="480"/>
        <w:jc w:val="center"/>
        <w:rPr>
          <w:rFonts w:ascii="仿宋_GB2312" w:hAnsi="仿宋_GB2312" w:eastAsia="仿宋_GB2312" w:cs="仿宋_GB2312"/>
          <w:b/>
          <w:color w:val="auto"/>
          <w:kern w:val="0"/>
          <w:sz w:val="32"/>
          <w:szCs w:val="32"/>
          <w:highlight w:val="none"/>
        </w:rPr>
      </w:pPr>
    </w:p>
    <w:p w14:paraId="500E4445">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489B1A2">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8FD1F9B">
      <w:pPr>
        <w:snapToGrid w:val="0"/>
        <w:spacing w:line="360" w:lineRule="auto"/>
        <w:ind w:right="480"/>
        <w:jc w:val="center"/>
        <w:rPr>
          <w:rFonts w:ascii="仿宋_GB2312" w:hAnsi="仿宋_GB2312" w:eastAsia="仿宋_GB2312" w:cs="仿宋_GB2312"/>
          <w:b/>
          <w:color w:val="auto"/>
          <w:kern w:val="0"/>
          <w:sz w:val="32"/>
          <w:szCs w:val="32"/>
          <w:highlight w:val="none"/>
        </w:rPr>
      </w:pPr>
    </w:p>
    <w:p w14:paraId="333CC9DC">
      <w:pPr>
        <w:snapToGrid w:val="0"/>
        <w:spacing w:line="360" w:lineRule="auto"/>
        <w:ind w:right="480"/>
        <w:jc w:val="center"/>
        <w:rPr>
          <w:rFonts w:ascii="仿宋_GB2312" w:hAnsi="仿宋_GB2312" w:eastAsia="仿宋_GB2312" w:cs="仿宋_GB2312"/>
          <w:b/>
          <w:color w:val="auto"/>
          <w:kern w:val="0"/>
          <w:sz w:val="32"/>
          <w:szCs w:val="32"/>
          <w:highlight w:val="none"/>
        </w:rPr>
      </w:pPr>
    </w:p>
    <w:p w14:paraId="08F42D8F">
      <w:pPr>
        <w:pStyle w:val="702"/>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sectPr>
          <w:headerReference r:id="rId18" w:type="first"/>
          <w:footerReference r:id="rId20" w:type="first"/>
          <w:headerReference r:id="rId17" w:type="default"/>
          <w:footerReference r:id="rId19" w:type="default"/>
          <w:pgSz w:w="11906" w:h="16838"/>
          <w:pgMar w:top="680" w:right="1418" w:bottom="471" w:left="1418" w:header="851" w:footer="992" w:gutter="0"/>
          <w:cols w:space="720" w:num="1"/>
          <w:titlePg/>
          <w:docGrid w:linePitch="312" w:charSpace="0"/>
        </w:sectPr>
      </w:pPr>
    </w:p>
    <w:p w14:paraId="175CEC9F">
      <w:pPr>
        <w:pStyle w:val="702"/>
        <w:keepNext w:val="0"/>
        <w:pageBreakBefore w:val="0"/>
        <w:tabs>
          <w:tab w:val="clear" w:pos="720"/>
        </w:tabs>
        <w:snapToGrid w:val="0"/>
        <w:spacing w:before="120" w:after="120"/>
        <w:ind w:firstLine="643"/>
        <w:outlineLvl w:val="1"/>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一、开标一览表（报价表）</w:t>
      </w:r>
    </w:p>
    <w:p w14:paraId="561EC889">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kern w:val="0"/>
          <w:sz w:val="24"/>
          <w:highlight w:val="none"/>
          <w:lang w:val="zh-CN"/>
        </w:rPr>
        <w:t>：</w:t>
      </w:r>
    </w:p>
    <w:p w14:paraId="607AFD76">
      <w:pPr>
        <w:snapToGrid w:val="0"/>
        <w:spacing w:line="360" w:lineRule="auto"/>
        <w:ind w:firstLine="482"/>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kern w:val="0"/>
          <w:sz w:val="24"/>
          <w:highlight w:val="none"/>
          <w:lang w:val="zh-CN"/>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】的实施</w:t>
      </w:r>
      <w:r>
        <w:rPr>
          <w:rFonts w:hint="eastAsia" w:ascii="仿宋_GB2312" w:hAnsi="仿宋_GB2312" w:eastAsia="仿宋_GB2312" w:cs="仿宋_GB2312"/>
          <w:color w:val="auto"/>
          <w:kern w:val="0"/>
          <w:sz w:val="24"/>
          <w:highlight w:val="none"/>
          <w:lang w:val="zh-CN"/>
        </w:rPr>
        <w:t>。</w:t>
      </w:r>
    </w:p>
    <w:p w14:paraId="1A723D3D">
      <w:pPr>
        <w:spacing w:line="360" w:lineRule="auto"/>
        <w:jc w:val="center"/>
        <w:outlineLvl w:val="2"/>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开标一览表（报价表）(单位均为人民币元)</w:t>
      </w:r>
    </w:p>
    <w:tbl>
      <w:tblPr>
        <w:tblStyle w:val="6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418"/>
        <w:gridCol w:w="2239"/>
        <w:gridCol w:w="2126"/>
      </w:tblGrid>
      <w:tr w14:paraId="221F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846" w:type="dxa"/>
            <w:vAlign w:val="center"/>
          </w:tcPr>
          <w:p w14:paraId="48413D54">
            <w:pPr>
              <w:spacing w:line="360" w:lineRule="auto"/>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序号</w:t>
            </w:r>
          </w:p>
        </w:tc>
        <w:tc>
          <w:tcPr>
            <w:tcW w:w="2551" w:type="dxa"/>
            <w:vAlign w:val="center"/>
          </w:tcPr>
          <w:p w14:paraId="6F8A287F">
            <w:pPr>
              <w:spacing w:line="360" w:lineRule="auto"/>
              <w:ind w:firstLine="482"/>
              <w:jc w:val="center"/>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名称</w:t>
            </w:r>
          </w:p>
        </w:tc>
        <w:tc>
          <w:tcPr>
            <w:tcW w:w="1418" w:type="dxa"/>
            <w:vAlign w:val="center"/>
          </w:tcPr>
          <w:p w14:paraId="09045B2A">
            <w:pPr>
              <w:spacing w:line="360" w:lineRule="auto"/>
              <w:ind w:firstLine="482"/>
              <w:jc w:val="center"/>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数量</w:t>
            </w:r>
          </w:p>
        </w:tc>
        <w:tc>
          <w:tcPr>
            <w:tcW w:w="2239" w:type="dxa"/>
            <w:vAlign w:val="center"/>
          </w:tcPr>
          <w:p w14:paraId="4F29E000">
            <w:pPr>
              <w:spacing w:line="360" w:lineRule="auto"/>
              <w:ind w:firstLine="482"/>
              <w:jc w:val="center"/>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单价</w:t>
            </w:r>
          </w:p>
        </w:tc>
        <w:tc>
          <w:tcPr>
            <w:tcW w:w="2126" w:type="dxa"/>
            <w:vAlign w:val="center"/>
          </w:tcPr>
          <w:p w14:paraId="7AA5F477">
            <w:pPr>
              <w:spacing w:line="360" w:lineRule="auto"/>
              <w:ind w:firstLine="482"/>
              <w:jc w:val="center"/>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合价</w:t>
            </w:r>
          </w:p>
        </w:tc>
      </w:tr>
      <w:tr w14:paraId="3B94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6" w:type="dxa"/>
            <w:vAlign w:val="center"/>
          </w:tcPr>
          <w:p w14:paraId="56787F4E">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2551" w:type="dxa"/>
            <w:vAlign w:val="center"/>
          </w:tcPr>
          <w:p w14:paraId="006A910F">
            <w:pPr>
              <w:snapToGrid w:val="0"/>
              <w:spacing w:line="360" w:lineRule="auto"/>
              <w:rPr>
                <w:rFonts w:ascii="仿宋" w:hAnsi="仿宋" w:eastAsia="仿宋" w:cs="仿宋_GB2312"/>
                <w:color w:val="auto"/>
                <w:sz w:val="28"/>
                <w:szCs w:val="28"/>
                <w:highlight w:val="none"/>
              </w:rPr>
            </w:pPr>
          </w:p>
        </w:tc>
        <w:tc>
          <w:tcPr>
            <w:tcW w:w="1418" w:type="dxa"/>
            <w:vAlign w:val="center"/>
          </w:tcPr>
          <w:p w14:paraId="12B095E0">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1A2EBA6A">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3A7F5641">
            <w:pPr>
              <w:spacing w:line="360" w:lineRule="auto"/>
              <w:ind w:firstLine="480"/>
              <w:jc w:val="center"/>
              <w:rPr>
                <w:rFonts w:ascii="仿宋" w:hAnsi="仿宋" w:eastAsia="仿宋" w:cs="仿宋_GB2312"/>
                <w:color w:val="auto"/>
                <w:sz w:val="28"/>
                <w:szCs w:val="28"/>
                <w:highlight w:val="none"/>
              </w:rPr>
            </w:pPr>
          </w:p>
        </w:tc>
      </w:tr>
      <w:tr w14:paraId="7B3C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6" w:type="dxa"/>
            <w:vAlign w:val="center"/>
          </w:tcPr>
          <w:p w14:paraId="45BDB2B9">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2551" w:type="dxa"/>
            <w:vAlign w:val="center"/>
          </w:tcPr>
          <w:p w14:paraId="7712B1B0">
            <w:pPr>
              <w:snapToGrid w:val="0"/>
              <w:spacing w:line="360" w:lineRule="auto"/>
              <w:rPr>
                <w:rFonts w:ascii="仿宋" w:hAnsi="仿宋" w:eastAsia="仿宋" w:cs="Arial"/>
                <w:b/>
                <w:snapToGrid w:val="0"/>
                <w:color w:val="auto"/>
                <w:kern w:val="0"/>
                <w:sz w:val="28"/>
                <w:szCs w:val="28"/>
                <w:highlight w:val="none"/>
                <w:lang w:val="zh-CN"/>
              </w:rPr>
            </w:pPr>
          </w:p>
        </w:tc>
        <w:tc>
          <w:tcPr>
            <w:tcW w:w="1418" w:type="dxa"/>
            <w:vAlign w:val="center"/>
          </w:tcPr>
          <w:p w14:paraId="2C7AAFFD">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48E38653">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3D1CEB0A">
            <w:pPr>
              <w:spacing w:line="360" w:lineRule="auto"/>
              <w:ind w:firstLine="480"/>
              <w:jc w:val="center"/>
              <w:rPr>
                <w:rFonts w:ascii="仿宋" w:hAnsi="仿宋" w:eastAsia="仿宋" w:cs="仿宋_GB2312"/>
                <w:color w:val="auto"/>
                <w:sz w:val="28"/>
                <w:szCs w:val="28"/>
                <w:highlight w:val="none"/>
              </w:rPr>
            </w:pPr>
          </w:p>
        </w:tc>
      </w:tr>
      <w:tr w14:paraId="6D97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6" w:type="dxa"/>
            <w:vAlign w:val="center"/>
          </w:tcPr>
          <w:p w14:paraId="17563554">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2551" w:type="dxa"/>
            <w:vAlign w:val="center"/>
          </w:tcPr>
          <w:p w14:paraId="5455132B">
            <w:pPr>
              <w:snapToGrid w:val="0"/>
              <w:spacing w:line="360" w:lineRule="auto"/>
              <w:rPr>
                <w:rFonts w:ascii="仿宋" w:hAnsi="仿宋" w:eastAsia="仿宋" w:cs="Arial"/>
                <w:b/>
                <w:snapToGrid w:val="0"/>
                <w:color w:val="auto"/>
                <w:kern w:val="0"/>
                <w:sz w:val="28"/>
                <w:szCs w:val="28"/>
                <w:highlight w:val="none"/>
                <w:lang w:val="zh-CN"/>
              </w:rPr>
            </w:pPr>
          </w:p>
        </w:tc>
        <w:tc>
          <w:tcPr>
            <w:tcW w:w="1418" w:type="dxa"/>
            <w:vAlign w:val="center"/>
          </w:tcPr>
          <w:p w14:paraId="4F09A835">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0001FE0E">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3A049519">
            <w:pPr>
              <w:spacing w:line="360" w:lineRule="auto"/>
              <w:ind w:firstLine="480"/>
              <w:jc w:val="center"/>
              <w:rPr>
                <w:rFonts w:ascii="仿宋" w:hAnsi="仿宋" w:eastAsia="仿宋" w:cs="仿宋_GB2312"/>
                <w:color w:val="auto"/>
                <w:sz w:val="28"/>
                <w:szCs w:val="28"/>
                <w:highlight w:val="none"/>
              </w:rPr>
            </w:pPr>
          </w:p>
        </w:tc>
      </w:tr>
      <w:tr w14:paraId="6BC2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6F7B6A3B">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2551" w:type="dxa"/>
            <w:vAlign w:val="center"/>
          </w:tcPr>
          <w:p w14:paraId="1CB27F08">
            <w:pPr>
              <w:snapToGrid w:val="0"/>
              <w:spacing w:line="360" w:lineRule="auto"/>
              <w:rPr>
                <w:rFonts w:ascii="仿宋" w:hAnsi="仿宋" w:eastAsia="仿宋" w:cs="仿宋_GB2312"/>
                <w:color w:val="auto"/>
                <w:sz w:val="28"/>
                <w:szCs w:val="28"/>
                <w:highlight w:val="none"/>
              </w:rPr>
            </w:pPr>
          </w:p>
        </w:tc>
        <w:tc>
          <w:tcPr>
            <w:tcW w:w="1418" w:type="dxa"/>
            <w:vAlign w:val="center"/>
          </w:tcPr>
          <w:p w14:paraId="492272CF">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5741E978">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66CB8AC0">
            <w:pPr>
              <w:spacing w:line="360" w:lineRule="auto"/>
              <w:ind w:firstLine="480"/>
              <w:jc w:val="center"/>
              <w:rPr>
                <w:rFonts w:ascii="仿宋" w:hAnsi="仿宋" w:eastAsia="仿宋" w:cs="仿宋_GB2312"/>
                <w:color w:val="auto"/>
                <w:sz w:val="28"/>
                <w:szCs w:val="28"/>
                <w:highlight w:val="none"/>
              </w:rPr>
            </w:pPr>
          </w:p>
        </w:tc>
      </w:tr>
      <w:tr w14:paraId="1252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5BE59DE0">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2551" w:type="dxa"/>
            <w:vAlign w:val="center"/>
          </w:tcPr>
          <w:p w14:paraId="3AD526B0">
            <w:pPr>
              <w:snapToGrid w:val="0"/>
              <w:spacing w:line="360" w:lineRule="auto"/>
              <w:rPr>
                <w:rFonts w:ascii="仿宋" w:hAnsi="仿宋" w:eastAsia="仿宋" w:cs="仿宋_GB2312"/>
                <w:color w:val="auto"/>
                <w:sz w:val="28"/>
                <w:szCs w:val="28"/>
                <w:highlight w:val="none"/>
              </w:rPr>
            </w:pPr>
          </w:p>
        </w:tc>
        <w:tc>
          <w:tcPr>
            <w:tcW w:w="1418" w:type="dxa"/>
            <w:vAlign w:val="center"/>
          </w:tcPr>
          <w:p w14:paraId="4DE5CE16">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723825F8">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28A09DB7">
            <w:pPr>
              <w:spacing w:line="360" w:lineRule="auto"/>
              <w:ind w:firstLine="480"/>
              <w:jc w:val="center"/>
              <w:rPr>
                <w:rFonts w:ascii="仿宋" w:hAnsi="仿宋" w:eastAsia="仿宋" w:cs="仿宋_GB2312"/>
                <w:color w:val="auto"/>
                <w:sz w:val="28"/>
                <w:szCs w:val="28"/>
                <w:highlight w:val="none"/>
              </w:rPr>
            </w:pPr>
          </w:p>
        </w:tc>
      </w:tr>
      <w:tr w14:paraId="54E2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1C9E6DC8">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2551" w:type="dxa"/>
            <w:vAlign w:val="center"/>
          </w:tcPr>
          <w:p w14:paraId="3BF559E5">
            <w:pPr>
              <w:snapToGrid w:val="0"/>
              <w:spacing w:line="360" w:lineRule="auto"/>
              <w:rPr>
                <w:rFonts w:ascii="仿宋" w:hAnsi="仿宋" w:eastAsia="仿宋" w:cs="仿宋_GB2312"/>
                <w:color w:val="auto"/>
                <w:sz w:val="28"/>
                <w:szCs w:val="28"/>
                <w:highlight w:val="none"/>
              </w:rPr>
            </w:pPr>
          </w:p>
        </w:tc>
        <w:tc>
          <w:tcPr>
            <w:tcW w:w="1418" w:type="dxa"/>
            <w:vAlign w:val="center"/>
          </w:tcPr>
          <w:p w14:paraId="1C132BEB">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28DF6D7A">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120D83D7">
            <w:pPr>
              <w:spacing w:line="360" w:lineRule="auto"/>
              <w:ind w:firstLine="480"/>
              <w:jc w:val="center"/>
              <w:rPr>
                <w:rFonts w:ascii="仿宋" w:hAnsi="仿宋" w:eastAsia="仿宋" w:cs="仿宋_GB2312"/>
                <w:color w:val="auto"/>
                <w:sz w:val="28"/>
                <w:szCs w:val="28"/>
                <w:highlight w:val="none"/>
              </w:rPr>
            </w:pPr>
          </w:p>
        </w:tc>
      </w:tr>
      <w:tr w14:paraId="37D5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43FF5922">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2551" w:type="dxa"/>
            <w:vAlign w:val="center"/>
          </w:tcPr>
          <w:p w14:paraId="65C62D54">
            <w:pPr>
              <w:snapToGrid w:val="0"/>
              <w:spacing w:line="360" w:lineRule="auto"/>
              <w:rPr>
                <w:rFonts w:ascii="仿宋" w:hAnsi="仿宋" w:eastAsia="仿宋" w:cs="Arial"/>
                <w:snapToGrid w:val="0"/>
                <w:color w:val="auto"/>
                <w:kern w:val="0"/>
                <w:sz w:val="28"/>
                <w:szCs w:val="28"/>
                <w:highlight w:val="none"/>
                <w:lang w:val="zh-CN"/>
              </w:rPr>
            </w:pPr>
          </w:p>
        </w:tc>
        <w:tc>
          <w:tcPr>
            <w:tcW w:w="1418" w:type="dxa"/>
            <w:vAlign w:val="center"/>
          </w:tcPr>
          <w:p w14:paraId="0BBADBE9">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39E7954C">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7912107F">
            <w:pPr>
              <w:spacing w:line="360" w:lineRule="auto"/>
              <w:ind w:firstLine="480"/>
              <w:jc w:val="center"/>
              <w:rPr>
                <w:rFonts w:ascii="仿宋" w:hAnsi="仿宋" w:eastAsia="仿宋" w:cs="仿宋_GB2312"/>
                <w:color w:val="auto"/>
                <w:sz w:val="28"/>
                <w:szCs w:val="28"/>
                <w:highlight w:val="none"/>
              </w:rPr>
            </w:pPr>
          </w:p>
        </w:tc>
      </w:tr>
      <w:tr w14:paraId="7B06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6104EEA6">
            <w:pPr>
              <w:spacing w:line="360" w:lineRule="auto"/>
              <w:jc w:val="cente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8</w:t>
            </w:r>
          </w:p>
        </w:tc>
        <w:tc>
          <w:tcPr>
            <w:tcW w:w="2551" w:type="dxa"/>
            <w:vAlign w:val="center"/>
          </w:tcPr>
          <w:p w14:paraId="4D1BC7DC">
            <w:pPr>
              <w:snapToGrid w:val="0"/>
              <w:spacing w:line="360" w:lineRule="auto"/>
              <w:rPr>
                <w:rFonts w:ascii="仿宋" w:hAnsi="仿宋" w:eastAsia="仿宋" w:cs="仿宋_GB2312"/>
                <w:color w:val="auto"/>
                <w:sz w:val="28"/>
                <w:szCs w:val="28"/>
                <w:highlight w:val="none"/>
              </w:rPr>
            </w:pPr>
          </w:p>
        </w:tc>
        <w:tc>
          <w:tcPr>
            <w:tcW w:w="1418" w:type="dxa"/>
            <w:vAlign w:val="center"/>
          </w:tcPr>
          <w:p w14:paraId="74B1FC9B">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57BFD517">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0C7B0035">
            <w:pPr>
              <w:spacing w:line="360" w:lineRule="auto"/>
              <w:ind w:firstLine="480"/>
              <w:jc w:val="center"/>
              <w:rPr>
                <w:rFonts w:ascii="仿宋" w:hAnsi="仿宋" w:eastAsia="仿宋" w:cs="仿宋_GB2312"/>
                <w:color w:val="auto"/>
                <w:sz w:val="28"/>
                <w:szCs w:val="28"/>
                <w:highlight w:val="none"/>
              </w:rPr>
            </w:pPr>
          </w:p>
        </w:tc>
      </w:tr>
      <w:tr w14:paraId="1C60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40BF5C2A">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2551" w:type="dxa"/>
            <w:vAlign w:val="center"/>
          </w:tcPr>
          <w:p w14:paraId="2E493902">
            <w:pPr>
              <w:snapToGrid w:val="0"/>
              <w:spacing w:line="360" w:lineRule="auto"/>
              <w:rPr>
                <w:rFonts w:ascii="仿宋" w:hAnsi="仿宋" w:eastAsia="仿宋" w:cs="Arial"/>
                <w:b/>
                <w:snapToGrid w:val="0"/>
                <w:color w:val="auto"/>
                <w:kern w:val="0"/>
                <w:sz w:val="28"/>
                <w:szCs w:val="28"/>
                <w:highlight w:val="none"/>
              </w:rPr>
            </w:pPr>
          </w:p>
        </w:tc>
        <w:tc>
          <w:tcPr>
            <w:tcW w:w="1418" w:type="dxa"/>
            <w:vAlign w:val="center"/>
          </w:tcPr>
          <w:p w14:paraId="23C020AF">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3B397791">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3817F8DD">
            <w:pPr>
              <w:spacing w:line="360" w:lineRule="auto"/>
              <w:ind w:firstLine="480"/>
              <w:jc w:val="center"/>
              <w:rPr>
                <w:rFonts w:ascii="仿宋" w:hAnsi="仿宋" w:eastAsia="仿宋" w:cs="仿宋_GB2312"/>
                <w:color w:val="auto"/>
                <w:sz w:val="28"/>
                <w:szCs w:val="28"/>
                <w:highlight w:val="none"/>
              </w:rPr>
            </w:pPr>
          </w:p>
        </w:tc>
      </w:tr>
      <w:tr w14:paraId="5587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15" w:type="dxa"/>
            <w:gridSpan w:val="3"/>
            <w:vAlign w:val="center"/>
          </w:tcPr>
          <w:p w14:paraId="706F6825">
            <w:pPr>
              <w:snapToGrid w:val="0"/>
              <w:spacing w:line="360" w:lineRule="auto"/>
              <w:jc w:val="center"/>
              <w:rPr>
                <w:rFonts w:ascii="仿宋" w:hAnsi="仿宋" w:eastAsia="仿宋" w:cs="Arial"/>
                <w:b/>
                <w:snapToGrid w:val="0"/>
                <w:color w:val="auto"/>
                <w:kern w:val="0"/>
                <w:sz w:val="28"/>
                <w:szCs w:val="28"/>
                <w:highlight w:val="none"/>
              </w:rPr>
            </w:pPr>
            <w:r>
              <w:rPr>
                <w:rFonts w:hint="eastAsia" w:ascii="仿宋" w:hAnsi="仿宋" w:eastAsia="仿宋" w:cs="Arial"/>
                <w:b/>
                <w:snapToGrid w:val="0"/>
                <w:color w:val="auto"/>
                <w:kern w:val="0"/>
                <w:sz w:val="28"/>
                <w:szCs w:val="28"/>
                <w:highlight w:val="none"/>
              </w:rPr>
              <w:t>投标报价（小写）</w:t>
            </w:r>
          </w:p>
        </w:tc>
        <w:tc>
          <w:tcPr>
            <w:tcW w:w="4365" w:type="dxa"/>
            <w:gridSpan w:val="2"/>
            <w:vAlign w:val="center"/>
          </w:tcPr>
          <w:p w14:paraId="1350D4D4">
            <w:pPr>
              <w:spacing w:line="360" w:lineRule="auto"/>
              <w:ind w:firstLine="480"/>
              <w:jc w:val="center"/>
              <w:rPr>
                <w:rFonts w:ascii="仿宋" w:hAnsi="仿宋" w:eastAsia="仿宋" w:cs="仿宋_GB2312"/>
                <w:color w:val="auto"/>
                <w:sz w:val="28"/>
                <w:szCs w:val="28"/>
                <w:highlight w:val="none"/>
              </w:rPr>
            </w:pPr>
          </w:p>
        </w:tc>
      </w:tr>
      <w:tr w14:paraId="7E91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815" w:type="dxa"/>
            <w:gridSpan w:val="3"/>
            <w:vAlign w:val="center"/>
          </w:tcPr>
          <w:p w14:paraId="4B9F30B0">
            <w:pPr>
              <w:snapToGrid w:val="0"/>
              <w:spacing w:line="360" w:lineRule="auto"/>
              <w:jc w:val="center"/>
              <w:rPr>
                <w:rFonts w:ascii="仿宋" w:hAnsi="仿宋" w:eastAsia="仿宋" w:cs="Arial"/>
                <w:b/>
                <w:snapToGrid w:val="0"/>
                <w:color w:val="auto"/>
                <w:kern w:val="0"/>
                <w:sz w:val="28"/>
                <w:szCs w:val="28"/>
                <w:highlight w:val="none"/>
              </w:rPr>
            </w:pPr>
            <w:r>
              <w:rPr>
                <w:rFonts w:hint="eastAsia" w:ascii="仿宋" w:hAnsi="仿宋" w:eastAsia="仿宋" w:cs="Arial"/>
                <w:b/>
                <w:snapToGrid w:val="0"/>
                <w:color w:val="auto"/>
                <w:kern w:val="0"/>
                <w:sz w:val="28"/>
                <w:szCs w:val="28"/>
                <w:highlight w:val="none"/>
              </w:rPr>
              <w:t>投标报价（大写）</w:t>
            </w:r>
          </w:p>
        </w:tc>
        <w:tc>
          <w:tcPr>
            <w:tcW w:w="4365" w:type="dxa"/>
            <w:gridSpan w:val="2"/>
            <w:vAlign w:val="center"/>
          </w:tcPr>
          <w:p w14:paraId="1D7CB508">
            <w:pPr>
              <w:spacing w:line="360" w:lineRule="auto"/>
              <w:ind w:firstLine="480"/>
              <w:jc w:val="center"/>
              <w:rPr>
                <w:rFonts w:ascii="仿宋" w:hAnsi="仿宋" w:eastAsia="仿宋" w:cs="仿宋_GB2312"/>
                <w:color w:val="auto"/>
                <w:sz w:val="28"/>
                <w:szCs w:val="28"/>
                <w:highlight w:val="none"/>
              </w:rPr>
            </w:pPr>
          </w:p>
        </w:tc>
      </w:tr>
    </w:tbl>
    <w:p w14:paraId="5D93782F">
      <w:pPr>
        <w:autoSpaceDE w:val="0"/>
        <w:autoSpaceDN w:val="0"/>
        <w:spacing w:line="360" w:lineRule="auto"/>
        <w:ind w:right="1120" w:firstLine="720" w:firstLineChars="3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   </w:t>
      </w:r>
    </w:p>
    <w:p w14:paraId="1841923A">
      <w:pPr>
        <w:autoSpaceDE w:val="0"/>
        <w:autoSpaceDN w:val="0"/>
        <w:spacing w:line="360" w:lineRule="auto"/>
        <w:ind w:right="1120" w:firstLine="720" w:firstLineChars="3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14:paraId="5EBF6F9A">
      <w:pPr>
        <w:snapToGrid w:val="0"/>
        <w:spacing w:line="360" w:lineRule="auto"/>
        <w:ind w:firstLine="482" w:firstLineChars="200"/>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注：</w:t>
      </w:r>
    </w:p>
    <w:p w14:paraId="34A841C6">
      <w:pPr>
        <w:spacing w:line="360" w:lineRule="auto"/>
        <w:ind w:left="-2" w:leftChars="-1"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1、投标人需按本表格式填写</w:t>
      </w:r>
      <w:r>
        <w:rPr>
          <w:rFonts w:hint="eastAsia" w:ascii="仿宋_GB2312" w:hAnsi="仿宋_GB2312" w:eastAsia="仿宋_GB2312" w:cs="仿宋_GB2312"/>
          <w:b/>
          <w:color w:val="auto"/>
          <w:kern w:val="0"/>
          <w:sz w:val="24"/>
          <w:highlight w:val="none"/>
          <w:lang w:val="zh-CN"/>
        </w:rPr>
        <w:t>，</w:t>
      </w:r>
      <w:r>
        <w:rPr>
          <w:rFonts w:hint="eastAsia" w:ascii="仿宋_GB2312" w:hAnsi="仿宋_GB2312" w:eastAsia="仿宋_GB2312" w:cs="仿宋_GB2312"/>
          <w:b/>
          <w:color w:val="auto"/>
          <w:kern w:val="0"/>
          <w:sz w:val="24"/>
          <w:highlight w:val="none"/>
        </w:rPr>
        <w:t>否则视为</w:t>
      </w:r>
      <w:r>
        <w:rPr>
          <w:rFonts w:hint="eastAsia" w:ascii="仿宋_GB2312" w:hAnsi="仿宋_GB2312" w:eastAsia="仿宋_GB2312" w:cs="仿宋_GB2312"/>
          <w:b/>
          <w:color w:val="auto"/>
          <w:sz w:val="24"/>
          <w:highlight w:val="none"/>
        </w:rPr>
        <w:t>投标文件含有采购人不能接受的附加条件，投标无效</w:t>
      </w:r>
      <w:r>
        <w:rPr>
          <w:rFonts w:hint="eastAsia" w:ascii="仿宋_GB2312" w:hAnsi="仿宋_GB2312" w:eastAsia="仿宋_GB2312" w:cs="仿宋_GB2312"/>
          <w:color w:val="auto"/>
          <w:kern w:val="0"/>
          <w:sz w:val="24"/>
          <w:highlight w:val="none"/>
          <w:lang w:val="zh-CN"/>
        </w:rPr>
        <w:t>。</w:t>
      </w:r>
    </w:p>
    <w:p w14:paraId="705AABFA">
      <w:pPr>
        <w:pStyle w:val="702"/>
        <w:keepNext w:val="0"/>
        <w:pageBreakBefore w:val="0"/>
        <w:tabs>
          <w:tab w:val="clear" w:pos="720"/>
        </w:tabs>
        <w:snapToGrid w:val="0"/>
        <w:spacing w:before="120" w:after="120"/>
        <w:ind w:firstLine="482" w:firstLineChars="200"/>
        <w:jc w:val="both"/>
        <w:outlineLvl w:val="9"/>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2、有关本项目实施所涉及的一切费用均计入报价。总价不为零，开标一览表（报价表）中部分产品、服务单价为零的，视作已包含在总价中。采购人将以合同形式有偿取得货物或服务，不接受投标人给予的赠品、回扣或者与采购无关的其他商品、服务；采购内容未包含在《开标一览表（报价表）》名称栏中</w:t>
      </w:r>
      <w:r>
        <w:rPr>
          <w:rFonts w:hint="eastAsia" w:ascii="仿宋_GB2312" w:hAnsi="仿宋_GB2312" w:eastAsia="仿宋_GB2312" w:cs="仿宋_GB2312"/>
          <w:color w:val="auto"/>
          <w:kern w:val="0"/>
          <w:sz w:val="24"/>
          <w:highlight w:val="none"/>
        </w:rPr>
        <w:t>或数量少于采购需求的</w:t>
      </w:r>
      <w:r>
        <w:rPr>
          <w:rFonts w:hint="eastAsia" w:ascii="仿宋_GB2312" w:hAnsi="仿宋_GB2312" w:eastAsia="仿宋_GB2312" w:cs="仿宋_GB2312"/>
          <w:color w:val="auto"/>
          <w:kern w:val="0"/>
          <w:sz w:val="24"/>
          <w:highlight w:val="none"/>
          <w:lang w:val="zh-CN"/>
        </w:rPr>
        <w:t>，投标人不能作出合理解释的，</w:t>
      </w:r>
      <w:r>
        <w:rPr>
          <w:rFonts w:hint="eastAsia" w:ascii="仿宋_GB2312" w:hAnsi="仿宋_GB2312" w:eastAsia="仿宋_GB2312" w:cs="仿宋_GB2312"/>
          <w:color w:val="auto"/>
          <w:kern w:val="0"/>
          <w:sz w:val="24"/>
          <w:highlight w:val="none"/>
        </w:rPr>
        <w:t>视为</w:t>
      </w:r>
      <w:r>
        <w:rPr>
          <w:rFonts w:hint="eastAsia" w:ascii="仿宋_GB2312" w:hAnsi="仿宋_GB2312" w:eastAsia="仿宋_GB2312" w:cs="仿宋_GB2312"/>
          <w:color w:val="auto"/>
          <w:sz w:val="24"/>
          <w:highlight w:val="none"/>
        </w:rPr>
        <w:t>投标文件含有采购人不能接受的附加条件的，投标无效。</w:t>
      </w:r>
    </w:p>
    <w:p w14:paraId="5E58FA9B">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981D609">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szCs w:val="22"/>
          <w:highlight w:val="none"/>
          <w:lang w:val="zh-CN"/>
        </w:rPr>
        <w:t>4、</w:t>
      </w:r>
      <w:r>
        <w:rPr>
          <w:rFonts w:hint="eastAsia" w:ascii="仿宋_GB2312" w:hAnsi="仿宋_GB2312"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0093DB5">
      <w:pPr>
        <w:pStyle w:val="25"/>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5、特别说明：▲供应商报价低于项目预算50%的，应当在报价文件中详细阐述不影响产品质量或者诚信履约的具体原因。</w:t>
      </w:r>
    </w:p>
    <w:p w14:paraId="58435D3D">
      <w:pPr>
        <w:pStyle w:val="26"/>
        <w:rPr>
          <w:rFonts w:eastAsia="仿宋_GB2312"/>
          <w:color w:val="auto"/>
          <w:highlight w:val="none"/>
        </w:rPr>
      </w:pPr>
    </w:p>
    <w:p w14:paraId="2064CBCC">
      <w:pPr>
        <w:rPr>
          <w:rFonts w:ascii="仿宋_GB2312" w:hAnsi="仿宋_GB2312" w:eastAsia="仿宋_GB2312" w:cs="仿宋_GB2312"/>
          <w:color w:val="auto"/>
          <w:highlight w:val="none"/>
        </w:rPr>
      </w:pPr>
    </w:p>
    <w:p w14:paraId="55288A38">
      <w:pPr>
        <w:pStyle w:val="702"/>
        <w:keepNext w:val="0"/>
        <w:pageBreakBefore w:val="0"/>
        <w:tabs>
          <w:tab w:val="clear" w:pos="720"/>
        </w:tabs>
        <w:snapToGrid w:val="0"/>
        <w:spacing w:before="120" w:after="120"/>
        <w:jc w:val="both"/>
        <w:outlineLvl w:val="9"/>
        <w:rPr>
          <w:rFonts w:ascii="仿宋_GB2312" w:hAnsi="仿宋_GB2312" w:eastAsia="仿宋_GB2312" w:cs="仿宋_GB2312"/>
          <w:color w:val="auto"/>
          <w:kern w:val="2"/>
          <w:sz w:val="21"/>
          <w:szCs w:val="21"/>
          <w:highlight w:val="none"/>
        </w:rPr>
        <w:sectPr>
          <w:pgSz w:w="11906" w:h="16838"/>
          <w:pgMar w:top="680" w:right="1417" w:bottom="471" w:left="1417" w:header="851" w:footer="992" w:gutter="0"/>
          <w:cols w:space="720" w:num="1"/>
          <w:titlePg/>
          <w:docGrid w:linePitch="312" w:charSpace="0"/>
        </w:sectPr>
      </w:pPr>
    </w:p>
    <w:p w14:paraId="00445690">
      <w:pPr>
        <w:pStyle w:val="702"/>
        <w:keepNext w:val="0"/>
        <w:pageBreakBefore w:val="0"/>
        <w:tabs>
          <w:tab w:val="clear" w:pos="720"/>
        </w:tabs>
        <w:snapToGrid w:val="0"/>
        <w:spacing w:before="120" w:after="120"/>
        <w:ind w:firstLine="643"/>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二、</w:t>
      </w:r>
      <w:r>
        <w:rPr>
          <w:rFonts w:hint="eastAsia" w:ascii="仿宋_GB2312" w:hAnsi="仿宋_GB2312" w:eastAsia="仿宋_GB2312" w:cs="仿宋_GB2312"/>
          <w:color w:val="auto"/>
          <w:sz w:val="32"/>
          <w:szCs w:val="32"/>
          <w:highlight w:val="none"/>
        </w:rPr>
        <w:t>中小企业声明函（如果有）</w:t>
      </w:r>
    </w:p>
    <w:p w14:paraId="724B7E5A">
      <w:pPr>
        <w:widowControl/>
        <w:spacing w:line="360" w:lineRule="auto"/>
        <w:ind w:firstLine="120" w:firstLineChars="5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5DAEFDD">
      <w:pPr>
        <w:pStyle w:val="702"/>
        <w:keepNext w:val="0"/>
        <w:pageBreakBefore w:val="0"/>
        <w:tabs>
          <w:tab w:val="clear" w:pos="720"/>
        </w:tabs>
        <w:snapToGrid w:val="0"/>
        <w:spacing w:before="120" w:after="120"/>
        <w:ind w:firstLine="643"/>
        <w:outlineLvl w:val="9"/>
        <w:rPr>
          <w:rFonts w:ascii="仿宋_GB2312" w:hAnsi="仿宋_GB2312" w:eastAsia="仿宋_GB2312" w:cs="仿宋_GB2312"/>
          <w:b w:val="0"/>
          <w:color w:val="auto"/>
          <w:sz w:val="32"/>
          <w:szCs w:val="32"/>
          <w:highlight w:val="none"/>
        </w:rPr>
      </w:pPr>
    </w:p>
    <w:p w14:paraId="4D2543E8">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7D1F1AE5">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5CAD9EA0">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5619B880">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11A41353">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6F5F071A">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0F8AF213">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17D7DBBA">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2CAF3657">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7037C401">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46E1C1AB">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1FDF4E6B">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7145EC84">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72EB6C75">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4EAC2DD9">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2EC370DF">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3FB68B0B">
      <w:pPr>
        <w:spacing w:line="360" w:lineRule="auto"/>
        <w:jc w:val="center"/>
        <w:outlineLvl w:val="2"/>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0"/>
          <w:szCs w:val="30"/>
          <w:highlight w:val="none"/>
        </w:rPr>
        <w:t>关于钱塘新区政府采购支持中小企业信用融资相关事项通知</w:t>
      </w:r>
    </w:p>
    <w:p w14:paraId="5AF005D2">
      <w:pPr>
        <w:spacing w:line="360" w:lineRule="auto"/>
        <w:jc w:val="center"/>
        <w:rPr>
          <w:rFonts w:ascii="仿宋_GB2312" w:hAnsi="仿宋_GB2312" w:eastAsia="仿宋_GB2312" w:cs="仿宋_GB2312"/>
          <w:b/>
          <w:color w:val="auto"/>
          <w:sz w:val="10"/>
          <w:szCs w:val="10"/>
          <w:highlight w:val="none"/>
        </w:rPr>
      </w:pPr>
    </w:p>
    <w:p w14:paraId="3BC91E8C">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7D1B8611">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一、适用对象</w:t>
      </w:r>
    </w:p>
    <w:p w14:paraId="4BE66592">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在浙江“政采云”平台注册入库，并取得钱塘区政府采购合同的中小企业供应商。</w:t>
      </w:r>
    </w:p>
    <w:p w14:paraId="188B12A0">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二、相关信息获取方式</w:t>
      </w:r>
    </w:p>
    <w:p w14:paraId="5C1A0157">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请登陆杭州钱塘新区管理委员会官网</w:t>
      </w:r>
      <w:r>
        <w:rPr>
          <w:rFonts w:hint="eastAsia" w:ascii="仿宋_GB2312" w:hAnsi="仿宋_GB2312" w:eastAsia="仿宋_GB2312" w:cs="仿宋_GB2312"/>
          <w:color w:val="auto"/>
          <w:sz w:val="24"/>
          <w:highlight w:val="none"/>
        </w:rPr>
        <w:t>（https://www.qiantang.gov.cn）“重要公告”-“政府采购专栏”</w:t>
      </w:r>
      <w:r>
        <w:rPr>
          <w:rFonts w:hint="eastAsia" w:ascii="仿宋_GB2312" w:hAnsi="仿宋_GB2312" w:eastAsia="仿宋_GB2312" w:cs="仿宋_GB2312"/>
          <w:color w:val="auto"/>
          <w:kern w:val="0"/>
          <w:sz w:val="24"/>
          <w:highlight w:val="none"/>
          <w:lang w:val="zh-CN"/>
        </w:rPr>
        <w:t>，查看信用融资政策文件及各相关银行服务方案。</w:t>
      </w:r>
    </w:p>
    <w:p w14:paraId="3F705D27">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三、申请方式和步骤</w:t>
      </w:r>
    </w:p>
    <w:p w14:paraId="0F937405">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1、供应商若有融资意向，需先与钱塘区财政局合作的银行对接，办理相关融资前期手续；</w:t>
      </w:r>
    </w:p>
    <w:p w14:paraId="6CFE1F95">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2、中标后，供应商应与采购单位或者采购代理机构及时联系，告知融资需求；</w:t>
      </w:r>
    </w:p>
    <w:p w14:paraId="4FF38E78">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3、相关合作银行联系并审核供应商及相关中标信息，办理相关融资事宜；</w:t>
      </w:r>
    </w:p>
    <w:p w14:paraId="53038E49">
      <w:pPr>
        <w:snapToGrid w:val="0"/>
        <w:spacing w:line="360" w:lineRule="auto"/>
        <w:ind w:firstLine="480" w:firstLineChars="200"/>
        <w:jc w:val="left"/>
        <w:outlineLvl w:val="2"/>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val="zh-CN"/>
        </w:rPr>
        <w:t>、采购单位应及时将信用融资合同提交备案。</w:t>
      </w:r>
    </w:p>
    <w:p w14:paraId="7B05BB87">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四、注意事项</w:t>
      </w:r>
    </w:p>
    <w:p w14:paraId="775EA0F1">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2FAD9D92">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14:paraId="52EE552B">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28B27149">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7174211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7D6FA7A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3065B86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46812A4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3C3E59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6951B13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582E656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060EF36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60223AC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F06117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5F904D5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603F7DD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7DE638F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3D028E0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75A598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2FB2EB8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343291E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729635E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3B1E76E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D13703D">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0246A7D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379308A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1BD3D5E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640B510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0F6A12A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2E56F5A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F56215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6875EBD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473A201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5CAE5EC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3331610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8E2358A">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4F6890D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1D479B3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高飞</w:t>
            </w:r>
          </w:p>
        </w:tc>
        <w:tc>
          <w:tcPr>
            <w:tcW w:w="3220" w:type="dxa"/>
            <w:tcBorders>
              <w:top w:val="nil"/>
              <w:left w:val="nil"/>
              <w:bottom w:val="single" w:color="auto" w:sz="4" w:space="0"/>
              <w:right w:val="single" w:color="auto" w:sz="4" w:space="0"/>
            </w:tcBorders>
            <w:vAlign w:val="center"/>
          </w:tcPr>
          <w:p w14:paraId="739A9F9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86722499</w:t>
            </w:r>
          </w:p>
        </w:tc>
      </w:tr>
      <w:tr w14:paraId="223CF58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91B19D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29028C8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6C18FD4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258BA72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14:paraId="58AEC378">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3BC98BFA">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63DC305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08C89BE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17061A4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517F9860">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5C38CC3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0AF94E6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2E73E2C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5E9C59E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4A290951">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6317D865">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30CA1E6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65C6D43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64EF1B1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4C99E2D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576E26D1">
            <w:pPr>
              <w:widowControl/>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15067483470</w:t>
            </w:r>
          </w:p>
        </w:tc>
      </w:tr>
      <w:tr w14:paraId="6DBA399F">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6206452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5E621FA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1317147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5404F9B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54E861B1">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65C1734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178732C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65D9FF8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5007FBD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74CFFE67">
      <w:pPr>
        <w:spacing w:line="360" w:lineRule="auto"/>
        <w:ind w:left="5060" w:hanging="5060" w:hangingChars="2100"/>
        <w:rPr>
          <w:rFonts w:ascii="仿宋_GB2312" w:hAnsi="仿宋_GB2312" w:eastAsia="仿宋_GB2312" w:cs="仿宋_GB2312"/>
          <w:b/>
          <w:bCs/>
          <w:color w:val="auto"/>
          <w:kern w:val="0"/>
          <w:sz w:val="24"/>
          <w:highlight w:val="none"/>
        </w:rPr>
      </w:pPr>
    </w:p>
    <w:p w14:paraId="4EEBB93B">
      <w:pPr>
        <w:pStyle w:val="2"/>
        <w:keepNext w:val="0"/>
        <w:keepLines w:val="0"/>
        <w:pageBreakBefore/>
        <w:widowControl/>
        <w:spacing w:before="100" w:beforeAutospacing="1" w:after="100" w:afterAutospacing="1" w:line="360" w:lineRule="auto"/>
        <w:ind w:left="1290" w:firstLine="3092" w:firstLineChars="700"/>
        <w:outlineLvl w:val="2"/>
        <w:rPr>
          <w:rFonts w:ascii="仿宋_GB2312" w:hAnsi="仿宋_GB2312" w:eastAsia="仿宋_GB2312" w:cs="仿宋_GB2312"/>
          <w:color w:val="auto"/>
          <w:highlight w:val="none"/>
        </w:rPr>
      </w:pPr>
      <w:bookmarkStart w:id="393" w:name="_Toc465665161"/>
      <w:r>
        <w:rPr>
          <w:rFonts w:hint="eastAsia" w:ascii="仿宋_GB2312" w:hAnsi="仿宋_GB2312" w:eastAsia="仿宋_GB2312" w:cs="仿宋_GB2312"/>
          <w:color w:val="auto"/>
          <w:highlight w:val="none"/>
        </w:rPr>
        <w:t>附件</w:t>
      </w:r>
      <w:bookmarkEnd w:id="393"/>
    </w:p>
    <w:p w14:paraId="52C99CED">
      <w:pPr>
        <w:spacing w:line="360" w:lineRule="auto"/>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附件1：</w:t>
      </w:r>
    </w:p>
    <w:p w14:paraId="151DAE99">
      <w:pPr>
        <w:spacing w:line="360" w:lineRule="auto"/>
        <w:jc w:val="center"/>
        <w:rPr>
          <w:rFonts w:ascii="仿宋_GB2312" w:hAnsi="仿宋_GB2312" w:eastAsia="仿宋_GB2312" w:cs="仿宋_GB2312"/>
          <w:b/>
          <w:color w:val="auto"/>
          <w:spacing w:val="6"/>
          <w:sz w:val="32"/>
          <w:szCs w:val="32"/>
          <w:highlight w:val="none"/>
        </w:rPr>
      </w:pPr>
      <w:bookmarkStart w:id="394" w:name="OLE_LINK13"/>
      <w:bookmarkStart w:id="395" w:name="OLE_LINK14"/>
      <w:r>
        <w:rPr>
          <w:rFonts w:hint="eastAsia" w:ascii="仿宋_GB2312" w:hAnsi="仿宋_GB2312" w:eastAsia="仿宋_GB2312" w:cs="仿宋_GB2312"/>
          <w:b/>
          <w:color w:val="auto"/>
          <w:spacing w:val="6"/>
          <w:sz w:val="32"/>
          <w:szCs w:val="32"/>
          <w:highlight w:val="none"/>
        </w:rPr>
        <w:t>残疾人福利性单位声明函</w:t>
      </w:r>
      <w:bookmarkEnd w:id="394"/>
      <w:bookmarkEnd w:id="395"/>
    </w:p>
    <w:p w14:paraId="4C209EFB">
      <w:pPr>
        <w:spacing w:line="360" w:lineRule="auto"/>
        <w:rPr>
          <w:rFonts w:ascii="仿宋_GB2312" w:hAnsi="仿宋_GB2312" w:eastAsia="仿宋_GB2312" w:cs="仿宋_GB2312"/>
          <w:b/>
          <w:color w:val="auto"/>
          <w:spacing w:val="6"/>
          <w:sz w:val="30"/>
          <w:szCs w:val="30"/>
          <w:highlight w:val="none"/>
        </w:rPr>
      </w:pPr>
    </w:p>
    <w:p w14:paraId="4A0F3E5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color w:val="auto"/>
          <w:sz w:val="24"/>
          <w:highlight w:val="none"/>
          <w:lang w:val="en"/>
        </w:rPr>
        <w:t xml:space="preserve"> </w:t>
      </w:r>
      <w:r>
        <w:rPr>
          <w:rFonts w:hint="eastAsia" w:ascii="仿宋_GB2312" w:hAnsi="仿宋_GB2312" w:eastAsia="仿宋_GB2312" w:cs="仿宋_GB2312"/>
          <w:color w:val="auto"/>
          <w:sz w:val="24"/>
          <w:highlight w:val="none"/>
          <w:u w:val="single"/>
          <w:lang w:val="en" w:eastAsia="zh-CN"/>
        </w:rPr>
        <w:t>杭州市钱塘区人民政府新湾街道办事处</w:t>
      </w:r>
      <w:r>
        <w:rPr>
          <w:rFonts w:hint="eastAsia" w:ascii="仿宋_GB2312" w:hAnsi="仿宋_GB2312" w:eastAsia="仿宋_GB2312" w:cs="仿宋_GB2312"/>
          <w:color w:val="auto"/>
          <w:sz w:val="24"/>
          <w:highlight w:val="none"/>
          <w:u w:val="single"/>
          <w:lang w:val="en"/>
        </w:rPr>
        <w:t xml:space="preserve">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的采购活动提供本单位制造的货物（由本单位承担工程/提供服务），或者提供其他残疾人福利性单位制造的货物（不包括使用非残疾人福利性单位注册商标的货物）。</w:t>
      </w:r>
    </w:p>
    <w:p w14:paraId="2367C34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14:paraId="33AD727F">
      <w:pPr>
        <w:spacing w:line="360" w:lineRule="auto"/>
        <w:ind w:firstLine="480" w:firstLineChars="200"/>
        <w:rPr>
          <w:rFonts w:ascii="仿宋_GB2312" w:hAnsi="仿宋_GB2312" w:eastAsia="仿宋_GB2312" w:cs="仿宋_GB2312"/>
          <w:color w:val="auto"/>
          <w:sz w:val="24"/>
          <w:highlight w:val="none"/>
        </w:rPr>
      </w:pPr>
    </w:p>
    <w:p w14:paraId="76BE4BC2">
      <w:pPr>
        <w:spacing w:line="360" w:lineRule="auto"/>
        <w:ind w:firstLine="480" w:firstLineChars="200"/>
        <w:rPr>
          <w:rFonts w:ascii="仿宋_GB2312" w:hAnsi="仿宋_GB2312" w:eastAsia="仿宋_GB2312" w:cs="仿宋_GB2312"/>
          <w:color w:val="auto"/>
          <w:sz w:val="24"/>
          <w:highlight w:val="none"/>
        </w:rPr>
      </w:pPr>
    </w:p>
    <w:p w14:paraId="580A3AC0">
      <w:pPr>
        <w:tabs>
          <w:tab w:val="left" w:pos="4860"/>
        </w:tabs>
        <w:spacing w:line="360" w:lineRule="auto"/>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kern w:val="0"/>
          <w:sz w:val="24"/>
          <w:highlight w:val="none"/>
          <w:lang w:val="zh-CN"/>
        </w:rPr>
        <w:t>投标人名称（电子签名）</w:t>
      </w:r>
      <w:r>
        <w:rPr>
          <w:rFonts w:hint="eastAsia" w:ascii="仿宋_GB2312" w:hAnsi="仿宋_GB2312" w:eastAsia="仿宋_GB2312" w:cs="仿宋_GB2312"/>
          <w:color w:val="auto"/>
          <w:sz w:val="24"/>
          <w:highlight w:val="none"/>
        </w:rPr>
        <w:t>：</w:t>
      </w:r>
    </w:p>
    <w:p w14:paraId="1801EBC1">
      <w:pPr>
        <w:tabs>
          <w:tab w:val="left" w:pos="4860"/>
        </w:tabs>
        <w:spacing w:line="360" w:lineRule="auto"/>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14:paraId="5EFD1689">
      <w:pPr>
        <w:spacing w:line="360" w:lineRule="auto"/>
        <w:ind w:firstLine="480" w:firstLineChars="200"/>
        <w:rPr>
          <w:rFonts w:ascii="仿宋_GB2312" w:hAnsi="仿宋_GB2312" w:eastAsia="仿宋_GB2312" w:cs="仿宋_GB2312"/>
          <w:color w:val="auto"/>
          <w:sz w:val="24"/>
          <w:highlight w:val="none"/>
        </w:rPr>
      </w:pPr>
    </w:p>
    <w:p w14:paraId="2877311A">
      <w:pPr>
        <w:spacing w:line="360" w:lineRule="auto"/>
        <w:ind w:firstLine="420" w:firstLineChars="200"/>
        <w:rPr>
          <w:rFonts w:ascii="仿宋_GB2312" w:hAnsi="仿宋_GB2312" w:eastAsia="仿宋_GB2312" w:cs="仿宋_GB2312"/>
          <w:color w:val="auto"/>
          <w:highlight w:val="none"/>
        </w:rPr>
      </w:pPr>
    </w:p>
    <w:p w14:paraId="76136EA5">
      <w:pPr>
        <w:spacing w:line="360" w:lineRule="auto"/>
        <w:ind w:firstLine="420" w:firstLineChars="200"/>
        <w:rPr>
          <w:rFonts w:ascii="仿宋_GB2312" w:hAnsi="仿宋_GB2312" w:eastAsia="仿宋_GB2312" w:cs="仿宋_GB2312"/>
          <w:color w:val="auto"/>
          <w:highlight w:val="none"/>
        </w:rPr>
      </w:pPr>
    </w:p>
    <w:p w14:paraId="24CFB98A">
      <w:pPr>
        <w:spacing w:line="360" w:lineRule="auto"/>
        <w:ind w:firstLine="420" w:firstLineChars="200"/>
        <w:rPr>
          <w:rFonts w:ascii="仿宋_GB2312" w:hAnsi="仿宋_GB2312" w:eastAsia="仿宋_GB2312" w:cs="仿宋_GB2312"/>
          <w:color w:val="auto"/>
          <w:highlight w:val="none"/>
        </w:rPr>
      </w:pPr>
    </w:p>
    <w:p w14:paraId="77B999AF">
      <w:pPr>
        <w:spacing w:line="360" w:lineRule="auto"/>
        <w:ind w:firstLine="420" w:firstLineChars="200"/>
        <w:rPr>
          <w:rFonts w:ascii="仿宋_GB2312" w:hAnsi="仿宋_GB2312" w:eastAsia="仿宋_GB2312" w:cs="仿宋_GB2312"/>
          <w:color w:val="auto"/>
          <w:highlight w:val="none"/>
        </w:rPr>
      </w:pPr>
    </w:p>
    <w:p w14:paraId="5E95619C">
      <w:pPr>
        <w:spacing w:line="360" w:lineRule="auto"/>
        <w:rPr>
          <w:rFonts w:ascii="仿宋_GB2312" w:hAnsi="仿宋_GB2312" w:eastAsia="仿宋_GB2312" w:cs="仿宋_GB2312"/>
          <w:b/>
          <w:color w:val="auto"/>
          <w:sz w:val="24"/>
          <w:highlight w:val="none"/>
        </w:rPr>
      </w:pPr>
    </w:p>
    <w:p w14:paraId="5579580D">
      <w:pPr>
        <w:spacing w:line="360" w:lineRule="auto"/>
        <w:rPr>
          <w:rFonts w:ascii="仿宋_GB2312" w:hAnsi="仿宋_GB2312" w:eastAsia="仿宋_GB2312" w:cs="仿宋_GB2312"/>
          <w:b/>
          <w:color w:val="auto"/>
          <w:sz w:val="24"/>
          <w:highlight w:val="none"/>
        </w:rPr>
      </w:pPr>
    </w:p>
    <w:p w14:paraId="4A86EC03">
      <w:pPr>
        <w:spacing w:line="360" w:lineRule="auto"/>
        <w:rPr>
          <w:rFonts w:ascii="仿宋_GB2312" w:hAnsi="仿宋_GB2312" w:eastAsia="仿宋_GB2312" w:cs="仿宋_GB2312"/>
          <w:b/>
          <w:color w:val="auto"/>
          <w:sz w:val="24"/>
          <w:highlight w:val="none"/>
        </w:rPr>
      </w:pPr>
    </w:p>
    <w:p w14:paraId="7786A77A">
      <w:pPr>
        <w:spacing w:line="360" w:lineRule="auto"/>
        <w:rPr>
          <w:rFonts w:ascii="仿宋_GB2312" w:hAnsi="仿宋_GB2312" w:eastAsia="仿宋_GB2312" w:cs="仿宋_GB2312"/>
          <w:b/>
          <w:color w:val="auto"/>
          <w:sz w:val="24"/>
          <w:highlight w:val="none"/>
        </w:rPr>
      </w:pPr>
    </w:p>
    <w:p w14:paraId="60AEE039">
      <w:pPr>
        <w:spacing w:line="360" w:lineRule="auto"/>
        <w:rPr>
          <w:rFonts w:ascii="仿宋_GB2312" w:hAnsi="仿宋_GB2312" w:eastAsia="仿宋_GB2312" w:cs="仿宋_GB2312"/>
          <w:b/>
          <w:color w:val="auto"/>
          <w:sz w:val="24"/>
          <w:highlight w:val="none"/>
        </w:rPr>
      </w:pPr>
    </w:p>
    <w:p w14:paraId="694D4C23">
      <w:pPr>
        <w:spacing w:line="360" w:lineRule="auto"/>
        <w:rPr>
          <w:rFonts w:ascii="仿宋_GB2312" w:hAnsi="仿宋_GB2312" w:eastAsia="仿宋_GB2312" w:cs="仿宋_GB2312"/>
          <w:b/>
          <w:color w:val="auto"/>
          <w:sz w:val="24"/>
          <w:highlight w:val="none"/>
        </w:rPr>
      </w:pPr>
    </w:p>
    <w:p w14:paraId="428AF12B">
      <w:pPr>
        <w:spacing w:line="360" w:lineRule="auto"/>
        <w:rPr>
          <w:rFonts w:ascii="仿宋_GB2312" w:hAnsi="仿宋_GB2312" w:eastAsia="仿宋_GB2312" w:cs="仿宋_GB2312"/>
          <w:b/>
          <w:color w:val="auto"/>
          <w:sz w:val="24"/>
          <w:highlight w:val="none"/>
        </w:rPr>
      </w:pPr>
    </w:p>
    <w:p w14:paraId="664AE5FB">
      <w:pPr>
        <w:spacing w:line="360" w:lineRule="auto"/>
        <w:rPr>
          <w:rFonts w:ascii="仿宋_GB2312" w:hAnsi="仿宋_GB2312" w:eastAsia="仿宋_GB2312" w:cs="仿宋_GB2312"/>
          <w:b/>
          <w:color w:val="auto"/>
          <w:sz w:val="24"/>
          <w:highlight w:val="none"/>
        </w:rPr>
      </w:pPr>
    </w:p>
    <w:p w14:paraId="0B802EC4">
      <w:pPr>
        <w:spacing w:line="360" w:lineRule="auto"/>
        <w:rPr>
          <w:rFonts w:ascii="仿宋_GB2312" w:hAnsi="仿宋_GB2312" w:eastAsia="仿宋_GB2312" w:cs="仿宋_GB2312"/>
          <w:b/>
          <w:color w:val="auto"/>
          <w:sz w:val="24"/>
          <w:highlight w:val="none"/>
        </w:rPr>
      </w:pPr>
    </w:p>
    <w:p w14:paraId="5189C435">
      <w:pPr>
        <w:spacing w:line="360" w:lineRule="auto"/>
        <w:jc w:val="left"/>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附件2：质疑函范本及制作说明</w:t>
      </w:r>
    </w:p>
    <w:p w14:paraId="39B4FB79">
      <w:pPr>
        <w:spacing w:line="360" w:lineRule="auto"/>
        <w:jc w:val="cente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质疑函范本</w:t>
      </w:r>
    </w:p>
    <w:p w14:paraId="4363838B">
      <w:pPr>
        <w:snapToGrid w:val="0"/>
        <w:spacing w:before="240" w:beforeLines="100" w:line="360" w:lineRule="auto"/>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14:paraId="12B3D1D7">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r>
        <w:rPr>
          <w:rFonts w:hint="eastAsia" w:ascii="仿宋_GB2312" w:hAnsi="仿宋_GB2312" w:eastAsia="仿宋_GB2312" w:cs="仿宋_GB2312"/>
          <w:color w:val="auto"/>
          <w:sz w:val="24"/>
          <w:highlight w:val="none"/>
          <w:u w:val="dotted"/>
        </w:rPr>
        <w:t xml:space="preserve">                                        </w:t>
      </w:r>
    </w:p>
    <w:p w14:paraId="1E9F0B3E">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14:paraId="68914282">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14:paraId="78C01407">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p>
    <w:p w14:paraId="1597CCF4">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48C1C970">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地址： </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14:paraId="52CD77A6">
      <w:pPr>
        <w:snapToGrid w:val="0"/>
        <w:spacing w:line="360" w:lineRule="auto"/>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14:paraId="5B07AC6A">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r>
        <w:rPr>
          <w:rFonts w:hint="eastAsia" w:ascii="仿宋_GB2312" w:hAnsi="仿宋_GB2312" w:eastAsia="仿宋_GB2312" w:cs="仿宋_GB2312"/>
          <w:color w:val="auto"/>
          <w:sz w:val="24"/>
          <w:highlight w:val="none"/>
          <w:u w:val="dotted"/>
        </w:rPr>
        <w:t xml:space="preserve">                                      </w:t>
      </w:r>
    </w:p>
    <w:p w14:paraId="694752B9">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14:paraId="5C1BE1CF">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p>
    <w:p w14:paraId="0B7A6E78">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r>
        <w:rPr>
          <w:rFonts w:hint="eastAsia" w:ascii="仿宋_GB2312" w:hAnsi="仿宋_GB2312" w:eastAsia="仿宋_GB2312" w:cs="仿宋_GB2312"/>
          <w:color w:val="auto"/>
          <w:sz w:val="24"/>
          <w:highlight w:val="none"/>
          <w:u w:val="dotted"/>
        </w:rPr>
        <w:t xml:space="preserve">                                           </w:t>
      </w:r>
    </w:p>
    <w:p w14:paraId="2D8C84C7">
      <w:pPr>
        <w:snapToGrid w:val="0"/>
        <w:spacing w:line="360" w:lineRule="auto"/>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14:paraId="151DABF9">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r>
        <w:rPr>
          <w:rFonts w:hint="eastAsia" w:ascii="仿宋_GB2312" w:hAnsi="仿宋_GB2312" w:eastAsia="仿宋_GB2312" w:cs="仿宋_GB2312"/>
          <w:color w:val="auto"/>
          <w:sz w:val="24"/>
          <w:highlight w:val="none"/>
          <w:u w:val="dotted"/>
        </w:rPr>
        <w:t xml:space="preserve">                                         </w:t>
      </w:r>
    </w:p>
    <w:p w14:paraId="30CF97DF">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14:paraId="3DFC2BC4">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 xml:space="preserve">                                                       </w:t>
      </w:r>
    </w:p>
    <w:p w14:paraId="7738CA54">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14:paraId="5C9AE437">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14:paraId="28C95BD3">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14:paraId="10BB7E2A">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14:paraId="4098B7D0">
      <w:pPr>
        <w:snapToGrid w:val="0"/>
        <w:spacing w:line="360" w:lineRule="auto"/>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14:paraId="791571EA">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p>
    <w:p w14:paraId="1B05F13C">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14:paraId="79727A81">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14:paraId="32B9F7ED">
      <w:pPr>
        <w:spacing w:line="360" w:lineRule="auto"/>
        <w:jc w:val="center"/>
        <w:rPr>
          <w:rFonts w:ascii="仿宋_GB2312" w:hAnsi="仿宋_GB2312" w:eastAsia="仿宋_GB2312" w:cs="仿宋_GB2312"/>
          <w:b/>
          <w:bCs/>
          <w:color w:val="auto"/>
          <w:sz w:val="24"/>
          <w:highlight w:val="none"/>
        </w:rPr>
      </w:pPr>
    </w:p>
    <w:p w14:paraId="10BB19B3">
      <w:pPr>
        <w:spacing w:line="360" w:lineRule="auto"/>
        <w:rPr>
          <w:rFonts w:ascii="仿宋_GB2312" w:hAnsi="仿宋_GB2312" w:eastAsia="仿宋_GB2312" w:cs="仿宋_GB2312"/>
          <w:b/>
          <w:color w:val="auto"/>
          <w:sz w:val="24"/>
          <w:highlight w:val="none"/>
        </w:rPr>
      </w:pPr>
    </w:p>
    <w:p w14:paraId="351AE116">
      <w:pPr>
        <w:spacing w:line="360" w:lineRule="auto"/>
        <w:rPr>
          <w:rFonts w:ascii="仿宋_GB2312" w:hAnsi="仿宋_GB2312" w:eastAsia="仿宋_GB2312" w:cs="仿宋_GB2312"/>
          <w:b/>
          <w:color w:val="auto"/>
          <w:sz w:val="24"/>
          <w:highlight w:val="none"/>
        </w:rPr>
      </w:pPr>
    </w:p>
    <w:p w14:paraId="2A8A7A6F">
      <w:pPr>
        <w:spacing w:line="360" w:lineRule="auto"/>
        <w:rPr>
          <w:rFonts w:ascii="仿宋_GB2312" w:hAnsi="仿宋_GB2312" w:eastAsia="仿宋_GB2312" w:cs="仿宋_GB2312"/>
          <w:b/>
          <w:color w:val="auto"/>
          <w:sz w:val="24"/>
          <w:highlight w:val="none"/>
        </w:rPr>
      </w:pPr>
    </w:p>
    <w:p w14:paraId="7A8B51B0">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14:paraId="220F89FE">
      <w:pPr>
        <w:widowControl/>
        <w:spacing w:line="360" w:lineRule="auto"/>
        <w:ind w:firstLine="480" w:firstLineChars="200"/>
        <w:jc w:val="left"/>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14:paraId="7D971FD2">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14:paraId="41A9EA64">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14:paraId="35FD3A61">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14:paraId="6A615C0A">
      <w:pPr>
        <w:widowControl/>
        <w:spacing w:line="360" w:lineRule="auto"/>
        <w:ind w:firstLine="480" w:firstLineChars="200"/>
        <w:jc w:val="left"/>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14:paraId="289232B0">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3C7A15">
      <w:pPr>
        <w:widowControl/>
        <w:spacing w:line="360" w:lineRule="auto"/>
        <w:ind w:firstLine="600" w:firstLineChars="200"/>
        <w:jc w:val="left"/>
        <w:rPr>
          <w:rFonts w:ascii="仿宋_GB2312" w:hAnsi="仿宋_GB2312" w:eastAsia="仿宋_GB2312" w:cs="仿宋_GB2312"/>
          <w:color w:val="auto"/>
          <w:sz w:val="30"/>
          <w:szCs w:val="30"/>
          <w:highlight w:val="none"/>
        </w:rPr>
      </w:pPr>
    </w:p>
    <w:p w14:paraId="62ADCB83">
      <w:pPr>
        <w:spacing w:line="360" w:lineRule="auto"/>
        <w:jc w:val="center"/>
        <w:rPr>
          <w:rFonts w:ascii="仿宋_GB2312" w:hAnsi="仿宋_GB2312" w:eastAsia="仿宋_GB2312" w:cs="仿宋_GB2312"/>
          <w:b/>
          <w:color w:val="auto"/>
          <w:spacing w:val="6"/>
          <w:sz w:val="32"/>
          <w:szCs w:val="32"/>
          <w:highlight w:val="none"/>
        </w:rPr>
      </w:pPr>
    </w:p>
    <w:p w14:paraId="04651008">
      <w:pPr>
        <w:spacing w:line="360" w:lineRule="auto"/>
        <w:jc w:val="center"/>
        <w:rPr>
          <w:rFonts w:ascii="仿宋_GB2312" w:hAnsi="仿宋_GB2312" w:eastAsia="仿宋_GB2312" w:cs="仿宋_GB2312"/>
          <w:b/>
          <w:color w:val="auto"/>
          <w:spacing w:val="6"/>
          <w:sz w:val="32"/>
          <w:szCs w:val="32"/>
          <w:highlight w:val="none"/>
        </w:rPr>
      </w:pPr>
    </w:p>
    <w:p w14:paraId="3E14DA4B">
      <w:pPr>
        <w:spacing w:line="360" w:lineRule="auto"/>
        <w:jc w:val="center"/>
        <w:rPr>
          <w:rFonts w:ascii="仿宋_GB2312" w:hAnsi="仿宋_GB2312" w:eastAsia="仿宋_GB2312" w:cs="仿宋_GB2312"/>
          <w:b/>
          <w:color w:val="auto"/>
          <w:spacing w:val="6"/>
          <w:sz w:val="32"/>
          <w:szCs w:val="32"/>
          <w:highlight w:val="none"/>
        </w:rPr>
      </w:pPr>
    </w:p>
    <w:p w14:paraId="3CCF44C0">
      <w:pPr>
        <w:spacing w:line="360" w:lineRule="auto"/>
        <w:jc w:val="center"/>
        <w:rPr>
          <w:rFonts w:ascii="仿宋_GB2312" w:hAnsi="仿宋_GB2312" w:eastAsia="仿宋_GB2312" w:cs="仿宋_GB2312"/>
          <w:b/>
          <w:color w:val="auto"/>
          <w:spacing w:val="6"/>
          <w:sz w:val="32"/>
          <w:szCs w:val="32"/>
          <w:highlight w:val="none"/>
        </w:rPr>
      </w:pPr>
    </w:p>
    <w:p w14:paraId="045625E7">
      <w:pPr>
        <w:spacing w:line="360" w:lineRule="auto"/>
        <w:jc w:val="center"/>
        <w:rPr>
          <w:rFonts w:ascii="仿宋_GB2312" w:hAnsi="仿宋_GB2312" w:eastAsia="仿宋_GB2312" w:cs="仿宋_GB2312"/>
          <w:b/>
          <w:color w:val="auto"/>
          <w:spacing w:val="6"/>
          <w:sz w:val="32"/>
          <w:szCs w:val="32"/>
          <w:highlight w:val="none"/>
        </w:rPr>
      </w:pPr>
    </w:p>
    <w:p w14:paraId="1DF629E2">
      <w:pPr>
        <w:spacing w:line="360" w:lineRule="auto"/>
        <w:jc w:val="center"/>
        <w:rPr>
          <w:rFonts w:ascii="仿宋_GB2312" w:hAnsi="仿宋_GB2312" w:eastAsia="仿宋_GB2312" w:cs="仿宋_GB2312"/>
          <w:b/>
          <w:color w:val="auto"/>
          <w:spacing w:val="6"/>
          <w:sz w:val="32"/>
          <w:szCs w:val="32"/>
          <w:highlight w:val="none"/>
        </w:rPr>
      </w:pPr>
    </w:p>
    <w:p w14:paraId="1C954953">
      <w:pPr>
        <w:spacing w:line="360" w:lineRule="auto"/>
        <w:jc w:val="center"/>
        <w:rPr>
          <w:rFonts w:ascii="仿宋_GB2312" w:hAnsi="仿宋_GB2312" w:eastAsia="仿宋_GB2312" w:cs="仿宋_GB2312"/>
          <w:b/>
          <w:color w:val="auto"/>
          <w:spacing w:val="6"/>
          <w:sz w:val="32"/>
          <w:szCs w:val="32"/>
          <w:highlight w:val="none"/>
        </w:rPr>
      </w:pPr>
    </w:p>
    <w:p w14:paraId="34D8EBF3">
      <w:pPr>
        <w:spacing w:line="360" w:lineRule="auto"/>
        <w:jc w:val="center"/>
        <w:rPr>
          <w:rFonts w:ascii="仿宋_GB2312" w:hAnsi="仿宋_GB2312" w:eastAsia="仿宋_GB2312" w:cs="仿宋_GB2312"/>
          <w:b/>
          <w:color w:val="auto"/>
          <w:spacing w:val="6"/>
          <w:sz w:val="32"/>
          <w:szCs w:val="32"/>
          <w:highlight w:val="none"/>
        </w:rPr>
      </w:pPr>
    </w:p>
    <w:p w14:paraId="347786F5">
      <w:pPr>
        <w:spacing w:line="360" w:lineRule="auto"/>
        <w:jc w:val="center"/>
        <w:rPr>
          <w:rFonts w:ascii="仿宋_GB2312" w:hAnsi="仿宋_GB2312" w:eastAsia="仿宋_GB2312" w:cs="仿宋_GB2312"/>
          <w:b/>
          <w:color w:val="auto"/>
          <w:spacing w:val="6"/>
          <w:sz w:val="32"/>
          <w:szCs w:val="32"/>
          <w:highlight w:val="none"/>
        </w:rPr>
      </w:pPr>
    </w:p>
    <w:p w14:paraId="2557CC9F">
      <w:pPr>
        <w:spacing w:line="360" w:lineRule="auto"/>
        <w:jc w:val="center"/>
        <w:rPr>
          <w:rFonts w:ascii="仿宋_GB2312" w:hAnsi="仿宋_GB2312" w:eastAsia="仿宋_GB2312" w:cs="仿宋_GB2312"/>
          <w:b/>
          <w:color w:val="auto"/>
          <w:spacing w:val="6"/>
          <w:sz w:val="32"/>
          <w:szCs w:val="32"/>
          <w:highlight w:val="none"/>
        </w:rPr>
      </w:pPr>
    </w:p>
    <w:p w14:paraId="61B88EA2">
      <w:pPr>
        <w:spacing w:line="360" w:lineRule="auto"/>
        <w:jc w:val="center"/>
        <w:rPr>
          <w:rFonts w:ascii="仿宋_GB2312" w:hAnsi="仿宋_GB2312" w:eastAsia="仿宋_GB2312" w:cs="仿宋_GB2312"/>
          <w:b/>
          <w:color w:val="auto"/>
          <w:spacing w:val="6"/>
          <w:sz w:val="32"/>
          <w:szCs w:val="32"/>
          <w:highlight w:val="none"/>
        </w:rPr>
      </w:pPr>
    </w:p>
    <w:p w14:paraId="5A932C65">
      <w:pPr>
        <w:spacing w:line="360" w:lineRule="auto"/>
        <w:jc w:val="center"/>
        <w:rPr>
          <w:rFonts w:ascii="仿宋_GB2312" w:hAnsi="仿宋_GB2312" w:eastAsia="仿宋_GB2312" w:cs="仿宋_GB2312"/>
          <w:b/>
          <w:color w:val="auto"/>
          <w:spacing w:val="6"/>
          <w:sz w:val="32"/>
          <w:szCs w:val="32"/>
          <w:highlight w:val="none"/>
        </w:rPr>
      </w:pPr>
    </w:p>
    <w:p w14:paraId="137FE71C">
      <w:pPr>
        <w:spacing w:line="360" w:lineRule="auto"/>
        <w:jc w:val="left"/>
        <w:rPr>
          <w:rFonts w:ascii="仿宋_GB2312" w:hAnsi="仿宋_GB2312" w:eastAsia="仿宋_GB2312" w:cs="仿宋_GB2312"/>
          <w:b/>
          <w:color w:val="auto"/>
          <w:spacing w:val="6"/>
          <w:sz w:val="32"/>
          <w:szCs w:val="32"/>
          <w:highlight w:val="none"/>
        </w:rPr>
      </w:pPr>
    </w:p>
    <w:p w14:paraId="7D1A731C">
      <w:pPr>
        <w:spacing w:line="360" w:lineRule="auto"/>
        <w:jc w:val="left"/>
        <w:rPr>
          <w:rFonts w:ascii="仿宋_GB2312" w:hAnsi="仿宋_GB2312" w:eastAsia="仿宋_GB2312" w:cs="仿宋_GB2312"/>
          <w:b/>
          <w:color w:val="auto"/>
          <w:spacing w:val="6"/>
          <w:sz w:val="32"/>
          <w:szCs w:val="32"/>
          <w:highlight w:val="none"/>
        </w:rPr>
      </w:pPr>
    </w:p>
    <w:p w14:paraId="7E25854B">
      <w:pPr>
        <w:spacing w:line="360" w:lineRule="auto"/>
        <w:jc w:val="left"/>
        <w:rPr>
          <w:rFonts w:ascii="仿宋_GB2312" w:hAnsi="仿宋_GB2312" w:eastAsia="仿宋_GB2312" w:cs="仿宋_GB2312"/>
          <w:b/>
          <w:color w:val="auto"/>
          <w:spacing w:val="6"/>
          <w:sz w:val="32"/>
          <w:szCs w:val="32"/>
          <w:highlight w:val="none"/>
        </w:rPr>
      </w:pPr>
    </w:p>
    <w:p w14:paraId="2C5BF527">
      <w:pPr>
        <w:spacing w:line="360" w:lineRule="auto"/>
        <w:jc w:val="left"/>
        <w:outlineLvl w:val="1"/>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附件3：投诉书范本及制作说明</w:t>
      </w:r>
    </w:p>
    <w:p w14:paraId="2A2AA1D5">
      <w:pPr>
        <w:spacing w:line="360" w:lineRule="auto"/>
        <w:jc w:val="center"/>
        <w:rPr>
          <w:rFonts w:ascii="仿宋_GB2312" w:hAnsi="仿宋_GB2312" w:eastAsia="仿宋_GB2312" w:cs="仿宋_GB2312"/>
          <w:b/>
          <w:color w:val="auto"/>
          <w:sz w:val="24"/>
          <w:highlight w:val="none"/>
        </w:rPr>
      </w:pPr>
    </w:p>
    <w:p w14:paraId="5220ADE3">
      <w:pPr>
        <w:spacing w:line="360" w:lineRule="auto"/>
        <w:jc w:val="cente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投诉书范本</w:t>
      </w:r>
    </w:p>
    <w:p w14:paraId="0AAD71FB">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一、投诉相关主体基本情况</w:t>
      </w:r>
    </w:p>
    <w:p w14:paraId="57F9EDEE">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w:t>
      </w:r>
      <w:r>
        <w:rPr>
          <w:rFonts w:hint="eastAsia" w:ascii="仿宋_GB2312" w:hAnsi="仿宋_GB2312" w:eastAsia="仿宋_GB2312" w:cs="仿宋_GB2312"/>
          <w:color w:val="auto"/>
          <w:sz w:val="24"/>
          <w:highlight w:val="none"/>
          <w:u w:val="dotted"/>
        </w:rPr>
        <w:t xml:space="preserve">                                               </w:t>
      </w:r>
    </w:p>
    <w:p w14:paraId="678BCA46">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48941EAD">
      <w:pPr>
        <w:tabs>
          <w:tab w:val="left" w:pos="6510"/>
        </w:tabs>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法定代表人/主要负责人：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432D7BCB">
      <w:pPr>
        <w:tabs>
          <w:tab w:val="left" w:pos="6510"/>
        </w:tabs>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14:paraId="154D224F">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14:paraId="405CA72A">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dotted"/>
        </w:rPr>
        <w:t xml:space="preserve">                   </w:t>
      </w:r>
    </w:p>
    <w:p w14:paraId="5B2156E3">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被投诉人1：</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0276DFE2">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6E1FED1B">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35E3B522">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被投诉人2</w:t>
      </w:r>
    </w:p>
    <w:p w14:paraId="37BE37A3">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14:paraId="2F73A733">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相关供应商：</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7DD38C43">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1BECDD29">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008F8BCB">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二、投诉项目基本情况</w:t>
      </w:r>
    </w:p>
    <w:p w14:paraId="70CB3B66">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采购项目名称：</w:t>
      </w:r>
      <w:r>
        <w:rPr>
          <w:rFonts w:hint="eastAsia" w:ascii="仿宋_GB2312" w:hAnsi="仿宋_GB2312" w:eastAsia="仿宋_GB2312" w:cs="仿宋_GB2312"/>
          <w:color w:val="auto"/>
          <w:sz w:val="24"/>
          <w:highlight w:val="none"/>
          <w:u w:val="dotted"/>
        </w:rPr>
        <w:t xml:space="preserve">                                        </w:t>
      </w:r>
    </w:p>
    <w:p w14:paraId="6870B7A6">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采购项目编号：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14:paraId="5AB9F09D">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362759E8">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代理机构名称：</w:t>
      </w:r>
      <w:r>
        <w:rPr>
          <w:rFonts w:hint="eastAsia" w:ascii="仿宋_GB2312" w:hAnsi="仿宋_GB2312" w:eastAsia="仿宋_GB2312" w:cs="仿宋_GB2312"/>
          <w:color w:val="auto"/>
          <w:sz w:val="24"/>
          <w:highlight w:val="none"/>
          <w:u w:val="dotted"/>
        </w:rPr>
        <w:t xml:space="preserve">                                         </w:t>
      </w:r>
    </w:p>
    <w:p w14:paraId="61F206AB">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采购文件公告: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14:paraId="2B35815B">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采购结果公告: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14:paraId="2F458B93">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三、质疑基本情况</w:t>
      </w:r>
    </w:p>
    <w:p w14:paraId="7A353E05">
      <w:pPr>
        <w:spacing w:line="360" w:lineRule="auto"/>
        <w:ind w:firstLine="480" w:firstLineChars="200"/>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日,向</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提出质疑，质疑事项为：</w:t>
      </w:r>
      <w:r>
        <w:rPr>
          <w:rFonts w:hint="eastAsia" w:ascii="仿宋_GB2312" w:hAnsi="仿宋_GB2312" w:eastAsia="仿宋_GB2312" w:cs="仿宋_GB2312"/>
          <w:color w:val="auto"/>
          <w:sz w:val="24"/>
          <w:highlight w:val="none"/>
          <w:u w:val="dotted"/>
        </w:rPr>
        <w:t xml:space="preserve">                                </w:t>
      </w:r>
    </w:p>
    <w:p w14:paraId="772F1B89">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01D01125">
      <w:pPr>
        <w:spacing w:line="36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采购人/代理机构</w:t>
      </w:r>
      <w:r>
        <w:rPr>
          <w:rFonts w:hint="eastAsia" w:ascii="仿宋_GB2312" w:hAnsi="仿宋_GB2312" w:eastAsia="仿宋_GB2312" w:cs="仿宋_GB2312"/>
          <w:color w:val="auto"/>
          <w:sz w:val="24"/>
          <w:highlight w:val="none"/>
        </w:rPr>
        <w:t>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日,就质疑事项作出了答复/没有在法定期限内作出答复。</w:t>
      </w:r>
    </w:p>
    <w:p w14:paraId="32D7AFFA">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四、投诉事项具体内容</w:t>
      </w:r>
    </w:p>
    <w:p w14:paraId="3EDBB964">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投诉事项 1：</w:t>
      </w:r>
      <w:r>
        <w:rPr>
          <w:rFonts w:hint="eastAsia" w:ascii="仿宋_GB2312" w:hAnsi="仿宋_GB2312" w:eastAsia="仿宋_GB2312" w:cs="仿宋_GB2312"/>
          <w:color w:val="auto"/>
          <w:sz w:val="24"/>
          <w:highlight w:val="none"/>
          <w:u w:val="dotted"/>
        </w:rPr>
        <w:t xml:space="preserve">                                       </w:t>
      </w:r>
    </w:p>
    <w:p w14:paraId="41FF29F8">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14:paraId="1A06F9D7">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14:paraId="50887AFB">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14:paraId="5014D767">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14:paraId="4C9C562B">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投诉事项2</w:t>
      </w:r>
    </w:p>
    <w:p w14:paraId="06F44B35">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14:paraId="29C87576">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五、与投诉事项相关的投诉请求</w:t>
      </w:r>
    </w:p>
    <w:p w14:paraId="429D0765">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0BDEEB85">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p>
    <w:p w14:paraId="0E9A6F7F">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14:paraId="047AC163">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14:paraId="53E29AA6">
      <w:pPr>
        <w:spacing w:line="360" w:lineRule="auto"/>
        <w:rPr>
          <w:rFonts w:ascii="仿宋_GB2312" w:hAnsi="仿宋_GB2312" w:eastAsia="仿宋_GB2312" w:cs="仿宋_GB2312"/>
          <w:b/>
          <w:color w:val="auto"/>
          <w:sz w:val="24"/>
          <w:highlight w:val="none"/>
        </w:rPr>
      </w:pPr>
    </w:p>
    <w:p w14:paraId="32018DC3">
      <w:pPr>
        <w:spacing w:line="360" w:lineRule="auto"/>
        <w:rPr>
          <w:rFonts w:ascii="仿宋_GB2312" w:hAnsi="仿宋_GB2312" w:eastAsia="仿宋_GB2312" w:cs="仿宋_GB2312"/>
          <w:b/>
          <w:color w:val="auto"/>
          <w:sz w:val="24"/>
          <w:highlight w:val="none"/>
        </w:rPr>
      </w:pPr>
    </w:p>
    <w:p w14:paraId="647C0651">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投诉书制作说明：</w:t>
      </w:r>
    </w:p>
    <w:p w14:paraId="11A8BCAE">
      <w:pPr>
        <w:widowControl/>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1.投诉人提起投诉时，应当提交投诉书和必要的证明材料，并按照被投诉人和与投诉事项有关的供应商数量提供投诉书副本。</w:t>
      </w:r>
    </w:p>
    <w:p w14:paraId="2FA4C245">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highlight w:val="none"/>
        </w:rPr>
        <w:t>投诉人签署的授权委托书。授权委托书应当载明代理人的姓名或者名称、代理事项、具体权限、期限和相关事项。</w:t>
      </w:r>
    </w:p>
    <w:p w14:paraId="5324A711">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3.投诉人若对项目的某一分包进行投诉，投诉书应列明具体分包号。</w:t>
      </w:r>
    </w:p>
    <w:p w14:paraId="190781BB">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4.投诉书应简要列明质疑事项，质疑函、质疑答复等作为附件材料提供。</w:t>
      </w:r>
    </w:p>
    <w:p w14:paraId="3A88E5E3">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5.投诉书的投诉事项应具体、明确，并有必要的事实依据和法律依据。</w:t>
      </w:r>
    </w:p>
    <w:p w14:paraId="5D0FCCB7">
      <w:pPr>
        <w:widowControl/>
        <w:spacing w:line="360" w:lineRule="auto"/>
        <w:ind w:firstLine="480" w:firstLineChars="200"/>
        <w:jc w:val="left"/>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6.投诉书的投诉请求应与投诉事项相关。</w:t>
      </w:r>
    </w:p>
    <w:p w14:paraId="69826FE6">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77381A32">
      <w:pPr>
        <w:spacing w:line="360" w:lineRule="auto"/>
        <w:rPr>
          <w:rFonts w:ascii="仿宋_GB2312" w:hAnsi="仿宋_GB2312" w:eastAsia="仿宋_GB2312" w:cs="仿宋_GB2312"/>
          <w:b/>
          <w:color w:val="auto"/>
          <w:sz w:val="24"/>
          <w:highlight w:val="none"/>
        </w:rPr>
      </w:pPr>
    </w:p>
    <w:p w14:paraId="39E4F4C8">
      <w:pPr>
        <w:autoSpaceDE w:val="0"/>
        <w:autoSpaceDN w:val="0"/>
        <w:jc w:val="center"/>
        <w:rPr>
          <w:rFonts w:ascii="仿宋_GB2312" w:hAnsi="仿宋_GB2312" w:eastAsia="仿宋_GB2312" w:cs="仿宋_GB2312"/>
          <w:b/>
          <w:color w:val="auto"/>
          <w:spacing w:val="6"/>
          <w:sz w:val="32"/>
          <w:szCs w:val="32"/>
          <w:highlight w:val="none"/>
        </w:rPr>
      </w:pPr>
    </w:p>
    <w:p w14:paraId="354BA199">
      <w:pPr>
        <w:autoSpaceDE w:val="0"/>
        <w:autoSpaceDN w:val="0"/>
        <w:jc w:val="center"/>
        <w:rPr>
          <w:rFonts w:ascii="仿宋_GB2312" w:hAnsi="仿宋_GB2312" w:eastAsia="仿宋_GB2312" w:cs="仿宋_GB2312"/>
          <w:b/>
          <w:color w:val="auto"/>
          <w:spacing w:val="6"/>
          <w:sz w:val="32"/>
          <w:szCs w:val="32"/>
          <w:highlight w:val="none"/>
        </w:rPr>
      </w:pPr>
    </w:p>
    <w:p w14:paraId="78B8B4FE">
      <w:pP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br w:type="page"/>
      </w:r>
    </w:p>
    <w:p w14:paraId="7153A083">
      <w:pPr>
        <w:autoSpaceDE w:val="0"/>
        <w:autoSpaceDN w:val="0"/>
        <w:jc w:val="center"/>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附件4：</w:t>
      </w:r>
      <w:r>
        <w:rPr>
          <w:rFonts w:hint="eastAsia" w:ascii="仿宋_GB2312" w:hAnsi="仿宋_GB2312" w:eastAsia="仿宋_GB2312" w:cs="仿宋_GB2312"/>
          <w:b/>
          <w:bCs/>
          <w:color w:val="auto"/>
          <w:sz w:val="32"/>
          <w:szCs w:val="32"/>
          <w:highlight w:val="none"/>
        </w:rPr>
        <w:t>业务专用章使用说明函</w:t>
      </w:r>
    </w:p>
    <w:p w14:paraId="304F2953">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u w:val="single"/>
          <w:lang w:val="en" w:eastAsia="zh-CN"/>
        </w:rPr>
        <w:t>杭州市钱塘区人民政府新湾街道办事处</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eastAsia="zh-CN"/>
        </w:rPr>
        <w:t>浙江勋达工程咨询有限公司</w:t>
      </w:r>
    </w:p>
    <w:p w14:paraId="005FC3DB">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我方</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sz w:val="24"/>
          <w:highlight w:val="none"/>
        </w:rPr>
        <w:t>(投标人全称)是中华人民共和国依法登记注册的合法企业，</w:t>
      </w:r>
      <w:r>
        <w:rPr>
          <w:rFonts w:hint="eastAsia" w:ascii="仿宋_GB2312" w:hAnsi="仿宋_GB2312" w:eastAsia="仿宋_GB2312" w:cs="仿宋_GB2312"/>
          <w:bCs/>
          <w:color w:val="auto"/>
          <w:sz w:val="24"/>
          <w:highlight w:val="none"/>
        </w:rPr>
        <w:t>在参加</w:t>
      </w:r>
      <w:r>
        <w:rPr>
          <w:rFonts w:hint="eastAsia" w:ascii="仿宋_GB2312" w:hAnsi="仿宋_GB2312" w:eastAsia="仿宋_GB2312" w:cs="仿宋_GB2312"/>
          <w:color w:val="auto"/>
          <w:sz w:val="24"/>
          <w:highlight w:val="none"/>
        </w:rPr>
        <w:t>你方组织的</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Cs/>
          <w:color w:val="auto"/>
          <w:sz w:val="24"/>
          <w:highlight w:val="none"/>
        </w:rPr>
        <w:t>投标活动中作如下说明：</w:t>
      </w:r>
      <w:r>
        <w:rPr>
          <w:rFonts w:hint="eastAsia" w:ascii="仿宋_GB2312" w:hAnsi="仿宋_GB2312" w:eastAsia="仿宋_GB2312" w:cs="仿宋_GB2312"/>
          <w:color w:val="auto"/>
          <w:sz w:val="24"/>
          <w:highlight w:val="none"/>
        </w:rPr>
        <w:t xml:space="preserve">我方所使用的“XX专用章”与法定名称章具有同等的法律效力，对使用“XX专用章”的行为予以完全承认，并愿意承担相应责任。   </w:t>
      </w:r>
    </w:p>
    <w:p w14:paraId="41474B3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特此说明。</w:t>
      </w:r>
    </w:p>
    <w:p w14:paraId="2A389479">
      <w:pPr>
        <w:spacing w:line="360" w:lineRule="auto"/>
        <w:ind w:firstLine="494"/>
        <w:rPr>
          <w:rFonts w:ascii="仿宋_GB2312" w:hAnsi="仿宋_GB2312" w:eastAsia="仿宋_GB2312" w:cs="仿宋_GB2312"/>
          <w:color w:val="auto"/>
          <w:sz w:val="24"/>
          <w:highlight w:val="none"/>
        </w:rPr>
      </w:pPr>
    </w:p>
    <w:p w14:paraId="7193F5E0">
      <w:pPr>
        <w:spacing w:line="360" w:lineRule="auto"/>
        <w:ind w:firstLine="494"/>
        <w:rPr>
          <w:rFonts w:ascii="仿宋_GB2312" w:hAnsi="仿宋_GB2312" w:eastAsia="仿宋_GB2312" w:cs="仿宋_GB2312"/>
          <w:color w:val="auto"/>
          <w:sz w:val="24"/>
          <w:highlight w:val="none"/>
        </w:rPr>
      </w:pPr>
    </w:p>
    <w:p w14:paraId="15292C4C">
      <w:pPr>
        <w:spacing w:line="360" w:lineRule="auto"/>
        <w:ind w:firstLine="494"/>
        <w:rPr>
          <w:rFonts w:ascii="仿宋_GB2312" w:hAnsi="仿宋_GB2312" w:eastAsia="仿宋_GB2312" w:cs="仿宋_GB2312"/>
          <w:color w:val="auto"/>
          <w:sz w:val="24"/>
          <w:highlight w:val="none"/>
        </w:rPr>
      </w:pPr>
    </w:p>
    <w:p w14:paraId="4B3DEFFC">
      <w:pPr>
        <w:spacing w:line="360" w:lineRule="auto"/>
        <w:ind w:firstLine="494"/>
        <w:rPr>
          <w:rFonts w:ascii="仿宋_GB2312" w:hAnsi="仿宋_GB2312" w:eastAsia="仿宋_GB2312" w:cs="仿宋_GB2312"/>
          <w:color w:val="auto"/>
          <w:sz w:val="24"/>
          <w:highlight w:val="none"/>
        </w:rPr>
      </w:pPr>
    </w:p>
    <w:p w14:paraId="5DD051F3">
      <w:pPr>
        <w:spacing w:line="360" w:lineRule="auto"/>
        <w:ind w:right="480" w:firstLine="4080" w:firstLineChars="17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投标单位（法定名称章）：</w:t>
      </w:r>
    </w:p>
    <w:p w14:paraId="29502D20">
      <w:pPr>
        <w:ind w:right="1440" w:firstLine="494"/>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14:paraId="25EBE7ED">
      <w:pP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附：</w:t>
      </w:r>
    </w:p>
    <w:p w14:paraId="654FEA3A">
      <w:pPr>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投标单位法定名称章（印模）                投标单位“XX专用章”（印模）</w:t>
      </w:r>
    </w:p>
    <w:tbl>
      <w:tblPr>
        <w:tblStyle w:val="65"/>
        <w:tblpPr w:leftFromText="180" w:rightFromText="180" w:vertAnchor="text" w:horzAnchor="page" w:tblpX="1180" w:tblpY="317"/>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1329"/>
        <w:gridCol w:w="3895"/>
      </w:tblGrid>
      <w:tr w14:paraId="17B4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3894" w:type="dxa"/>
            <w:tcBorders>
              <w:tl2br w:val="nil"/>
              <w:tr2bl w:val="nil"/>
            </w:tcBorders>
          </w:tcPr>
          <w:p w14:paraId="7DA650A9">
            <w:pPr>
              <w:autoSpaceDE w:val="0"/>
              <w:autoSpaceDN w:val="0"/>
              <w:jc w:val="left"/>
              <w:rPr>
                <w:rFonts w:ascii="仿宋_GB2312" w:hAnsi="仿宋_GB2312" w:eastAsia="仿宋_GB2312" w:cs="仿宋_GB2312"/>
                <w:b/>
                <w:color w:val="auto"/>
                <w:spacing w:val="6"/>
                <w:sz w:val="32"/>
                <w:szCs w:val="32"/>
                <w:highlight w:val="none"/>
              </w:rPr>
            </w:pPr>
          </w:p>
        </w:tc>
        <w:tc>
          <w:tcPr>
            <w:tcW w:w="1329" w:type="dxa"/>
            <w:tcBorders>
              <w:top w:val="nil"/>
              <w:bottom w:val="nil"/>
            </w:tcBorders>
          </w:tcPr>
          <w:p w14:paraId="1B73D237">
            <w:pPr>
              <w:autoSpaceDE w:val="0"/>
              <w:autoSpaceDN w:val="0"/>
              <w:jc w:val="center"/>
              <w:rPr>
                <w:rFonts w:ascii="仿宋_GB2312" w:hAnsi="仿宋_GB2312" w:eastAsia="仿宋_GB2312" w:cs="仿宋_GB2312"/>
                <w:b/>
                <w:color w:val="auto"/>
                <w:spacing w:val="6"/>
                <w:sz w:val="32"/>
                <w:szCs w:val="32"/>
                <w:highlight w:val="none"/>
              </w:rPr>
            </w:pPr>
          </w:p>
        </w:tc>
        <w:tc>
          <w:tcPr>
            <w:tcW w:w="3895" w:type="dxa"/>
            <w:tcBorders>
              <w:tl2br w:val="nil"/>
              <w:tr2bl w:val="nil"/>
            </w:tcBorders>
          </w:tcPr>
          <w:p w14:paraId="086584D1">
            <w:pPr>
              <w:autoSpaceDE w:val="0"/>
              <w:autoSpaceDN w:val="0"/>
              <w:jc w:val="center"/>
              <w:rPr>
                <w:rFonts w:ascii="仿宋_GB2312" w:hAnsi="仿宋_GB2312" w:eastAsia="仿宋_GB2312" w:cs="仿宋_GB2312"/>
                <w:b/>
                <w:color w:val="auto"/>
                <w:spacing w:val="6"/>
                <w:sz w:val="32"/>
                <w:szCs w:val="32"/>
                <w:highlight w:val="none"/>
              </w:rPr>
            </w:pPr>
          </w:p>
        </w:tc>
      </w:tr>
    </w:tbl>
    <w:p w14:paraId="11EF833B">
      <w:pPr>
        <w:autoSpaceDE w:val="0"/>
        <w:autoSpaceDN w:val="0"/>
        <w:jc w:val="center"/>
        <w:rPr>
          <w:rFonts w:ascii="仿宋_GB2312" w:hAnsi="仿宋_GB2312" w:eastAsia="仿宋_GB2312" w:cs="仿宋_GB2312"/>
          <w:b/>
          <w:color w:val="auto"/>
          <w:spacing w:val="6"/>
          <w:sz w:val="32"/>
          <w:szCs w:val="32"/>
          <w:highlight w:val="none"/>
        </w:rPr>
      </w:pPr>
    </w:p>
    <w:p w14:paraId="244D8DBA">
      <w:pPr>
        <w:autoSpaceDE w:val="0"/>
        <w:autoSpaceDN w:val="0"/>
        <w:jc w:val="center"/>
        <w:rPr>
          <w:rFonts w:ascii="仿宋_GB2312" w:hAnsi="仿宋_GB2312" w:eastAsia="仿宋_GB2312" w:cs="仿宋_GB2312"/>
          <w:b/>
          <w:color w:val="auto"/>
          <w:spacing w:val="6"/>
          <w:sz w:val="32"/>
          <w:szCs w:val="32"/>
          <w:highlight w:val="none"/>
        </w:rPr>
      </w:pPr>
    </w:p>
    <w:p w14:paraId="6E38F072">
      <w:pPr>
        <w:autoSpaceDE w:val="0"/>
        <w:autoSpaceDN w:val="0"/>
        <w:jc w:val="center"/>
        <w:rPr>
          <w:rFonts w:ascii="仿宋_GB2312" w:hAnsi="仿宋_GB2312" w:eastAsia="仿宋_GB2312" w:cs="仿宋_GB2312"/>
          <w:b/>
          <w:color w:val="auto"/>
          <w:spacing w:val="6"/>
          <w:sz w:val="32"/>
          <w:szCs w:val="32"/>
          <w:highlight w:val="none"/>
        </w:rPr>
      </w:pPr>
    </w:p>
    <w:p w14:paraId="395A9532">
      <w:pPr>
        <w:autoSpaceDE w:val="0"/>
        <w:autoSpaceDN w:val="0"/>
        <w:jc w:val="center"/>
        <w:rPr>
          <w:rFonts w:ascii="仿宋_GB2312" w:hAnsi="仿宋_GB2312" w:eastAsia="仿宋_GB2312" w:cs="仿宋_GB2312"/>
          <w:b/>
          <w:color w:val="auto"/>
          <w:spacing w:val="6"/>
          <w:sz w:val="32"/>
          <w:szCs w:val="32"/>
          <w:highlight w:val="none"/>
        </w:rPr>
      </w:pPr>
    </w:p>
    <w:p w14:paraId="095A8ECE">
      <w:pPr>
        <w:autoSpaceDE w:val="0"/>
        <w:autoSpaceDN w:val="0"/>
        <w:jc w:val="center"/>
        <w:rPr>
          <w:rFonts w:ascii="仿宋_GB2312" w:hAnsi="仿宋_GB2312" w:eastAsia="仿宋_GB2312" w:cs="仿宋_GB2312"/>
          <w:b/>
          <w:color w:val="auto"/>
          <w:spacing w:val="6"/>
          <w:sz w:val="32"/>
          <w:szCs w:val="32"/>
          <w:highlight w:val="none"/>
        </w:rPr>
      </w:pPr>
    </w:p>
    <w:p w14:paraId="1C85FEDD">
      <w:pPr>
        <w:autoSpaceDE w:val="0"/>
        <w:autoSpaceDN w:val="0"/>
        <w:jc w:val="center"/>
        <w:rPr>
          <w:rFonts w:ascii="仿宋_GB2312" w:hAnsi="仿宋_GB2312" w:eastAsia="仿宋_GB2312" w:cs="仿宋_GB2312"/>
          <w:b/>
          <w:color w:val="auto"/>
          <w:spacing w:val="6"/>
          <w:sz w:val="32"/>
          <w:szCs w:val="32"/>
          <w:highlight w:val="none"/>
        </w:rPr>
      </w:pPr>
    </w:p>
    <w:p w14:paraId="6CEC0C3D">
      <w:pPr>
        <w:autoSpaceDE w:val="0"/>
        <w:autoSpaceDN w:val="0"/>
        <w:jc w:val="center"/>
        <w:rPr>
          <w:rFonts w:ascii="仿宋_GB2312" w:hAnsi="仿宋_GB2312" w:eastAsia="仿宋_GB2312" w:cs="仿宋_GB2312"/>
          <w:b/>
          <w:color w:val="auto"/>
          <w:spacing w:val="6"/>
          <w:sz w:val="32"/>
          <w:szCs w:val="32"/>
          <w:highlight w:val="none"/>
        </w:rPr>
      </w:pPr>
    </w:p>
    <w:p w14:paraId="66A85936">
      <w:pPr>
        <w:autoSpaceDE w:val="0"/>
        <w:autoSpaceDN w:val="0"/>
        <w:jc w:val="center"/>
        <w:rPr>
          <w:rFonts w:ascii="仿宋_GB2312" w:hAnsi="仿宋_GB2312" w:eastAsia="仿宋_GB2312" w:cs="仿宋_GB2312"/>
          <w:b/>
          <w:color w:val="auto"/>
          <w:spacing w:val="6"/>
          <w:sz w:val="32"/>
          <w:szCs w:val="32"/>
          <w:highlight w:val="none"/>
        </w:rPr>
      </w:pPr>
    </w:p>
    <w:p w14:paraId="1F446049">
      <w:pPr>
        <w:autoSpaceDE w:val="0"/>
        <w:autoSpaceDN w:val="0"/>
        <w:rPr>
          <w:rFonts w:ascii="仿宋_GB2312" w:hAnsi="仿宋_GB2312" w:eastAsia="仿宋_GB2312" w:cs="仿宋_GB2312"/>
          <w:b/>
          <w:color w:val="auto"/>
          <w:spacing w:val="6"/>
          <w:sz w:val="32"/>
          <w:szCs w:val="32"/>
          <w:highlight w:val="none"/>
        </w:rPr>
        <w:sectPr>
          <w:headerReference r:id="rId22" w:type="first"/>
          <w:footerReference r:id="rId25" w:type="first"/>
          <w:headerReference r:id="rId21" w:type="default"/>
          <w:footerReference r:id="rId23" w:type="default"/>
          <w:footerReference r:id="rId24" w:type="even"/>
          <w:pgSz w:w="11906" w:h="16838"/>
          <w:pgMar w:top="680" w:right="1417" w:bottom="471" w:left="1418" w:header="851" w:footer="992" w:gutter="0"/>
          <w:cols w:space="720" w:num="1"/>
          <w:titlePg/>
          <w:docGrid w:linePitch="312" w:charSpace="0"/>
        </w:sectPr>
      </w:pPr>
    </w:p>
    <w:p w14:paraId="43504572">
      <w:pPr>
        <w:autoSpaceDE w:val="0"/>
        <w:autoSpaceDN w:val="0"/>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spacing w:val="6"/>
          <w:sz w:val="32"/>
          <w:szCs w:val="32"/>
          <w:highlight w:val="none"/>
        </w:rPr>
        <w:t>附件5：</w:t>
      </w:r>
      <w:r>
        <w:rPr>
          <w:rFonts w:hint="eastAsia" w:ascii="仿宋_GB2312" w:hAnsi="仿宋_GB2312" w:eastAsia="仿宋_GB2312" w:cs="仿宋_GB2312"/>
          <w:b/>
          <w:color w:val="auto"/>
          <w:kern w:val="0"/>
          <w:sz w:val="32"/>
          <w:szCs w:val="32"/>
          <w:highlight w:val="none"/>
          <w:lang w:val="zh-CN"/>
        </w:rPr>
        <w:t>联合协议</w:t>
      </w:r>
    </w:p>
    <w:p w14:paraId="670AEF69">
      <w:pPr>
        <w:widowControl/>
        <w:spacing w:line="360" w:lineRule="auto"/>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（以联合体形式投标的，提供联合协议；本项目不接受联合体投标或者投标人不以联合体形式投标的，则不需要提供）</w:t>
      </w:r>
    </w:p>
    <w:p w14:paraId="30389AF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sz w:val="24"/>
          <w:highlight w:val="non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 xml:space="preserve">投标。 </w:t>
      </w:r>
    </w:p>
    <w:p w14:paraId="24AF6ABB">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14:paraId="2BDEFD74">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1C58AC2">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p>
    <w:p w14:paraId="2A103355">
      <w:pPr>
        <w:snapToGrid w:val="0"/>
        <w:spacing w:line="360" w:lineRule="auto"/>
        <w:ind w:firstLine="576"/>
        <w:rPr>
          <w:rFonts w:ascii="仿宋_GB2312" w:hAnsi="仿宋_GB2312" w:eastAsia="仿宋_GB2312" w:cs="仿宋_GB2312"/>
          <w:color w:val="auto"/>
          <w:kern w:val="0"/>
          <w:sz w:val="24"/>
          <w:highlight w:val="none"/>
          <w:lang w:val="zh-CN"/>
        </w:rPr>
      </w:pPr>
      <w:bookmarkStart w:id="396" w:name="_Hlk101134295"/>
      <w:r>
        <w:rPr>
          <w:rFonts w:hint="eastAsia" w:ascii="仿宋_GB2312" w:hAnsi="仿宋_GB2312" w:eastAsia="仿宋_GB2312" w:cs="仿宋_GB2312"/>
          <w:color w:val="auto"/>
          <w:kern w:val="0"/>
          <w:sz w:val="24"/>
          <w:highlight w:val="none"/>
          <w:u w:val="single"/>
        </w:rPr>
        <w:t>（联合体成员1）</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14:paraId="1B2FF69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（联合体成员2）</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14:paraId="191460B1">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w:t>
      </w:r>
    </w:p>
    <w:bookmarkEnd w:id="396"/>
    <w:p w14:paraId="1C8403C9">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四、联合体成员中小企业合同份额。</w:t>
      </w:r>
    </w:p>
    <w:p w14:paraId="5E05C199">
      <w:pPr>
        <w:snapToGrid w:val="0"/>
        <w:spacing w:line="360" w:lineRule="auto"/>
        <w:ind w:firstLine="576"/>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1、</w:t>
      </w:r>
      <w:r>
        <w:rPr>
          <w:rFonts w:hint="eastAsia" w:ascii="仿宋_GB2312" w:hAnsi="仿宋_GB2312" w:eastAsia="仿宋_GB2312" w:cs="仿宋_GB2312"/>
          <w:color w:val="auto"/>
          <w:kern w:val="0"/>
          <w:sz w:val="24"/>
          <w:highlight w:val="none"/>
          <w:u w:val="single"/>
        </w:rPr>
        <w:t>（联合体成员X,……）</w:t>
      </w:r>
      <w:r>
        <w:rPr>
          <w:rFonts w:hint="eastAsia" w:ascii="仿宋_GB2312" w:hAnsi="仿宋_GB2312" w:eastAsia="仿宋_GB2312" w:cs="仿宋_GB2312"/>
          <w:color w:val="auto"/>
          <w:kern w:val="0"/>
          <w:sz w:val="24"/>
          <w:highlight w:val="none"/>
        </w:rPr>
        <w:t>提供的全部服务由小微企业承接，其合同份额占到合同总金额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r>
        <w:rPr>
          <w:rFonts w:hint="eastAsia" w:ascii="仿宋_GB2312" w:hAnsi="仿宋_GB2312" w:eastAsia="仿宋_GB2312" w:cs="仿宋_GB2312"/>
          <w:b/>
          <w:color w:val="auto"/>
          <w:kern w:val="0"/>
          <w:sz w:val="24"/>
          <w:highlight w:val="none"/>
          <w:lang w:val="zh-CN"/>
        </w:rPr>
        <w:t>）</w:t>
      </w:r>
    </w:p>
    <w:p w14:paraId="4CCB65F2">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rPr>
        <w:t>2、中小企业合同金额达到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p>
    <w:p w14:paraId="5A19D99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14:paraId="37D91AFD">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14:paraId="0ECA7159">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14:paraId="3A23D02E">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14:paraId="4093185F">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3、本协议提交采购人、采购代理机构后，联合体各方不得以任何形式对上述内容进行修改或撤销。</w:t>
      </w:r>
    </w:p>
    <w:p w14:paraId="59A61495">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26806C1D">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189A6BFA">
      <w:pPr>
        <w:snapToGrid w:val="0"/>
        <w:spacing w:line="360" w:lineRule="auto"/>
        <w:ind w:right="960"/>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14:paraId="2F84FC35">
      <w:pPr>
        <w:snapToGrid w:val="0"/>
        <w:spacing w:line="360" w:lineRule="auto"/>
        <w:ind w:firstLine="5040" w:firstLineChars="2100"/>
        <w:rPr>
          <w:rFonts w:ascii="仿宋_GB2312" w:hAnsi="仿宋_GB2312" w:eastAsia="仿宋_GB2312" w:cs="仿宋_GB2312"/>
          <w:color w:val="auto"/>
          <w:kern w:val="0"/>
          <w:sz w:val="24"/>
          <w:highlight w:val="none"/>
          <w:lang w:val="zh-CN"/>
        </w:rPr>
      </w:pPr>
    </w:p>
    <w:p w14:paraId="01117B82">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6F19BA9E">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4B3A9A48">
      <w:pPr>
        <w:snapToGrid w:val="0"/>
        <w:spacing w:line="360" w:lineRule="auto"/>
        <w:ind w:firstLine="3666" w:firstLineChars="1100"/>
        <w:rPr>
          <w:rFonts w:ascii="仿宋_GB2312" w:hAnsi="仿宋_GB2312" w:eastAsia="仿宋_GB2312" w:cs="仿宋_GB2312"/>
          <w:b/>
          <w:color w:val="auto"/>
          <w:spacing w:val="6"/>
          <w:sz w:val="32"/>
          <w:szCs w:val="32"/>
          <w:highlight w:val="none"/>
        </w:rPr>
        <w:sectPr>
          <w:pgSz w:w="11906" w:h="16838"/>
          <w:pgMar w:top="680" w:right="1417" w:bottom="471" w:left="1418" w:header="851" w:footer="992" w:gutter="0"/>
          <w:cols w:space="720" w:num="1"/>
          <w:titlePg/>
          <w:docGrid w:linePitch="312" w:charSpace="0"/>
        </w:sectPr>
      </w:pPr>
    </w:p>
    <w:p w14:paraId="16FF6334">
      <w:pPr>
        <w:snapToGrid w:val="0"/>
        <w:spacing w:line="360" w:lineRule="auto"/>
        <w:jc w:val="center"/>
        <w:outlineLvl w:val="2"/>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pacing w:val="6"/>
          <w:sz w:val="32"/>
          <w:szCs w:val="32"/>
          <w:highlight w:val="none"/>
        </w:rPr>
        <w:t>附件6：</w:t>
      </w:r>
      <w:r>
        <w:rPr>
          <w:rFonts w:hint="eastAsia" w:ascii="仿宋_GB2312" w:hAnsi="仿宋_GB2312" w:eastAsia="仿宋_GB2312" w:cs="仿宋_GB2312"/>
          <w:b/>
          <w:color w:val="auto"/>
          <w:kern w:val="0"/>
          <w:sz w:val="32"/>
          <w:szCs w:val="32"/>
          <w:highlight w:val="none"/>
        </w:rPr>
        <w:t>分包意向协议</w:t>
      </w:r>
    </w:p>
    <w:p w14:paraId="167D8B13">
      <w:pPr>
        <w:widowControl/>
        <w:spacing w:line="360" w:lineRule="auto"/>
        <w:ind w:firstLine="120" w:firstLine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14:paraId="50CD139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 xml:space="preserve">。 </w:t>
      </w:r>
    </w:p>
    <w:p w14:paraId="6AE2AA5F">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14:paraId="316CAD6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（分包供应商1名称）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（分包供应商1名称），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14:paraId="7749685A">
      <w:pPr>
        <w:pStyle w:val="3"/>
        <w:spacing w:line="240" w:lineRule="auto"/>
        <w:ind w:left="664" w:leftChars="316" w:firstLine="229" w:firstLineChars="95"/>
        <w:outlineLvl w:val="2"/>
        <w:rPr>
          <w:rFonts w:hAnsi="仿宋_GB2312" w:cs="仿宋_GB2312"/>
          <w:color w:val="auto"/>
          <w:kern w:val="0"/>
          <w:sz w:val="24"/>
          <w:szCs w:val="24"/>
          <w:highlight w:val="none"/>
        </w:rPr>
      </w:pPr>
      <w:r>
        <w:rPr>
          <w:rFonts w:hint="eastAsia" w:hAnsi="仿宋_GB2312" w:cs="仿宋_GB2312"/>
          <w:color w:val="auto"/>
          <w:kern w:val="0"/>
          <w:sz w:val="24"/>
          <w:szCs w:val="24"/>
          <w:highlight w:val="none"/>
        </w:rPr>
        <w:t>……</w:t>
      </w:r>
    </w:p>
    <w:p w14:paraId="2B78AA5C">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二、分包供应商中小企业合同份额</w:t>
      </w:r>
    </w:p>
    <w:p w14:paraId="4A017E49">
      <w:pPr>
        <w:snapToGrid w:val="0"/>
        <w:spacing w:line="360" w:lineRule="auto"/>
        <w:ind w:firstLine="576"/>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u w:val="single"/>
        </w:rPr>
        <w:t>（分包供应商X,……）提供的服务全部由小微企业承接，</w:t>
      </w:r>
      <w:r>
        <w:rPr>
          <w:rFonts w:hint="eastAsia" w:ascii="仿宋_GB2312" w:hAnsi="仿宋_GB2312" w:eastAsia="仿宋_GB2312" w:cs="仿宋_GB2312"/>
          <w:color w:val="auto"/>
          <w:kern w:val="0"/>
          <w:sz w:val="24"/>
          <w:highlight w:val="none"/>
        </w:rPr>
        <w:t>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r>
        <w:rPr>
          <w:rFonts w:hint="eastAsia" w:ascii="仿宋_GB2312" w:hAnsi="仿宋_GB2312" w:eastAsia="仿宋_GB2312" w:cs="仿宋_GB2312"/>
          <w:b/>
          <w:color w:val="auto"/>
          <w:kern w:val="0"/>
          <w:sz w:val="24"/>
          <w:highlight w:val="none"/>
          <w:lang w:val="zh-CN"/>
        </w:rPr>
        <w:t>）</w:t>
      </w:r>
    </w:p>
    <w:p w14:paraId="7D1B1A86">
      <w:pPr>
        <w:spacing w:line="360" w:lineRule="auto"/>
        <w:ind w:firstLine="480" w:firstLineChars="200"/>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color w:val="auto"/>
          <w:sz w:val="24"/>
          <w:highlight w:val="none"/>
        </w:rPr>
        <w:t>2、</w:t>
      </w:r>
      <w:bookmarkStart w:id="397" w:name="_Hlk101133173"/>
      <w:r>
        <w:rPr>
          <w:rFonts w:hint="eastAsia" w:ascii="仿宋_GB2312" w:hAnsi="仿宋_GB2312" w:eastAsia="仿宋_GB2312" w:cs="仿宋_GB2312"/>
          <w:color w:val="auto"/>
          <w:sz w:val="24"/>
          <w:highlight w:val="none"/>
        </w:rPr>
        <w:t>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color w:val="auto"/>
          <w:kern w:val="0"/>
          <w:sz w:val="24"/>
          <w:highlight w:val="none"/>
          <w:lang w:val="zh-CN"/>
        </w:rPr>
        <w:t>分包意向协议</w:t>
      </w:r>
      <w:r>
        <w:rPr>
          <w:rFonts w:hint="eastAsia" w:ascii="仿宋_GB2312" w:hAnsi="仿宋_GB2312" w:eastAsia="仿宋_GB2312" w:cs="仿宋_GB2312"/>
          <w:b/>
          <w:bCs/>
          <w:color w:val="auto"/>
          <w:sz w:val="24"/>
          <w:highlight w:val="none"/>
        </w:rPr>
        <w:t>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bookmarkEnd w:id="397"/>
    </w:p>
    <w:p w14:paraId="682D3B64">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三、分包工作履行期限、地点、方式</w:t>
      </w:r>
    </w:p>
    <w:p w14:paraId="4633119C">
      <w:pPr>
        <w:snapToGrid w:val="0"/>
        <w:ind w:firstLine="576"/>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 xml:space="preserve">                                                                                  </w:t>
      </w:r>
    </w:p>
    <w:p w14:paraId="167055C7">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四、质量</w:t>
      </w:r>
    </w:p>
    <w:p w14:paraId="51CBBCFB">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6A5D41BF">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五、价款或者报酬</w:t>
      </w:r>
    </w:p>
    <w:p w14:paraId="1CFC4A1B">
      <w:pPr>
        <w:snapToGrid w:val="0"/>
        <w:ind w:left="573" w:leftChars="27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45C29AC4">
      <w:pPr>
        <w:snapToGrid w:val="0"/>
        <w:ind w:left="573" w:leftChars="27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六、违约责任</w:t>
      </w:r>
    </w:p>
    <w:p w14:paraId="5508EC9A">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72CA9328">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七、争议解决的办法</w:t>
      </w:r>
    </w:p>
    <w:p w14:paraId="5F4F3A53">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519AFD2F">
      <w:pPr>
        <w:snapToGrid w:val="0"/>
        <w:spacing w:line="360" w:lineRule="auto"/>
        <w:ind w:left="5758" w:leftChars="342" w:hanging="5040" w:hanging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w:t>
      </w:r>
    </w:p>
    <w:p w14:paraId="0E89A671">
      <w:pPr>
        <w:snapToGrid w:val="0"/>
        <w:spacing w:line="360" w:lineRule="auto"/>
        <w:ind w:firstLine="4800" w:firstLineChars="20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分包供应商名称(电子签名/公章)：</w:t>
      </w:r>
    </w:p>
    <w:p w14:paraId="63FE73ED">
      <w:pPr>
        <w:snapToGrid w:val="0"/>
        <w:spacing w:line="360" w:lineRule="auto"/>
        <w:ind w:firstLine="5760" w:firstLineChars="24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14:paraId="0A94EB5B">
      <w:pPr>
        <w:autoSpaceDE w:val="0"/>
        <w:autoSpaceDN w:val="0"/>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4BD4E2A4">
      <w:pPr>
        <w:autoSpaceDE w:val="0"/>
        <w:autoSpaceDN w:val="0"/>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color w:val="auto"/>
          <w:sz w:val="24"/>
          <w:highlight w:val="none"/>
        </w:rPr>
        <w:t>注：按本格式和要求提供。</w:t>
      </w:r>
    </w:p>
    <w:p w14:paraId="5F773E25">
      <w:pPr>
        <w:autoSpaceDE w:val="0"/>
        <w:autoSpaceDN w:val="0"/>
        <w:jc w:val="center"/>
        <w:outlineLvl w:val="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附件7：</w:t>
      </w:r>
      <w:r>
        <w:rPr>
          <w:rFonts w:hint="eastAsia" w:ascii="仿宋_GB2312" w:hAnsi="仿宋_GB2312" w:eastAsia="仿宋_GB2312" w:cs="仿宋_GB2312"/>
          <w:b/>
          <w:color w:val="auto"/>
          <w:sz w:val="32"/>
          <w:szCs w:val="32"/>
          <w:highlight w:val="none"/>
        </w:rPr>
        <w:t>中小企业声明函</w:t>
      </w:r>
    </w:p>
    <w:p w14:paraId="20037715">
      <w:pPr>
        <w:spacing w:line="360" w:lineRule="auto"/>
        <w:jc w:val="center"/>
        <w:rPr>
          <w:rFonts w:ascii="仿宋_GB2312" w:hAnsi="仿宋_GB2312" w:eastAsia="仿宋_GB2312" w:cs="仿宋_GB2312"/>
          <w:b/>
          <w:color w:val="auto"/>
          <w:sz w:val="32"/>
          <w:szCs w:val="32"/>
          <w:highlight w:val="none"/>
        </w:rPr>
      </w:pPr>
    </w:p>
    <w:p w14:paraId="2261ACBC">
      <w:pPr>
        <w:spacing w:line="360" w:lineRule="auto"/>
        <w:jc w:val="center"/>
        <w:outlineLvl w:val="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中小企业声明函（服务）</w:t>
      </w:r>
    </w:p>
    <w:p w14:paraId="3E95082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 w:eastAsia="zh-CN"/>
        </w:rPr>
        <w:t>杭州市钱塘区人民政府新湾街道办事处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采购活动，服务全部由符合政策要求的中小企业承接。相关企业（含联合体中的中小企业、签订分包意向协议的中小企业）的具体情况如下：</w:t>
      </w:r>
    </w:p>
    <w:p w14:paraId="443E9B7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kern w:val="0"/>
          <w:sz w:val="24"/>
          <w:highlight w:val="none"/>
          <w:u w:val="single"/>
        </w:rPr>
        <w:t>“雪亮工程”租赁</w:t>
      </w:r>
      <w:r>
        <w:rPr>
          <w:rFonts w:hint="eastAsia" w:ascii="仿宋_GB2312" w:hAnsi="仿宋_GB2312" w:eastAsia="仿宋_GB2312" w:cs="仿宋_GB2312"/>
          <w:color w:val="auto"/>
          <w:sz w:val="24"/>
          <w:highlight w:val="none"/>
        </w:rPr>
        <w:t xml:space="preserve"> ，属于 </w:t>
      </w:r>
      <w:r>
        <w:rPr>
          <w:rFonts w:hint="eastAsia" w:ascii="仿宋_GB2312" w:hAnsi="仿宋_GB2312" w:eastAsia="仿宋_GB2312" w:cs="仿宋_GB2312"/>
          <w:color w:val="auto"/>
          <w:kern w:val="0"/>
          <w:sz w:val="24"/>
          <w:highlight w:val="none"/>
          <w:u w:val="single"/>
        </w:rPr>
        <w:t>租赁和商务服务</w:t>
      </w:r>
      <w:r>
        <w:rPr>
          <w:rFonts w:hint="eastAsia" w:ascii="仿宋_GB2312" w:hAnsi="仿宋_GB2312" w:eastAsia="仿宋_GB2312" w:cs="仿宋_GB2312"/>
          <w:color w:val="auto"/>
          <w:sz w:val="24"/>
          <w:highlight w:val="none"/>
        </w:rPr>
        <w:t xml:space="preserve"> 行业 ；承接企业为</w:t>
      </w:r>
      <w:r>
        <w:rPr>
          <w:rFonts w:hint="eastAsia" w:ascii="仿宋_GB2312" w:hAnsi="仿宋_GB2312" w:eastAsia="仿宋_GB2312" w:cs="仿宋_GB2312"/>
          <w:color w:val="auto"/>
          <w:sz w:val="24"/>
          <w:highlight w:val="none"/>
          <w:u w:val="single"/>
        </w:rPr>
        <w:t xml:space="preserve"> （企业名称）</w:t>
      </w:r>
      <w:r>
        <w:rPr>
          <w:rFonts w:hint="eastAsia" w:ascii="仿宋_GB2312" w:hAnsi="仿宋_GB2312" w:eastAsia="仿宋_GB2312" w:cs="仿宋_GB2312"/>
          <w:color w:val="auto"/>
          <w:sz w:val="24"/>
          <w:highlight w:val="none"/>
        </w:rPr>
        <w:t xml:space="preserve"> ，从业人员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人，营业收入为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万元，资产总额为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万元，属于</w:t>
      </w:r>
      <w:r>
        <w:rPr>
          <w:rFonts w:hint="eastAsia" w:ascii="仿宋_GB2312" w:hAnsi="仿宋_GB2312" w:eastAsia="仿宋_GB2312" w:cs="仿宋_GB2312"/>
          <w:color w:val="auto"/>
          <w:sz w:val="24"/>
          <w:highlight w:val="none"/>
          <w:u w:val="single"/>
        </w:rPr>
        <w:t xml:space="preserve"> （中型企业、小型企业、微型企业）</w:t>
      </w:r>
      <w:r>
        <w:rPr>
          <w:rFonts w:hint="eastAsia" w:ascii="仿宋_GB2312" w:hAnsi="仿宋_GB2312" w:eastAsia="仿宋_GB2312" w:cs="仿宋_GB2312"/>
          <w:color w:val="auto"/>
          <w:sz w:val="24"/>
          <w:highlight w:val="none"/>
        </w:rPr>
        <w:t xml:space="preserve"> 。</w:t>
      </w:r>
    </w:p>
    <w:p w14:paraId="58A0BFA2">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14:paraId="2168EFE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14:paraId="2F38852D">
      <w:pPr>
        <w:snapToGrid w:val="0"/>
        <w:spacing w:line="360" w:lineRule="auto"/>
        <w:ind w:firstLine="5160" w:firstLineChars="215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14:paraId="48D9AA72">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14:paraId="2D5CF24F">
      <w:pPr>
        <w:spacing w:line="360" w:lineRule="auto"/>
        <w:jc w:val="lef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Cs w:val="21"/>
          <w:highlight w:val="none"/>
        </w:rPr>
        <w:t>从业人员、营业收入、资产总额填报上一年度数据，无上一年度数据的新成立企业可不填报。</w:t>
      </w:r>
    </w:p>
    <w:p w14:paraId="3D3F3A02">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w:t>
      </w:r>
    </w:p>
    <w:p w14:paraId="71094551">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714B89C4">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680" w:right="1417" w:bottom="47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DC1F">
    <w:pPr>
      <w:pStyle w:val="43"/>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F6FB8">
                          <w:pPr>
                            <w:pStyle w:val="4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8F6FB8">
                    <w:pPr>
                      <w:pStyle w:val="4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FD0D">
    <w:pPr>
      <w:pStyle w:val="43"/>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7031E">
                          <w:pPr>
                            <w:pStyle w:val="43"/>
                          </w:pPr>
                          <w:r>
                            <w:t xml:space="preserve">第 </w:t>
                          </w:r>
                          <w:r>
                            <w:fldChar w:fldCharType="begin"/>
                          </w:r>
                          <w:r>
                            <w:instrText xml:space="preserve"> PAGE  \* MERGEFORMAT </w:instrText>
                          </w:r>
                          <w:r>
                            <w:fldChar w:fldCharType="separate"/>
                          </w:r>
                          <w:r>
                            <w:t>148</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0F7031E">
                    <w:pPr>
                      <w:pStyle w:val="43"/>
                    </w:pPr>
                    <w:r>
                      <w:t xml:space="preserve">第 </w:t>
                    </w:r>
                    <w:r>
                      <w:fldChar w:fldCharType="begin"/>
                    </w:r>
                    <w:r>
                      <w:instrText xml:space="preserve"> PAGE  \* MERGEFORMAT </w:instrText>
                    </w:r>
                    <w:r>
                      <w:fldChar w:fldCharType="separate"/>
                    </w:r>
                    <w:r>
                      <w:t>148</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554C35D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6F81C">
    <w:pPr>
      <w:pStyle w:val="43"/>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4CBBB">
                          <w:pPr>
                            <w:pStyle w:val="43"/>
                          </w:pPr>
                          <w:r>
                            <w:t xml:space="preserve">第 </w:t>
                          </w:r>
                          <w:r>
                            <w:fldChar w:fldCharType="begin"/>
                          </w:r>
                          <w:r>
                            <w:instrText xml:space="preserve"> PAGE  \* MERGEFORMAT </w:instrText>
                          </w:r>
                          <w:r>
                            <w:fldChar w:fldCharType="separate"/>
                          </w:r>
                          <w:r>
                            <w:t>164</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A74CBBB">
                    <w:pPr>
                      <w:pStyle w:val="43"/>
                    </w:pPr>
                    <w:r>
                      <w:t xml:space="preserve">第 </w:t>
                    </w:r>
                    <w:r>
                      <w:fldChar w:fldCharType="begin"/>
                    </w:r>
                    <w:r>
                      <w:instrText xml:space="preserve"> PAGE  \* MERGEFORMAT </w:instrText>
                    </w:r>
                    <w:r>
                      <w:fldChar w:fldCharType="separate"/>
                    </w:r>
                    <w:r>
                      <w:t>164</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CD0C">
    <w:pPr>
      <w:pStyle w:val="43"/>
      <w:framePr w:wrap="around" w:vAnchor="text" w:hAnchor="margin" w:xAlign="right" w:y="1"/>
      <w:rPr>
        <w:rStyle w:val="74"/>
      </w:rPr>
    </w:pPr>
    <w:r>
      <w:fldChar w:fldCharType="begin"/>
    </w:r>
    <w:r>
      <w:rPr>
        <w:rStyle w:val="74"/>
      </w:rPr>
      <w:instrText xml:space="preserve">PAGE  </w:instrText>
    </w:r>
    <w:r>
      <w:fldChar w:fldCharType="end"/>
    </w:r>
  </w:p>
  <w:p w14:paraId="7E4947E5">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D78C">
    <w:pPr>
      <w:pStyle w:val="43"/>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C146A">
                          <w:pPr>
                            <w:pStyle w:val="43"/>
                          </w:pPr>
                          <w:r>
                            <w:t xml:space="preserve">第 </w:t>
                          </w:r>
                          <w:r>
                            <w:fldChar w:fldCharType="begin"/>
                          </w:r>
                          <w:r>
                            <w:instrText xml:space="preserve"> PAGE  \* MERGEFORMAT </w:instrText>
                          </w:r>
                          <w:r>
                            <w:fldChar w:fldCharType="separate"/>
                          </w:r>
                          <w:r>
                            <w:t>162</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12C146A">
                    <w:pPr>
                      <w:pStyle w:val="43"/>
                    </w:pPr>
                    <w:r>
                      <w:t xml:space="preserve">第 </w:t>
                    </w:r>
                    <w:r>
                      <w:fldChar w:fldCharType="begin"/>
                    </w:r>
                    <w:r>
                      <w:instrText xml:space="preserve"> PAGE  \* MERGEFORMAT </w:instrText>
                    </w:r>
                    <w:r>
                      <w:fldChar w:fldCharType="separate"/>
                    </w:r>
                    <w:r>
                      <w:t>162</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A715">
    <w:pPr>
      <w:pStyle w:val="43"/>
      <w:framePr w:wrap="around" w:vAnchor="text" w:hAnchor="margin" w:xAlign="right" w:y="1"/>
      <w:rPr>
        <w:rStyle w:val="74"/>
      </w:rPr>
    </w:pPr>
    <w:r>
      <w:fldChar w:fldCharType="begin"/>
    </w:r>
    <w:r>
      <w:rPr>
        <w:rStyle w:val="74"/>
      </w:rPr>
      <w:instrText xml:space="preserve">PAGE  </w:instrText>
    </w:r>
    <w:r>
      <w:fldChar w:fldCharType="end"/>
    </w:r>
  </w:p>
  <w:p w14:paraId="6282B439">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E4BF">
    <w:pPr>
      <w:pStyle w:val="43"/>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50880">
                          <w:pPr>
                            <w:pStyle w:val="4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950880">
                    <w:pPr>
                      <w:pStyle w:val="4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C7C6">
    <w:pPr>
      <w:pStyle w:val="4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85E6B">
                          <w:pPr>
                            <w:pStyle w:val="43"/>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D585E6B">
                    <w:pPr>
                      <w:pStyle w:val="43"/>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57C53E66">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C33E1">
    <w:pPr>
      <w:pStyle w:val="43"/>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9C1D2">
                          <w:pPr>
                            <w:pStyle w:val="43"/>
                          </w:pPr>
                          <w:r>
                            <w:t xml:space="preserve">第 </w:t>
                          </w:r>
                          <w:r>
                            <w:fldChar w:fldCharType="begin"/>
                          </w:r>
                          <w:r>
                            <w:instrText xml:space="preserve"> PAGE  \* MERGEFORMAT </w:instrText>
                          </w:r>
                          <w:r>
                            <w:fldChar w:fldCharType="separate"/>
                          </w:r>
                          <w:r>
                            <w:t>140</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379C1D2">
                    <w:pPr>
                      <w:pStyle w:val="43"/>
                    </w:pPr>
                    <w:r>
                      <w:t xml:space="preserve">第 </w:t>
                    </w:r>
                    <w:r>
                      <w:fldChar w:fldCharType="begin"/>
                    </w:r>
                    <w:r>
                      <w:instrText xml:space="preserve"> PAGE  \* MERGEFORMAT </w:instrText>
                    </w:r>
                    <w:r>
                      <w:fldChar w:fldCharType="separate"/>
                    </w:r>
                    <w:r>
                      <w:t>140</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3708844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C10E">
    <w:pPr>
      <w:pStyle w:val="4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DAC56">
                          <w:pPr>
                            <w:pStyle w:val="43"/>
                          </w:pPr>
                          <w:r>
                            <w:t xml:space="preserve">第 </w:t>
                          </w:r>
                          <w:r>
                            <w:fldChar w:fldCharType="begin"/>
                          </w:r>
                          <w:r>
                            <w:instrText xml:space="preserve"> PAGE  \* MERGEFORMAT </w:instrText>
                          </w:r>
                          <w:r>
                            <w:fldChar w:fldCharType="separate"/>
                          </w:r>
                          <w:r>
                            <w:t>139</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1FDAC56">
                    <w:pPr>
                      <w:pStyle w:val="43"/>
                    </w:pPr>
                    <w:r>
                      <w:t xml:space="preserve">第 </w:t>
                    </w:r>
                    <w:r>
                      <w:fldChar w:fldCharType="begin"/>
                    </w:r>
                    <w:r>
                      <w:instrText xml:space="preserve"> PAGE  \* MERGEFORMAT </w:instrText>
                    </w:r>
                    <w:r>
                      <w:fldChar w:fldCharType="separate"/>
                    </w:r>
                    <w:r>
                      <w:t>139</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694A0D7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189F">
    <w:pPr>
      <w:pStyle w:val="4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33FD">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D6D33FD">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762B263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F5A6">
    <w:pPr>
      <w:pStyle w:val="43"/>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09D26">
                          <w:pPr>
                            <w:pStyle w:val="43"/>
                          </w:pPr>
                          <w:r>
                            <w:t xml:space="preserve">第 </w:t>
                          </w:r>
                          <w:r>
                            <w:fldChar w:fldCharType="begin"/>
                          </w:r>
                          <w:r>
                            <w:instrText xml:space="preserve"> PAGE  \* MERGEFORMAT </w:instrText>
                          </w:r>
                          <w:r>
                            <w:fldChar w:fldCharType="separate"/>
                          </w:r>
                          <w:r>
                            <w:t>143</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F309D26">
                    <w:pPr>
                      <w:pStyle w:val="43"/>
                    </w:pPr>
                    <w:r>
                      <w:t xml:space="preserve">第 </w:t>
                    </w:r>
                    <w:r>
                      <w:fldChar w:fldCharType="begin"/>
                    </w:r>
                    <w:r>
                      <w:instrText xml:space="preserve"> PAGE  \* MERGEFORMAT </w:instrText>
                    </w:r>
                    <w:r>
                      <w:fldChar w:fldCharType="separate"/>
                    </w:r>
                    <w:r>
                      <w:t>143</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61F3307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8E9D">
    <w:pPr>
      <w:pStyle w:val="43"/>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0999D">
                          <w:pPr>
                            <w:pStyle w:val="43"/>
                          </w:pPr>
                          <w:r>
                            <w:t xml:space="preserve">第 </w:t>
                          </w:r>
                          <w:r>
                            <w:fldChar w:fldCharType="begin"/>
                          </w:r>
                          <w:r>
                            <w:instrText xml:space="preserve"> PAGE  \* MERGEFORMAT </w:instrText>
                          </w:r>
                          <w:r>
                            <w:fldChar w:fldCharType="separate"/>
                          </w:r>
                          <w:r>
                            <w:t>149</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430999D">
                    <w:pPr>
                      <w:pStyle w:val="43"/>
                    </w:pPr>
                    <w:r>
                      <w:t xml:space="preserve">第 </w:t>
                    </w:r>
                    <w:r>
                      <w:fldChar w:fldCharType="begin"/>
                    </w:r>
                    <w:r>
                      <w:instrText xml:space="preserve"> PAGE  \* MERGEFORMAT </w:instrText>
                    </w:r>
                    <w:r>
                      <w:fldChar w:fldCharType="separate"/>
                    </w:r>
                    <w:r>
                      <w:t>149</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74CD145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B988">
    <w:pPr>
      <w:pStyle w:val="45"/>
      <w:pBdr>
        <w:bottom w:val="single" w:color="auto" w:sz="4" w:space="0"/>
      </w:pBdr>
      <w:tabs>
        <w:tab w:val="center" w:pos="4535"/>
        <w:tab w:val="right" w:pos="9070"/>
        <w:tab w:val="clear" w:pos="4153"/>
        <w:tab w:val="clear" w:pos="8306"/>
      </w:tabs>
      <w:jc w:val="right"/>
    </w:pPr>
    <w:r>
      <w:rPr>
        <w:rFonts w:hint="eastAsia"/>
      </w:rPr>
      <w:t>杭州市钱塘区政府采购公开招标文件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ACB8">
    <w:pPr>
      <w:pStyle w:val="45"/>
      <w:jc w:val="right"/>
    </w:pP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C35E">
    <w:pPr>
      <w:pStyle w:val="45"/>
      <w:pBdr>
        <w:bottom w:val="single" w:color="auto" w:sz="4" w:space="0"/>
      </w:pBdr>
      <w:tabs>
        <w:tab w:val="center" w:pos="4535"/>
        <w:tab w:val="right" w:pos="9070"/>
        <w:tab w:val="clear" w:pos="4153"/>
        <w:tab w:val="clear" w:pos="8306"/>
      </w:tabs>
      <w:jc w:val="right"/>
    </w:pP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039EC">
    <w:pPr>
      <w:pStyle w:val="45"/>
      <w:jc w:val="right"/>
      <w:rPr>
        <w:rFonts w:ascii="仿宋_GB2312" w:eastAsia="仿宋_GB2312"/>
        <w:b/>
        <w:i/>
        <w:u w:val="single"/>
      </w:rPr>
    </w:pPr>
    <w:r>
      <w:t>杭州市</w:t>
    </w:r>
    <w:r>
      <w:rPr>
        <w:rFonts w:hint="eastAsia"/>
      </w:rPr>
      <w:t>钱塘区</w:t>
    </w:r>
    <w:r>
      <w:t>政府采购公开招标文件</w:t>
    </w:r>
  </w:p>
  <w:p w14:paraId="7D42348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99227">
    <w:pPr>
      <w:pStyle w:val="45"/>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E230">
    <w:pPr>
      <w:pStyle w:val="45"/>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291AA0E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D515">
    <w:pPr>
      <w:pStyle w:val="45"/>
      <w:jc w:val="right"/>
    </w:pP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C470">
    <w:pPr>
      <w:pStyle w:val="45"/>
      <w:jc w:val="right"/>
      <w:rPr>
        <w:rFonts w:ascii="仿宋_GB2312" w:eastAsia="仿宋_GB2312"/>
        <w:b/>
        <w:i/>
        <w:u w:val="single"/>
      </w:rPr>
    </w:pPr>
    <w:r>
      <w:rPr>
        <w:rFonts w:hint="eastAsia"/>
      </w:rPr>
      <w:t xml:space="preserve">                                  </w:t>
    </w:r>
    <w:r>
      <w:t>杭州市政府采购公开招标文件</w:t>
    </w:r>
  </w:p>
  <w:p w14:paraId="1CE4BA0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A07D">
    <w:pPr>
      <w:pStyle w:val="45"/>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3158">
    <w:pPr>
      <w:pStyle w:val="45"/>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F58BF"/>
    <w:multiLevelType w:val="singleLevel"/>
    <w:tmpl w:val="F4CF58BF"/>
    <w:lvl w:ilvl="0" w:tentative="0">
      <w:start w:val="5"/>
      <w:numFmt w:val="chineseCounting"/>
      <w:suff w:val="nothing"/>
      <w:lvlText w:val="%1、"/>
      <w:lvlJc w:val="left"/>
      <w:rPr>
        <w:rFonts w:hint="eastAsia"/>
      </w:rPr>
    </w:lvl>
  </w:abstractNum>
  <w:abstractNum w:abstractNumId="1">
    <w:nsid w:val="FA902FF2"/>
    <w:multiLevelType w:val="singleLevel"/>
    <w:tmpl w:val="FA902FF2"/>
    <w:lvl w:ilvl="0" w:tentative="0">
      <w:start w:val="3"/>
      <w:numFmt w:val="chineseCounting"/>
      <w:suff w:val="space"/>
      <w:lvlText w:val="第%1部分"/>
      <w:lvlJc w:val="left"/>
      <w:rPr>
        <w:rFonts w:hint="eastAsia"/>
      </w:rPr>
    </w:lvl>
  </w:abstractNum>
  <w:abstractNum w:abstractNumId="2">
    <w:nsid w:val="FFA78A96"/>
    <w:multiLevelType w:val="singleLevel"/>
    <w:tmpl w:val="FFA78A96"/>
    <w:lvl w:ilvl="0" w:tentative="0">
      <w:start w:val="8"/>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NWM4ZTRkMzMxZWMzM2IxMDc5NzU0Njk3ODNlNzAifQ=="/>
    <w:docVar w:name="KSO_WPS_MARK_KEY" w:val="f30106f2-61b2-4e99-868b-30df8d6d373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6A91"/>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4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D2D"/>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883"/>
    <w:rsid w:val="00092FE9"/>
    <w:rsid w:val="000936BF"/>
    <w:rsid w:val="0009382F"/>
    <w:rsid w:val="00093A30"/>
    <w:rsid w:val="00094342"/>
    <w:rsid w:val="000945BA"/>
    <w:rsid w:val="00095954"/>
    <w:rsid w:val="000960BA"/>
    <w:rsid w:val="0009662A"/>
    <w:rsid w:val="0009690D"/>
    <w:rsid w:val="00096DFF"/>
    <w:rsid w:val="000A0729"/>
    <w:rsid w:val="000A0E69"/>
    <w:rsid w:val="000A0EB5"/>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242"/>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6E1"/>
    <w:rsid w:val="00131C2D"/>
    <w:rsid w:val="0013202C"/>
    <w:rsid w:val="00132704"/>
    <w:rsid w:val="00132CBF"/>
    <w:rsid w:val="00133707"/>
    <w:rsid w:val="00133742"/>
    <w:rsid w:val="00133B70"/>
    <w:rsid w:val="00133E97"/>
    <w:rsid w:val="00134B4F"/>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DC4"/>
    <w:rsid w:val="00147032"/>
    <w:rsid w:val="00147EA7"/>
    <w:rsid w:val="00151820"/>
    <w:rsid w:val="00151B2F"/>
    <w:rsid w:val="001524DC"/>
    <w:rsid w:val="001525E5"/>
    <w:rsid w:val="00153859"/>
    <w:rsid w:val="00153915"/>
    <w:rsid w:val="001539F0"/>
    <w:rsid w:val="00153B99"/>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833"/>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989"/>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8A4"/>
    <w:rsid w:val="00217E1F"/>
    <w:rsid w:val="002204BC"/>
    <w:rsid w:val="00220F7B"/>
    <w:rsid w:val="002213CE"/>
    <w:rsid w:val="00221AF7"/>
    <w:rsid w:val="00222130"/>
    <w:rsid w:val="00222494"/>
    <w:rsid w:val="00222775"/>
    <w:rsid w:val="00222A31"/>
    <w:rsid w:val="00222CF6"/>
    <w:rsid w:val="00224037"/>
    <w:rsid w:val="002244E4"/>
    <w:rsid w:val="00224D2A"/>
    <w:rsid w:val="00224D8D"/>
    <w:rsid w:val="0022555A"/>
    <w:rsid w:val="00225AFE"/>
    <w:rsid w:val="00227214"/>
    <w:rsid w:val="00227A8C"/>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22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B1F"/>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04"/>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DC9"/>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F1D"/>
    <w:rsid w:val="00355D75"/>
    <w:rsid w:val="00355D8F"/>
    <w:rsid w:val="00356A73"/>
    <w:rsid w:val="00356FF0"/>
    <w:rsid w:val="0035723C"/>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1D9"/>
    <w:rsid w:val="003879CE"/>
    <w:rsid w:val="00387B88"/>
    <w:rsid w:val="00390B8F"/>
    <w:rsid w:val="00390C0D"/>
    <w:rsid w:val="00391447"/>
    <w:rsid w:val="003919D9"/>
    <w:rsid w:val="00391BDD"/>
    <w:rsid w:val="003922DE"/>
    <w:rsid w:val="00392E35"/>
    <w:rsid w:val="00393151"/>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2C8"/>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CAC"/>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B32"/>
    <w:rsid w:val="0048055E"/>
    <w:rsid w:val="00480A77"/>
    <w:rsid w:val="00480C2B"/>
    <w:rsid w:val="00480DC5"/>
    <w:rsid w:val="00480FD9"/>
    <w:rsid w:val="0048131D"/>
    <w:rsid w:val="00481D0B"/>
    <w:rsid w:val="004824A9"/>
    <w:rsid w:val="00483091"/>
    <w:rsid w:val="00483140"/>
    <w:rsid w:val="00483984"/>
    <w:rsid w:val="00483BC7"/>
    <w:rsid w:val="00483CF0"/>
    <w:rsid w:val="00484D4D"/>
    <w:rsid w:val="0048611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23C"/>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DCC"/>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45E"/>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444"/>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02"/>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D3B"/>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A7"/>
    <w:rsid w:val="0063782F"/>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FF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B7E"/>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5F"/>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926"/>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4EC"/>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C"/>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445"/>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25B"/>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C01"/>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6D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750"/>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9A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72A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A59"/>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E4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95"/>
    <w:rsid w:val="00A920B2"/>
    <w:rsid w:val="00A92578"/>
    <w:rsid w:val="00A928D8"/>
    <w:rsid w:val="00A92A96"/>
    <w:rsid w:val="00A92AF0"/>
    <w:rsid w:val="00A933FE"/>
    <w:rsid w:val="00A937D5"/>
    <w:rsid w:val="00A93C70"/>
    <w:rsid w:val="00A94A32"/>
    <w:rsid w:val="00A94AFC"/>
    <w:rsid w:val="00A94BF5"/>
    <w:rsid w:val="00A9686A"/>
    <w:rsid w:val="00A96B4A"/>
    <w:rsid w:val="00A97BDA"/>
    <w:rsid w:val="00AA0247"/>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5EBB"/>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440"/>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A12"/>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D81"/>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2F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444"/>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652"/>
    <w:rsid w:val="00BF2021"/>
    <w:rsid w:val="00BF21D4"/>
    <w:rsid w:val="00BF2DDC"/>
    <w:rsid w:val="00BF32DE"/>
    <w:rsid w:val="00BF3F22"/>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137"/>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5F70"/>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DF6"/>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21"/>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57F"/>
    <w:rsid w:val="00CA3CAB"/>
    <w:rsid w:val="00CA3FC0"/>
    <w:rsid w:val="00CA5685"/>
    <w:rsid w:val="00CA664F"/>
    <w:rsid w:val="00CA6A2E"/>
    <w:rsid w:val="00CA6B56"/>
    <w:rsid w:val="00CA77B3"/>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2AE"/>
    <w:rsid w:val="00CE7A09"/>
    <w:rsid w:val="00CF029C"/>
    <w:rsid w:val="00CF0AF0"/>
    <w:rsid w:val="00CF157E"/>
    <w:rsid w:val="00CF1631"/>
    <w:rsid w:val="00CF1834"/>
    <w:rsid w:val="00CF1AAA"/>
    <w:rsid w:val="00CF1EC2"/>
    <w:rsid w:val="00CF2ACF"/>
    <w:rsid w:val="00CF345B"/>
    <w:rsid w:val="00CF475F"/>
    <w:rsid w:val="00CF5008"/>
    <w:rsid w:val="00CF5069"/>
    <w:rsid w:val="00CF5E34"/>
    <w:rsid w:val="00CF6390"/>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AD9"/>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1B"/>
    <w:rsid w:val="00D3046D"/>
    <w:rsid w:val="00D30497"/>
    <w:rsid w:val="00D30C4D"/>
    <w:rsid w:val="00D30F5F"/>
    <w:rsid w:val="00D31243"/>
    <w:rsid w:val="00D316D9"/>
    <w:rsid w:val="00D31B07"/>
    <w:rsid w:val="00D31B9D"/>
    <w:rsid w:val="00D3272E"/>
    <w:rsid w:val="00D32FA0"/>
    <w:rsid w:val="00D33112"/>
    <w:rsid w:val="00D331CB"/>
    <w:rsid w:val="00D34757"/>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DA0"/>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819"/>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FEA"/>
    <w:rsid w:val="00EC1E8A"/>
    <w:rsid w:val="00EC328C"/>
    <w:rsid w:val="00EC32F5"/>
    <w:rsid w:val="00EC3756"/>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959"/>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B3A"/>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4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6B"/>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66D"/>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2F5745D"/>
    <w:rsid w:val="0326446A"/>
    <w:rsid w:val="032D5555"/>
    <w:rsid w:val="036634D2"/>
    <w:rsid w:val="03675D1E"/>
    <w:rsid w:val="0388408C"/>
    <w:rsid w:val="03C54999"/>
    <w:rsid w:val="03DD35E4"/>
    <w:rsid w:val="03F1763A"/>
    <w:rsid w:val="04063CD1"/>
    <w:rsid w:val="04076900"/>
    <w:rsid w:val="040A684F"/>
    <w:rsid w:val="041A5A3B"/>
    <w:rsid w:val="042311BA"/>
    <w:rsid w:val="042B157A"/>
    <w:rsid w:val="04413F7B"/>
    <w:rsid w:val="04427FFC"/>
    <w:rsid w:val="048F763B"/>
    <w:rsid w:val="049F330E"/>
    <w:rsid w:val="04AA775C"/>
    <w:rsid w:val="04AD1AC5"/>
    <w:rsid w:val="04AF1889"/>
    <w:rsid w:val="04D75109"/>
    <w:rsid w:val="04F66F48"/>
    <w:rsid w:val="05251E14"/>
    <w:rsid w:val="05A16594"/>
    <w:rsid w:val="05A7762D"/>
    <w:rsid w:val="05B178CA"/>
    <w:rsid w:val="05DA64B7"/>
    <w:rsid w:val="05DE0936"/>
    <w:rsid w:val="06044CE4"/>
    <w:rsid w:val="060A7EE6"/>
    <w:rsid w:val="060E5941"/>
    <w:rsid w:val="06110FAF"/>
    <w:rsid w:val="06202DF6"/>
    <w:rsid w:val="063959DB"/>
    <w:rsid w:val="06493CA7"/>
    <w:rsid w:val="065A6178"/>
    <w:rsid w:val="066F1CF3"/>
    <w:rsid w:val="067D66D7"/>
    <w:rsid w:val="06930BB8"/>
    <w:rsid w:val="06956B27"/>
    <w:rsid w:val="069D7E4F"/>
    <w:rsid w:val="071A573D"/>
    <w:rsid w:val="07245D42"/>
    <w:rsid w:val="07264C62"/>
    <w:rsid w:val="0779354C"/>
    <w:rsid w:val="07824EEC"/>
    <w:rsid w:val="07A934AA"/>
    <w:rsid w:val="07EC1752"/>
    <w:rsid w:val="07F044D6"/>
    <w:rsid w:val="08061376"/>
    <w:rsid w:val="08163A15"/>
    <w:rsid w:val="081C4DA3"/>
    <w:rsid w:val="0834033F"/>
    <w:rsid w:val="08452D77"/>
    <w:rsid w:val="086401F8"/>
    <w:rsid w:val="08751CAA"/>
    <w:rsid w:val="08761222"/>
    <w:rsid w:val="087E49FE"/>
    <w:rsid w:val="087E4C40"/>
    <w:rsid w:val="088779CE"/>
    <w:rsid w:val="08904099"/>
    <w:rsid w:val="08D42173"/>
    <w:rsid w:val="08D66AD6"/>
    <w:rsid w:val="08DA33A3"/>
    <w:rsid w:val="08E80F13"/>
    <w:rsid w:val="091C32AD"/>
    <w:rsid w:val="09267C87"/>
    <w:rsid w:val="09335624"/>
    <w:rsid w:val="0944690F"/>
    <w:rsid w:val="09535675"/>
    <w:rsid w:val="095900C1"/>
    <w:rsid w:val="095F057D"/>
    <w:rsid w:val="09642282"/>
    <w:rsid w:val="09733572"/>
    <w:rsid w:val="09772C16"/>
    <w:rsid w:val="098353B5"/>
    <w:rsid w:val="099755EF"/>
    <w:rsid w:val="09A83CB3"/>
    <w:rsid w:val="09A92330"/>
    <w:rsid w:val="09AF4121"/>
    <w:rsid w:val="09B06B87"/>
    <w:rsid w:val="09C13146"/>
    <w:rsid w:val="09E04166"/>
    <w:rsid w:val="0A05236F"/>
    <w:rsid w:val="0A1C0718"/>
    <w:rsid w:val="0A312D88"/>
    <w:rsid w:val="0A3E7710"/>
    <w:rsid w:val="0A5B7E63"/>
    <w:rsid w:val="0A6F4439"/>
    <w:rsid w:val="0A920ABD"/>
    <w:rsid w:val="0AA374A5"/>
    <w:rsid w:val="0AAB7649"/>
    <w:rsid w:val="0AB54091"/>
    <w:rsid w:val="0ABC5606"/>
    <w:rsid w:val="0B091A99"/>
    <w:rsid w:val="0B30404E"/>
    <w:rsid w:val="0B3303A8"/>
    <w:rsid w:val="0B4C6C14"/>
    <w:rsid w:val="0B631A88"/>
    <w:rsid w:val="0B683D45"/>
    <w:rsid w:val="0B6B4275"/>
    <w:rsid w:val="0B7F3F11"/>
    <w:rsid w:val="0B884417"/>
    <w:rsid w:val="0BA10CBE"/>
    <w:rsid w:val="0BF6188C"/>
    <w:rsid w:val="0BF73C91"/>
    <w:rsid w:val="0BFD02C5"/>
    <w:rsid w:val="0C126BE9"/>
    <w:rsid w:val="0C170175"/>
    <w:rsid w:val="0C3D1EB8"/>
    <w:rsid w:val="0C571A41"/>
    <w:rsid w:val="0C5C1171"/>
    <w:rsid w:val="0C5E1CBC"/>
    <w:rsid w:val="0C615B50"/>
    <w:rsid w:val="0C71390F"/>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51880"/>
    <w:rsid w:val="0D9F6096"/>
    <w:rsid w:val="0DA01C73"/>
    <w:rsid w:val="0DA41AC3"/>
    <w:rsid w:val="0DA771E8"/>
    <w:rsid w:val="0DD63300"/>
    <w:rsid w:val="0DDB4E5C"/>
    <w:rsid w:val="0DE66707"/>
    <w:rsid w:val="0DF50604"/>
    <w:rsid w:val="0DF702FE"/>
    <w:rsid w:val="0DFF67E0"/>
    <w:rsid w:val="0E060E51"/>
    <w:rsid w:val="0E212956"/>
    <w:rsid w:val="0E356BBF"/>
    <w:rsid w:val="0E5439CC"/>
    <w:rsid w:val="0E5604B2"/>
    <w:rsid w:val="0E6D5D79"/>
    <w:rsid w:val="0E9D0089"/>
    <w:rsid w:val="0EB803EE"/>
    <w:rsid w:val="0ED4462A"/>
    <w:rsid w:val="0EF94D4B"/>
    <w:rsid w:val="0F066FC7"/>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1A6499"/>
    <w:rsid w:val="10646583"/>
    <w:rsid w:val="107D4B15"/>
    <w:rsid w:val="108A3C80"/>
    <w:rsid w:val="10A049F6"/>
    <w:rsid w:val="10C26171"/>
    <w:rsid w:val="10E70035"/>
    <w:rsid w:val="10F20D97"/>
    <w:rsid w:val="10F33360"/>
    <w:rsid w:val="10F514E5"/>
    <w:rsid w:val="10FC16EA"/>
    <w:rsid w:val="110F1D40"/>
    <w:rsid w:val="11266F33"/>
    <w:rsid w:val="1162023A"/>
    <w:rsid w:val="118963A1"/>
    <w:rsid w:val="11A625E0"/>
    <w:rsid w:val="11BF336F"/>
    <w:rsid w:val="11C6522A"/>
    <w:rsid w:val="11CE75AD"/>
    <w:rsid w:val="11E104CC"/>
    <w:rsid w:val="11E20309"/>
    <w:rsid w:val="11E807A4"/>
    <w:rsid w:val="11EE5A02"/>
    <w:rsid w:val="11EF1C54"/>
    <w:rsid w:val="121C72DF"/>
    <w:rsid w:val="12224473"/>
    <w:rsid w:val="12255233"/>
    <w:rsid w:val="12337A0B"/>
    <w:rsid w:val="12530213"/>
    <w:rsid w:val="125D4C68"/>
    <w:rsid w:val="127723A9"/>
    <w:rsid w:val="12862074"/>
    <w:rsid w:val="12883966"/>
    <w:rsid w:val="129E45B4"/>
    <w:rsid w:val="12AF7335"/>
    <w:rsid w:val="12D81596"/>
    <w:rsid w:val="12EA383B"/>
    <w:rsid w:val="12F42A2A"/>
    <w:rsid w:val="13072A44"/>
    <w:rsid w:val="132D08D6"/>
    <w:rsid w:val="13397BCE"/>
    <w:rsid w:val="134D130F"/>
    <w:rsid w:val="13540CE3"/>
    <w:rsid w:val="135F4BE2"/>
    <w:rsid w:val="138228A6"/>
    <w:rsid w:val="139B1A0A"/>
    <w:rsid w:val="139D25C7"/>
    <w:rsid w:val="13BF3CE4"/>
    <w:rsid w:val="13C133CE"/>
    <w:rsid w:val="13C7396B"/>
    <w:rsid w:val="14092897"/>
    <w:rsid w:val="141008D8"/>
    <w:rsid w:val="14125FE6"/>
    <w:rsid w:val="142D2812"/>
    <w:rsid w:val="143F2362"/>
    <w:rsid w:val="14464107"/>
    <w:rsid w:val="145F7307"/>
    <w:rsid w:val="14678B2C"/>
    <w:rsid w:val="146D271E"/>
    <w:rsid w:val="14982588"/>
    <w:rsid w:val="149A5AD9"/>
    <w:rsid w:val="149D3F83"/>
    <w:rsid w:val="14A7619D"/>
    <w:rsid w:val="150536C3"/>
    <w:rsid w:val="150C1963"/>
    <w:rsid w:val="151447A0"/>
    <w:rsid w:val="154A6454"/>
    <w:rsid w:val="156E2530"/>
    <w:rsid w:val="15762120"/>
    <w:rsid w:val="15792B18"/>
    <w:rsid w:val="15B44660"/>
    <w:rsid w:val="15CA5987"/>
    <w:rsid w:val="15E5047A"/>
    <w:rsid w:val="169C5A2D"/>
    <w:rsid w:val="16A8729C"/>
    <w:rsid w:val="16AC07E4"/>
    <w:rsid w:val="16B33777"/>
    <w:rsid w:val="16BC70A7"/>
    <w:rsid w:val="16C6339E"/>
    <w:rsid w:val="170D2487"/>
    <w:rsid w:val="171741F5"/>
    <w:rsid w:val="172A128B"/>
    <w:rsid w:val="172F2D79"/>
    <w:rsid w:val="17520859"/>
    <w:rsid w:val="17557BEF"/>
    <w:rsid w:val="176201D3"/>
    <w:rsid w:val="17C4177A"/>
    <w:rsid w:val="17CC38C7"/>
    <w:rsid w:val="17D349C1"/>
    <w:rsid w:val="17DC0A81"/>
    <w:rsid w:val="1804388A"/>
    <w:rsid w:val="18051DF4"/>
    <w:rsid w:val="1830729E"/>
    <w:rsid w:val="1870062C"/>
    <w:rsid w:val="18817102"/>
    <w:rsid w:val="18830A15"/>
    <w:rsid w:val="18852B28"/>
    <w:rsid w:val="188B5321"/>
    <w:rsid w:val="18AD2173"/>
    <w:rsid w:val="18BE5116"/>
    <w:rsid w:val="18F356AC"/>
    <w:rsid w:val="1906512C"/>
    <w:rsid w:val="19280074"/>
    <w:rsid w:val="192A4429"/>
    <w:rsid w:val="198A4263"/>
    <w:rsid w:val="19932372"/>
    <w:rsid w:val="19A20DD5"/>
    <w:rsid w:val="19AE03F1"/>
    <w:rsid w:val="1A071A03"/>
    <w:rsid w:val="1A082862"/>
    <w:rsid w:val="1A1F16AE"/>
    <w:rsid w:val="1A336AFA"/>
    <w:rsid w:val="1A362486"/>
    <w:rsid w:val="1A3B5C77"/>
    <w:rsid w:val="1A442B13"/>
    <w:rsid w:val="1A572366"/>
    <w:rsid w:val="1A984BAD"/>
    <w:rsid w:val="1AA7450E"/>
    <w:rsid w:val="1AAC1FB7"/>
    <w:rsid w:val="1AB8220E"/>
    <w:rsid w:val="1ADC6D40"/>
    <w:rsid w:val="1AE4166C"/>
    <w:rsid w:val="1AEB5268"/>
    <w:rsid w:val="1AF06CFB"/>
    <w:rsid w:val="1AF11B8D"/>
    <w:rsid w:val="1B010554"/>
    <w:rsid w:val="1B11359C"/>
    <w:rsid w:val="1B2A271F"/>
    <w:rsid w:val="1B530544"/>
    <w:rsid w:val="1B5777A0"/>
    <w:rsid w:val="1B713184"/>
    <w:rsid w:val="1B894423"/>
    <w:rsid w:val="1B9E2247"/>
    <w:rsid w:val="1BA209CF"/>
    <w:rsid w:val="1BB4777D"/>
    <w:rsid w:val="1BCA0E71"/>
    <w:rsid w:val="1BD75AB8"/>
    <w:rsid w:val="1BFD50DB"/>
    <w:rsid w:val="1C0459C2"/>
    <w:rsid w:val="1C1B3B4A"/>
    <w:rsid w:val="1C371E9C"/>
    <w:rsid w:val="1C88086E"/>
    <w:rsid w:val="1C92024C"/>
    <w:rsid w:val="1C9378D2"/>
    <w:rsid w:val="1C957EED"/>
    <w:rsid w:val="1CBA27B2"/>
    <w:rsid w:val="1CE248DF"/>
    <w:rsid w:val="1CEA54DA"/>
    <w:rsid w:val="1CED03D7"/>
    <w:rsid w:val="1CF249C4"/>
    <w:rsid w:val="1D012A8E"/>
    <w:rsid w:val="1D210A3A"/>
    <w:rsid w:val="1D266CE1"/>
    <w:rsid w:val="1D3306AD"/>
    <w:rsid w:val="1D3963AF"/>
    <w:rsid w:val="1D4E37F9"/>
    <w:rsid w:val="1D630730"/>
    <w:rsid w:val="1D6A673C"/>
    <w:rsid w:val="1D9247AE"/>
    <w:rsid w:val="1DAF2E9A"/>
    <w:rsid w:val="1DB567EC"/>
    <w:rsid w:val="1DBF0EC2"/>
    <w:rsid w:val="1DC25820"/>
    <w:rsid w:val="1DDD2DD2"/>
    <w:rsid w:val="1DF51A98"/>
    <w:rsid w:val="1DF72335"/>
    <w:rsid w:val="1DF789D5"/>
    <w:rsid w:val="1E07311D"/>
    <w:rsid w:val="1E08301D"/>
    <w:rsid w:val="1E2623DD"/>
    <w:rsid w:val="1E3D060F"/>
    <w:rsid w:val="1E3F7D2E"/>
    <w:rsid w:val="1E4134E4"/>
    <w:rsid w:val="1E477469"/>
    <w:rsid w:val="1E5062B3"/>
    <w:rsid w:val="1E523514"/>
    <w:rsid w:val="1E714A66"/>
    <w:rsid w:val="1E802593"/>
    <w:rsid w:val="1EA703CC"/>
    <w:rsid w:val="1EB7330C"/>
    <w:rsid w:val="1EBA1146"/>
    <w:rsid w:val="1EDE34E2"/>
    <w:rsid w:val="1EDF5D4B"/>
    <w:rsid w:val="1F0A0FF3"/>
    <w:rsid w:val="1F5771FF"/>
    <w:rsid w:val="1F7867A5"/>
    <w:rsid w:val="1F8854DA"/>
    <w:rsid w:val="1FBE20C7"/>
    <w:rsid w:val="1FE868A9"/>
    <w:rsid w:val="1FFF55F6"/>
    <w:rsid w:val="20034907"/>
    <w:rsid w:val="2006735B"/>
    <w:rsid w:val="200F3851"/>
    <w:rsid w:val="20173E4B"/>
    <w:rsid w:val="20360CA0"/>
    <w:rsid w:val="204E48BC"/>
    <w:rsid w:val="208921B3"/>
    <w:rsid w:val="20973DEB"/>
    <w:rsid w:val="20B120D5"/>
    <w:rsid w:val="20B26522"/>
    <w:rsid w:val="20B31FCF"/>
    <w:rsid w:val="20B44310"/>
    <w:rsid w:val="20BB6D5F"/>
    <w:rsid w:val="20DC2763"/>
    <w:rsid w:val="20FD2B4B"/>
    <w:rsid w:val="211116EB"/>
    <w:rsid w:val="2136082C"/>
    <w:rsid w:val="21366A1B"/>
    <w:rsid w:val="214E67BA"/>
    <w:rsid w:val="216133FC"/>
    <w:rsid w:val="21A659B2"/>
    <w:rsid w:val="21A858DA"/>
    <w:rsid w:val="21D56769"/>
    <w:rsid w:val="21E52EF3"/>
    <w:rsid w:val="21FB5D7B"/>
    <w:rsid w:val="220B1C3D"/>
    <w:rsid w:val="221D1D20"/>
    <w:rsid w:val="22226F55"/>
    <w:rsid w:val="22334A87"/>
    <w:rsid w:val="22864D9F"/>
    <w:rsid w:val="22BE6801"/>
    <w:rsid w:val="230706D2"/>
    <w:rsid w:val="232E3EB1"/>
    <w:rsid w:val="233500BF"/>
    <w:rsid w:val="23377FF7"/>
    <w:rsid w:val="236B425F"/>
    <w:rsid w:val="23836192"/>
    <w:rsid w:val="23901F29"/>
    <w:rsid w:val="23932309"/>
    <w:rsid w:val="239857CE"/>
    <w:rsid w:val="239C0061"/>
    <w:rsid w:val="23A509F4"/>
    <w:rsid w:val="23B908A4"/>
    <w:rsid w:val="23D235D7"/>
    <w:rsid w:val="23E95BEF"/>
    <w:rsid w:val="23F93652"/>
    <w:rsid w:val="23FD0064"/>
    <w:rsid w:val="241F664E"/>
    <w:rsid w:val="24240656"/>
    <w:rsid w:val="245375B0"/>
    <w:rsid w:val="245931AF"/>
    <w:rsid w:val="24642C0A"/>
    <w:rsid w:val="248A5721"/>
    <w:rsid w:val="24B22173"/>
    <w:rsid w:val="24B95AD9"/>
    <w:rsid w:val="24BE24DA"/>
    <w:rsid w:val="24CF5825"/>
    <w:rsid w:val="24D663E6"/>
    <w:rsid w:val="24D77F2B"/>
    <w:rsid w:val="24D804D4"/>
    <w:rsid w:val="252C3644"/>
    <w:rsid w:val="25382E18"/>
    <w:rsid w:val="258B00E2"/>
    <w:rsid w:val="25A917A6"/>
    <w:rsid w:val="25AC5196"/>
    <w:rsid w:val="25B920CA"/>
    <w:rsid w:val="25BE27CC"/>
    <w:rsid w:val="25F74A5C"/>
    <w:rsid w:val="2628662C"/>
    <w:rsid w:val="262D45DE"/>
    <w:rsid w:val="26652135"/>
    <w:rsid w:val="26865DB2"/>
    <w:rsid w:val="2688672A"/>
    <w:rsid w:val="26A53EF9"/>
    <w:rsid w:val="26A94201"/>
    <w:rsid w:val="26A9791D"/>
    <w:rsid w:val="26AC274F"/>
    <w:rsid w:val="26BC3644"/>
    <w:rsid w:val="26C1503C"/>
    <w:rsid w:val="26C412B6"/>
    <w:rsid w:val="26ED5133"/>
    <w:rsid w:val="26F357DC"/>
    <w:rsid w:val="27044A29"/>
    <w:rsid w:val="271D34C8"/>
    <w:rsid w:val="273E043A"/>
    <w:rsid w:val="276142BF"/>
    <w:rsid w:val="27783712"/>
    <w:rsid w:val="27907362"/>
    <w:rsid w:val="28333E1D"/>
    <w:rsid w:val="28454BD6"/>
    <w:rsid w:val="28455253"/>
    <w:rsid w:val="284B3BC6"/>
    <w:rsid w:val="28551971"/>
    <w:rsid w:val="285B1C53"/>
    <w:rsid w:val="28730988"/>
    <w:rsid w:val="28834C9E"/>
    <w:rsid w:val="289F7086"/>
    <w:rsid w:val="28C25188"/>
    <w:rsid w:val="28C32028"/>
    <w:rsid w:val="28CC490F"/>
    <w:rsid w:val="28DE40AA"/>
    <w:rsid w:val="29345E77"/>
    <w:rsid w:val="293715E5"/>
    <w:rsid w:val="294C65AD"/>
    <w:rsid w:val="2963612E"/>
    <w:rsid w:val="29806583"/>
    <w:rsid w:val="29881E2F"/>
    <w:rsid w:val="298B3C4C"/>
    <w:rsid w:val="29B873C6"/>
    <w:rsid w:val="29F00112"/>
    <w:rsid w:val="29F26D24"/>
    <w:rsid w:val="29F427D4"/>
    <w:rsid w:val="2A15033F"/>
    <w:rsid w:val="2A1662C1"/>
    <w:rsid w:val="2A1C7367"/>
    <w:rsid w:val="2A2815FA"/>
    <w:rsid w:val="2A47391C"/>
    <w:rsid w:val="2A5B0AFA"/>
    <w:rsid w:val="2A6D6092"/>
    <w:rsid w:val="2A7D76B4"/>
    <w:rsid w:val="2A866380"/>
    <w:rsid w:val="2A930A9D"/>
    <w:rsid w:val="2A9B2458"/>
    <w:rsid w:val="2AB96756"/>
    <w:rsid w:val="2AD417DA"/>
    <w:rsid w:val="2B2B6F28"/>
    <w:rsid w:val="2B3773EC"/>
    <w:rsid w:val="2B437463"/>
    <w:rsid w:val="2B533CC4"/>
    <w:rsid w:val="2B5621F6"/>
    <w:rsid w:val="2B60427F"/>
    <w:rsid w:val="2B67536E"/>
    <w:rsid w:val="2B7807EE"/>
    <w:rsid w:val="2B7E48FF"/>
    <w:rsid w:val="2B7EC3AD"/>
    <w:rsid w:val="2B8423ED"/>
    <w:rsid w:val="2B8723B0"/>
    <w:rsid w:val="2B88437A"/>
    <w:rsid w:val="2BBF00EC"/>
    <w:rsid w:val="2BC37CFD"/>
    <w:rsid w:val="2BD5237F"/>
    <w:rsid w:val="2BE536CE"/>
    <w:rsid w:val="2BE758D9"/>
    <w:rsid w:val="2BFD3F10"/>
    <w:rsid w:val="2BFD75A0"/>
    <w:rsid w:val="2C09049E"/>
    <w:rsid w:val="2C0A653C"/>
    <w:rsid w:val="2C191F85"/>
    <w:rsid w:val="2C593CC6"/>
    <w:rsid w:val="2CE82D6F"/>
    <w:rsid w:val="2D0D2D89"/>
    <w:rsid w:val="2D113745"/>
    <w:rsid w:val="2D1660E1"/>
    <w:rsid w:val="2D1760D1"/>
    <w:rsid w:val="2D2E2C0D"/>
    <w:rsid w:val="2D343236"/>
    <w:rsid w:val="2DA82F65"/>
    <w:rsid w:val="2DCC173F"/>
    <w:rsid w:val="2DD15014"/>
    <w:rsid w:val="2DDF576E"/>
    <w:rsid w:val="2DF72DE4"/>
    <w:rsid w:val="2E0220AF"/>
    <w:rsid w:val="2E4B082A"/>
    <w:rsid w:val="2E563BF7"/>
    <w:rsid w:val="2E573E56"/>
    <w:rsid w:val="2E5D4E86"/>
    <w:rsid w:val="2E5D790B"/>
    <w:rsid w:val="2E786212"/>
    <w:rsid w:val="2E821554"/>
    <w:rsid w:val="2E901BAC"/>
    <w:rsid w:val="2E9A3C18"/>
    <w:rsid w:val="2EBB0FEE"/>
    <w:rsid w:val="2EC63002"/>
    <w:rsid w:val="2ECD5874"/>
    <w:rsid w:val="2ED54CB2"/>
    <w:rsid w:val="2EF10DD9"/>
    <w:rsid w:val="2F0A6B38"/>
    <w:rsid w:val="2F787B90"/>
    <w:rsid w:val="2F946CCB"/>
    <w:rsid w:val="2FA782DC"/>
    <w:rsid w:val="2FA8769B"/>
    <w:rsid w:val="2FAC1422"/>
    <w:rsid w:val="2FBA2E44"/>
    <w:rsid w:val="2FD25781"/>
    <w:rsid w:val="2FDD6036"/>
    <w:rsid w:val="2FE3AD85"/>
    <w:rsid w:val="2FE75BA4"/>
    <w:rsid w:val="2FEA2B1B"/>
    <w:rsid w:val="2FFD7934"/>
    <w:rsid w:val="305D462C"/>
    <w:rsid w:val="30733ACD"/>
    <w:rsid w:val="308C3862"/>
    <w:rsid w:val="309379D8"/>
    <w:rsid w:val="30A270F7"/>
    <w:rsid w:val="30DF1478"/>
    <w:rsid w:val="30EC586F"/>
    <w:rsid w:val="311346E6"/>
    <w:rsid w:val="313F81C3"/>
    <w:rsid w:val="31480AAE"/>
    <w:rsid w:val="314A61F9"/>
    <w:rsid w:val="315B638E"/>
    <w:rsid w:val="31635784"/>
    <w:rsid w:val="319C6071"/>
    <w:rsid w:val="31AC537E"/>
    <w:rsid w:val="31AF0712"/>
    <w:rsid w:val="31E3679B"/>
    <w:rsid w:val="31E732FD"/>
    <w:rsid w:val="31E74BA2"/>
    <w:rsid w:val="31F2079F"/>
    <w:rsid w:val="31F52DF0"/>
    <w:rsid w:val="31F92B93"/>
    <w:rsid w:val="31FE0694"/>
    <w:rsid w:val="3242566B"/>
    <w:rsid w:val="32517576"/>
    <w:rsid w:val="32787014"/>
    <w:rsid w:val="3280441C"/>
    <w:rsid w:val="329BC8D9"/>
    <w:rsid w:val="32B8F2FA"/>
    <w:rsid w:val="32BE5C2C"/>
    <w:rsid w:val="32E0684A"/>
    <w:rsid w:val="32FB6478"/>
    <w:rsid w:val="33263B3F"/>
    <w:rsid w:val="33364476"/>
    <w:rsid w:val="334E24B3"/>
    <w:rsid w:val="336963EB"/>
    <w:rsid w:val="33816EEB"/>
    <w:rsid w:val="339E473B"/>
    <w:rsid w:val="33D327C9"/>
    <w:rsid w:val="33E34843"/>
    <w:rsid w:val="33E43380"/>
    <w:rsid w:val="33EB55CD"/>
    <w:rsid w:val="33EC4C02"/>
    <w:rsid w:val="340D2360"/>
    <w:rsid w:val="3410665D"/>
    <w:rsid w:val="34124E23"/>
    <w:rsid w:val="34211214"/>
    <w:rsid w:val="342E63AB"/>
    <w:rsid w:val="34610414"/>
    <w:rsid w:val="34950E68"/>
    <w:rsid w:val="34986E94"/>
    <w:rsid w:val="34AF62C9"/>
    <w:rsid w:val="34B8564A"/>
    <w:rsid w:val="34CB4388"/>
    <w:rsid w:val="34FA6E12"/>
    <w:rsid w:val="350645C6"/>
    <w:rsid w:val="35324E1E"/>
    <w:rsid w:val="358D5588"/>
    <w:rsid w:val="35B4432A"/>
    <w:rsid w:val="35E5EA12"/>
    <w:rsid w:val="36291F2F"/>
    <w:rsid w:val="363A3B40"/>
    <w:rsid w:val="365302AE"/>
    <w:rsid w:val="36607A0A"/>
    <w:rsid w:val="366A4187"/>
    <w:rsid w:val="366E227C"/>
    <w:rsid w:val="366F2E0D"/>
    <w:rsid w:val="367B6A5C"/>
    <w:rsid w:val="36A74ADA"/>
    <w:rsid w:val="36AD60D5"/>
    <w:rsid w:val="36B224F9"/>
    <w:rsid w:val="36CD06D8"/>
    <w:rsid w:val="36EC0CC9"/>
    <w:rsid w:val="37153EE7"/>
    <w:rsid w:val="371D36CD"/>
    <w:rsid w:val="373F410B"/>
    <w:rsid w:val="37494BFA"/>
    <w:rsid w:val="379E5600"/>
    <w:rsid w:val="37EE7094"/>
    <w:rsid w:val="38296C89"/>
    <w:rsid w:val="383002EB"/>
    <w:rsid w:val="38586797"/>
    <w:rsid w:val="385B38D6"/>
    <w:rsid w:val="38BC0149"/>
    <w:rsid w:val="38C53688"/>
    <w:rsid w:val="38CB553C"/>
    <w:rsid w:val="38D87D1C"/>
    <w:rsid w:val="38E47205"/>
    <w:rsid w:val="38E91A6B"/>
    <w:rsid w:val="39083C99"/>
    <w:rsid w:val="392F2DC1"/>
    <w:rsid w:val="395064D7"/>
    <w:rsid w:val="39581830"/>
    <w:rsid w:val="395C1D0A"/>
    <w:rsid w:val="39636459"/>
    <w:rsid w:val="396B7F6C"/>
    <w:rsid w:val="39743EE5"/>
    <w:rsid w:val="39B417A9"/>
    <w:rsid w:val="39EC21A3"/>
    <w:rsid w:val="39EC77BE"/>
    <w:rsid w:val="39F570DC"/>
    <w:rsid w:val="39FB85A2"/>
    <w:rsid w:val="39FC5695"/>
    <w:rsid w:val="3A006D8E"/>
    <w:rsid w:val="3A3651E5"/>
    <w:rsid w:val="3A744481"/>
    <w:rsid w:val="3A8C7BEF"/>
    <w:rsid w:val="3A906246"/>
    <w:rsid w:val="3AC86541"/>
    <w:rsid w:val="3AEE7494"/>
    <w:rsid w:val="3AEFA2CB"/>
    <w:rsid w:val="3B20012B"/>
    <w:rsid w:val="3B2349B7"/>
    <w:rsid w:val="3B616CFF"/>
    <w:rsid w:val="3B6259F6"/>
    <w:rsid w:val="3B976654"/>
    <w:rsid w:val="3BBE4AC4"/>
    <w:rsid w:val="3BC01EFC"/>
    <w:rsid w:val="3BCA786A"/>
    <w:rsid w:val="3BD31E2F"/>
    <w:rsid w:val="3BD553B9"/>
    <w:rsid w:val="3BE033C2"/>
    <w:rsid w:val="3BF15831"/>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B36CC4"/>
    <w:rsid w:val="3DC0627E"/>
    <w:rsid w:val="3DE041CB"/>
    <w:rsid w:val="3E0D48F6"/>
    <w:rsid w:val="3E1868B4"/>
    <w:rsid w:val="3E285EE1"/>
    <w:rsid w:val="3E377251"/>
    <w:rsid w:val="3E42664B"/>
    <w:rsid w:val="3E5A7334"/>
    <w:rsid w:val="3E7B5D6B"/>
    <w:rsid w:val="3E843E66"/>
    <w:rsid w:val="3E846C23"/>
    <w:rsid w:val="3E8F51FE"/>
    <w:rsid w:val="3E926F87"/>
    <w:rsid w:val="3E9A59DE"/>
    <w:rsid w:val="3E9B36AB"/>
    <w:rsid w:val="3EAF4836"/>
    <w:rsid w:val="3EB516C8"/>
    <w:rsid w:val="3EC33DFA"/>
    <w:rsid w:val="3ED00C60"/>
    <w:rsid w:val="3F060E16"/>
    <w:rsid w:val="3F1572A8"/>
    <w:rsid w:val="3F1D1096"/>
    <w:rsid w:val="3F2619BD"/>
    <w:rsid w:val="3F2F0234"/>
    <w:rsid w:val="3F6363FE"/>
    <w:rsid w:val="3F756B8F"/>
    <w:rsid w:val="3F795304"/>
    <w:rsid w:val="3F7FED97"/>
    <w:rsid w:val="3F924549"/>
    <w:rsid w:val="3F95482B"/>
    <w:rsid w:val="3FAD957E"/>
    <w:rsid w:val="3FBBF58E"/>
    <w:rsid w:val="3FBE9059"/>
    <w:rsid w:val="3FDBF879"/>
    <w:rsid w:val="3FDF382F"/>
    <w:rsid w:val="3FEB7CC8"/>
    <w:rsid w:val="3FFAA7D3"/>
    <w:rsid w:val="3FFED42C"/>
    <w:rsid w:val="4019356B"/>
    <w:rsid w:val="40216CDA"/>
    <w:rsid w:val="40592157"/>
    <w:rsid w:val="405A5E8D"/>
    <w:rsid w:val="406E1CAE"/>
    <w:rsid w:val="40A0133A"/>
    <w:rsid w:val="40BC07B4"/>
    <w:rsid w:val="40C31A53"/>
    <w:rsid w:val="40C477AB"/>
    <w:rsid w:val="40EF109C"/>
    <w:rsid w:val="40FF545D"/>
    <w:rsid w:val="410067C8"/>
    <w:rsid w:val="4135050E"/>
    <w:rsid w:val="415E4A59"/>
    <w:rsid w:val="41711481"/>
    <w:rsid w:val="418F0D2A"/>
    <w:rsid w:val="419608F0"/>
    <w:rsid w:val="41C932D5"/>
    <w:rsid w:val="41D01505"/>
    <w:rsid w:val="42224C91"/>
    <w:rsid w:val="423E7569"/>
    <w:rsid w:val="42474939"/>
    <w:rsid w:val="424C3C57"/>
    <w:rsid w:val="424E557E"/>
    <w:rsid w:val="42613FF3"/>
    <w:rsid w:val="42660D96"/>
    <w:rsid w:val="428667D2"/>
    <w:rsid w:val="428C60A6"/>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3FF57FA"/>
    <w:rsid w:val="44002FAD"/>
    <w:rsid w:val="44421C10"/>
    <w:rsid w:val="448477B9"/>
    <w:rsid w:val="449101DD"/>
    <w:rsid w:val="44D95F02"/>
    <w:rsid w:val="44DE1391"/>
    <w:rsid w:val="451B225C"/>
    <w:rsid w:val="452410C9"/>
    <w:rsid w:val="45317DFB"/>
    <w:rsid w:val="45325730"/>
    <w:rsid w:val="456D3CE4"/>
    <w:rsid w:val="4579042C"/>
    <w:rsid w:val="457F0571"/>
    <w:rsid w:val="458043A8"/>
    <w:rsid w:val="45851176"/>
    <w:rsid w:val="45AE28FA"/>
    <w:rsid w:val="45C63B94"/>
    <w:rsid w:val="45E87A96"/>
    <w:rsid w:val="46004DE1"/>
    <w:rsid w:val="460E243C"/>
    <w:rsid w:val="460E7DA5"/>
    <w:rsid w:val="4614779C"/>
    <w:rsid w:val="46422483"/>
    <w:rsid w:val="4659254A"/>
    <w:rsid w:val="465B0637"/>
    <w:rsid w:val="465E3F0D"/>
    <w:rsid w:val="466A16E6"/>
    <w:rsid w:val="466D7A8A"/>
    <w:rsid w:val="467AF7AE"/>
    <w:rsid w:val="468046CC"/>
    <w:rsid w:val="468937D3"/>
    <w:rsid w:val="46893F2B"/>
    <w:rsid w:val="46C4686E"/>
    <w:rsid w:val="47212840"/>
    <w:rsid w:val="47370652"/>
    <w:rsid w:val="47785793"/>
    <w:rsid w:val="477B778F"/>
    <w:rsid w:val="478203EC"/>
    <w:rsid w:val="47A13F1B"/>
    <w:rsid w:val="47B025FA"/>
    <w:rsid w:val="480426CD"/>
    <w:rsid w:val="4809698F"/>
    <w:rsid w:val="480E4937"/>
    <w:rsid w:val="4811697D"/>
    <w:rsid w:val="487A3E25"/>
    <w:rsid w:val="488B5503"/>
    <w:rsid w:val="48937E21"/>
    <w:rsid w:val="48981C49"/>
    <w:rsid w:val="489A0361"/>
    <w:rsid w:val="48B94FF3"/>
    <w:rsid w:val="48DE2753"/>
    <w:rsid w:val="48E37AAB"/>
    <w:rsid w:val="48E768C7"/>
    <w:rsid w:val="48FD4B4C"/>
    <w:rsid w:val="490A68E0"/>
    <w:rsid w:val="491055FE"/>
    <w:rsid w:val="495F5B3E"/>
    <w:rsid w:val="496F77D7"/>
    <w:rsid w:val="497654FD"/>
    <w:rsid w:val="49B64211"/>
    <w:rsid w:val="49D62A28"/>
    <w:rsid w:val="49D82405"/>
    <w:rsid w:val="49F6167F"/>
    <w:rsid w:val="4A064FA0"/>
    <w:rsid w:val="4A16615C"/>
    <w:rsid w:val="4A1A388C"/>
    <w:rsid w:val="4A3A5853"/>
    <w:rsid w:val="4A4424D7"/>
    <w:rsid w:val="4A454E53"/>
    <w:rsid w:val="4A987B0E"/>
    <w:rsid w:val="4AB82D0F"/>
    <w:rsid w:val="4ACF06B0"/>
    <w:rsid w:val="4AD92A5B"/>
    <w:rsid w:val="4ADB65ED"/>
    <w:rsid w:val="4AEB7664"/>
    <w:rsid w:val="4AEE3B39"/>
    <w:rsid w:val="4AFD7C19"/>
    <w:rsid w:val="4B0567D1"/>
    <w:rsid w:val="4B236AAE"/>
    <w:rsid w:val="4B413B26"/>
    <w:rsid w:val="4B707271"/>
    <w:rsid w:val="4B8B7843"/>
    <w:rsid w:val="4B9739F7"/>
    <w:rsid w:val="4BEE2503"/>
    <w:rsid w:val="4C245A30"/>
    <w:rsid w:val="4C6F33EC"/>
    <w:rsid w:val="4C7A2396"/>
    <w:rsid w:val="4CAF7C99"/>
    <w:rsid w:val="4CB6685F"/>
    <w:rsid w:val="4CC367FE"/>
    <w:rsid w:val="4CE41D71"/>
    <w:rsid w:val="4CE8BBA5"/>
    <w:rsid w:val="4CF13E12"/>
    <w:rsid w:val="4CF9B713"/>
    <w:rsid w:val="4D077F3C"/>
    <w:rsid w:val="4D123355"/>
    <w:rsid w:val="4D265D99"/>
    <w:rsid w:val="4D2A3B31"/>
    <w:rsid w:val="4D312C52"/>
    <w:rsid w:val="4D5A5C7A"/>
    <w:rsid w:val="4D7B268D"/>
    <w:rsid w:val="4D905305"/>
    <w:rsid w:val="4D956AE3"/>
    <w:rsid w:val="4D964A72"/>
    <w:rsid w:val="4D9C1254"/>
    <w:rsid w:val="4DA150FB"/>
    <w:rsid w:val="4DE13A88"/>
    <w:rsid w:val="4E141D71"/>
    <w:rsid w:val="4E5F037E"/>
    <w:rsid w:val="4E74636C"/>
    <w:rsid w:val="4E793892"/>
    <w:rsid w:val="4E800872"/>
    <w:rsid w:val="4E870F87"/>
    <w:rsid w:val="4EC512BE"/>
    <w:rsid w:val="4EC569ED"/>
    <w:rsid w:val="4ED50EA1"/>
    <w:rsid w:val="4EEC050C"/>
    <w:rsid w:val="4F104EC3"/>
    <w:rsid w:val="4F3F0645"/>
    <w:rsid w:val="4F47354A"/>
    <w:rsid w:val="4F8B6063"/>
    <w:rsid w:val="4F8E53A2"/>
    <w:rsid w:val="4F911C54"/>
    <w:rsid w:val="4F9F68BD"/>
    <w:rsid w:val="4F9F6A34"/>
    <w:rsid w:val="4FDF0786"/>
    <w:rsid w:val="4FE625E0"/>
    <w:rsid w:val="5021480F"/>
    <w:rsid w:val="50802CBD"/>
    <w:rsid w:val="50937403"/>
    <w:rsid w:val="50962ECB"/>
    <w:rsid w:val="50972573"/>
    <w:rsid w:val="50A42E38"/>
    <w:rsid w:val="50A4577F"/>
    <w:rsid w:val="50B61409"/>
    <w:rsid w:val="50B65505"/>
    <w:rsid w:val="50B73D1F"/>
    <w:rsid w:val="50BC4CAD"/>
    <w:rsid w:val="50BD5BC9"/>
    <w:rsid w:val="50C11EEE"/>
    <w:rsid w:val="50CA4969"/>
    <w:rsid w:val="50E97CFC"/>
    <w:rsid w:val="50EF1260"/>
    <w:rsid w:val="50FA4028"/>
    <w:rsid w:val="51012A59"/>
    <w:rsid w:val="510D65B7"/>
    <w:rsid w:val="510E5828"/>
    <w:rsid w:val="511157AB"/>
    <w:rsid w:val="5142540C"/>
    <w:rsid w:val="51497F84"/>
    <w:rsid w:val="518832C8"/>
    <w:rsid w:val="51990332"/>
    <w:rsid w:val="51A0432A"/>
    <w:rsid w:val="51A86090"/>
    <w:rsid w:val="51B7396D"/>
    <w:rsid w:val="51DC0DF8"/>
    <w:rsid w:val="52024073"/>
    <w:rsid w:val="52287B99"/>
    <w:rsid w:val="522E4CC3"/>
    <w:rsid w:val="5244713B"/>
    <w:rsid w:val="52615633"/>
    <w:rsid w:val="528172AA"/>
    <w:rsid w:val="52977FD4"/>
    <w:rsid w:val="52A25790"/>
    <w:rsid w:val="52A91A30"/>
    <w:rsid w:val="52A96B6F"/>
    <w:rsid w:val="52B45975"/>
    <w:rsid w:val="52BF7E2A"/>
    <w:rsid w:val="52D94AA4"/>
    <w:rsid w:val="52E72CC5"/>
    <w:rsid w:val="52EA3A62"/>
    <w:rsid w:val="52F50BB8"/>
    <w:rsid w:val="53097272"/>
    <w:rsid w:val="53544462"/>
    <w:rsid w:val="536C61AC"/>
    <w:rsid w:val="537353F2"/>
    <w:rsid w:val="5397158E"/>
    <w:rsid w:val="539A0F3A"/>
    <w:rsid w:val="53F1AB90"/>
    <w:rsid w:val="53FF95A4"/>
    <w:rsid w:val="54013861"/>
    <w:rsid w:val="540655C5"/>
    <w:rsid w:val="54142D03"/>
    <w:rsid w:val="54487265"/>
    <w:rsid w:val="544D6070"/>
    <w:rsid w:val="54510647"/>
    <w:rsid w:val="545509EE"/>
    <w:rsid w:val="54605E1E"/>
    <w:rsid w:val="549C661D"/>
    <w:rsid w:val="54A854F7"/>
    <w:rsid w:val="54B3506A"/>
    <w:rsid w:val="54B3766F"/>
    <w:rsid w:val="54BC3B54"/>
    <w:rsid w:val="54BD3FB5"/>
    <w:rsid w:val="54CA0D16"/>
    <w:rsid w:val="54D67D81"/>
    <w:rsid w:val="54DD4057"/>
    <w:rsid w:val="54E7490F"/>
    <w:rsid w:val="54F31849"/>
    <w:rsid w:val="550764A4"/>
    <w:rsid w:val="550B2BF6"/>
    <w:rsid w:val="55214EB5"/>
    <w:rsid w:val="55344AA7"/>
    <w:rsid w:val="55364EFD"/>
    <w:rsid w:val="555146E8"/>
    <w:rsid w:val="555D4828"/>
    <w:rsid w:val="557A4C8B"/>
    <w:rsid w:val="558931E1"/>
    <w:rsid w:val="55923347"/>
    <w:rsid w:val="55925180"/>
    <w:rsid w:val="55983B1B"/>
    <w:rsid w:val="559C3AF6"/>
    <w:rsid w:val="55A34937"/>
    <w:rsid w:val="55A8376B"/>
    <w:rsid w:val="55B11B72"/>
    <w:rsid w:val="55BDB546"/>
    <w:rsid w:val="55D65B74"/>
    <w:rsid w:val="55DC29B6"/>
    <w:rsid w:val="55DD4241"/>
    <w:rsid w:val="55E40429"/>
    <w:rsid w:val="55F53E91"/>
    <w:rsid w:val="55F76564"/>
    <w:rsid w:val="56030270"/>
    <w:rsid w:val="563A7B9E"/>
    <w:rsid w:val="56455396"/>
    <w:rsid w:val="56627324"/>
    <w:rsid w:val="566B6D1E"/>
    <w:rsid w:val="56BD397C"/>
    <w:rsid w:val="56D52B90"/>
    <w:rsid w:val="57032A2C"/>
    <w:rsid w:val="570F5219"/>
    <w:rsid w:val="572B451F"/>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7F127A1"/>
    <w:rsid w:val="580D24C6"/>
    <w:rsid w:val="584A47AD"/>
    <w:rsid w:val="58917D2F"/>
    <w:rsid w:val="5894085C"/>
    <w:rsid w:val="58AE4F0C"/>
    <w:rsid w:val="58B85899"/>
    <w:rsid w:val="58BC7E8C"/>
    <w:rsid w:val="58E363A9"/>
    <w:rsid w:val="58EF1411"/>
    <w:rsid w:val="5943778F"/>
    <w:rsid w:val="595E1678"/>
    <w:rsid w:val="5967CDA4"/>
    <w:rsid w:val="596D5BD4"/>
    <w:rsid w:val="596F2BE8"/>
    <w:rsid w:val="597E3DD8"/>
    <w:rsid w:val="597FF5F1"/>
    <w:rsid w:val="599B50F5"/>
    <w:rsid w:val="59EE6F2C"/>
    <w:rsid w:val="59F80043"/>
    <w:rsid w:val="5A0031AA"/>
    <w:rsid w:val="5A051FCC"/>
    <w:rsid w:val="5A09252F"/>
    <w:rsid w:val="5A0B2778"/>
    <w:rsid w:val="5A2A7C7B"/>
    <w:rsid w:val="5A3E2560"/>
    <w:rsid w:val="5A53152E"/>
    <w:rsid w:val="5A5D0AD9"/>
    <w:rsid w:val="5A5D3B6E"/>
    <w:rsid w:val="5A637A76"/>
    <w:rsid w:val="5A646D83"/>
    <w:rsid w:val="5A6D33BA"/>
    <w:rsid w:val="5A792B1F"/>
    <w:rsid w:val="5A862F4C"/>
    <w:rsid w:val="5A874767"/>
    <w:rsid w:val="5AAD6F28"/>
    <w:rsid w:val="5AD6369C"/>
    <w:rsid w:val="5AD63A24"/>
    <w:rsid w:val="5ADC35E7"/>
    <w:rsid w:val="5ADE2721"/>
    <w:rsid w:val="5AEC1644"/>
    <w:rsid w:val="5AF34ABD"/>
    <w:rsid w:val="5B2E1A1D"/>
    <w:rsid w:val="5B843A1C"/>
    <w:rsid w:val="5B873E3F"/>
    <w:rsid w:val="5BA65021"/>
    <w:rsid w:val="5BAD05AB"/>
    <w:rsid w:val="5BEB86D5"/>
    <w:rsid w:val="5C02690E"/>
    <w:rsid w:val="5C0374B9"/>
    <w:rsid w:val="5C196DA7"/>
    <w:rsid w:val="5C2A048C"/>
    <w:rsid w:val="5C373B72"/>
    <w:rsid w:val="5C80234E"/>
    <w:rsid w:val="5C8A680C"/>
    <w:rsid w:val="5C9AE78D"/>
    <w:rsid w:val="5CBE327B"/>
    <w:rsid w:val="5CD6289B"/>
    <w:rsid w:val="5CF561F6"/>
    <w:rsid w:val="5CF8569A"/>
    <w:rsid w:val="5D041203"/>
    <w:rsid w:val="5D0C4701"/>
    <w:rsid w:val="5D0F0395"/>
    <w:rsid w:val="5D221076"/>
    <w:rsid w:val="5D3203A7"/>
    <w:rsid w:val="5D397964"/>
    <w:rsid w:val="5D4A2BDD"/>
    <w:rsid w:val="5D5A391C"/>
    <w:rsid w:val="5D5F10C0"/>
    <w:rsid w:val="5D6B0F85"/>
    <w:rsid w:val="5D891B7B"/>
    <w:rsid w:val="5DAD38EE"/>
    <w:rsid w:val="5DB87CC4"/>
    <w:rsid w:val="5DE22C6A"/>
    <w:rsid w:val="5DEB79DB"/>
    <w:rsid w:val="5DF9688E"/>
    <w:rsid w:val="5DFDB08B"/>
    <w:rsid w:val="5DFF5874"/>
    <w:rsid w:val="5E006862"/>
    <w:rsid w:val="5E0207B9"/>
    <w:rsid w:val="5E1834A1"/>
    <w:rsid w:val="5E1E37E3"/>
    <w:rsid w:val="5E261785"/>
    <w:rsid w:val="5E2C5875"/>
    <w:rsid w:val="5E335564"/>
    <w:rsid w:val="5E48358B"/>
    <w:rsid w:val="5E4A7017"/>
    <w:rsid w:val="5E552BBA"/>
    <w:rsid w:val="5E611C10"/>
    <w:rsid w:val="5E8C4D40"/>
    <w:rsid w:val="5EC512D3"/>
    <w:rsid w:val="5EE42BBD"/>
    <w:rsid w:val="5EEF148A"/>
    <w:rsid w:val="5EFC7377"/>
    <w:rsid w:val="5F06174D"/>
    <w:rsid w:val="5F083003"/>
    <w:rsid w:val="5F2149AE"/>
    <w:rsid w:val="5F2F0D6A"/>
    <w:rsid w:val="5F3A3602"/>
    <w:rsid w:val="5F3D4288"/>
    <w:rsid w:val="5F5F63FF"/>
    <w:rsid w:val="5F6277C6"/>
    <w:rsid w:val="5F6D0B1D"/>
    <w:rsid w:val="5F6E0BB6"/>
    <w:rsid w:val="5F7511AD"/>
    <w:rsid w:val="5F7E0ECC"/>
    <w:rsid w:val="5F7F04FB"/>
    <w:rsid w:val="5F852DFD"/>
    <w:rsid w:val="5F8B79B9"/>
    <w:rsid w:val="5F8D0B82"/>
    <w:rsid w:val="5F992C52"/>
    <w:rsid w:val="5FB567E4"/>
    <w:rsid w:val="5FBE38EB"/>
    <w:rsid w:val="5FBF5D05"/>
    <w:rsid w:val="5FCC5339"/>
    <w:rsid w:val="5FE1D099"/>
    <w:rsid w:val="5FE34A5B"/>
    <w:rsid w:val="5FE52E8B"/>
    <w:rsid w:val="5FEFC625"/>
    <w:rsid w:val="5FFE1E36"/>
    <w:rsid w:val="5FFF3B45"/>
    <w:rsid w:val="5FFF5754"/>
    <w:rsid w:val="60232584"/>
    <w:rsid w:val="602F4685"/>
    <w:rsid w:val="6071772D"/>
    <w:rsid w:val="607330CE"/>
    <w:rsid w:val="60825176"/>
    <w:rsid w:val="608A5EC3"/>
    <w:rsid w:val="609F2AC4"/>
    <w:rsid w:val="60FA2EE8"/>
    <w:rsid w:val="61054A27"/>
    <w:rsid w:val="610A52BC"/>
    <w:rsid w:val="610E08A2"/>
    <w:rsid w:val="611D2366"/>
    <w:rsid w:val="61421856"/>
    <w:rsid w:val="615227C4"/>
    <w:rsid w:val="61654E3F"/>
    <w:rsid w:val="61767EFC"/>
    <w:rsid w:val="6182292A"/>
    <w:rsid w:val="619C03A7"/>
    <w:rsid w:val="619F7F92"/>
    <w:rsid w:val="61AC28CC"/>
    <w:rsid w:val="61B973DC"/>
    <w:rsid w:val="61DE6AFE"/>
    <w:rsid w:val="61F94C26"/>
    <w:rsid w:val="62000E56"/>
    <w:rsid w:val="622D6B06"/>
    <w:rsid w:val="624F3E49"/>
    <w:rsid w:val="62632286"/>
    <w:rsid w:val="62885958"/>
    <w:rsid w:val="62F40B65"/>
    <w:rsid w:val="62FC2CFE"/>
    <w:rsid w:val="63024505"/>
    <w:rsid w:val="63587ECC"/>
    <w:rsid w:val="635B1DB5"/>
    <w:rsid w:val="63711FED"/>
    <w:rsid w:val="63880DDC"/>
    <w:rsid w:val="638D750D"/>
    <w:rsid w:val="63AC6CC0"/>
    <w:rsid w:val="63CC234F"/>
    <w:rsid w:val="63E423B8"/>
    <w:rsid w:val="63E91153"/>
    <w:rsid w:val="63F303BE"/>
    <w:rsid w:val="64055776"/>
    <w:rsid w:val="640577B4"/>
    <w:rsid w:val="64130209"/>
    <w:rsid w:val="64240056"/>
    <w:rsid w:val="642C0324"/>
    <w:rsid w:val="643E143A"/>
    <w:rsid w:val="64704C73"/>
    <w:rsid w:val="648B6EEF"/>
    <w:rsid w:val="6494748A"/>
    <w:rsid w:val="649D34A5"/>
    <w:rsid w:val="64C158BF"/>
    <w:rsid w:val="64C31541"/>
    <w:rsid w:val="64CE2EAA"/>
    <w:rsid w:val="64E61059"/>
    <w:rsid w:val="64F25582"/>
    <w:rsid w:val="650054DB"/>
    <w:rsid w:val="651D4074"/>
    <w:rsid w:val="653C3090"/>
    <w:rsid w:val="65413751"/>
    <w:rsid w:val="65424593"/>
    <w:rsid w:val="65457BCE"/>
    <w:rsid w:val="65680E46"/>
    <w:rsid w:val="656A4F30"/>
    <w:rsid w:val="65807614"/>
    <w:rsid w:val="65854376"/>
    <w:rsid w:val="658767BE"/>
    <w:rsid w:val="65892531"/>
    <w:rsid w:val="65A90B99"/>
    <w:rsid w:val="65CB9F3A"/>
    <w:rsid w:val="65FA31A3"/>
    <w:rsid w:val="66195831"/>
    <w:rsid w:val="66240220"/>
    <w:rsid w:val="662A4220"/>
    <w:rsid w:val="662E7281"/>
    <w:rsid w:val="662E75B1"/>
    <w:rsid w:val="66342C2E"/>
    <w:rsid w:val="663E784C"/>
    <w:rsid w:val="664D7777"/>
    <w:rsid w:val="668B6A45"/>
    <w:rsid w:val="67083BC9"/>
    <w:rsid w:val="67136C12"/>
    <w:rsid w:val="672F3F24"/>
    <w:rsid w:val="673E055F"/>
    <w:rsid w:val="673F2623"/>
    <w:rsid w:val="67551CE3"/>
    <w:rsid w:val="6767DE42"/>
    <w:rsid w:val="67A22552"/>
    <w:rsid w:val="67B22DCC"/>
    <w:rsid w:val="67BE71AA"/>
    <w:rsid w:val="67D403ED"/>
    <w:rsid w:val="67D90273"/>
    <w:rsid w:val="67DE5875"/>
    <w:rsid w:val="67E55852"/>
    <w:rsid w:val="67EB1AB4"/>
    <w:rsid w:val="67FA1285"/>
    <w:rsid w:val="68040ECB"/>
    <w:rsid w:val="680F2729"/>
    <w:rsid w:val="68551F4F"/>
    <w:rsid w:val="687C10C9"/>
    <w:rsid w:val="68840C16"/>
    <w:rsid w:val="68876EFB"/>
    <w:rsid w:val="68880F3A"/>
    <w:rsid w:val="68884654"/>
    <w:rsid w:val="68905410"/>
    <w:rsid w:val="689F444F"/>
    <w:rsid w:val="68A845CF"/>
    <w:rsid w:val="68B96DBB"/>
    <w:rsid w:val="68CA2805"/>
    <w:rsid w:val="68E937A3"/>
    <w:rsid w:val="69256AF4"/>
    <w:rsid w:val="69274C15"/>
    <w:rsid w:val="693E15D3"/>
    <w:rsid w:val="694766FF"/>
    <w:rsid w:val="69627681"/>
    <w:rsid w:val="696C0678"/>
    <w:rsid w:val="6977531D"/>
    <w:rsid w:val="697FBE30"/>
    <w:rsid w:val="69CC2BFF"/>
    <w:rsid w:val="69FD55B8"/>
    <w:rsid w:val="6A0B1C62"/>
    <w:rsid w:val="6A0F1C96"/>
    <w:rsid w:val="6A2406C8"/>
    <w:rsid w:val="6A432653"/>
    <w:rsid w:val="6A6A3676"/>
    <w:rsid w:val="6AA85FBD"/>
    <w:rsid w:val="6ABE6E95"/>
    <w:rsid w:val="6ACFA097"/>
    <w:rsid w:val="6ADE0BD1"/>
    <w:rsid w:val="6AE96859"/>
    <w:rsid w:val="6AEF04FE"/>
    <w:rsid w:val="6AFF5CBC"/>
    <w:rsid w:val="6B0A0C0B"/>
    <w:rsid w:val="6B147746"/>
    <w:rsid w:val="6B24787C"/>
    <w:rsid w:val="6B5323C6"/>
    <w:rsid w:val="6B573233"/>
    <w:rsid w:val="6B5B6274"/>
    <w:rsid w:val="6B935D53"/>
    <w:rsid w:val="6BA75562"/>
    <w:rsid w:val="6BB86BC8"/>
    <w:rsid w:val="6BF52E48"/>
    <w:rsid w:val="6BFF85E1"/>
    <w:rsid w:val="6C0B55A7"/>
    <w:rsid w:val="6C196F71"/>
    <w:rsid w:val="6C226FCB"/>
    <w:rsid w:val="6C31226F"/>
    <w:rsid w:val="6C4D57B6"/>
    <w:rsid w:val="6C552F0B"/>
    <w:rsid w:val="6C564753"/>
    <w:rsid w:val="6C8C67B7"/>
    <w:rsid w:val="6C9D744C"/>
    <w:rsid w:val="6C9E6F7E"/>
    <w:rsid w:val="6CAE6FBE"/>
    <w:rsid w:val="6CBE72F5"/>
    <w:rsid w:val="6CE69A19"/>
    <w:rsid w:val="6D167928"/>
    <w:rsid w:val="6D26299B"/>
    <w:rsid w:val="6D426778"/>
    <w:rsid w:val="6D437B25"/>
    <w:rsid w:val="6D4772EC"/>
    <w:rsid w:val="6D6D8CF5"/>
    <w:rsid w:val="6D9078AF"/>
    <w:rsid w:val="6DAA3FEF"/>
    <w:rsid w:val="6DBBEFCC"/>
    <w:rsid w:val="6DC0172B"/>
    <w:rsid w:val="6DCB690C"/>
    <w:rsid w:val="6DD41A5B"/>
    <w:rsid w:val="6DDF65AF"/>
    <w:rsid w:val="6DF43C2E"/>
    <w:rsid w:val="6DF51CA3"/>
    <w:rsid w:val="6DFB3E7B"/>
    <w:rsid w:val="6E2600AE"/>
    <w:rsid w:val="6E364F94"/>
    <w:rsid w:val="6E3B1170"/>
    <w:rsid w:val="6E8335BD"/>
    <w:rsid w:val="6E8E12EF"/>
    <w:rsid w:val="6E972936"/>
    <w:rsid w:val="6EC9384B"/>
    <w:rsid w:val="6ECE2AFB"/>
    <w:rsid w:val="6ED446C5"/>
    <w:rsid w:val="6ED694B0"/>
    <w:rsid w:val="6EEF6A26"/>
    <w:rsid w:val="6EF7272E"/>
    <w:rsid w:val="6EFF78DB"/>
    <w:rsid w:val="6F272131"/>
    <w:rsid w:val="6F2A7D94"/>
    <w:rsid w:val="6F3947D7"/>
    <w:rsid w:val="6F78316E"/>
    <w:rsid w:val="6F7B2B20"/>
    <w:rsid w:val="6F8331F1"/>
    <w:rsid w:val="6F9A118C"/>
    <w:rsid w:val="6F9E2BA9"/>
    <w:rsid w:val="6FAE1A09"/>
    <w:rsid w:val="6FBECD4A"/>
    <w:rsid w:val="6FC07499"/>
    <w:rsid w:val="6FD75BF8"/>
    <w:rsid w:val="6FDC0ED4"/>
    <w:rsid w:val="6FDD33E0"/>
    <w:rsid w:val="6FEA455A"/>
    <w:rsid w:val="6FEFA485"/>
    <w:rsid w:val="6FF33BE4"/>
    <w:rsid w:val="6FFF5D7A"/>
    <w:rsid w:val="70197FB8"/>
    <w:rsid w:val="7064131C"/>
    <w:rsid w:val="70743A20"/>
    <w:rsid w:val="707723D0"/>
    <w:rsid w:val="70F5661B"/>
    <w:rsid w:val="70FFE496"/>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997388"/>
    <w:rsid w:val="72AF438E"/>
    <w:rsid w:val="72BA7C58"/>
    <w:rsid w:val="72F43488"/>
    <w:rsid w:val="73176DC9"/>
    <w:rsid w:val="732E46E8"/>
    <w:rsid w:val="73304B4F"/>
    <w:rsid w:val="735AEACA"/>
    <w:rsid w:val="73911F99"/>
    <w:rsid w:val="739570C3"/>
    <w:rsid w:val="73981CBB"/>
    <w:rsid w:val="739A7D73"/>
    <w:rsid w:val="739B41AF"/>
    <w:rsid w:val="73BD8BBE"/>
    <w:rsid w:val="73C0646E"/>
    <w:rsid w:val="73DCF44D"/>
    <w:rsid w:val="73DFA01F"/>
    <w:rsid w:val="73E50FF7"/>
    <w:rsid w:val="742222F5"/>
    <w:rsid w:val="74476126"/>
    <w:rsid w:val="74511C71"/>
    <w:rsid w:val="74706664"/>
    <w:rsid w:val="747F3682"/>
    <w:rsid w:val="748D684E"/>
    <w:rsid w:val="749C4185"/>
    <w:rsid w:val="74D42214"/>
    <w:rsid w:val="75067759"/>
    <w:rsid w:val="751A79C7"/>
    <w:rsid w:val="75267B11"/>
    <w:rsid w:val="752D2605"/>
    <w:rsid w:val="752E6DCD"/>
    <w:rsid w:val="7551380D"/>
    <w:rsid w:val="75578212"/>
    <w:rsid w:val="75600BE5"/>
    <w:rsid w:val="7564475C"/>
    <w:rsid w:val="756B367D"/>
    <w:rsid w:val="7581211B"/>
    <w:rsid w:val="7583797F"/>
    <w:rsid w:val="759E1500"/>
    <w:rsid w:val="75D20F1D"/>
    <w:rsid w:val="75DA2C18"/>
    <w:rsid w:val="75F54412"/>
    <w:rsid w:val="761D08E0"/>
    <w:rsid w:val="765D347C"/>
    <w:rsid w:val="765F2DDD"/>
    <w:rsid w:val="767E2371"/>
    <w:rsid w:val="767FB669"/>
    <w:rsid w:val="76826699"/>
    <w:rsid w:val="76B441CE"/>
    <w:rsid w:val="76BA5DFE"/>
    <w:rsid w:val="76C87133"/>
    <w:rsid w:val="76CD08D5"/>
    <w:rsid w:val="76D1183A"/>
    <w:rsid w:val="76DA2FD6"/>
    <w:rsid w:val="76DB4B92"/>
    <w:rsid w:val="76E36CB4"/>
    <w:rsid w:val="76E539FB"/>
    <w:rsid w:val="77052AA4"/>
    <w:rsid w:val="77136511"/>
    <w:rsid w:val="77323074"/>
    <w:rsid w:val="77340A39"/>
    <w:rsid w:val="77351FD0"/>
    <w:rsid w:val="7737FFBC"/>
    <w:rsid w:val="77472422"/>
    <w:rsid w:val="775F319F"/>
    <w:rsid w:val="775FDCB1"/>
    <w:rsid w:val="775FEBCD"/>
    <w:rsid w:val="776F3B37"/>
    <w:rsid w:val="777B3E31"/>
    <w:rsid w:val="777F31F2"/>
    <w:rsid w:val="777FFFD2"/>
    <w:rsid w:val="779D2A85"/>
    <w:rsid w:val="77AB7BDA"/>
    <w:rsid w:val="77D1700D"/>
    <w:rsid w:val="77D53B2E"/>
    <w:rsid w:val="77D714EA"/>
    <w:rsid w:val="77E5297D"/>
    <w:rsid w:val="77EC04CC"/>
    <w:rsid w:val="77EDA636"/>
    <w:rsid w:val="77F7419A"/>
    <w:rsid w:val="77FF86DB"/>
    <w:rsid w:val="77FFD6F6"/>
    <w:rsid w:val="78024D8C"/>
    <w:rsid w:val="7852068B"/>
    <w:rsid w:val="78771DBC"/>
    <w:rsid w:val="78775729"/>
    <w:rsid w:val="787A05B6"/>
    <w:rsid w:val="78A42DB0"/>
    <w:rsid w:val="78A656AB"/>
    <w:rsid w:val="78B2245C"/>
    <w:rsid w:val="78E172CC"/>
    <w:rsid w:val="78EA1D1F"/>
    <w:rsid w:val="78FD5F0A"/>
    <w:rsid w:val="790043F1"/>
    <w:rsid w:val="7904172F"/>
    <w:rsid w:val="790463BB"/>
    <w:rsid w:val="790F7E27"/>
    <w:rsid w:val="792312B5"/>
    <w:rsid w:val="792A231A"/>
    <w:rsid w:val="79316829"/>
    <w:rsid w:val="794E7636"/>
    <w:rsid w:val="79660E24"/>
    <w:rsid w:val="7967694A"/>
    <w:rsid w:val="797E66A9"/>
    <w:rsid w:val="798860EE"/>
    <w:rsid w:val="79A97383"/>
    <w:rsid w:val="79E27E8B"/>
    <w:rsid w:val="79F64450"/>
    <w:rsid w:val="79F850CE"/>
    <w:rsid w:val="79FB5BBE"/>
    <w:rsid w:val="79FD443C"/>
    <w:rsid w:val="7A13608D"/>
    <w:rsid w:val="7A1D1975"/>
    <w:rsid w:val="7A3937AB"/>
    <w:rsid w:val="7A3E5150"/>
    <w:rsid w:val="7A4670D6"/>
    <w:rsid w:val="7A534B63"/>
    <w:rsid w:val="7A615382"/>
    <w:rsid w:val="7A67303B"/>
    <w:rsid w:val="7A7F4626"/>
    <w:rsid w:val="7A972EA0"/>
    <w:rsid w:val="7AA31C03"/>
    <w:rsid w:val="7AAB1D04"/>
    <w:rsid w:val="7ABA4368"/>
    <w:rsid w:val="7ABD2DC9"/>
    <w:rsid w:val="7ACB026F"/>
    <w:rsid w:val="7AD05746"/>
    <w:rsid w:val="7AD07682"/>
    <w:rsid w:val="7AD1367A"/>
    <w:rsid w:val="7AD22BDC"/>
    <w:rsid w:val="7B12733B"/>
    <w:rsid w:val="7B257FFD"/>
    <w:rsid w:val="7B343476"/>
    <w:rsid w:val="7B3A4069"/>
    <w:rsid w:val="7B502316"/>
    <w:rsid w:val="7B5A2978"/>
    <w:rsid w:val="7B5A7E4C"/>
    <w:rsid w:val="7B667AF9"/>
    <w:rsid w:val="7B7468F8"/>
    <w:rsid w:val="7BA73D41"/>
    <w:rsid w:val="7BACA7A7"/>
    <w:rsid w:val="7BBBCFDD"/>
    <w:rsid w:val="7BD1454E"/>
    <w:rsid w:val="7BEE0103"/>
    <w:rsid w:val="7BF04E95"/>
    <w:rsid w:val="7BFE664D"/>
    <w:rsid w:val="7BFF0BD3"/>
    <w:rsid w:val="7C0A0FE4"/>
    <w:rsid w:val="7C254906"/>
    <w:rsid w:val="7C2741FB"/>
    <w:rsid w:val="7C440FFF"/>
    <w:rsid w:val="7C590818"/>
    <w:rsid w:val="7C7920F6"/>
    <w:rsid w:val="7C7C10F6"/>
    <w:rsid w:val="7C853BEA"/>
    <w:rsid w:val="7C881368"/>
    <w:rsid w:val="7C917E8B"/>
    <w:rsid w:val="7C9E732B"/>
    <w:rsid w:val="7CA771C1"/>
    <w:rsid w:val="7CD66A6C"/>
    <w:rsid w:val="7CDB19D5"/>
    <w:rsid w:val="7CDD22AF"/>
    <w:rsid w:val="7CE27788"/>
    <w:rsid w:val="7CEF1130"/>
    <w:rsid w:val="7D056708"/>
    <w:rsid w:val="7D090215"/>
    <w:rsid w:val="7D0C32F1"/>
    <w:rsid w:val="7D0F408D"/>
    <w:rsid w:val="7D341A92"/>
    <w:rsid w:val="7D37BA9D"/>
    <w:rsid w:val="7D3D3E27"/>
    <w:rsid w:val="7D491C6C"/>
    <w:rsid w:val="7D4C4BA9"/>
    <w:rsid w:val="7D5429C0"/>
    <w:rsid w:val="7D6E6D43"/>
    <w:rsid w:val="7D8F4AEE"/>
    <w:rsid w:val="7DADCA2E"/>
    <w:rsid w:val="7DAE4B47"/>
    <w:rsid w:val="7DB57A34"/>
    <w:rsid w:val="7DB6215F"/>
    <w:rsid w:val="7DBF822D"/>
    <w:rsid w:val="7DE15754"/>
    <w:rsid w:val="7DE60973"/>
    <w:rsid w:val="7DEF0916"/>
    <w:rsid w:val="7DFB432E"/>
    <w:rsid w:val="7E1E5218"/>
    <w:rsid w:val="7E996A5A"/>
    <w:rsid w:val="7E9A4E1F"/>
    <w:rsid w:val="7EA7723A"/>
    <w:rsid w:val="7EB268B9"/>
    <w:rsid w:val="7ED97D08"/>
    <w:rsid w:val="7EDB78D2"/>
    <w:rsid w:val="7EDFFD2A"/>
    <w:rsid w:val="7EF56FBB"/>
    <w:rsid w:val="7EFF24B9"/>
    <w:rsid w:val="7F0768EB"/>
    <w:rsid w:val="7F0A3A81"/>
    <w:rsid w:val="7F143BEC"/>
    <w:rsid w:val="7F2B74D0"/>
    <w:rsid w:val="7F39BB2C"/>
    <w:rsid w:val="7F401C7A"/>
    <w:rsid w:val="7F4852A5"/>
    <w:rsid w:val="7F5B0127"/>
    <w:rsid w:val="7F715AF2"/>
    <w:rsid w:val="7F75563A"/>
    <w:rsid w:val="7F7A15FD"/>
    <w:rsid w:val="7F7BD085"/>
    <w:rsid w:val="7F7E7357"/>
    <w:rsid w:val="7F886E69"/>
    <w:rsid w:val="7F8FE6F6"/>
    <w:rsid w:val="7F96C818"/>
    <w:rsid w:val="7F9FA92D"/>
    <w:rsid w:val="7FA1628F"/>
    <w:rsid w:val="7FAF5D85"/>
    <w:rsid w:val="7FB83E5C"/>
    <w:rsid w:val="7FBA2CB8"/>
    <w:rsid w:val="7FBB5645"/>
    <w:rsid w:val="7FBD0FF3"/>
    <w:rsid w:val="7FBF056B"/>
    <w:rsid w:val="7FEBD86B"/>
    <w:rsid w:val="7FEF6AFA"/>
    <w:rsid w:val="7FFABC17"/>
    <w:rsid w:val="7FFB52BE"/>
    <w:rsid w:val="7FFBD784"/>
    <w:rsid w:val="7FFC2623"/>
    <w:rsid w:val="7FFD321C"/>
    <w:rsid w:val="7FFE1E72"/>
    <w:rsid w:val="7FFF2985"/>
    <w:rsid w:val="7FFFD7C9"/>
    <w:rsid w:val="847C2306"/>
    <w:rsid w:val="8ED804F7"/>
    <w:rsid w:val="99F7FEF2"/>
    <w:rsid w:val="9ADF773E"/>
    <w:rsid w:val="9BDEDDD4"/>
    <w:rsid w:val="9C9201A6"/>
    <w:rsid w:val="9CF3E5FA"/>
    <w:rsid w:val="9D7F44F8"/>
    <w:rsid w:val="9FB68974"/>
    <w:rsid w:val="9FFB9FD4"/>
    <w:rsid w:val="A37753F1"/>
    <w:rsid w:val="A6F6F895"/>
    <w:rsid w:val="A7BACF6B"/>
    <w:rsid w:val="A7FF59E2"/>
    <w:rsid w:val="AF776EDE"/>
    <w:rsid w:val="AF8BCC54"/>
    <w:rsid w:val="B69EC5FF"/>
    <w:rsid w:val="B717DFBC"/>
    <w:rsid w:val="B79B24C8"/>
    <w:rsid w:val="B7D3F9BE"/>
    <w:rsid w:val="B7FBFAF5"/>
    <w:rsid w:val="B8FE79B0"/>
    <w:rsid w:val="B9FDAA30"/>
    <w:rsid w:val="BA7B23C6"/>
    <w:rsid w:val="BB6DDE3F"/>
    <w:rsid w:val="BB7FA927"/>
    <w:rsid w:val="BD97FC7A"/>
    <w:rsid w:val="BECB17A3"/>
    <w:rsid w:val="BEDFD654"/>
    <w:rsid w:val="BEE36D67"/>
    <w:rsid w:val="BEF46CD6"/>
    <w:rsid w:val="BEF75C94"/>
    <w:rsid w:val="BEFFC298"/>
    <w:rsid w:val="BF4DEEA1"/>
    <w:rsid w:val="BF5B0BDB"/>
    <w:rsid w:val="BFBF33AB"/>
    <w:rsid w:val="BFEDE997"/>
    <w:rsid w:val="BFFDF825"/>
    <w:rsid w:val="C72E52CE"/>
    <w:rsid w:val="C7BCF733"/>
    <w:rsid w:val="C7BE6BAB"/>
    <w:rsid w:val="CABCB0F0"/>
    <w:rsid w:val="CBFF2C9A"/>
    <w:rsid w:val="CE71E742"/>
    <w:rsid w:val="CF33095A"/>
    <w:rsid w:val="CF6BB66F"/>
    <w:rsid w:val="CFD70009"/>
    <w:rsid w:val="CFEFC7C6"/>
    <w:rsid w:val="CFF73AB9"/>
    <w:rsid w:val="D39B02C7"/>
    <w:rsid w:val="D7D730E8"/>
    <w:rsid w:val="D7DBDCAD"/>
    <w:rsid w:val="D7DF7128"/>
    <w:rsid w:val="D7FBEA98"/>
    <w:rsid w:val="D7FF2771"/>
    <w:rsid w:val="D9BB6662"/>
    <w:rsid w:val="DA63B1BB"/>
    <w:rsid w:val="DB4D0533"/>
    <w:rsid w:val="DBD6EB2B"/>
    <w:rsid w:val="DBE186AD"/>
    <w:rsid w:val="DC7F254B"/>
    <w:rsid w:val="DDDF21BF"/>
    <w:rsid w:val="DDEEC61C"/>
    <w:rsid w:val="DEF3DEDC"/>
    <w:rsid w:val="DFBD1903"/>
    <w:rsid w:val="DFBF5EC7"/>
    <w:rsid w:val="DFEB8F74"/>
    <w:rsid w:val="DFFD2055"/>
    <w:rsid w:val="E1FDC1E3"/>
    <w:rsid w:val="E7F65816"/>
    <w:rsid w:val="E7FE37EB"/>
    <w:rsid w:val="E9DFDBD2"/>
    <w:rsid w:val="EAFCCCDB"/>
    <w:rsid w:val="EAFD4970"/>
    <w:rsid w:val="EB2F6553"/>
    <w:rsid w:val="EBB60580"/>
    <w:rsid w:val="ED7F3F49"/>
    <w:rsid w:val="EDED32A7"/>
    <w:rsid w:val="EE5E81C3"/>
    <w:rsid w:val="EE7739E4"/>
    <w:rsid w:val="EE7782E1"/>
    <w:rsid w:val="EEFF52C5"/>
    <w:rsid w:val="EF8F910A"/>
    <w:rsid w:val="EFDF48FF"/>
    <w:rsid w:val="F1FD41BB"/>
    <w:rsid w:val="F277DDF3"/>
    <w:rsid w:val="F36DEEFB"/>
    <w:rsid w:val="F3F745B5"/>
    <w:rsid w:val="F3FB9059"/>
    <w:rsid w:val="F3FF5FDB"/>
    <w:rsid w:val="F577DE0E"/>
    <w:rsid w:val="F5FB5EFD"/>
    <w:rsid w:val="F5FFD31F"/>
    <w:rsid w:val="F64B7664"/>
    <w:rsid w:val="F66BF0C2"/>
    <w:rsid w:val="F6BFD523"/>
    <w:rsid w:val="F6DEAAF7"/>
    <w:rsid w:val="F74DEC2B"/>
    <w:rsid w:val="F7AF3EC8"/>
    <w:rsid w:val="F7F91E89"/>
    <w:rsid w:val="F7FD05D8"/>
    <w:rsid w:val="F8BFD1FC"/>
    <w:rsid w:val="F8F7C015"/>
    <w:rsid w:val="F9132960"/>
    <w:rsid w:val="F9B904BB"/>
    <w:rsid w:val="F9BE3A20"/>
    <w:rsid w:val="FAFFB9FD"/>
    <w:rsid w:val="FB310175"/>
    <w:rsid w:val="FB8FB0BB"/>
    <w:rsid w:val="FBBFC4FD"/>
    <w:rsid w:val="FBDE1AAA"/>
    <w:rsid w:val="FBE63981"/>
    <w:rsid w:val="FBEE94B7"/>
    <w:rsid w:val="FBF2253A"/>
    <w:rsid w:val="FBF355AC"/>
    <w:rsid w:val="FBF72FEA"/>
    <w:rsid w:val="FCDE166F"/>
    <w:rsid w:val="FCF34C10"/>
    <w:rsid w:val="FD3FBDB9"/>
    <w:rsid w:val="FD6B5B59"/>
    <w:rsid w:val="FD79BA57"/>
    <w:rsid w:val="FDA3D3B8"/>
    <w:rsid w:val="FDAF060E"/>
    <w:rsid w:val="FDDF1E79"/>
    <w:rsid w:val="FDF397DB"/>
    <w:rsid w:val="FDF7B96B"/>
    <w:rsid w:val="FDFE3D8A"/>
    <w:rsid w:val="FE23631B"/>
    <w:rsid w:val="FE67E4B2"/>
    <w:rsid w:val="FE76588F"/>
    <w:rsid w:val="FED72F75"/>
    <w:rsid w:val="FEEE4FE3"/>
    <w:rsid w:val="FEF5E198"/>
    <w:rsid w:val="FEF9F4B5"/>
    <w:rsid w:val="FEFD352B"/>
    <w:rsid w:val="FEFF3B9C"/>
    <w:rsid w:val="FF37276D"/>
    <w:rsid w:val="FF50642E"/>
    <w:rsid w:val="FF772D98"/>
    <w:rsid w:val="FF7F425E"/>
    <w:rsid w:val="FFAE8307"/>
    <w:rsid w:val="FFB6DEDD"/>
    <w:rsid w:val="FFBF4C05"/>
    <w:rsid w:val="FFBF6839"/>
    <w:rsid w:val="FFC52006"/>
    <w:rsid w:val="FFD7DE39"/>
    <w:rsid w:val="FFDEEE6D"/>
    <w:rsid w:val="FFEC929E"/>
    <w:rsid w:val="FFEF1D1C"/>
    <w:rsid w:val="FFEF22EC"/>
    <w:rsid w:val="FFF9F885"/>
    <w:rsid w:val="FFFA9856"/>
    <w:rsid w:val="FFFB292A"/>
    <w:rsid w:val="FFFD2173"/>
    <w:rsid w:val="FFFDC84F"/>
    <w:rsid w:val="FFFEC0CF"/>
    <w:rsid w:val="FFFED8FC"/>
    <w:rsid w:val="FFFF0BBC"/>
    <w:rsid w:val="FFFF0C3A"/>
    <w:rsid w:val="FFFF232C"/>
    <w:rsid w:val="FFFFB8F0"/>
    <w:rsid w:val="FFFFC260"/>
    <w:rsid w:val="FFFFDE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tabs>
        <w:tab w:val="left" w:pos="900"/>
      </w:tabs>
      <w:spacing w:before="260" w:after="260" w:line="416" w:lineRule="auto"/>
      <w:ind w:left="900" w:hanging="720"/>
      <w:outlineLvl w:val="2"/>
    </w:pPr>
  </w:style>
  <w:style w:type="paragraph" w:styleId="5">
    <w:name w:val="heading 4"/>
    <w:basedOn w:val="1"/>
    <w:next w:val="1"/>
    <w:link w:val="3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6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0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4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21"/>
    <w:qFormat/>
    <w:uiPriority w:val="0"/>
    <w:pPr>
      <w:shd w:val="clear" w:color="auto" w:fill="000080"/>
    </w:pPr>
  </w:style>
  <w:style w:type="paragraph" w:styleId="19">
    <w:name w:val="toa heading"/>
    <w:basedOn w:val="1"/>
    <w:next w:val="1"/>
    <w:qFormat/>
    <w:uiPriority w:val="0"/>
    <w:pPr>
      <w:spacing w:before="120" w:line="360" w:lineRule="auto"/>
    </w:pPr>
    <w:rPr>
      <w:rFonts w:ascii="Arial" w:hAnsi="Arial" w:eastAsia="楷体_GB2312" w:cs="Arial"/>
      <w:sz w:val="24"/>
    </w:rPr>
  </w:style>
  <w:style w:type="paragraph" w:styleId="20">
    <w:name w:val="annotation text"/>
    <w:basedOn w:val="1"/>
    <w:link w:val="361"/>
    <w:qFormat/>
    <w:uiPriority w:val="99"/>
    <w:pPr>
      <w:jc w:val="left"/>
    </w:pPr>
  </w:style>
  <w:style w:type="paragraph" w:styleId="21">
    <w:name w:val="Salutation"/>
    <w:basedOn w:val="1"/>
    <w:next w:val="1"/>
    <w:link w:val="315"/>
    <w:qFormat/>
    <w:uiPriority w:val="0"/>
    <w:rPr>
      <w:rFonts w:ascii="仿宋_GB2312" w:eastAsia="仿宋_GB2312"/>
      <w:sz w:val="28"/>
      <w:szCs w:val="20"/>
    </w:rPr>
  </w:style>
  <w:style w:type="paragraph" w:styleId="22">
    <w:name w:val="Body Text 3"/>
    <w:basedOn w:val="1"/>
    <w:link w:val="34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4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38"/>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84"/>
    <w:qFormat/>
    <w:uiPriority w:val="0"/>
    <w:pPr>
      <w:spacing w:line="480" w:lineRule="exact"/>
      <w:ind w:firstLine="480" w:firstLineChars="200"/>
    </w:pPr>
    <w:rPr>
      <w:rFonts w:ascii="宋体" w:hAnsi="宋体"/>
      <w:sz w:val="24"/>
    </w:rPr>
  </w:style>
  <w:style w:type="paragraph" w:styleId="28">
    <w:name w:val="Body Text First Indent 2"/>
    <w:basedOn w:val="1"/>
    <w:next w:val="1"/>
    <w:link w:val="140"/>
    <w:qFormat/>
    <w:uiPriority w:val="0"/>
    <w:pPr>
      <w:adjustRightInd/>
      <w:spacing w:after="120"/>
      <w:ind w:left="420" w:leftChars="200" w:firstLine="21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3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4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200"/>
    <w:qFormat/>
    <w:uiPriority w:val="0"/>
    <w:pPr>
      <w:ind w:left="100" w:leftChars="2500"/>
    </w:pPr>
    <w:rPr>
      <w:rFonts w:ascii="宋体"/>
      <w:sz w:val="24"/>
      <w:szCs w:val="21"/>
      <w:lang w:val="zh-CN"/>
    </w:rPr>
  </w:style>
  <w:style w:type="paragraph" w:styleId="40">
    <w:name w:val="Body Text Indent 2"/>
    <w:basedOn w:val="1"/>
    <w:link w:val="325"/>
    <w:qFormat/>
    <w:uiPriority w:val="0"/>
    <w:pPr>
      <w:spacing w:line="360" w:lineRule="auto"/>
      <w:ind w:firstLine="601"/>
      <w:textAlignment w:val="baseline"/>
    </w:pPr>
    <w:rPr>
      <w:rFonts w:ascii="宋体"/>
      <w:kern w:val="0"/>
      <w:sz w:val="28"/>
      <w:szCs w:val="20"/>
    </w:rPr>
  </w:style>
  <w:style w:type="paragraph" w:styleId="41">
    <w:name w:val="endnote text"/>
    <w:basedOn w:val="1"/>
    <w:link w:val="937"/>
    <w:qFormat/>
    <w:uiPriority w:val="0"/>
    <w:rPr>
      <w:lang w:val="zh-CN"/>
    </w:rPr>
  </w:style>
  <w:style w:type="paragraph" w:styleId="42">
    <w:name w:val="Balloon Text"/>
    <w:basedOn w:val="1"/>
    <w:link w:val="207"/>
    <w:qFormat/>
    <w:uiPriority w:val="0"/>
    <w:rPr>
      <w:sz w:val="18"/>
      <w:szCs w:val="18"/>
    </w:rPr>
  </w:style>
  <w:style w:type="paragraph" w:styleId="43">
    <w:name w:val="footer"/>
    <w:basedOn w:val="1"/>
    <w:link w:val="399"/>
    <w:qFormat/>
    <w:uiPriority w:val="99"/>
    <w:pPr>
      <w:tabs>
        <w:tab w:val="center" w:pos="4153"/>
        <w:tab w:val="right" w:pos="8306"/>
      </w:tabs>
      <w:snapToGrid w:val="0"/>
      <w:jc w:val="left"/>
    </w:pPr>
    <w:rPr>
      <w:sz w:val="18"/>
      <w:szCs w:val="18"/>
    </w:rPr>
  </w:style>
  <w:style w:type="paragraph" w:styleId="44">
    <w:name w:val="envelope return"/>
    <w:basedOn w:val="1"/>
    <w:qFormat/>
    <w:uiPriority w:val="0"/>
    <w:pPr>
      <w:widowControl/>
      <w:spacing w:line="220" w:lineRule="atLeast"/>
      <w:ind w:firstLine="181"/>
      <w:jc w:val="left"/>
      <w:textAlignment w:val="baseline"/>
    </w:pPr>
    <w:rPr>
      <w:rFonts w:ascii="Arial" w:hAnsi="Arial"/>
      <w:kern w:val="0"/>
      <w:sz w:val="18"/>
      <w:szCs w:val="20"/>
    </w:rPr>
  </w:style>
  <w:style w:type="paragraph" w:styleId="45">
    <w:name w:val="header"/>
    <w:basedOn w:val="1"/>
    <w:link w:val="408"/>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62"/>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5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link w:val="327"/>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91"/>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19"/>
    <w:qFormat/>
    <w:uiPriority w:val="0"/>
    <w:pPr>
      <w:spacing w:after="120" w:line="480" w:lineRule="auto"/>
    </w:pPr>
  </w:style>
  <w:style w:type="paragraph" w:styleId="60">
    <w:name w:val="HTML Preformatted"/>
    <w:basedOn w:val="1"/>
    <w:link w:val="3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305"/>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15"/>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TML Definition"/>
    <w:basedOn w:val="71"/>
    <w:qFormat/>
    <w:uiPriority w:val="0"/>
    <w:rPr>
      <w:i/>
      <w:iCs/>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Keyboard"/>
    <w:basedOn w:val="71"/>
    <w:qFormat/>
    <w:uiPriority w:val="0"/>
    <w:rPr>
      <w:rFonts w:ascii="Segoe UI" w:hAnsi="Segoe UI" w:eastAsia="Segoe UI" w:cs="Segoe UI"/>
      <w:sz w:val="21"/>
      <w:szCs w:val="21"/>
    </w:rPr>
  </w:style>
  <w:style w:type="character" w:styleId="83">
    <w:name w:val="HTML Sample"/>
    <w:basedOn w:val="71"/>
    <w:qFormat/>
    <w:uiPriority w:val="0"/>
    <w:rPr>
      <w:rFonts w:hint="default" w:ascii="Segoe UI" w:hAnsi="Segoe UI" w:eastAsia="Segoe UI" w:cs="Segoe UI"/>
      <w:sz w:val="21"/>
      <w:szCs w:val="21"/>
    </w:rPr>
  </w:style>
  <w:style w:type="paragraph" w:customStyle="1" w:styleId="84">
    <w:name w:val="_Style 3"/>
    <w:basedOn w:val="1"/>
    <w:qFormat/>
    <w:uiPriority w:val="0"/>
    <w:pPr>
      <w:adjustRightInd/>
      <w:ind w:firstLine="420" w:firstLineChars="200"/>
    </w:pPr>
    <w:rPr>
      <w:rFonts w:eastAsia="仿宋_GB2312"/>
      <w:sz w:val="28"/>
    </w:rPr>
  </w:style>
  <w:style w:type="character" w:customStyle="1" w:styleId="85">
    <w:name w:val="标题 2 Char"/>
    <w:qFormat/>
    <w:uiPriority w:val="0"/>
    <w:rPr>
      <w:rFonts w:ascii="Arial" w:hAnsi="Arial" w:eastAsia="黑体"/>
      <w:b/>
      <w:kern w:val="2"/>
      <w:sz w:val="32"/>
      <w:lang w:val="en-US" w:eastAsia="zh-CN"/>
    </w:rPr>
  </w:style>
  <w:style w:type="character" w:customStyle="1" w:styleId="86">
    <w:name w:val="标题 1 字符"/>
    <w:qFormat/>
    <w:uiPriority w:val="9"/>
    <w:rPr>
      <w:rFonts w:ascii="Arial" w:hAnsi="Arial" w:eastAsia="黑体" w:cs="Arial"/>
      <w:b/>
      <w:bCs/>
      <w:snapToGrid w:val="0"/>
      <w:kern w:val="44"/>
      <w:sz w:val="44"/>
      <w:szCs w:val="44"/>
    </w:rPr>
  </w:style>
  <w:style w:type="character" w:customStyle="1" w:styleId="87">
    <w:name w:val="标题 4 字符"/>
    <w:qFormat/>
    <w:uiPriority w:val="9"/>
    <w:rPr>
      <w:rFonts w:ascii="等线 Light" w:hAnsi="等线 Light" w:eastAsia="等线 Light" w:cs="Times New Roman"/>
      <w:b/>
      <w:bCs/>
      <w:snapToGrid w:val="0"/>
      <w:kern w:val="0"/>
      <w:sz w:val="28"/>
      <w:szCs w:val="28"/>
    </w:rPr>
  </w:style>
  <w:style w:type="character" w:customStyle="1" w:styleId="88">
    <w:name w:val="标题 5 字符"/>
    <w:link w:val="6"/>
    <w:qFormat/>
    <w:uiPriority w:val="9"/>
    <w:rPr>
      <w:b/>
      <w:bCs/>
      <w:kern w:val="2"/>
      <w:sz w:val="28"/>
      <w:szCs w:val="28"/>
    </w:rPr>
  </w:style>
  <w:style w:type="paragraph" w:customStyle="1" w:styleId="8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9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91">
    <w:name w:val="样式9"/>
    <w:basedOn w:val="1"/>
    <w:next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
    <w:name w:val="表格"/>
    <w:basedOn w:val="1"/>
    <w:qFormat/>
    <w:uiPriority w:val="0"/>
    <w:pPr>
      <w:snapToGrid w:val="0"/>
      <w:ind w:firstLine="42" w:firstLineChars="21"/>
    </w:pPr>
    <w:rPr>
      <w:rFonts w:ascii="宋体" w:hAnsi="宋体"/>
      <w:kern w:val="0"/>
      <w:sz w:val="20"/>
      <w:szCs w:val="20"/>
    </w:rPr>
  </w:style>
  <w:style w:type="character" w:customStyle="1" w:styleId="93">
    <w:name w:val="表格 Char Char"/>
    <w:qFormat/>
    <w:uiPriority w:val="0"/>
    <w:rPr>
      <w:rFonts w:ascii="宋体" w:hAnsi="宋体" w:eastAsia="宋体"/>
      <w:lang w:bidi="ar-SA"/>
    </w:rPr>
  </w:style>
  <w:style w:type="paragraph" w:customStyle="1" w:styleId="9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9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9">
    <w:name w:val="样式 标题 1 + 四号 加粗"/>
    <w:basedOn w:val="2"/>
    <w:qFormat/>
    <w:uiPriority w:val="0"/>
    <w:pPr>
      <w:tabs>
        <w:tab w:val="clear" w:pos="432"/>
      </w:tabs>
      <w:adjustRightInd/>
      <w:ind w:left="0" w:firstLine="0"/>
    </w:pPr>
    <w:rPr>
      <w:rFonts w:eastAsia="黑体"/>
    </w:rPr>
  </w:style>
  <w:style w:type="paragraph" w:customStyle="1" w:styleId="100">
    <w:name w:val="[Normal]"/>
    <w:qFormat/>
    <w:uiPriority w:val="0"/>
    <w:rPr>
      <w:rFonts w:ascii="宋体" w:hAnsi="宋体" w:eastAsia="宋体" w:cs="Times New Roman"/>
      <w:sz w:val="24"/>
      <w:szCs w:val="22"/>
      <w:lang w:val="zh-CN" w:eastAsia="zh-CN" w:bidi="ar-SA"/>
    </w:rPr>
  </w:style>
  <w:style w:type="character" w:customStyle="1" w:styleId="101">
    <w:name w:val="表格非标题文字 Char"/>
    <w:link w:val="102"/>
    <w:qFormat/>
    <w:uiPriority w:val="0"/>
    <w:rPr>
      <w:rFonts w:ascii="Futura Bk" w:hAnsi="Futura Bk"/>
      <w:kern w:val="2"/>
      <w:sz w:val="18"/>
      <w:szCs w:val="21"/>
      <w:lang w:val="en-US" w:eastAsia="zh-CN" w:bidi="ar-SA"/>
    </w:rPr>
  </w:style>
  <w:style w:type="paragraph" w:customStyle="1" w:styleId="102">
    <w:name w:val="表格非标题文字"/>
    <w:link w:val="10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3">
    <w:name w:val="*正文 Char"/>
    <w:link w:val="104"/>
    <w:qFormat/>
    <w:locked/>
    <w:uiPriority w:val="0"/>
    <w:rPr>
      <w:rFonts w:ascii="宋体" w:hAnsi="宋体"/>
      <w:sz w:val="24"/>
    </w:rPr>
  </w:style>
  <w:style w:type="paragraph" w:customStyle="1" w:styleId="104">
    <w:name w:val="*正文"/>
    <w:basedOn w:val="1"/>
    <w:link w:val="103"/>
    <w:qFormat/>
    <w:uiPriority w:val="0"/>
    <w:pPr>
      <w:snapToGrid w:val="0"/>
      <w:spacing w:line="360" w:lineRule="auto"/>
      <w:ind w:firstLine="482"/>
      <w:jc w:val="left"/>
    </w:pPr>
    <w:rPr>
      <w:rFonts w:ascii="宋体" w:hAnsi="宋体"/>
      <w:kern w:val="0"/>
      <w:sz w:val="24"/>
      <w:szCs w:val="20"/>
    </w:rPr>
  </w:style>
  <w:style w:type="character" w:customStyle="1" w:styleId="105">
    <w:name w:val="Char Char71"/>
    <w:semiHidden/>
    <w:qFormat/>
    <w:uiPriority w:val="0"/>
    <w:rPr>
      <w:rFonts w:eastAsia="宋体"/>
      <w:kern w:val="2"/>
      <w:sz w:val="21"/>
      <w:szCs w:val="24"/>
      <w:lang w:val="en-US" w:eastAsia="zh-CN" w:bidi="ar-SA"/>
    </w:rPr>
  </w:style>
  <w:style w:type="character" w:customStyle="1" w:styleId="106">
    <w:name w:val="Char Char6"/>
    <w:qFormat/>
    <w:uiPriority w:val="0"/>
    <w:rPr>
      <w:rFonts w:eastAsia="宋体"/>
      <w:kern w:val="2"/>
      <w:sz w:val="21"/>
      <w:szCs w:val="24"/>
      <w:lang w:val="en-US" w:eastAsia="zh-CN" w:bidi="ar-SA"/>
    </w:rPr>
  </w:style>
  <w:style w:type="character" w:customStyle="1" w:styleId="107">
    <w:name w:val="正文缩进 Char"/>
    <w:qFormat/>
    <w:uiPriority w:val="0"/>
    <w:rPr>
      <w:rFonts w:eastAsia="宋体"/>
      <w:kern w:val="2"/>
      <w:sz w:val="21"/>
      <w:lang w:val="en-US" w:eastAsia="zh-CN"/>
    </w:rPr>
  </w:style>
  <w:style w:type="character" w:customStyle="1" w:styleId="108">
    <w:name w:val="正文首行缩进 Char1"/>
    <w:qFormat/>
    <w:uiPriority w:val="0"/>
    <w:rPr>
      <w:rFonts w:ascii="宋体" w:hAnsi="Times New Roman" w:eastAsia="宋体" w:cs="Times New Roman"/>
      <w:snapToGrid w:val="0"/>
      <w:kern w:val="2"/>
      <w:sz w:val="24"/>
      <w:szCs w:val="21"/>
      <w:lang w:val="zh-CN"/>
    </w:rPr>
  </w:style>
  <w:style w:type="character" w:customStyle="1" w:styleId="109">
    <w:name w:val="Char Char28"/>
    <w:qFormat/>
    <w:uiPriority w:val="6"/>
    <w:rPr>
      <w:rFonts w:ascii="仿宋_GB2312" w:hAnsi="仿宋_GB2312" w:eastAsia="仿宋_GB2312"/>
      <w:kern w:val="1"/>
      <w:sz w:val="28"/>
    </w:rPr>
  </w:style>
  <w:style w:type="character" w:customStyle="1" w:styleId="11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11">
    <w:name w:val="Heading 1 Char"/>
    <w:qFormat/>
    <w:uiPriority w:val="6"/>
    <w:rPr>
      <w:rFonts w:ascii="Times New Roman" w:hAnsi="Times New Roman" w:eastAsia="黑体" w:cs="Times New Roman"/>
      <w:b/>
      <w:kern w:val="0"/>
      <w:sz w:val="24"/>
      <w:szCs w:val="24"/>
    </w:rPr>
  </w:style>
  <w:style w:type="character" w:customStyle="1" w:styleId="112">
    <w:name w:val="U_正文 Char"/>
    <w:link w:val="113"/>
    <w:qFormat/>
    <w:uiPriority w:val="0"/>
    <w:rPr>
      <w:sz w:val="24"/>
      <w:szCs w:val="24"/>
    </w:rPr>
  </w:style>
  <w:style w:type="paragraph" w:customStyle="1" w:styleId="113">
    <w:name w:val="U_正文"/>
    <w:basedOn w:val="1"/>
    <w:link w:val="112"/>
    <w:qFormat/>
    <w:uiPriority w:val="0"/>
    <w:pPr>
      <w:adjustRightInd/>
      <w:spacing w:beforeLines="20" w:afterLines="20" w:line="300" w:lineRule="auto"/>
      <w:ind w:firstLine="200" w:firstLineChars="200"/>
    </w:pPr>
    <w:rPr>
      <w:kern w:val="0"/>
      <w:sz w:val="24"/>
    </w:rPr>
  </w:style>
  <w:style w:type="character" w:customStyle="1" w:styleId="114">
    <w:name w:val="HTML 地址 Char1"/>
    <w:qFormat/>
    <w:uiPriority w:val="0"/>
    <w:rPr>
      <w:rFonts w:ascii="Times New Roman" w:hAnsi="Times New Roman" w:eastAsia="宋体" w:cs="Times New Roman"/>
      <w:i/>
      <w:iCs/>
      <w:szCs w:val="24"/>
    </w:rPr>
  </w:style>
  <w:style w:type="character" w:customStyle="1" w:styleId="115">
    <w:name w:val="批注主题 字符"/>
    <w:link w:val="63"/>
    <w:qFormat/>
    <w:uiPriority w:val="0"/>
    <w:rPr>
      <w:b/>
      <w:bCs/>
      <w:kern w:val="2"/>
      <w:sz w:val="21"/>
      <w:szCs w:val="24"/>
    </w:rPr>
  </w:style>
  <w:style w:type="character" w:customStyle="1" w:styleId="116">
    <w:name w:val="Char Char51"/>
    <w:qFormat/>
    <w:uiPriority w:val="0"/>
    <w:rPr>
      <w:rFonts w:ascii="宋体" w:hAnsi="Courier New" w:eastAsia="宋体"/>
      <w:kern w:val="2"/>
      <w:sz w:val="21"/>
      <w:lang w:val="en-US" w:eastAsia="zh-CN"/>
    </w:rPr>
  </w:style>
  <w:style w:type="character" w:customStyle="1" w:styleId="117">
    <w:name w:val="表正文 Char"/>
    <w:qFormat/>
    <w:uiPriority w:val="0"/>
    <w:rPr>
      <w:rFonts w:ascii="宋体" w:eastAsia="宋体"/>
      <w:snapToGrid w:val="0"/>
      <w:color w:val="000000"/>
      <w:kern w:val="28"/>
      <w:sz w:val="28"/>
      <w:lang w:val="en-US" w:eastAsia="zh-CN" w:bidi="ar-SA"/>
    </w:rPr>
  </w:style>
  <w:style w:type="character" w:customStyle="1" w:styleId="118">
    <w:name w:val="Char Char34"/>
    <w:qFormat/>
    <w:uiPriority w:val="6"/>
    <w:rPr>
      <w:b/>
      <w:kern w:val="1"/>
      <w:sz w:val="28"/>
      <w:szCs w:val="28"/>
    </w:rPr>
  </w:style>
  <w:style w:type="character" w:customStyle="1" w:styleId="11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20">
    <w:name w:val="哈哈正文 Char"/>
    <w:link w:val="121"/>
    <w:qFormat/>
    <w:uiPriority w:val="0"/>
    <w:rPr>
      <w:rFonts w:ascii="宋体" w:hAnsi="宋体" w:eastAsia="宋体"/>
      <w:kern w:val="2"/>
      <w:sz w:val="24"/>
      <w:lang w:bidi="ar-SA"/>
    </w:rPr>
  </w:style>
  <w:style w:type="paragraph" w:customStyle="1" w:styleId="121">
    <w:name w:val="哈哈正文"/>
    <w:basedOn w:val="1"/>
    <w:link w:val="120"/>
    <w:qFormat/>
    <w:uiPriority w:val="0"/>
    <w:pPr>
      <w:adjustRightInd/>
      <w:spacing w:line="360" w:lineRule="auto"/>
      <w:ind w:firstLine="200" w:firstLineChars="200"/>
    </w:pPr>
    <w:rPr>
      <w:rFonts w:ascii="宋体" w:hAnsi="宋体"/>
      <w:sz w:val="24"/>
      <w:szCs w:val="20"/>
    </w:rPr>
  </w:style>
  <w:style w:type="character" w:customStyle="1" w:styleId="122">
    <w:name w:val="未处理的提及1"/>
    <w:qFormat/>
    <w:uiPriority w:val="0"/>
    <w:rPr>
      <w:color w:val="808080"/>
      <w:shd w:val="clear" w:color="auto" w:fill="E6E6E6"/>
    </w:rPr>
  </w:style>
  <w:style w:type="character" w:customStyle="1" w:styleId="123">
    <w:name w:val="txt"/>
    <w:qFormat/>
    <w:uiPriority w:val="0"/>
    <w:rPr>
      <w:rFonts w:ascii="仿宋_GB2312" w:eastAsia="微软雅黑"/>
      <w:b/>
      <w:kern w:val="2"/>
      <w:sz w:val="32"/>
      <w:szCs w:val="32"/>
      <w:lang w:val="en-US" w:eastAsia="zh-CN" w:bidi="ar-SA"/>
    </w:rPr>
  </w:style>
  <w:style w:type="character" w:customStyle="1" w:styleId="124">
    <w:name w:val="二级标题 Char Char"/>
    <w:qFormat/>
    <w:uiPriority w:val="0"/>
    <w:rPr>
      <w:rFonts w:ascii="宋体" w:hAnsi="宋体" w:eastAsia="宋体"/>
      <w:b/>
      <w:snapToGrid w:val="0"/>
      <w:kern w:val="2"/>
      <w:sz w:val="24"/>
      <w:szCs w:val="24"/>
      <w:lang w:val="en-US" w:eastAsia="zh-CN" w:bidi="ar-SA"/>
    </w:rPr>
  </w:style>
  <w:style w:type="character" w:customStyle="1" w:styleId="125">
    <w:name w:val="Char Char32"/>
    <w:qFormat/>
    <w:uiPriority w:val="6"/>
    <w:rPr>
      <w:b/>
      <w:kern w:val="1"/>
      <w:sz w:val="24"/>
      <w:szCs w:val="24"/>
    </w:rPr>
  </w:style>
  <w:style w:type="character" w:customStyle="1" w:styleId="126">
    <w:name w:val="PI Char1"/>
    <w:qFormat/>
    <w:uiPriority w:val="0"/>
    <w:rPr>
      <w:rFonts w:ascii="宋体" w:hAnsi="宋体"/>
      <w:kern w:val="2"/>
      <w:sz w:val="24"/>
      <w:szCs w:val="24"/>
    </w:rPr>
  </w:style>
  <w:style w:type="character" w:customStyle="1" w:styleId="127">
    <w:name w:val="tw4winTerm"/>
    <w:qFormat/>
    <w:uiPriority w:val="0"/>
    <w:rPr>
      <w:color w:val="0000FF"/>
    </w:rPr>
  </w:style>
  <w:style w:type="character" w:customStyle="1" w:styleId="128">
    <w:name w:val="Footer Char"/>
    <w:qFormat/>
    <w:locked/>
    <w:uiPriority w:val="0"/>
    <w:rPr>
      <w:rFonts w:eastAsia="宋体"/>
      <w:kern w:val="2"/>
      <w:sz w:val="18"/>
      <w:lang w:val="en-US" w:eastAsia="zh-CN" w:bidi="ar-SA"/>
    </w:rPr>
  </w:style>
  <w:style w:type="character" w:customStyle="1" w:styleId="129">
    <w:name w:val="普通文字 Char Char1"/>
    <w:qFormat/>
    <w:uiPriority w:val="0"/>
    <w:rPr>
      <w:rFonts w:ascii="宋体" w:hAnsi="Courier New"/>
      <w:kern w:val="2"/>
      <w:sz w:val="21"/>
    </w:rPr>
  </w:style>
  <w:style w:type="character" w:customStyle="1" w:styleId="130">
    <w:name w:val="Char Char101"/>
    <w:qFormat/>
    <w:uiPriority w:val="6"/>
    <w:rPr>
      <w:rFonts w:ascii="宋体" w:hAnsi="宋体"/>
      <w:kern w:val="2"/>
      <w:sz w:val="21"/>
      <w:szCs w:val="24"/>
      <w:lang w:val="en-US" w:eastAsia="zh-CN"/>
    </w:rPr>
  </w:style>
  <w:style w:type="character" w:customStyle="1" w:styleId="131">
    <w:name w:val="标题 4 Char"/>
    <w:qFormat/>
    <w:uiPriority w:val="0"/>
    <w:rPr>
      <w:rFonts w:ascii="Arial" w:hAnsi="Arial" w:eastAsia="黑体"/>
      <w:b/>
      <w:kern w:val="2"/>
      <w:sz w:val="28"/>
    </w:rPr>
  </w:style>
  <w:style w:type="character" w:customStyle="1" w:styleId="132">
    <w:name w:val="链接"/>
    <w:qFormat/>
    <w:uiPriority w:val="0"/>
    <w:rPr>
      <w:color w:val="0000FF"/>
      <w:sz w:val="21"/>
      <w:szCs w:val="21"/>
      <w:u w:val="single"/>
    </w:rPr>
  </w:style>
  <w:style w:type="character" w:customStyle="1" w:styleId="133">
    <w:name w:val="h4 Char"/>
    <w:qFormat/>
    <w:uiPriority w:val="0"/>
    <w:rPr>
      <w:rFonts w:ascii="Arial" w:hAnsi="Arial" w:eastAsia="黑体"/>
      <w:b/>
      <w:bCs/>
      <w:kern w:val="2"/>
      <w:sz w:val="28"/>
      <w:szCs w:val="28"/>
      <w:lang w:val="zh-CN" w:eastAsia="zh-CN" w:bidi="ar-SA"/>
    </w:rPr>
  </w:style>
  <w:style w:type="character" w:customStyle="1" w:styleId="134">
    <w:name w:val="5正文 Char"/>
    <w:link w:val="135"/>
    <w:qFormat/>
    <w:uiPriority w:val="0"/>
    <w:rPr>
      <w:rFonts w:ascii="仿宋_GB2312" w:hAnsi="微软雅黑" w:eastAsia="仿宋_GB2312"/>
      <w:sz w:val="28"/>
      <w:szCs w:val="21"/>
    </w:rPr>
  </w:style>
  <w:style w:type="paragraph" w:customStyle="1" w:styleId="135">
    <w:name w:val="5正文"/>
    <w:basedOn w:val="1"/>
    <w:link w:val="13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36">
    <w:name w:val="标题 3 字符"/>
    <w:qFormat/>
    <w:uiPriority w:val="9"/>
    <w:rPr>
      <w:b/>
      <w:bCs/>
      <w:kern w:val="2"/>
      <w:sz w:val="32"/>
      <w:szCs w:val="32"/>
    </w:rPr>
  </w:style>
  <w:style w:type="character" w:customStyle="1" w:styleId="137">
    <w:name w:val="样式6 Char"/>
    <w:qFormat/>
    <w:uiPriority w:val="0"/>
    <w:rPr>
      <w:rFonts w:ascii="仿宋_GB2312" w:hAnsi="宋体" w:eastAsia="仿宋_GB2312"/>
      <w:b/>
      <w:bCs/>
      <w:kern w:val="2"/>
      <w:sz w:val="24"/>
      <w:szCs w:val="24"/>
      <w:lang w:val="en-US" w:eastAsia="zh-CN" w:bidi="ar-SA"/>
    </w:rPr>
  </w:style>
  <w:style w:type="character" w:customStyle="1" w:styleId="138">
    <w:name w:val="Char Char14"/>
    <w:qFormat/>
    <w:uiPriority w:val="6"/>
    <w:rPr>
      <w:rFonts w:ascii="黑体" w:hAnsi="黑体" w:eastAsia="黑体"/>
    </w:rPr>
  </w:style>
  <w:style w:type="character" w:customStyle="1" w:styleId="139">
    <w:name w:val="Heading 2 Hidden Char"/>
    <w:qFormat/>
    <w:uiPriority w:val="0"/>
    <w:rPr>
      <w:rFonts w:ascii="仿宋_GB2312" w:eastAsia="仿宋_GB2312"/>
      <w:b/>
      <w:bCs/>
      <w:kern w:val="2"/>
      <w:sz w:val="24"/>
      <w:szCs w:val="24"/>
      <w:lang w:val="zh-CN" w:eastAsia="zh-CN" w:bidi="ar-SA"/>
    </w:rPr>
  </w:style>
  <w:style w:type="character" w:customStyle="1" w:styleId="140">
    <w:name w:val="正文首行缩进 2 字符"/>
    <w:link w:val="28"/>
    <w:qFormat/>
    <w:uiPriority w:val="0"/>
    <w:rPr>
      <w:rFonts w:ascii="宋体" w:hAnsi="宋体"/>
      <w:kern w:val="2"/>
      <w:sz w:val="21"/>
      <w:szCs w:val="24"/>
    </w:rPr>
  </w:style>
  <w:style w:type="character" w:customStyle="1" w:styleId="141">
    <w:name w:val="font11"/>
    <w:basedOn w:val="71"/>
    <w:qFormat/>
    <w:uiPriority w:val="0"/>
    <w:rPr>
      <w:rFonts w:hint="default" w:ascii="Times New Roman" w:hAnsi="Times New Roman" w:cs="Times New Roman"/>
      <w:color w:val="000000"/>
      <w:sz w:val="22"/>
      <w:szCs w:val="22"/>
      <w:u w:val="none"/>
    </w:rPr>
  </w:style>
  <w:style w:type="character" w:customStyle="1" w:styleId="142">
    <w:name w:val="表正文 Char1"/>
    <w:qFormat/>
    <w:uiPriority w:val="0"/>
    <w:rPr>
      <w:rFonts w:ascii="宋体" w:eastAsia="宋体"/>
      <w:snapToGrid w:val="0"/>
      <w:color w:val="000000"/>
      <w:kern w:val="28"/>
      <w:sz w:val="28"/>
    </w:rPr>
  </w:style>
  <w:style w:type="character" w:customStyle="1" w:styleId="143">
    <w:name w:val="blue1"/>
    <w:basedOn w:val="71"/>
    <w:qFormat/>
    <w:uiPriority w:val="0"/>
    <w:rPr>
      <w:rFonts w:ascii="Arial" w:hAnsi="Arial" w:eastAsia="黑体" w:cs="Arial"/>
      <w:snapToGrid w:val="0"/>
      <w:kern w:val="0"/>
      <w:szCs w:val="21"/>
    </w:rPr>
  </w:style>
  <w:style w:type="character" w:customStyle="1" w:styleId="144">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45">
    <w:name w:val="标书1 Char"/>
    <w:qFormat/>
    <w:uiPriority w:val="0"/>
    <w:rPr>
      <w:rFonts w:eastAsia="宋体"/>
      <w:b/>
      <w:bCs/>
      <w:kern w:val="44"/>
      <w:sz w:val="44"/>
      <w:szCs w:val="44"/>
      <w:lang w:val="en-US" w:eastAsia="zh-CN" w:bidi="ar-SA"/>
    </w:rPr>
  </w:style>
  <w:style w:type="character" w:customStyle="1" w:styleId="146">
    <w:name w:val="样式5 Char"/>
    <w:qFormat/>
    <w:uiPriority w:val="0"/>
    <w:rPr>
      <w:rFonts w:ascii="仿宋_GB2312" w:hAnsi="仿宋" w:eastAsia="仿宋_GB2312"/>
      <w:kern w:val="2"/>
      <w:sz w:val="24"/>
      <w:szCs w:val="24"/>
    </w:rPr>
  </w:style>
  <w:style w:type="character" w:customStyle="1" w:styleId="147">
    <w:name w:val="样式4 Char"/>
    <w:qFormat/>
    <w:uiPriority w:val="0"/>
    <w:rPr>
      <w:rFonts w:ascii="仿宋_GB2312" w:hAnsi="仿宋" w:eastAsia="仿宋_GB2312"/>
      <w:b/>
      <w:kern w:val="2"/>
      <w:sz w:val="32"/>
      <w:szCs w:val="32"/>
      <w:lang w:bidi="ar-SA"/>
    </w:rPr>
  </w:style>
  <w:style w:type="character" w:customStyle="1" w:styleId="148">
    <w:name w:val="插图说明 Char"/>
    <w:qFormat/>
    <w:uiPriority w:val="0"/>
    <w:rPr>
      <w:rFonts w:eastAsia="黑体"/>
      <w:sz w:val="24"/>
      <w:lang w:val="en-US" w:eastAsia="zh-CN"/>
    </w:rPr>
  </w:style>
  <w:style w:type="character" w:customStyle="1" w:styleId="149">
    <w:name w:val="正文2 Char Char"/>
    <w:link w:val="150"/>
    <w:qFormat/>
    <w:uiPriority w:val="0"/>
    <w:rPr>
      <w:rFonts w:eastAsia="宋体"/>
      <w:kern w:val="2"/>
      <w:sz w:val="24"/>
      <w:lang w:val="en-US" w:eastAsia="zh-CN" w:bidi="ar-SA"/>
    </w:rPr>
  </w:style>
  <w:style w:type="paragraph" w:customStyle="1" w:styleId="150">
    <w:name w:val="正文2"/>
    <w:basedOn w:val="1"/>
    <w:link w:val="149"/>
    <w:qFormat/>
    <w:uiPriority w:val="0"/>
    <w:pPr>
      <w:spacing w:before="156" w:line="360" w:lineRule="auto"/>
      <w:ind w:firstLine="510" w:firstLineChars="200"/>
    </w:pPr>
    <w:rPr>
      <w:sz w:val="24"/>
      <w:szCs w:val="20"/>
    </w:rPr>
  </w:style>
  <w:style w:type="character" w:customStyle="1" w:styleId="151">
    <w:name w:val="Char Char24"/>
    <w:qFormat/>
    <w:uiPriority w:val="6"/>
    <w:rPr>
      <w:kern w:val="1"/>
      <w:sz w:val="21"/>
    </w:rPr>
  </w:style>
  <w:style w:type="character" w:customStyle="1" w:styleId="152">
    <w:name w:val="副标题 字符"/>
    <w:link w:val="51"/>
    <w:qFormat/>
    <w:uiPriority w:val="0"/>
    <w:rPr>
      <w:rFonts w:ascii="Arial" w:hAnsi="Arial" w:eastAsia="隶书"/>
      <w:b/>
      <w:bCs/>
      <w:kern w:val="28"/>
      <w:sz w:val="44"/>
      <w:szCs w:val="32"/>
      <w:lang w:val="en-US" w:eastAsia="zh-CN" w:bidi="ar-SA"/>
    </w:rPr>
  </w:style>
  <w:style w:type="character" w:customStyle="1" w:styleId="153">
    <w:name w:val="普通文字 Char1 Char"/>
    <w:qFormat/>
    <w:uiPriority w:val="0"/>
    <w:rPr>
      <w:rFonts w:ascii="宋体" w:hAnsi="Courier New" w:eastAsia="宋体"/>
      <w:kern w:val="2"/>
      <w:sz w:val="21"/>
      <w:szCs w:val="24"/>
      <w:lang w:val="en-US" w:eastAsia="zh-CN" w:bidi="ar-SA"/>
    </w:rPr>
  </w:style>
  <w:style w:type="character" w:customStyle="1" w:styleId="154">
    <w:name w:val="h3 Char1"/>
    <w:qFormat/>
    <w:uiPriority w:val="0"/>
    <w:rPr>
      <w:rFonts w:eastAsia="宋体"/>
      <w:b/>
      <w:bCs/>
      <w:kern w:val="2"/>
      <w:sz w:val="32"/>
      <w:szCs w:val="32"/>
      <w:lang w:bidi="ar-SA"/>
    </w:rPr>
  </w:style>
  <w:style w:type="character" w:customStyle="1" w:styleId="155">
    <w:name w:val="标题 Char1"/>
    <w:qFormat/>
    <w:uiPriority w:val="0"/>
    <w:rPr>
      <w:rFonts w:ascii="Cambria" w:hAnsi="Cambria" w:eastAsia="宋体" w:cs="Times New Roman"/>
      <w:b/>
      <w:bCs/>
      <w:sz w:val="32"/>
      <w:szCs w:val="32"/>
      <w:lang w:bidi="ar-SA"/>
    </w:rPr>
  </w:style>
  <w:style w:type="character" w:customStyle="1" w:styleId="156">
    <w:name w:val="gf正文1 Char"/>
    <w:qFormat/>
    <w:uiPriority w:val="0"/>
    <w:rPr>
      <w:rFonts w:ascii="宋体" w:hAnsi="宋体" w:eastAsia="宋体" w:cs="宋体"/>
      <w:kern w:val="2"/>
      <w:sz w:val="24"/>
      <w:szCs w:val="24"/>
      <w:lang w:val="en-US" w:eastAsia="zh-CN" w:bidi="ar-SA"/>
    </w:rPr>
  </w:style>
  <w:style w:type="character" w:customStyle="1" w:styleId="157">
    <w:name w:val="正文文本缩进 Char1"/>
    <w:qFormat/>
    <w:uiPriority w:val="0"/>
    <w:rPr>
      <w:rFonts w:ascii="Calibri" w:hAnsi="Calibri"/>
      <w:sz w:val="28"/>
    </w:rPr>
  </w:style>
  <w:style w:type="character" w:customStyle="1" w:styleId="158">
    <w:name w:val="No Spacing Char"/>
    <w:link w:val="159"/>
    <w:qFormat/>
    <w:uiPriority w:val="1"/>
    <w:rPr>
      <w:sz w:val="22"/>
      <w:szCs w:val="22"/>
      <w:lang w:val="en-US" w:eastAsia="zh-CN" w:bidi="ar-SA"/>
    </w:rPr>
  </w:style>
  <w:style w:type="paragraph" w:customStyle="1" w:styleId="159">
    <w:name w:val="无间隔1"/>
    <w:link w:val="158"/>
    <w:qFormat/>
    <w:uiPriority w:val="1"/>
    <w:rPr>
      <w:rFonts w:ascii="Times New Roman" w:hAnsi="Times New Roman" w:eastAsia="宋体" w:cs="Times New Roman"/>
      <w:sz w:val="22"/>
      <w:szCs w:val="22"/>
      <w:lang w:val="en-US" w:eastAsia="zh-CN" w:bidi="ar-SA"/>
    </w:rPr>
  </w:style>
  <w:style w:type="character" w:customStyle="1" w:styleId="160">
    <w:name w:val="样式7 Char"/>
    <w:qFormat/>
    <w:uiPriority w:val="0"/>
    <w:rPr>
      <w:rFonts w:ascii="仿宋_GB2312" w:hAnsi="仿宋" w:eastAsia="仿宋_GB2312"/>
      <w:b/>
      <w:kern w:val="2"/>
      <w:sz w:val="24"/>
      <w:szCs w:val="24"/>
    </w:rPr>
  </w:style>
  <w:style w:type="character" w:customStyle="1" w:styleId="161">
    <w:name w:val="font12gray1"/>
    <w:qFormat/>
    <w:uiPriority w:val="0"/>
    <w:rPr>
      <w:rFonts w:ascii="仿宋_GB2312" w:eastAsia="微软雅黑"/>
      <w:b/>
      <w:spacing w:val="300"/>
      <w:kern w:val="2"/>
      <w:sz w:val="18"/>
      <w:szCs w:val="18"/>
      <w:lang w:val="en-US" w:eastAsia="zh-CN" w:bidi="ar-SA"/>
    </w:rPr>
  </w:style>
  <w:style w:type="character" w:customStyle="1" w:styleId="162">
    <w:name w:val="Char Char7"/>
    <w:semiHidden/>
    <w:qFormat/>
    <w:uiPriority w:val="0"/>
    <w:rPr>
      <w:rFonts w:eastAsia="宋体"/>
      <w:kern w:val="2"/>
      <w:sz w:val="21"/>
      <w:szCs w:val="24"/>
      <w:lang w:val="en-US" w:eastAsia="zh-CN" w:bidi="ar-SA"/>
    </w:rPr>
  </w:style>
  <w:style w:type="character" w:customStyle="1" w:styleId="163">
    <w:name w:val="表名 Char"/>
    <w:qFormat/>
    <w:uiPriority w:val="0"/>
    <w:rPr>
      <w:rFonts w:eastAsia="宋体"/>
      <w:b/>
      <w:bCs/>
      <w:kern w:val="2"/>
      <w:sz w:val="24"/>
      <w:szCs w:val="24"/>
      <w:lang w:val="en-US" w:eastAsia="zh-CN" w:bidi="ar-SA"/>
    </w:rPr>
  </w:style>
  <w:style w:type="character" w:customStyle="1" w:styleId="164">
    <w:name w:val="Document Map Char"/>
    <w:qFormat/>
    <w:locked/>
    <w:uiPriority w:val="0"/>
    <w:rPr>
      <w:rFonts w:eastAsia="宋体"/>
      <w:kern w:val="2"/>
      <w:sz w:val="21"/>
      <w:szCs w:val="24"/>
      <w:lang w:val="en-US" w:eastAsia="zh-CN" w:bidi="ar-SA"/>
    </w:rPr>
  </w:style>
  <w:style w:type="character" w:customStyle="1" w:styleId="165">
    <w:name w:val="font41"/>
    <w:qFormat/>
    <w:uiPriority w:val="0"/>
    <w:rPr>
      <w:rFonts w:hint="eastAsia" w:ascii="仿宋_GB2312" w:eastAsia="仿宋_GB2312" w:cs="仿宋_GB2312"/>
      <w:color w:val="000000"/>
      <w:sz w:val="22"/>
      <w:szCs w:val="22"/>
      <w:u w:val="none"/>
    </w:rPr>
  </w:style>
  <w:style w:type="character" w:customStyle="1" w:styleId="166">
    <w:name w:val="标题 6 字符"/>
    <w:link w:val="7"/>
    <w:qFormat/>
    <w:uiPriority w:val="0"/>
    <w:rPr>
      <w:rFonts w:ascii="Arial" w:hAnsi="Arial" w:eastAsia="黑体"/>
      <w:b/>
      <w:bCs/>
      <w:kern w:val="2"/>
      <w:sz w:val="24"/>
      <w:szCs w:val="24"/>
    </w:rPr>
  </w:style>
  <w:style w:type="character" w:customStyle="1" w:styleId="167">
    <w:name w:val="纯文本 Char_0"/>
    <w:link w:val="168"/>
    <w:qFormat/>
    <w:uiPriority w:val="0"/>
    <w:rPr>
      <w:rFonts w:ascii="宋体" w:hAnsi="Courier New"/>
      <w:kern w:val="2"/>
      <w:sz w:val="21"/>
      <w:szCs w:val="21"/>
      <w:lang w:val="en-US" w:eastAsia="zh-CN"/>
    </w:rPr>
  </w:style>
  <w:style w:type="paragraph" w:customStyle="1" w:styleId="168">
    <w:name w:val="纯文本_0_0"/>
    <w:basedOn w:val="169"/>
    <w:link w:val="167"/>
    <w:qFormat/>
    <w:uiPriority w:val="0"/>
    <w:rPr>
      <w:rFonts w:ascii="宋体" w:hAnsi="Courier New"/>
      <w:szCs w:val="21"/>
    </w:rPr>
  </w:style>
  <w:style w:type="paragraph" w:customStyle="1" w:styleId="16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0">
    <w:name w:val="Balloon Text Char"/>
    <w:qFormat/>
    <w:locked/>
    <w:uiPriority w:val="0"/>
    <w:rPr>
      <w:rFonts w:eastAsia="宋体"/>
      <w:kern w:val="2"/>
      <w:sz w:val="18"/>
      <w:szCs w:val="18"/>
      <w:lang w:val="en-US" w:eastAsia="zh-CN" w:bidi="ar-SA"/>
    </w:rPr>
  </w:style>
  <w:style w:type="character" w:customStyle="1" w:styleId="171">
    <w:name w:val="正文 项目2 Char"/>
    <w:basedOn w:val="172"/>
    <w:qFormat/>
    <w:uiPriority w:val="0"/>
    <w:rPr>
      <w:rFonts w:ascii="仿宋_GB2312" w:hAnsi="仿宋_GB2312" w:eastAsia="仿宋_GB2312"/>
      <w:kern w:val="2"/>
      <w:sz w:val="24"/>
      <w:lang w:bidi="ar-SA"/>
    </w:rPr>
  </w:style>
  <w:style w:type="character" w:customStyle="1" w:styleId="172">
    <w:name w:val="正文 项目 Char"/>
    <w:qFormat/>
    <w:uiPriority w:val="0"/>
    <w:rPr>
      <w:rFonts w:ascii="仿宋_GB2312" w:hAnsi="仿宋_GB2312" w:eastAsia="仿宋_GB2312"/>
      <w:kern w:val="2"/>
      <w:sz w:val="24"/>
      <w:lang w:bidi="ar-SA"/>
    </w:rPr>
  </w:style>
  <w:style w:type="character" w:customStyle="1" w:styleId="173">
    <w:name w:val="h Char Char1"/>
    <w:qFormat/>
    <w:uiPriority w:val="0"/>
    <w:rPr>
      <w:rFonts w:eastAsia="宋体"/>
      <w:kern w:val="2"/>
      <w:sz w:val="18"/>
      <w:szCs w:val="18"/>
      <w:lang w:val="en-US" w:eastAsia="zh-CN" w:bidi="ar-SA"/>
    </w:rPr>
  </w:style>
  <w:style w:type="character" w:customStyle="1" w:styleId="174">
    <w:name w:val="Char Char27"/>
    <w:qFormat/>
    <w:uiPriority w:val="6"/>
    <w:rPr>
      <w:rFonts w:ascii="宋体" w:hAnsi="宋体" w:eastAsia="宋体"/>
      <w:color w:val="000000"/>
      <w:kern w:val="1"/>
      <w:sz w:val="28"/>
      <w:lang w:val="en-US" w:eastAsia="zh-CN" w:bidi="ar-SA"/>
    </w:rPr>
  </w:style>
  <w:style w:type="character" w:customStyle="1" w:styleId="175">
    <w:name w:val="px14"/>
    <w:qFormat/>
    <w:uiPriority w:val="0"/>
    <w:rPr>
      <w:rFonts w:ascii="仿宋_GB2312" w:eastAsia="微软雅黑" w:cs="Times New Roman"/>
      <w:b/>
      <w:kern w:val="2"/>
      <w:sz w:val="32"/>
      <w:szCs w:val="32"/>
      <w:lang w:val="en-US" w:eastAsia="zh-CN" w:bidi="ar-SA"/>
    </w:rPr>
  </w:style>
  <w:style w:type="character" w:customStyle="1" w:styleId="176">
    <w:name w:val="HTML 预设格式 Char1"/>
    <w:qFormat/>
    <w:uiPriority w:val="0"/>
    <w:rPr>
      <w:rFonts w:ascii="Courier New" w:hAnsi="Courier New" w:eastAsia="宋体" w:cs="Courier New"/>
      <w:sz w:val="20"/>
      <w:szCs w:val="20"/>
    </w:rPr>
  </w:style>
  <w:style w:type="character" w:customStyle="1" w:styleId="177">
    <w:name w:val="普通文字 Char1"/>
    <w:qFormat/>
    <w:uiPriority w:val="0"/>
    <w:rPr>
      <w:rFonts w:ascii="宋体" w:hAnsi="Courier New" w:eastAsia="宋体"/>
      <w:kern w:val="2"/>
      <w:sz w:val="21"/>
      <w:lang w:val="en-US" w:eastAsia="zh-CN"/>
    </w:rPr>
  </w:style>
  <w:style w:type="character" w:customStyle="1" w:styleId="178">
    <w:name w:val="hei16b1"/>
    <w:qFormat/>
    <w:uiPriority w:val="0"/>
    <w:rPr>
      <w:rFonts w:hint="default" w:ascii="Arial" w:hAnsi="Arial" w:cs="Arial"/>
      <w:b/>
      <w:bCs/>
      <w:color w:val="000000"/>
      <w:sz w:val="24"/>
      <w:szCs w:val="24"/>
    </w:rPr>
  </w:style>
  <w:style w:type="character" w:customStyle="1" w:styleId="179">
    <w:name w:val="正文（绿盟科技） Char"/>
    <w:link w:val="180"/>
    <w:qFormat/>
    <w:uiPriority w:val="0"/>
    <w:rPr>
      <w:rFonts w:ascii="Arial" w:hAnsi="Arial"/>
      <w:sz w:val="21"/>
      <w:szCs w:val="21"/>
    </w:rPr>
  </w:style>
  <w:style w:type="paragraph" w:customStyle="1" w:styleId="180">
    <w:name w:val="正文（绿盟科技）"/>
    <w:link w:val="179"/>
    <w:qFormat/>
    <w:uiPriority w:val="0"/>
    <w:pPr>
      <w:spacing w:line="300" w:lineRule="auto"/>
    </w:pPr>
    <w:rPr>
      <w:rFonts w:ascii="Arial" w:hAnsi="Arial" w:eastAsia="宋体" w:cs="Times New Roman"/>
      <w:sz w:val="21"/>
      <w:szCs w:val="21"/>
      <w:lang w:val="en-US" w:eastAsia="zh-CN" w:bidi="ar-SA"/>
    </w:rPr>
  </w:style>
  <w:style w:type="character" w:customStyle="1" w:styleId="181">
    <w:name w:val="Char Char19"/>
    <w:qFormat/>
    <w:uiPriority w:val="6"/>
    <w:rPr>
      <w:rFonts w:ascii="宋体" w:hAnsi="宋体"/>
      <w:i/>
      <w:sz w:val="24"/>
      <w:szCs w:val="24"/>
    </w:rPr>
  </w:style>
  <w:style w:type="character" w:customStyle="1" w:styleId="182">
    <w:name w:val="页脚 Char"/>
    <w:qFormat/>
    <w:uiPriority w:val="0"/>
    <w:rPr>
      <w:rFonts w:eastAsia="仿宋_GB2312"/>
      <w:kern w:val="2"/>
      <w:sz w:val="18"/>
      <w:lang w:val="en-US" w:eastAsia="zh-CN"/>
    </w:rPr>
  </w:style>
  <w:style w:type="character" w:customStyle="1" w:styleId="183">
    <w:name w:val="批注主题 Char"/>
    <w:qFormat/>
    <w:uiPriority w:val="0"/>
    <w:rPr>
      <w:rFonts w:eastAsia="宋体"/>
      <w:b/>
      <w:bCs/>
      <w:kern w:val="2"/>
      <w:sz w:val="21"/>
      <w:szCs w:val="24"/>
      <w:lang w:val="en-US" w:eastAsia="zh-CN" w:bidi="ar-SA"/>
    </w:rPr>
  </w:style>
  <w:style w:type="character" w:customStyle="1" w:styleId="184">
    <w:name w:val="Comment Text Char"/>
    <w:qFormat/>
    <w:locked/>
    <w:uiPriority w:val="0"/>
    <w:rPr>
      <w:rFonts w:ascii="宋体" w:hAnsi="宋体" w:eastAsia="宋体"/>
      <w:kern w:val="2"/>
      <w:sz w:val="24"/>
      <w:lang w:val="en-US" w:eastAsia="zh-CN" w:bidi="ar-SA"/>
    </w:rPr>
  </w:style>
  <w:style w:type="character" w:customStyle="1" w:styleId="185">
    <w:name w:val="标题 2 字符"/>
    <w:qFormat/>
    <w:uiPriority w:val="1"/>
    <w:rPr>
      <w:rFonts w:ascii="仿宋_GB2312" w:hAnsi="Times New Roman" w:eastAsia="仿宋_GB2312" w:cs="Times New Roman"/>
      <w:b/>
      <w:kern w:val="2"/>
      <w:sz w:val="24"/>
      <w:lang w:val="zh-CN"/>
    </w:rPr>
  </w:style>
  <w:style w:type="character" w:customStyle="1" w:styleId="186">
    <w:name w:val="Char Char72"/>
    <w:qFormat/>
    <w:uiPriority w:val="0"/>
    <w:rPr>
      <w:rFonts w:eastAsia="宋体"/>
      <w:kern w:val="2"/>
      <w:sz w:val="21"/>
      <w:szCs w:val="24"/>
      <w:lang w:val="en-US" w:eastAsia="zh-CN" w:bidi="ar-SA"/>
    </w:rPr>
  </w:style>
  <w:style w:type="character" w:customStyle="1" w:styleId="187">
    <w:name w:val="正文文本缩进 Char2"/>
    <w:qFormat/>
    <w:uiPriority w:val="0"/>
    <w:rPr>
      <w:rFonts w:ascii="Times New Roman" w:hAnsi="Times New Roman" w:eastAsia="宋体" w:cs="Times New Roman"/>
      <w:snapToGrid w:val="0"/>
      <w:kern w:val="0"/>
      <w:szCs w:val="24"/>
    </w:rPr>
  </w:style>
  <w:style w:type="character" w:customStyle="1" w:styleId="188">
    <w:name w:val="样式2 Char"/>
    <w:qFormat/>
    <w:uiPriority w:val="0"/>
    <w:rPr>
      <w:rFonts w:ascii="仿宋_GB2312" w:hAnsi="仿宋" w:eastAsia="仿宋_GB2312" w:cs="仿宋_GB2312"/>
      <w:b/>
      <w:bCs/>
      <w:sz w:val="32"/>
      <w:szCs w:val="30"/>
      <w:lang w:val="zh-CN"/>
    </w:rPr>
  </w:style>
  <w:style w:type="character" w:customStyle="1" w:styleId="189">
    <w:name w:val="表格名称[858D7CFB-ED40-4347-BF05-701D383B685F]"/>
    <w:link w:val="190"/>
    <w:qFormat/>
    <w:uiPriority w:val="0"/>
    <w:rPr>
      <w:sz w:val="32"/>
    </w:rPr>
  </w:style>
  <w:style w:type="paragraph" w:customStyle="1" w:styleId="190">
    <w:name w:val="表格名称"/>
    <w:basedOn w:val="3"/>
    <w:link w:val="18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1">
    <w:name w:val="Char Char4"/>
    <w:qFormat/>
    <w:uiPriority w:val="0"/>
    <w:rPr>
      <w:rFonts w:eastAsia="宋体"/>
      <w:b/>
      <w:sz w:val="24"/>
      <w:lang w:val="en-GB" w:eastAsia="zh-CN" w:bidi="ar-SA"/>
    </w:rPr>
  </w:style>
  <w:style w:type="character" w:customStyle="1" w:styleId="192">
    <w:name w:val="c7 style3"/>
    <w:qFormat/>
    <w:uiPriority w:val="0"/>
  </w:style>
  <w:style w:type="character" w:customStyle="1" w:styleId="193">
    <w:name w:val="正文文本 3 Char1"/>
    <w:semiHidden/>
    <w:qFormat/>
    <w:uiPriority w:val="99"/>
    <w:rPr>
      <w:rFonts w:ascii="Times New Roman" w:hAnsi="Times New Roman" w:eastAsia="宋体" w:cs="Times New Roman"/>
      <w:sz w:val="16"/>
      <w:szCs w:val="16"/>
    </w:rPr>
  </w:style>
  <w:style w:type="character" w:customStyle="1" w:styleId="194">
    <w:name w:val="tw4winInternal"/>
    <w:qFormat/>
    <w:uiPriority w:val="0"/>
    <w:rPr>
      <w:rFonts w:ascii="Courier New" w:hAnsi="Courier New" w:cs="Courier New"/>
      <w:color w:val="FF0000"/>
      <w:lang w:val="en-US" w:eastAsia="zh-CN"/>
    </w:rPr>
  </w:style>
  <w:style w:type="character" w:customStyle="1" w:styleId="195">
    <w:name w:val="Char Char10"/>
    <w:semiHidden/>
    <w:qFormat/>
    <w:uiPriority w:val="0"/>
    <w:rPr>
      <w:rFonts w:ascii="宋体" w:hAnsi="宋体"/>
      <w:kern w:val="2"/>
      <w:sz w:val="21"/>
      <w:szCs w:val="24"/>
      <w:lang w:val="en-US" w:eastAsia="zh-CN"/>
    </w:rPr>
  </w:style>
  <w:style w:type="character" w:customStyle="1" w:styleId="196">
    <w:name w:val="shadow11"/>
    <w:qFormat/>
    <w:uiPriority w:val="0"/>
    <w:rPr>
      <w:color w:val="000000"/>
      <w:sz w:val="21"/>
    </w:rPr>
  </w:style>
  <w:style w:type="character" w:customStyle="1" w:styleId="197">
    <w:name w:val="正文非缩进 Char3"/>
    <w:qFormat/>
    <w:uiPriority w:val="0"/>
    <w:rPr>
      <w:rFonts w:ascii="宋体" w:eastAsia="宋体"/>
      <w:snapToGrid w:val="0"/>
      <w:color w:val="000000"/>
      <w:kern w:val="28"/>
      <w:sz w:val="28"/>
      <w:lang w:val="en-US" w:eastAsia="zh-CN" w:bidi="ar-SA"/>
    </w:rPr>
  </w:style>
  <w:style w:type="character" w:customStyle="1" w:styleId="198">
    <w:name w:val="Char Char"/>
    <w:qFormat/>
    <w:uiPriority w:val="0"/>
    <w:rPr>
      <w:rFonts w:ascii="宋体" w:hAnsi="Courier New" w:eastAsia="宋体"/>
      <w:kern w:val="2"/>
      <w:sz w:val="21"/>
      <w:lang w:val="en-US" w:eastAsia="zh-CN" w:bidi="ar-SA"/>
    </w:rPr>
  </w:style>
  <w:style w:type="character" w:customStyle="1" w:styleId="199">
    <w:name w:val="签名 Char1"/>
    <w:qFormat/>
    <w:uiPriority w:val="0"/>
    <w:rPr>
      <w:rFonts w:ascii="Times New Roman" w:hAnsi="Times New Roman" w:eastAsia="宋体" w:cs="Times New Roman"/>
      <w:szCs w:val="24"/>
    </w:rPr>
  </w:style>
  <w:style w:type="character" w:customStyle="1" w:styleId="200">
    <w:name w:val="日期 字符"/>
    <w:link w:val="39"/>
    <w:qFormat/>
    <w:uiPriority w:val="0"/>
    <w:rPr>
      <w:rFonts w:ascii="宋体"/>
      <w:kern w:val="2"/>
      <w:sz w:val="24"/>
      <w:szCs w:val="21"/>
      <w:lang w:val="zh-CN"/>
    </w:rPr>
  </w:style>
  <w:style w:type="character" w:customStyle="1" w:styleId="201">
    <w:name w:val="标题 9 字符"/>
    <w:link w:val="10"/>
    <w:qFormat/>
    <w:uiPriority w:val="0"/>
    <w:rPr>
      <w:rFonts w:ascii="Arial" w:hAnsi="Arial" w:eastAsia="黑体"/>
      <w:kern w:val="2"/>
      <w:sz w:val="21"/>
      <w:szCs w:val="21"/>
    </w:rPr>
  </w:style>
  <w:style w:type="character" w:customStyle="1" w:styleId="202">
    <w:name w:val="Char Char18"/>
    <w:qFormat/>
    <w:uiPriority w:val="6"/>
    <w:rPr>
      <w:rFonts w:ascii="宋体" w:hAnsi="宋体"/>
      <w:sz w:val="28"/>
    </w:rPr>
  </w:style>
  <w:style w:type="character" w:customStyle="1" w:styleId="203">
    <w:name w:val="批注文字 Char"/>
    <w:qFormat/>
    <w:uiPriority w:val="99"/>
    <w:rPr>
      <w:kern w:val="2"/>
      <w:sz w:val="21"/>
      <w:szCs w:val="24"/>
    </w:rPr>
  </w:style>
  <w:style w:type="character" w:customStyle="1" w:styleId="204">
    <w:name w:val="Char Char22"/>
    <w:qFormat/>
    <w:uiPriority w:val="6"/>
    <w:rPr>
      <w:rFonts w:ascii="宋体" w:hAnsi="宋体"/>
      <w:kern w:val="1"/>
      <w:sz w:val="24"/>
      <w:szCs w:val="24"/>
    </w:rPr>
  </w:style>
  <w:style w:type="character" w:customStyle="1" w:styleId="205">
    <w:name w:val="pt141"/>
    <w:qFormat/>
    <w:uiPriority w:val="0"/>
    <w:rPr>
      <w:color w:val="330066"/>
      <w:sz w:val="22"/>
      <w:szCs w:val="22"/>
    </w:rPr>
  </w:style>
  <w:style w:type="character" w:customStyle="1" w:styleId="206">
    <w:name w:val="正文文本缩进 2 Char1"/>
    <w:semiHidden/>
    <w:qFormat/>
    <w:uiPriority w:val="99"/>
    <w:rPr>
      <w:rFonts w:ascii="Times New Roman" w:hAnsi="Times New Roman" w:eastAsia="宋体" w:cs="Times New Roman"/>
      <w:szCs w:val="24"/>
    </w:rPr>
  </w:style>
  <w:style w:type="character" w:customStyle="1" w:styleId="207">
    <w:name w:val="批注框文本 字符1"/>
    <w:link w:val="42"/>
    <w:qFormat/>
    <w:uiPriority w:val="0"/>
    <w:rPr>
      <w:kern w:val="2"/>
      <w:sz w:val="18"/>
      <w:szCs w:val="18"/>
    </w:rPr>
  </w:style>
  <w:style w:type="character" w:customStyle="1" w:styleId="208">
    <w:name w:val="Char Char611"/>
    <w:qFormat/>
    <w:uiPriority w:val="0"/>
    <w:rPr>
      <w:rFonts w:eastAsia="宋体"/>
      <w:kern w:val="2"/>
      <w:sz w:val="21"/>
      <w:szCs w:val="24"/>
      <w:lang w:val="en-US" w:eastAsia="zh-CN" w:bidi="ar-SA"/>
    </w:rPr>
  </w:style>
  <w:style w:type="character" w:customStyle="1" w:styleId="209">
    <w:name w:val="highlight1"/>
    <w:qFormat/>
    <w:uiPriority w:val="0"/>
    <w:rPr>
      <w:rFonts w:ascii="仿宋_GB2312" w:eastAsia="微软雅黑"/>
      <w:b/>
      <w:kern w:val="2"/>
      <w:sz w:val="23"/>
      <w:szCs w:val="23"/>
      <w:lang w:val="en-US" w:eastAsia="zh-CN" w:bidi="ar-SA"/>
    </w:rPr>
  </w:style>
  <w:style w:type="character" w:customStyle="1" w:styleId="210">
    <w:name w:val="my正文 Char"/>
    <w:link w:val="211"/>
    <w:qFormat/>
    <w:locked/>
    <w:uiPriority w:val="0"/>
    <w:rPr>
      <w:rFonts w:ascii="Tahoma" w:hAnsi="Tahoma"/>
      <w:sz w:val="24"/>
      <w:szCs w:val="24"/>
    </w:rPr>
  </w:style>
  <w:style w:type="paragraph" w:customStyle="1" w:styleId="211">
    <w:name w:val="my正文"/>
    <w:basedOn w:val="1"/>
    <w:link w:val="210"/>
    <w:qFormat/>
    <w:uiPriority w:val="0"/>
    <w:pPr>
      <w:adjustRightInd/>
      <w:spacing w:line="360" w:lineRule="auto"/>
      <w:ind w:firstLine="480" w:firstLineChars="200"/>
    </w:pPr>
    <w:rPr>
      <w:rFonts w:ascii="Tahoma" w:hAnsi="Tahoma"/>
      <w:kern w:val="0"/>
      <w:sz w:val="24"/>
    </w:rPr>
  </w:style>
  <w:style w:type="character" w:customStyle="1" w:styleId="212">
    <w:name w:val="正文缩进 字符2"/>
    <w:link w:val="15"/>
    <w:qFormat/>
    <w:uiPriority w:val="0"/>
    <w:rPr>
      <w:rFonts w:ascii="宋体" w:eastAsia="宋体"/>
      <w:snapToGrid w:val="0"/>
      <w:color w:val="000000"/>
      <w:kern w:val="28"/>
      <w:sz w:val="28"/>
      <w:lang w:val="en-US" w:eastAsia="zh-CN" w:bidi="ar-SA"/>
    </w:rPr>
  </w:style>
  <w:style w:type="character" w:customStyle="1" w:styleId="213">
    <w:name w:val="Used by Word for text of Help footnotes Char Char1"/>
    <w:qFormat/>
    <w:uiPriority w:val="0"/>
    <w:rPr>
      <w:color w:val="0000FF"/>
      <w:sz w:val="21"/>
    </w:rPr>
  </w:style>
  <w:style w:type="character" w:customStyle="1" w:styleId="214">
    <w:name w:val="页眉 Char"/>
    <w:qFormat/>
    <w:uiPriority w:val="0"/>
    <w:rPr>
      <w:rFonts w:eastAsia="仿宋_GB2312"/>
      <w:kern w:val="2"/>
      <w:sz w:val="18"/>
      <w:lang w:val="en-US" w:eastAsia="zh-CN"/>
    </w:rPr>
  </w:style>
  <w:style w:type="character" w:customStyle="1" w:styleId="215">
    <w:name w:val="FA正文 Char Char"/>
    <w:qFormat/>
    <w:uiPriority w:val="0"/>
    <w:rPr>
      <w:rFonts w:hAnsi="宋体"/>
      <w:kern w:val="2"/>
      <w:sz w:val="24"/>
      <w:lang w:bidi="ar-SA"/>
    </w:rPr>
  </w:style>
  <w:style w:type="character" w:customStyle="1" w:styleId="216">
    <w:name w:val="纯文本 字符"/>
    <w:qFormat/>
    <w:uiPriority w:val="0"/>
    <w:rPr>
      <w:rFonts w:ascii="宋体" w:hAnsi="Courier New" w:eastAsia="宋体" w:cs="Arial"/>
      <w:snapToGrid w:val="0"/>
      <w:kern w:val="2"/>
      <w:sz w:val="21"/>
      <w:szCs w:val="21"/>
      <w:lang w:val="en-US" w:eastAsia="zh-CN" w:bidi="ar-SA"/>
    </w:rPr>
  </w:style>
  <w:style w:type="character" w:customStyle="1" w:styleId="217">
    <w:name w:val="3级 Char"/>
    <w:link w:val="218"/>
    <w:qFormat/>
    <w:uiPriority w:val="0"/>
    <w:rPr>
      <w:rFonts w:ascii="宋体" w:hAnsi="宋体"/>
      <w:b/>
      <w:bCs/>
      <w:snapToGrid/>
      <w:sz w:val="28"/>
    </w:rPr>
  </w:style>
  <w:style w:type="paragraph" w:customStyle="1" w:styleId="218">
    <w:name w:val="3级"/>
    <w:basedOn w:val="219"/>
    <w:link w:val="217"/>
    <w:qFormat/>
    <w:uiPriority w:val="0"/>
    <w:pPr>
      <w:ind w:left="0" w:right="466" w:firstLine="288"/>
    </w:pPr>
    <w:rPr>
      <w:rFonts w:hAnsi="宋体"/>
      <w:snapToGrid/>
    </w:rPr>
  </w:style>
  <w:style w:type="paragraph" w:customStyle="1" w:styleId="219">
    <w:name w:val="样式 标题 3h33rd level3BOD 0H3l3CTHeading 3 - oldLevel 3 He..."/>
    <w:basedOn w:val="4"/>
    <w:qFormat/>
    <w:uiPriority w:val="99"/>
    <w:pPr>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220">
    <w:name w:val="myp11"/>
    <w:qFormat/>
    <w:uiPriority w:val="0"/>
    <w:rPr>
      <w:rFonts w:ascii="仿宋_GB2312" w:eastAsia="微软雅黑"/>
      <w:b/>
      <w:kern w:val="2"/>
      <w:sz w:val="32"/>
      <w:szCs w:val="32"/>
      <w:lang w:val="en-US" w:eastAsia="zh-CN" w:bidi="ar-SA"/>
    </w:rPr>
  </w:style>
  <w:style w:type="character" w:customStyle="1" w:styleId="221">
    <w:name w:val="文档结构图 字符"/>
    <w:link w:val="18"/>
    <w:qFormat/>
    <w:uiPriority w:val="0"/>
    <w:rPr>
      <w:kern w:val="2"/>
      <w:sz w:val="21"/>
      <w:szCs w:val="24"/>
      <w:shd w:val="clear" w:color="auto" w:fill="000080"/>
    </w:rPr>
  </w:style>
  <w:style w:type="character" w:customStyle="1" w:styleId="222">
    <w:name w:val="H6 Char"/>
    <w:qFormat/>
    <w:uiPriority w:val="0"/>
    <w:rPr>
      <w:rFonts w:ascii="Arial" w:hAnsi="Arial" w:eastAsia="黑体"/>
      <w:b/>
      <w:bCs/>
      <w:kern w:val="2"/>
      <w:sz w:val="24"/>
      <w:szCs w:val="24"/>
    </w:rPr>
  </w:style>
  <w:style w:type="character" w:customStyle="1" w:styleId="223">
    <w:name w:val="Char Char91"/>
    <w:qFormat/>
    <w:uiPriority w:val="0"/>
    <w:rPr>
      <w:rFonts w:eastAsia="宋体"/>
      <w:kern w:val="2"/>
      <w:sz w:val="18"/>
      <w:szCs w:val="18"/>
      <w:lang w:val="en-US" w:eastAsia="zh-CN" w:bidi="ar-SA"/>
    </w:rPr>
  </w:style>
  <w:style w:type="character" w:customStyle="1" w:styleId="224">
    <w:name w:val="副标题 Char1"/>
    <w:qFormat/>
    <w:uiPriority w:val="0"/>
    <w:rPr>
      <w:rFonts w:ascii="Cambria" w:hAnsi="Cambria" w:eastAsia="宋体" w:cs="Times New Roman"/>
      <w:b/>
      <w:bCs/>
      <w:snapToGrid w:val="0"/>
      <w:kern w:val="28"/>
      <w:sz w:val="32"/>
      <w:szCs w:val="32"/>
    </w:rPr>
  </w:style>
  <w:style w:type="character" w:customStyle="1" w:styleId="225">
    <w:name w:val="font61"/>
    <w:basedOn w:val="71"/>
    <w:qFormat/>
    <w:uiPriority w:val="0"/>
    <w:rPr>
      <w:rFonts w:hint="eastAsia" w:ascii="仿宋" w:hAnsi="仿宋" w:eastAsia="仿宋" w:cs="仿宋"/>
      <w:color w:val="000000"/>
      <w:sz w:val="20"/>
      <w:szCs w:val="20"/>
      <w:u w:val="none"/>
    </w:rPr>
  </w:style>
  <w:style w:type="character" w:customStyle="1" w:styleId="22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7">
    <w:name w:val="Char Char211"/>
    <w:qFormat/>
    <w:uiPriority w:val="0"/>
    <w:rPr>
      <w:rFonts w:eastAsia="宋体"/>
      <w:b/>
      <w:bCs/>
      <w:kern w:val="2"/>
      <w:sz w:val="21"/>
      <w:szCs w:val="24"/>
      <w:lang w:val="en-US" w:eastAsia="zh-CN" w:bidi="ar-SA"/>
    </w:rPr>
  </w:style>
  <w:style w:type="character" w:customStyle="1" w:styleId="228">
    <w:name w:val="maywed421"/>
    <w:qFormat/>
    <w:uiPriority w:val="0"/>
    <w:rPr>
      <w:color w:val="366FB6"/>
      <w:u w:val="none"/>
    </w:rPr>
  </w:style>
  <w:style w:type="character" w:customStyle="1" w:styleId="229">
    <w:name w:val="正文文本缩进 Char"/>
    <w:qFormat/>
    <w:uiPriority w:val="0"/>
    <w:rPr>
      <w:rFonts w:ascii="宋体" w:hAnsi="宋体"/>
      <w:kern w:val="2"/>
      <w:sz w:val="24"/>
      <w:szCs w:val="24"/>
    </w:rPr>
  </w:style>
  <w:style w:type="character" w:customStyle="1" w:styleId="230">
    <w:name w:val="Char Char102"/>
    <w:semiHidden/>
    <w:qFormat/>
    <w:uiPriority w:val="0"/>
    <w:rPr>
      <w:rFonts w:ascii="宋体" w:hAnsi="宋体"/>
      <w:kern w:val="2"/>
      <w:sz w:val="21"/>
      <w:szCs w:val="24"/>
      <w:lang w:val="en-US" w:eastAsia="zh-CN"/>
    </w:rPr>
  </w:style>
  <w:style w:type="character" w:customStyle="1" w:styleId="231">
    <w:name w:val="页眉 Char1"/>
    <w:qFormat/>
    <w:uiPriority w:val="0"/>
    <w:rPr>
      <w:rFonts w:eastAsia="宋体"/>
      <w:kern w:val="2"/>
      <w:sz w:val="18"/>
      <w:szCs w:val="18"/>
      <w:lang w:val="en-US" w:eastAsia="zh-CN" w:bidi="ar-SA"/>
    </w:rPr>
  </w:style>
  <w:style w:type="character" w:customStyle="1" w:styleId="232">
    <w:name w:val="md"/>
    <w:basedOn w:val="71"/>
    <w:qFormat/>
    <w:uiPriority w:val="0"/>
    <w:rPr>
      <w:rFonts w:ascii="Arial" w:hAnsi="Arial" w:eastAsia="黑体" w:cs="Arial"/>
      <w:snapToGrid w:val="0"/>
      <w:kern w:val="0"/>
      <w:szCs w:val="21"/>
    </w:rPr>
  </w:style>
  <w:style w:type="character" w:customStyle="1" w:styleId="233">
    <w:name w:val="big1"/>
    <w:qFormat/>
    <w:uiPriority w:val="0"/>
    <w:rPr>
      <w:rFonts w:hint="eastAsia" w:ascii="宋体" w:hAnsi="宋体" w:eastAsia="宋体"/>
      <w:color w:val="333333"/>
      <w:sz w:val="22"/>
      <w:szCs w:val="22"/>
    </w:rPr>
  </w:style>
  <w:style w:type="character" w:customStyle="1" w:styleId="234">
    <w:name w:val="Char Char311"/>
    <w:qFormat/>
    <w:uiPriority w:val="0"/>
    <w:rPr>
      <w:rFonts w:eastAsia="宋体"/>
      <w:kern w:val="2"/>
      <w:sz w:val="21"/>
      <w:szCs w:val="24"/>
      <w:lang w:val="en-US" w:eastAsia="zh-CN" w:bidi="ar-SA"/>
    </w:rPr>
  </w:style>
  <w:style w:type="character" w:customStyle="1" w:styleId="235">
    <w:name w:val="Char Char81"/>
    <w:qFormat/>
    <w:uiPriority w:val="6"/>
    <w:rPr>
      <w:rFonts w:eastAsia="宋体"/>
      <w:b/>
      <w:sz w:val="24"/>
      <w:lang w:val="en-GB" w:eastAsia="zh-CN"/>
    </w:rPr>
  </w:style>
  <w:style w:type="character" w:customStyle="1" w:styleId="236">
    <w:name w:val="样式3 Char"/>
    <w:basedOn w:val="188"/>
    <w:qFormat/>
    <w:uiPriority w:val="0"/>
    <w:rPr>
      <w:rFonts w:ascii="仿宋_GB2312" w:hAnsi="仿宋" w:eastAsia="仿宋_GB2312" w:cs="仿宋_GB2312"/>
      <w:sz w:val="32"/>
      <w:szCs w:val="30"/>
      <w:lang w:val="zh-CN"/>
    </w:rPr>
  </w:style>
  <w:style w:type="character" w:customStyle="1" w:styleId="237">
    <w:name w:val="HTML 地址 字符"/>
    <w:link w:val="33"/>
    <w:qFormat/>
    <w:uiPriority w:val="0"/>
    <w:rPr>
      <w:rFonts w:ascii="宋体" w:hAnsi="宋体"/>
      <w:i/>
      <w:iCs/>
      <w:sz w:val="24"/>
      <w:szCs w:val="24"/>
    </w:rPr>
  </w:style>
  <w:style w:type="character" w:customStyle="1" w:styleId="238">
    <w:name w:val="正文首行缩进 2 Char1"/>
    <w:qFormat/>
    <w:uiPriority w:val="0"/>
    <w:rPr>
      <w:rFonts w:ascii="Times New Roman" w:hAnsi="Times New Roman" w:eastAsia="宋体" w:cs="Times New Roman"/>
      <w:kern w:val="2"/>
      <w:sz w:val="24"/>
      <w:szCs w:val="24"/>
    </w:rPr>
  </w:style>
  <w:style w:type="character" w:customStyle="1" w:styleId="239">
    <w:name w:val="副标题 Char2"/>
    <w:qFormat/>
    <w:uiPriority w:val="0"/>
    <w:rPr>
      <w:rFonts w:ascii="Cambria" w:hAnsi="Cambria" w:eastAsia="宋体" w:cs="Times New Roman"/>
      <w:b/>
      <w:bCs/>
      <w:snapToGrid w:val="0"/>
      <w:kern w:val="28"/>
      <w:sz w:val="32"/>
      <w:szCs w:val="32"/>
    </w:rPr>
  </w:style>
  <w:style w:type="character" w:customStyle="1" w:styleId="240">
    <w:name w:val="标题4-dyf Char"/>
    <w:link w:val="241"/>
    <w:qFormat/>
    <w:uiPriority w:val="0"/>
    <w:rPr>
      <w:rFonts w:ascii="Cambria" w:hAnsi="Cambria"/>
      <w:b/>
      <w:bCs/>
      <w:color w:val="000000"/>
      <w:kern w:val="2"/>
      <w:sz w:val="21"/>
      <w:szCs w:val="21"/>
    </w:rPr>
  </w:style>
  <w:style w:type="paragraph" w:customStyle="1" w:styleId="241">
    <w:name w:val="标题4-dyf"/>
    <w:basedOn w:val="5"/>
    <w:link w:val="24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冯 Char"/>
    <w:link w:val="244"/>
    <w:qFormat/>
    <w:uiPriority w:val="0"/>
    <w:rPr>
      <w:rFonts w:ascii="宋体" w:hAnsi="宋体"/>
      <w:color w:val="000000"/>
      <w:sz w:val="24"/>
      <w:szCs w:val="24"/>
    </w:rPr>
  </w:style>
  <w:style w:type="paragraph" w:customStyle="1" w:styleId="244">
    <w:name w:val="冯"/>
    <w:basedOn w:val="1"/>
    <w:link w:val="243"/>
    <w:qFormat/>
    <w:uiPriority w:val="0"/>
    <w:pPr>
      <w:widowControl/>
      <w:adjustRightInd/>
      <w:spacing w:line="360" w:lineRule="auto"/>
      <w:ind w:firstLine="480" w:firstLineChars="200"/>
    </w:pPr>
    <w:rPr>
      <w:rFonts w:ascii="宋体" w:hAnsi="宋体"/>
      <w:color w:val="000000"/>
      <w:kern w:val="0"/>
      <w:sz w:val="24"/>
    </w:rPr>
  </w:style>
  <w:style w:type="character" w:customStyle="1" w:styleId="245">
    <w:name w:val="Header Char"/>
    <w:qFormat/>
    <w:locked/>
    <w:uiPriority w:val="0"/>
    <w:rPr>
      <w:rFonts w:eastAsia="宋体"/>
      <w:kern w:val="2"/>
      <w:sz w:val="18"/>
      <w:szCs w:val="18"/>
      <w:lang w:val="en-US" w:eastAsia="zh-CN" w:bidi="ar-SA"/>
    </w:rPr>
  </w:style>
  <w:style w:type="character" w:customStyle="1" w:styleId="246">
    <w:name w:val="Char Char12"/>
    <w:qFormat/>
    <w:uiPriority w:val="0"/>
    <w:rPr>
      <w:rFonts w:ascii="仿宋_GB2312" w:eastAsia="仿宋_GB2312"/>
      <w:b/>
      <w:bCs/>
      <w:kern w:val="2"/>
      <w:sz w:val="24"/>
      <w:szCs w:val="24"/>
      <w:lang w:val="zh-CN" w:eastAsia="zh-CN" w:bidi="ar-SA"/>
    </w:rPr>
  </w:style>
  <w:style w:type="character" w:customStyle="1" w:styleId="247">
    <w:name w:val="题注 字符"/>
    <w:link w:val="16"/>
    <w:qFormat/>
    <w:uiPriority w:val="0"/>
    <w:rPr>
      <w:b/>
      <w:kern w:val="2"/>
      <w:sz w:val="28"/>
    </w:rPr>
  </w:style>
  <w:style w:type="character" w:customStyle="1" w:styleId="248">
    <w:name w:val="普通文字 Char3"/>
    <w:qFormat/>
    <w:uiPriority w:val="0"/>
    <w:rPr>
      <w:rFonts w:ascii="宋体" w:hAnsi="Courier New" w:eastAsia="宋体"/>
      <w:kern w:val="2"/>
      <w:sz w:val="21"/>
      <w:lang w:val="en-US" w:eastAsia="zh-CN" w:bidi="ar-SA"/>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正文首行缩进 Char Char Char Char Char"/>
    <w:qFormat/>
    <w:uiPriority w:val="0"/>
    <w:rPr>
      <w:rFonts w:ascii="宋体"/>
      <w:kern w:val="2"/>
      <w:sz w:val="24"/>
      <w:lang w:val="zh-CN"/>
    </w:rPr>
  </w:style>
  <w:style w:type="character" w:customStyle="1" w:styleId="251">
    <w:name w:val="PI Char"/>
    <w:qFormat/>
    <w:uiPriority w:val="0"/>
    <w:rPr>
      <w:rFonts w:ascii="宋体" w:hAnsi="宋体" w:eastAsia="宋体"/>
      <w:kern w:val="2"/>
      <w:sz w:val="24"/>
      <w:szCs w:val="24"/>
      <w:lang w:val="en-US" w:eastAsia="zh-CN" w:bidi="ar-SA"/>
    </w:rPr>
  </w:style>
  <w:style w:type="character" w:customStyle="1" w:styleId="252">
    <w:name w:val="Default Char"/>
    <w:link w:val="253"/>
    <w:qFormat/>
    <w:uiPriority w:val="0"/>
    <w:rPr>
      <w:rFonts w:ascii="仿宋_GB2312" w:eastAsia="仿宋_GB2312" w:cs="仿宋_GB2312"/>
      <w:color w:val="000000"/>
      <w:sz w:val="24"/>
      <w:szCs w:val="24"/>
      <w:lang w:val="en-US" w:eastAsia="zh-CN" w:bidi="ar-SA"/>
    </w:rPr>
  </w:style>
  <w:style w:type="paragraph" w:customStyle="1" w:styleId="253">
    <w:name w:val="Default"/>
    <w:next w:val="1"/>
    <w:link w:val="25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7">
    <w:name w:val="列表段落1"/>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正文文本缩进 字符1"/>
    <w:link w:val="27"/>
    <w:qFormat/>
    <w:uiPriority w:val="0"/>
    <w:rPr>
      <w:rFonts w:ascii="宋体" w:hAnsi="宋体"/>
      <w:kern w:val="2"/>
      <w:sz w:val="24"/>
      <w:szCs w:val="24"/>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标题 1 字符1"/>
    <w:link w:val="2"/>
    <w:qFormat/>
    <w:uiPriority w:val="9"/>
    <w:rPr>
      <w:b/>
      <w:bCs/>
      <w:kern w:val="44"/>
      <w:sz w:val="44"/>
      <w:szCs w:val="44"/>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标题 字符"/>
    <w:link w:val="62"/>
    <w:qFormat/>
    <w:uiPriority w:val="10"/>
    <w:rPr>
      <w:b/>
      <w:sz w:val="24"/>
      <w:lang w:val="en-GB"/>
    </w:rPr>
  </w:style>
  <w:style w:type="character" w:customStyle="1" w:styleId="306">
    <w:name w:val="font81"/>
    <w:basedOn w:val="7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称呼 字符"/>
    <w:link w:val="21"/>
    <w:qFormat/>
    <w:uiPriority w:val="0"/>
    <w:rPr>
      <w:rFonts w:ascii="仿宋_GB2312" w:eastAsia="仿宋_GB2312"/>
      <w:kern w:val="2"/>
      <w:sz w:val="28"/>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HTML 预设格式 字符"/>
    <w:link w:val="60"/>
    <w:qFormat/>
    <w:uiPriority w:val="0"/>
    <w:rPr>
      <w:rFonts w:ascii="黑体" w:hAnsi="Courier New" w:eastAsia="黑体"/>
    </w:rPr>
  </w:style>
  <w:style w:type="character" w:customStyle="1" w:styleId="319">
    <w:name w:val="正文文本 2 字符1"/>
    <w:link w:val="59"/>
    <w:qFormat/>
    <w:uiPriority w:val="0"/>
    <w:rPr>
      <w:kern w:val="2"/>
      <w:sz w:val="21"/>
      <w:szCs w:val="24"/>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5"/>
    <w:link w:val="4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标题 7 字符"/>
    <w:link w:val="8"/>
    <w:qFormat/>
    <w:uiPriority w:val="0"/>
    <w:rPr>
      <w:b/>
      <w:bCs/>
      <w:kern w:val="2"/>
      <w:sz w:val="24"/>
      <w:szCs w:val="24"/>
    </w:rPr>
  </w:style>
  <w:style w:type="character" w:customStyle="1" w:styleId="325">
    <w:name w:val="正文文本缩进 2 字符"/>
    <w:link w:val="40"/>
    <w:qFormat/>
    <w:uiPriority w:val="0"/>
    <w:rPr>
      <w:rFonts w:ascii="宋体"/>
      <w:sz w:val="28"/>
    </w:rPr>
  </w:style>
  <w:style w:type="character" w:customStyle="1" w:styleId="326">
    <w:name w:val="Char Char5"/>
    <w:qFormat/>
    <w:uiPriority w:val="0"/>
    <w:rPr>
      <w:rFonts w:ascii="宋体" w:hAnsi="Courier New" w:eastAsia="宋体"/>
      <w:kern w:val="2"/>
      <w:sz w:val="21"/>
      <w:lang w:val="en-US" w:eastAsia="zh-CN"/>
    </w:rPr>
  </w:style>
  <w:style w:type="character" w:customStyle="1" w:styleId="327">
    <w:name w:val="脚注文本 字符"/>
    <w:link w:val="54"/>
    <w:qFormat/>
    <w:uiPriority w:val="0"/>
    <w:rPr>
      <w:color w:val="0000FF"/>
      <w:sz w:val="21"/>
    </w:rPr>
  </w:style>
  <w:style w:type="character" w:customStyle="1" w:styleId="328">
    <w:name w:val="称呼 Char1"/>
    <w:qFormat/>
    <w:uiPriority w:val="0"/>
    <w:rPr>
      <w:rFonts w:ascii="Times New Roman" w:hAnsi="Times New Roman" w:eastAsia="宋体" w:cs="Times New Roman"/>
      <w:szCs w:val="24"/>
    </w:rPr>
  </w:style>
  <w:style w:type="character" w:customStyle="1" w:styleId="329">
    <w:name w:val="正文1 Char"/>
    <w:qFormat/>
    <w:uiPriority w:val="0"/>
    <w:rPr>
      <w:rFonts w:ascii="宋体" w:eastAsia="宋体"/>
      <w:snapToGrid w:val="0"/>
      <w:color w:val="000000"/>
      <w:kern w:val="28"/>
      <w:sz w:val="28"/>
      <w:lang w:val="en-US" w:eastAsia="zh-CN" w:bidi="ar-SA"/>
    </w:rPr>
  </w:style>
  <w:style w:type="character" w:customStyle="1" w:styleId="330">
    <w:name w:val="正文缩进 Char1"/>
    <w:qFormat/>
    <w:uiPriority w:val="0"/>
    <w:rPr>
      <w:rFonts w:ascii="宋体" w:eastAsia="宋体"/>
      <w:snapToGrid w:val="0"/>
      <w:color w:val="000000"/>
      <w:kern w:val="28"/>
      <w:sz w:val="28"/>
      <w:lang w:val="en-US" w:eastAsia="zh-CN" w:bidi="ar-SA"/>
    </w:rPr>
  </w:style>
  <w:style w:type="character" w:customStyle="1" w:styleId="331">
    <w:name w:val="font21"/>
    <w:basedOn w:val="71"/>
    <w:qFormat/>
    <w:uiPriority w:val="0"/>
    <w:rPr>
      <w:rFonts w:hint="eastAsia" w:ascii="宋体" w:hAnsi="宋体" w:eastAsia="宋体"/>
      <w:kern w:val="2"/>
      <w:sz w:val="28"/>
      <w:szCs w:val="28"/>
      <w:lang w:val="en-US" w:eastAsia="zh-CN" w:bidi="ar-SA"/>
    </w:rPr>
  </w:style>
  <w:style w:type="character" w:customStyle="1" w:styleId="332">
    <w:name w:val="Char Char26"/>
    <w:qFormat/>
    <w:uiPriority w:val="6"/>
    <w:rPr>
      <w:kern w:val="1"/>
      <w:sz w:val="21"/>
      <w:szCs w:val="24"/>
    </w:rPr>
  </w:style>
  <w:style w:type="character" w:customStyle="1" w:styleId="333">
    <w:name w:val="Item List Char"/>
    <w:link w:val="334"/>
    <w:qFormat/>
    <w:uiPriority w:val="0"/>
    <w:rPr>
      <w:rFonts w:ascii="Arial"/>
      <w:bCs/>
      <w:sz w:val="21"/>
      <w:szCs w:val="21"/>
      <w:lang w:val="en-US" w:eastAsia="zh-CN" w:bidi="ar-SA"/>
    </w:rPr>
  </w:style>
  <w:style w:type="paragraph" w:customStyle="1" w:styleId="334">
    <w:name w:val="Item List"/>
    <w:link w:val="3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5">
    <w:name w:val="批注框文本 Char1"/>
    <w:qFormat/>
    <w:uiPriority w:val="0"/>
    <w:rPr>
      <w:rFonts w:ascii="Times New Roman" w:hAnsi="Times New Roman" w:eastAsia="宋体" w:cs="Times New Roman"/>
      <w:sz w:val="18"/>
      <w:szCs w:val="18"/>
    </w:rPr>
  </w:style>
  <w:style w:type="character" w:customStyle="1" w:styleId="336">
    <w:name w:val="纯文本 Char1"/>
    <w:link w:val="337"/>
    <w:qFormat/>
    <w:uiPriority w:val="0"/>
    <w:rPr>
      <w:rFonts w:ascii="宋体" w:hAnsi="Courier New"/>
    </w:rPr>
  </w:style>
  <w:style w:type="paragraph" w:customStyle="1" w:styleId="337">
    <w:name w:val="纯文本1"/>
    <w:basedOn w:val="1"/>
    <w:link w:val="336"/>
    <w:qFormat/>
    <w:uiPriority w:val="0"/>
    <w:pPr>
      <w:adjustRightInd/>
    </w:pPr>
    <w:rPr>
      <w:rFonts w:ascii="宋体" w:hAnsi="Courier New"/>
      <w:kern w:val="0"/>
      <w:sz w:val="20"/>
      <w:szCs w:val="20"/>
    </w:rPr>
  </w:style>
  <w:style w:type="character" w:customStyle="1" w:styleId="338">
    <w:name w:val="正文首行缩进 字符"/>
    <w:link w:val="25"/>
    <w:qFormat/>
    <w:uiPriority w:val="0"/>
    <w:rPr>
      <w:rFonts w:ascii="宋体"/>
      <w:kern w:val="2"/>
      <w:sz w:val="24"/>
      <w:lang w:val="zh-CN"/>
    </w:rPr>
  </w:style>
  <w:style w:type="character" w:customStyle="1" w:styleId="339">
    <w:name w:val="h3 Char"/>
    <w:qFormat/>
    <w:uiPriority w:val="0"/>
    <w:rPr>
      <w:rFonts w:eastAsia="宋体"/>
      <w:b/>
      <w:kern w:val="2"/>
      <w:sz w:val="32"/>
      <w:lang w:val="en-US" w:eastAsia="zh-CN" w:bidi="ar-SA"/>
    </w:rPr>
  </w:style>
  <w:style w:type="character" w:customStyle="1" w:styleId="340">
    <w:name w:val="dandyren_title1"/>
    <w:qFormat/>
    <w:uiPriority w:val="0"/>
    <w:rPr>
      <w:b/>
      <w:bCs/>
      <w:color w:val="FF6633"/>
      <w:sz w:val="18"/>
      <w:szCs w:val="18"/>
    </w:rPr>
  </w:style>
  <w:style w:type="character" w:customStyle="1" w:styleId="341">
    <w:name w:val="Char Char31"/>
    <w:qFormat/>
    <w:uiPriority w:val="6"/>
    <w:rPr>
      <w:rFonts w:ascii="Arial" w:hAnsi="Arial" w:eastAsia="黑体"/>
      <w:kern w:val="1"/>
      <w:sz w:val="24"/>
      <w:szCs w:val="24"/>
    </w:rPr>
  </w:style>
  <w:style w:type="character" w:customStyle="1" w:styleId="342">
    <w:name w:val="h Char1"/>
    <w:qFormat/>
    <w:uiPriority w:val="0"/>
    <w:rPr>
      <w:sz w:val="18"/>
      <w:szCs w:val="18"/>
    </w:rPr>
  </w:style>
  <w:style w:type="character" w:customStyle="1" w:styleId="343">
    <w:name w:val="solutionfonts"/>
    <w:qFormat/>
    <w:uiPriority w:val="0"/>
  </w:style>
  <w:style w:type="character" w:customStyle="1" w:styleId="344">
    <w:name w:val="标题 4 字符1"/>
    <w:link w:val="5"/>
    <w:qFormat/>
    <w:uiPriority w:val="9"/>
    <w:rPr>
      <w:rFonts w:ascii="Arial" w:hAnsi="Arial" w:eastAsia="黑体"/>
      <w:b/>
      <w:bCs/>
      <w:kern w:val="2"/>
      <w:sz w:val="28"/>
      <w:szCs w:val="28"/>
      <w:lang w:val="zh-CN"/>
    </w:rPr>
  </w:style>
  <w:style w:type="character" w:customStyle="1" w:styleId="345">
    <w:name w:val="首行缩进 Char"/>
    <w:qFormat/>
    <w:uiPriority w:val="0"/>
    <w:rPr>
      <w:rFonts w:ascii="宋体" w:eastAsia="宋体"/>
      <w:kern w:val="2"/>
      <w:sz w:val="24"/>
      <w:lang w:val="en-US" w:eastAsia="zh-CN" w:bidi="ar-SA"/>
    </w:rPr>
  </w:style>
  <w:style w:type="character" w:customStyle="1" w:styleId="346">
    <w:name w:val="Char Char52"/>
    <w:qFormat/>
    <w:uiPriority w:val="0"/>
    <w:rPr>
      <w:rFonts w:ascii="宋体" w:hAnsi="Courier New" w:eastAsia="宋体"/>
      <w:kern w:val="2"/>
      <w:sz w:val="21"/>
      <w:lang w:val="en-US" w:eastAsia="zh-CN"/>
    </w:rPr>
  </w:style>
  <w:style w:type="character" w:customStyle="1" w:styleId="347">
    <w:name w:val="正文文本 3 字符"/>
    <w:link w:val="22"/>
    <w:qFormat/>
    <w:uiPriority w:val="0"/>
    <w:rPr>
      <w:kern w:val="2"/>
      <w:sz w:val="21"/>
    </w:rPr>
  </w:style>
  <w:style w:type="character" w:customStyle="1" w:styleId="348">
    <w:name w:val="font31"/>
    <w:qFormat/>
    <w:uiPriority w:val="0"/>
    <w:rPr>
      <w:rFonts w:hint="eastAsia" w:ascii="仿宋" w:hAnsi="仿宋" w:eastAsia="仿宋" w:cs="仿宋"/>
      <w:color w:val="000000"/>
      <w:sz w:val="20"/>
      <w:szCs w:val="20"/>
      <w:u w:val="none"/>
    </w:rPr>
  </w:style>
  <w:style w:type="character" w:customStyle="1" w:styleId="349">
    <w:name w:val="正文说明 Char"/>
    <w:link w:val="350"/>
    <w:qFormat/>
    <w:uiPriority w:val="0"/>
    <w:rPr>
      <w:sz w:val="24"/>
      <w:szCs w:val="24"/>
    </w:rPr>
  </w:style>
  <w:style w:type="paragraph" w:customStyle="1" w:styleId="350">
    <w:name w:val="正文说明"/>
    <w:basedOn w:val="1"/>
    <w:link w:val="349"/>
    <w:qFormat/>
    <w:uiPriority w:val="0"/>
    <w:pPr>
      <w:adjustRightInd/>
      <w:spacing w:line="360" w:lineRule="auto"/>
    </w:pPr>
    <w:rPr>
      <w:kern w:val="0"/>
      <w:sz w:val="24"/>
    </w:rPr>
  </w:style>
  <w:style w:type="character" w:customStyle="1" w:styleId="351">
    <w:name w:val="脚注文本 Char1"/>
    <w:qFormat/>
    <w:uiPriority w:val="0"/>
    <w:rPr>
      <w:rFonts w:ascii="Times New Roman" w:hAnsi="Times New Roman" w:eastAsia="宋体" w:cs="Times New Roman"/>
      <w:sz w:val="18"/>
      <w:szCs w:val="18"/>
    </w:rPr>
  </w:style>
  <w:style w:type="character" w:customStyle="1" w:styleId="352">
    <w:name w:val="Char Char1211"/>
    <w:qFormat/>
    <w:uiPriority w:val="0"/>
    <w:rPr>
      <w:rFonts w:ascii="仿宋_GB2312" w:eastAsia="仿宋_GB2312"/>
      <w:b/>
      <w:bCs/>
      <w:kern w:val="2"/>
      <w:sz w:val="24"/>
      <w:szCs w:val="24"/>
      <w:lang w:val="zh-CN" w:eastAsia="zh-CN" w:bidi="ar-SA"/>
    </w:rPr>
  </w:style>
  <w:style w:type="character" w:customStyle="1" w:styleId="353">
    <w:name w:val="标题 Char"/>
    <w:qFormat/>
    <w:uiPriority w:val="0"/>
    <w:rPr>
      <w:rFonts w:eastAsia="宋体"/>
      <w:b/>
      <w:sz w:val="24"/>
      <w:lang w:val="en-GB" w:eastAsia="zh-CN" w:bidi="ar-SA"/>
    </w:rPr>
  </w:style>
  <w:style w:type="character" w:customStyle="1" w:styleId="354">
    <w:name w:val="Char Char35"/>
    <w:qFormat/>
    <w:uiPriority w:val="6"/>
    <w:rPr>
      <w:rFonts w:ascii="Arial" w:hAnsi="Arial" w:eastAsia="黑体"/>
      <w:b/>
      <w:kern w:val="1"/>
      <w:sz w:val="28"/>
      <w:szCs w:val="28"/>
      <w:lang w:val="zh-CN"/>
    </w:rPr>
  </w:style>
  <w:style w:type="character" w:customStyle="1" w:styleId="355">
    <w:name w:val="纯文本 Char Char Char"/>
    <w:qFormat/>
    <w:uiPriority w:val="0"/>
    <w:rPr>
      <w:rFonts w:ascii="宋体" w:hAnsi="Courier New" w:eastAsia="宋体"/>
      <w:kern w:val="2"/>
      <w:sz w:val="21"/>
      <w:lang w:val="en-US" w:eastAsia="zh-CN" w:bidi="ar-SA"/>
    </w:rPr>
  </w:style>
  <w:style w:type="character" w:customStyle="1" w:styleId="356">
    <w:name w:val="Table Text Char"/>
    <w:link w:val="357"/>
    <w:qFormat/>
    <w:uiPriority w:val="0"/>
    <w:rPr>
      <w:sz w:val="24"/>
      <w:szCs w:val="24"/>
    </w:rPr>
  </w:style>
  <w:style w:type="paragraph" w:customStyle="1" w:styleId="357">
    <w:name w:val="Table Text"/>
    <w:basedOn w:val="1"/>
    <w:link w:val="356"/>
    <w:qFormat/>
    <w:uiPriority w:val="0"/>
    <w:pPr>
      <w:widowControl/>
      <w:spacing w:before="60" w:after="60"/>
      <w:jc w:val="left"/>
    </w:pPr>
    <w:rPr>
      <w:kern w:val="0"/>
      <w:sz w:val="24"/>
    </w:rPr>
  </w:style>
  <w:style w:type="character" w:customStyle="1" w:styleId="358">
    <w:name w:val="正文1 Char1"/>
    <w:qFormat/>
    <w:uiPriority w:val="0"/>
    <w:rPr>
      <w:rFonts w:ascii="仿宋_GB2312" w:hAnsi="Courier New" w:eastAsia="仿宋_GB2312"/>
      <w:kern w:val="28"/>
      <w:sz w:val="24"/>
      <w:szCs w:val="24"/>
      <w:lang w:val="en-US" w:eastAsia="zh-CN"/>
    </w:rPr>
  </w:style>
  <w:style w:type="character" w:customStyle="1" w:styleId="359">
    <w:name w:val="页脚 Char1"/>
    <w:qFormat/>
    <w:uiPriority w:val="0"/>
    <w:rPr>
      <w:rFonts w:eastAsia="宋体"/>
      <w:kern w:val="2"/>
      <w:sz w:val="18"/>
      <w:szCs w:val="18"/>
      <w:lang w:val="en-US" w:eastAsia="zh-CN" w:bidi="ar-SA"/>
    </w:rPr>
  </w:style>
  <w:style w:type="character" w:customStyle="1" w:styleId="360">
    <w:name w:val="Bold"/>
    <w:qFormat/>
    <w:uiPriority w:val="0"/>
    <w:rPr>
      <w:rFonts w:ascii="Arial" w:hAnsi="Arial" w:eastAsia="黑体" w:cs="Times New Roman"/>
      <w:b/>
      <w:kern w:val="2"/>
      <w:sz w:val="32"/>
      <w:szCs w:val="32"/>
      <w:lang w:val="en-US" w:eastAsia="zh-CN" w:bidi="ar-SA"/>
    </w:rPr>
  </w:style>
  <w:style w:type="character" w:customStyle="1" w:styleId="361">
    <w:name w:val="批注文字 字符1"/>
    <w:link w:val="20"/>
    <w:qFormat/>
    <w:uiPriority w:val="0"/>
    <w:rPr>
      <w:kern w:val="2"/>
      <w:sz w:val="21"/>
      <w:szCs w:val="24"/>
    </w:rPr>
  </w:style>
  <w:style w:type="character" w:customStyle="1" w:styleId="362">
    <w:name w:val="签名 字符"/>
    <w:link w:val="46"/>
    <w:qFormat/>
    <w:uiPriority w:val="0"/>
    <w:rPr>
      <w:rFonts w:eastAsia="仿宋_GB2312"/>
      <w:sz w:val="24"/>
    </w:rPr>
  </w:style>
  <w:style w:type="character" w:customStyle="1" w:styleId="363">
    <w:name w:val="hui3"/>
    <w:qFormat/>
    <w:uiPriority w:val="0"/>
    <w:rPr>
      <w:color w:val="333333"/>
    </w:rPr>
  </w:style>
  <w:style w:type="character" w:customStyle="1" w:styleId="364">
    <w:name w:val="Char Char17"/>
    <w:qFormat/>
    <w:uiPriority w:val="6"/>
    <w:rPr>
      <w:rFonts w:eastAsia="仿宋_GB2312"/>
      <w:sz w:val="24"/>
    </w:rPr>
  </w:style>
  <w:style w:type="character" w:customStyle="1" w:styleId="365">
    <w:name w:val="Char Char37"/>
    <w:qFormat/>
    <w:uiPriority w:val="6"/>
    <w:rPr>
      <w:b/>
      <w:kern w:val="1"/>
      <w:sz w:val="44"/>
      <w:szCs w:val="44"/>
    </w:rPr>
  </w:style>
  <w:style w:type="character" w:customStyle="1" w:styleId="366">
    <w:name w:val="列出段落 Char"/>
    <w:qFormat/>
    <w:uiPriority w:val="0"/>
    <w:rPr>
      <w:rFonts w:eastAsia="楷体_GB2312" w:cs="Lucida Sans"/>
      <w:kern w:val="2"/>
      <w:sz w:val="24"/>
      <w:szCs w:val="24"/>
      <w:lang w:val="en-US" w:eastAsia="zh-CN" w:bidi="ar-SA"/>
    </w:rPr>
  </w:style>
  <w:style w:type="character" w:customStyle="1" w:styleId="367">
    <w:name w:val="正文文本缩进 3 Char1"/>
    <w:semiHidden/>
    <w:qFormat/>
    <w:uiPriority w:val="99"/>
    <w:rPr>
      <w:rFonts w:ascii="Times New Roman" w:hAnsi="Times New Roman" w:eastAsia="宋体" w:cs="Times New Roman"/>
      <w:sz w:val="16"/>
      <w:szCs w:val="16"/>
    </w:rPr>
  </w:style>
  <w:style w:type="character" w:customStyle="1" w:styleId="368">
    <w:name w:val="公文正文 Char Char"/>
    <w:link w:val="369"/>
    <w:qFormat/>
    <w:uiPriority w:val="0"/>
    <w:rPr>
      <w:rFonts w:ascii="仿宋_GB2312" w:eastAsia="仿宋_GB2312"/>
      <w:kern w:val="2"/>
      <w:sz w:val="24"/>
      <w:szCs w:val="24"/>
    </w:rPr>
  </w:style>
  <w:style w:type="paragraph" w:customStyle="1" w:styleId="369">
    <w:name w:val="公文正文"/>
    <w:basedOn w:val="1"/>
    <w:link w:val="368"/>
    <w:qFormat/>
    <w:uiPriority w:val="0"/>
    <w:pPr>
      <w:adjustRightInd/>
      <w:spacing w:before="156" w:line="360" w:lineRule="auto"/>
      <w:ind w:firstLine="360" w:firstLineChars="200"/>
    </w:pPr>
    <w:rPr>
      <w:rFonts w:ascii="仿宋_GB2312" w:eastAsia="仿宋_GB2312"/>
      <w:sz w:val="24"/>
    </w:rPr>
  </w:style>
  <w:style w:type="character" w:customStyle="1" w:styleId="370">
    <w:name w:val="Table Text Char1"/>
    <w:qFormat/>
    <w:uiPriority w:val="0"/>
    <w:rPr>
      <w:rFonts w:eastAsia="宋体"/>
      <w:sz w:val="24"/>
      <w:szCs w:val="24"/>
      <w:lang w:val="en-US" w:eastAsia="zh-CN" w:bidi="ar-SA"/>
    </w:rPr>
  </w:style>
  <w:style w:type="character" w:customStyle="1" w:styleId="371">
    <w:name w:val="标题 1 Char Char"/>
    <w:qFormat/>
    <w:uiPriority w:val="0"/>
    <w:rPr>
      <w:rFonts w:hint="eastAsia" w:ascii="宋体" w:hAnsi="宋体" w:eastAsia="宋体"/>
      <w:b/>
      <w:spacing w:val="-2"/>
      <w:sz w:val="24"/>
      <w:lang w:val="en-US" w:eastAsia="zh-CN" w:bidi="ar-SA"/>
    </w:rPr>
  </w:style>
  <w:style w:type="character" w:customStyle="1" w:styleId="372">
    <w:name w:val="正文（缩进2汉字） Char"/>
    <w:link w:val="373"/>
    <w:qFormat/>
    <w:uiPriority w:val="0"/>
    <w:rPr>
      <w:rFonts w:ascii="宋体"/>
    </w:rPr>
  </w:style>
  <w:style w:type="paragraph" w:customStyle="1" w:styleId="373">
    <w:name w:val="正文（缩进2汉字）"/>
    <w:basedOn w:val="1"/>
    <w:link w:val="3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4">
    <w:name w:val="标题 8 字符"/>
    <w:link w:val="9"/>
    <w:qFormat/>
    <w:uiPriority w:val="0"/>
    <w:rPr>
      <w:rFonts w:ascii="Arial" w:hAnsi="Arial" w:eastAsia="黑体"/>
      <w:kern w:val="2"/>
      <w:sz w:val="24"/>
      <w:szCs w:val="24"/>
    </w:rPr>
  </w:style>
  <w:style w:type="character" w:customStyle="1" w:styleId="375">
    <w:name w:val="标书表格字体格式 Char"/>
    <w:qFormat/>
    <w:uiPriority w:val="0"/>
    <w:rPr>
      <w:kern w:val="2"/>
      <w:sz w:val="21"/>
      <w:szCs w:val="24"/>
      <w:lang w:bidi="ar-SA"/>
    </w:rPr>
  </w:style>
  <w:style w:type="character" w:customStyle="1" w:styleId="376">
    <w:name w:val="tw4winError"/>
    <w:qFormat/>
    <w:uiPriority w:val="0"/>
    <w:rPr>
      <w:rFonts w:ascii="Courier New" w:hAnsi="Courier New" w:cs="Courier New"/>
      <w:color w:val="00FF00"/>
      <w:sz w:val="40"/>
      <w:szCs w:val="40"/>
    </w:rPr>
  </w:style>
  <w:style w:type="character" w:customStyle="1" w:styleId="377">
    <w:name w:val="Body Text(ch) Char Char"/>
    <w:qFormat/>
    <w:uiPriority w:val="0"/>
    <w:rPr>
      <w:rFonts w:ascii="宋体"/>
      <w:kern w:val="2"/>
      <w:sz w:val="24"/>
      <w:szCs w:val="21"/>
      <w:lang w:val="zh-CN"/>
    </w:rPr>
  </w:style>
  <w:style w:type="character" w:customStyle="1" w:styleId="378">
    <w:name w:val="正文首行缩进两字 Char"/>
    <w:qFormat/>
    <w:uiPriority w:val="0"/>
    <w:rPr>
      <w:sz w:val="24"/>
      <w:szCs w:val="24"/>
      <w:lang w:val="en-US" w:eastAsia="zh-CN" w:bidi="ar-SA"/>
    </w:rPr>
  </w:style>
  <w:style w:type="character" w:customStyle="1" w:styleId="379">
    <w:name w:val="正文文本 Char"/>
    <w:qFormat/>
    <w:uiPriority w:val="0"/>
    <w:rPr>
      <w:rFonts w:eastAsia="宋体"/>
      <w:kern w:val="2"/>
      <w:sz w:val="24"/>
      <w:szCs w:val="24"/>
      <w:lang w:val="en-US" w:eastAsia="zh-CN" w:bidi="ar-SA"/>
    </w:rPr>
  </w:style>
  <w:style w:type="character" w:customStyle="1" w:styleId="380">
    <w:name w:val="文档结构图 字符1"/>
    <w:qFormat/>
    <w:uiPriority w:val="0"/>
    <w:rPr>
      <w:rFonts w:ascii="宋体" w:hAnsi="Calibri" w:eastAsia="黑体" w:cs="Arial"/>
      <w:snapToGrid w:val="0"/>
      <w:kern w:val="2"/>
      <w:sz w:val="18"/>
      <w:szCs w:val="18"/>
    </w:rPr>
  </w:style>
  <w:style w:type="character" w:customStyle="1" w:styleId="381">
    <w:name w:val="content"/>
    <w:qFormat/>
    <w:uiPriority w:val="0"/>
  </w:style>
  <w:style w:type="character" w:customStyle="1" w:styleId="382">
    <w:name w:val="tw4winPopup"/>
    <w:qFormat/>
    <w:uiPriority w:val="0"/>
    <w:rPr>
      <w:rFonts w:ascii="Courier New" w:hAnsi="Courier New" w:cs="Courier New"/>
      <w:color w:val="008000"/>
      <w:lang w:val="en-US" w:eastAsia="zh-CN"/>
    </w:rPr>
  </w:style>
  <w:style w:type="character" w:customStyle="1" w:styleId="383">
    <w:name w:val="param-name"/>
    <w:qFormat/>
    <w:uiPriority w:val="99"/>
    <w:rPr>
      <w:rFonts w:ascii="Arial" w:hAnsi="Arial" w:eastAsia="黑体" w:cs="Arial"/>
      <w:snapToGrid w:val="0"/>
      <w:kern w:val="0"/>
      <w:szCs w:val="21"/>
    </w:rPr>
  </w:style>
  <w:style w:type="character" w:customStyle="1" w:styleId="384">
    <w:name w:val="标准正文格式 Char"/>
    <w:qFormat/>
    <w:uiPriority w:val="0"/>
    <w:rPr>
      <w:rFonts w:ascii="宋体" w:eastAsia="仿宋_GB2312" w:cs="宋体"/>
      <w:color w:val="000000"/>
      <w:sz w:val="24"/>
      <w:lang w:val="en-US" w:eastAsia="zh-CN" w:bidi="ar-SA"/>
    </w:rPr>
  </w:style>
  <w:style w:type="character" w:customStyle="1" w:styleId="385">
    <w:name w:val="Char Char212"/>
    <w:qFormat/>
    <w:uiPriority w:val="0"/>
    <w:rPr>
      <w:rFonts w:eastAsia="宋体"/>
      <w:b/>
      <w:bCs/>
      <w:kern w:val="2"/>
      <w:sz w:val="21"/>
      <w:szCs w:val="24"/>
      <w:lang w:val="en-US" w:eastAsia="zh-CN" w:bidi="ar-SA"/>
    </w:rPr>
  </w:style>
  <w:style w:type="character" w:customStyle="1" w:styleId="386">
    <w:name w:val="文档结构图 Char"/>
    <w:qFormat/>
    <w:uiPriority w:val="0"/>
    <w:rPr>
      <w:rFonts w:eastAsia="宋体"/>
      <w:kern w:val="2"/>
      <w:sz w:val="21"/>
      <w:szCs w:val="24"/>
      <w:lang w:val="en-US" w:eastAsia="zh-CN" w:bidi="ar-SA"/>
    </w:rPr>
  </w:style>
  <w:style w:type="character" w:customStyle="1" w:styleId="387">
    <w:name w:val="zbggmain style9"/>
    <w:qFormat/>
    <w:uiPriority w:val="0"/>
  </w:style>
  <w:style w:type="character" w:customStyle="1" w:styleId="388">
    <w:name w:val="Char Char16"/>
    <w:qFormat/>
    <w:uiPriority w:val="6"/>
    <w:rPr>
      <w:kern w:val="1"/>
      <w:sz w:val="18"/>
      <w:szCs w:val="18"/>
    </w:rPr>
  </w:style>
  <w:style w:type="character" w:customStyle="1" w:styleId="389">
    <w:name w:val="font51"/>
    <w:basedOn w:val="71"/>
    <w:qFormat/>
    <w:uiPriority w:val="0"/>
    <w:rPr>
      <w:rFonts w:hint="eastAsia" w:ascii="仿宋" w:hAnsi="仿宋" w:eastAsia="仿宋" w:cs="仿宋"/>
      <w:color w:val="000000"/>
      <w:sz w:val="20"/>
      <w:szCs w:val="20"/>
      <w:u w:val="none"/>
    </w:rPr>
  </w:style>
  <w:style w:type="character" w:customStyle="1" w:styleId="390">
    <w:name w:val="Char Char82"/>
    <w:qFormat/>
    <w:uiPriority w:val="0"/>
    <w:rPr>
      <w:rFonts w:eastAsia="宋体"/>
      <w:b/>
      <w:sz w:val="24"/>
      <w:lang w:val="en-GB" w:eastAsia="zh-CN"/>
    </w:rPr>
  </w:style>
  <w:style w:type="character" w:customStyle="1" w:styleId="391">
    <w:name w:val="正文文本缩进 3 字符"/>
    <w:link w:val="56"/>
    <w:qFormat/>
    <w:uiPriority w:val="0"/>
    <w:rPr>
      <w:kern w:val="2"/>
      <w:sz w:val="24"/>
    </w:rPr>
  </w:style>
  <w:style w:type="character" w:customStyle="1" w:styleId="392">
    <w:name w:val="日期 Char1"/>
    <w:semiHidden/>
    <w:qFormat/>
    <w:uiPriority w:val="99"/>
    <w:rPr>
      <w:rFonts w:ascii="Times New Roman" w:hAnsi="Times New Roman" w:eastAsia="宋体" w:cs="Times New Roman"/>
      <w:szCs w:val="24"/>
    </w:rPr>
  </w:style>
  <w:style w:type="character" w:customStyle="1" w:styleId="393">
    <w:name w:val="页眉 字符"/>
    <w:qFormat/>
    <w:uiPriority w:val="99"/>
    <w:rPr>
      <w:kern w:val="2"/>
      <w:sz w:val="18"/>
      <w:szCs w:val="18"/>
    </w:rPr>
  </w:style>
  <w:style w:type="character" w:customStyle="1" w:styleId="394">
    <w:name w:val="Char Char33"/>
    <w:qFormat/>
    <w:uiPriority w:val="6"/>
    <w:rPr>
      <w:rFonts w:ascii="Arial" w:hAnsi="Arial" w:eastAsia="黑体"/>
      <w:b/>
      <w:kern w:val="1"/>
      <w:sz w:val="24"/>
      <w:szCs w:val="24"/>
    </w:rPr>
  </w:style>
  <w:style w:type="character" w:customStyle="1" w:styleId="395">
    <w:name w:val="b11_01b Char"/>
    <w:link w:val="396"/>
    <w:qFormat/>
    <w:uiPriority w:val="0"/>
    <w:rPr>
      <w:rFonts w:ascii="Verdana" w:hAnsi="Verdana"/>
      <w:b/>
      <w:bCs/>
      <w:color w:val="4A82CA"/>
      <w:sz w:val="17"/>
      <w:szCs w:val="17"/>
    </w:rPr>
  </w:style>
  <w:style w:type="paragraph" w:customStyle="1" w:styleId="396">
    <w:name w:val="b11_01b"/>
    <w:basedOn w:val="1"/>
    <w:next w:val="1"/>
    <w:link w:val="3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7">
    <w:name w:val="Char Char121"/>
    <w:qFormat/>
    <w:uiPriority w:val="6"/>
    <w:rPr>
      <w:rFonts w:ascii="仿宋_GB2312" w:eastAsia="仿宋_GB2312"/>
      <w:b/>
      <w:bCs/>
      <w:kern w:val="2"/>
      <w:sz w:val="24"/>
      <w:szCs w:val="24"/>
      <w:lang w:val="zh-CN" w:eastAsia="zh-CN" w:bidi="ar-SA"/>
    </w:rPr>
  </w:style>
  <w:style w:type="character" w:customStyle="1" w:styleId="398">
    <w:name w:val="Footer-Even Char"/>
    <w:qFormat/>
    <w:uiPriority w:val="0"/>
    <w:rPr>
      <w:rFonts w:eastAsia="宋体"/>
      <w:kern w:val="2"/>
      <w:sz w:val="18"/>
      <w:lang w:val="en-US" w:eastAsia="zh-CN" w:bidi="ar-SA"/>
    </w:rPr>
  </w:style>
  <w:style w:type="character" w:customStyle="1" w:styleId="399">
    <w:name w:val="页脚 字符2"/>
    <w:link w:val="43"/>
    <w:qFormat/>
    <w:locked/>
    <w:uiPriority w:val="99"/>
    <w:rPr>
      <w:kern w:val="2"/>
      <w:sz w:val="18"/>
      <w:szCs w:val="18"/>
    </w:rPr>
  </w:style>
  <w:style w:type="character" w:customStyle="1" w:styleId="400">
    <w:name w:val="Char Char36"/>
    <w:qFormat/>
    <w:uiPriority w:val="6"/>
    <w:rPr>
      <w:rFonts w:ascii="仿宋_GB2312" w:hAnsi="仿宋_GB2312" w:eastAsia="仿宋_GB2312" w:cs="Arial"/>
      <w:b/>
      <w:kern w:val="1"/>
      <w:sz w:val="32"/>
      <w:szCs w:val="32"/>
      <w:lang w:val="zh-CN" w:eastAsia="zh-CN" w:bidi="ar-SA"/>
    </w:rPr>
  </w:style>
  <w:style w:type="character" w:customStyle="1" w:styleId="401">
    <w:name w:val="Char Char61"/>
    <w:qFormat/>
    <w:uiPriority w:val="6"/>
    <w:rPr>
      <w:rFonts w:eastAsia="宋体"/>
      <w:kern w:val="2"/>
      <w:sz w:val="21"/>
      <w:szCs w:val="24"/>
      <w:lang w:val="en-US" w:eastAsia="zh-CN" w:bidi="ar-SA"/>
    </w:rPr>
  </w:style>
  <w:style w:type="character" w:customStyle="1" w:styleId="402">
    <w:name w:val="正文文字缩进 2 Char Char"/>
    <w:qFormat/>
    <w:uiPriority w:val="0"/>
    <w:rPr>
      <w:rFonts w:ascii="宋体"/>
      <w:sz w:val="28"/>
    </w:rPr>
  </w:style>
  <w:style w:type="character" w:customStyle="1" w:styleId="403">
    <w:name w:val="f141"/>
    <w:qFormat/>
    <w:uiPriority w:val="0"/>
    <w:rPr>
      <w:rFonts w:ascii="Tahoma" w:hAnsi="Tahoma" w:eastAsia="宋体"/>
      <w:b/>
      <w:kern w:val="2"/>
      <w:sz w:val="21"/>
      <w:szCs w:val="21"/>
      <w:lang w:val="en-US" w:eastAsia="zh-CN" w:bidi="ar-SA"/>
    </w:rPr>
  </w:style>
  <w:style w:type="character" w:customStyle="1" w:styleId="404">
    <w:name w:val="段落 Char Char"/>
    <w:link w:val="405"/>
    <w:qFormat/>
    <w:uiPriority w:val="0"/>
    <w:rPr>
      <w:rFonts w:ascii="宋体" w:hAnsi="宋体"/>
      <w:sz w:val="24"/>
    </w:rPr>
  </w:style>
  <w:style w:type="paragraph" w:customStyle="1" w:styleId="405">
    <w:name w:val="段落"/>
    <w:basedOn w:val="1"/>
    <w:link w:val="404"/>
    <w:qFormat/>
    <w:uiPriority w:val="0"/>
    <w:pPr>
      <w:adjustRightInd/>
      <w:spacing w:line="360" w:lineRule="auto"/>
      <w:ind w:firstLine="480" w:firstLineChars="200"/>
    </w:pPr>
    <w:rPr>
      <w:rFonts w:ascii="宋体" w:hAnsi="宋体"/>
      <w:kern w:val="0"/>
      <w:sz w:val="24"/>
      <w:szCs w:val="20"/>
    </w:rPr>
  </w:style>
  <w:style w:type="character" w:customStyle="1" w:styleId="406">
    <w:name w:val="标题 3 Char2"/>
    <w:qFormat/>
    <w:uiPriority w:val="0"/>
    <w:rPr>
      <w:rFonts w:eastAsia="宋体"/>
      <w:b/>
      <w:bCs/>
      <w:kern w:val="2"/>
      <w:sz w:val="32"/>
      <w:szCs w:val="32"/>
      <w:lang w:val="en-US" w:eastAsia="zh-CN" w:bidi="ar-SA"/>
    </w:rPr>
  </w:style>
  <w:style w:type="character" w:customStyle="1" w:styleId="407">
    <w:name w:val="apple-converted-space"/>
    <w:qFormat/>
    <w:uiPriority w:val="0"/>
  </w:style>
  <w:style w:type="character" w:customStyle="1" w:styleId="408">
    <w:name w:val="页眉 字符2"/>
    <w:link w:val="45"/>
    <w:qFormat/>
    <w:uiPriority w:val="99"/>
    <w:rPr>
      <w:kern w:val="2"/>
      <w:sz w:val="18"/>
      <w:szCs w:val="18"/>
    </w:rPr>
  </w:style>
  <w:style w:type="character" w:customStyle="1" w:styleId="409">
    <w:name w:val="Char Char9"/>
    <w:qFormat/>
    <w:uiPriority w:val="0"/>
    <w:rPr>
      <w:rFonts w:eastAsia="宋体"/>
      <w:kern w:val="2"/>
      <w:sz w:val="18"/>
      <w:szCs w:val="18"/>
      <w:lang w:val="en-US" w:eastAsia="zh-CN" w:bidi="ar-SA"/>
    </w:rPr>
  </w:style>
  <w:style w:type="character" w:customStyle="1" w:styleId="410">
    <w:name w:val="Char Char41"/>
    <w:qFormat/>
    <w:uiPriority w:val="0"/>
    <w:rPr>
      <w:rFonts w:eastAsia="宋体"/>
      <w:b/>
      <w:sz w:val="24"/>
      <w:lang w:val="en-GB" w:eastAsia="zh-CN" w:bidi="ar-SA"/>
    </w:rPr>
  </w:style>
  <w:style w:type="character" w:customStyle="1" w:styleId="411">
    <w:name w:val="large1"/>
    <w:qFormat/>
    <w:uiPriority w:val="0"/>
    <w:rPr>
      <w:rFonts w:hint="eastAsia" w:ascii="宋体" w:hAnsi="宋体" w:eastAsia="宋体"/>
      <w:sz w:val="21"/>
      <w:szCs w:val="21"/>
    </w:rPr>
  </w:style>
  <w:style w:type="character" w:customStyle="1" w:styleId="412">
    <w:name w:val="正文段 Char"/>
    <w:link w:val="413"/>
    <w:qFormat/>
    <w:uiPriority w:val="0"/>
    <w:rPr>
      <w:sz w:val="24"/>
    </w:rPr>
  </w:style>
  <w:style w:type="paragraph" w:customStyle="1" w:styleId="413">
    <w:name w:val="正文段"/>
    <w:basedOn w:val="1"/>
    <w:link w:val="412"/>
    <w:qFormat/>
    <w:uiPriority w:val="0"/>
    <w:pPr>
      <w:widowControl/>
      <w:snapToGrid w:val="0"/>
      <w:spacing w:after="156" w:afterLines="50"/>
      <w:ind w:firstLine="200" w:firstLineChars="200"/>
    </w:pPr>
    <w:rPr>
      <w:kern w:val="0"/>
      <w:sz w:val="24"/>
      <w:szCs w:val="20"/>
    </w:rPr>
  </w:style>
  <w:style w:type="character" w:customStyle="1" w:styleId="414">
    <w:name w:val="Char Char13"/>
    <w:qFormat/>
    <w:uiPriority w:val="6"/>
    <w:rPr>
      <w:rFonts w:ascii="宋体" w:hAnsi="宋体"/>
      <w:kern w:val="1"/>
      <w:sz w:val="21"/>
      <w:szCs w:val="24"/>
    </w:rPr>
  </w:style>
  <w:style w:type="character" w:customStyle="1" w:styleId="4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6">
    <w:name w:val="冯广丽 Char"/>
    <w:link w:val="417"/>
    <w:qFormat/>
    <w:uiPriority w:val="0"/>
    <w:rPr>
      <w:rFonts w:ascii="宋体" w:hAnsi="宋体"/>
      <w:kern w:val="2"/>
      <w:sz w:val="24"/>
      <w:szCs w:val="22"/>
    </w:rPr>
  </w:style>
  <w:style w:type="paragraph" w:customStyle="1" w:styleId="417">
    <w:name w:val="冯广丽"/>
    <w:basedOn w:val="1"/>
    <w:link w:val="416"/>
    <w:qFormat/>
    <w:uiPriority w:val="0"/>
    <w:pPr>
      <w:adjustRightInd/>
      <w:spacing w:line="360" w:lineRule="auto"/>
      <w:ind w:firstLine="480" w:firstLineChars="200"/>
    </w:pPr>
    <w:rPr>
      <w:rFonts w:ascii="宋体" w:hAnsi="宋体"/>
      <w:sz w:val="24"/>
      <w:szCs w:val="22"/>
    </w:rPr>
  </w:style>
  <w:style w:type="character" w:customStyle="1" w:styleId="418">
    <w:name w:val="批注文字 字符"/>
    <w:qFormat/>
    <w:uiPriority w:val="0"/>
    <w:rPr>
      <w:rFonts w:ascii="Arial" w:hAnsi="Arial" w:eastAsia="黑体" w:cs="Arial"/>
      <w:snapToGrid w:val="0"/>
      <w:kern w:val="0"/>
      <w:szCs w:val="21"/>
    </w:rPr>
  </w:style>
  <w:style w:type="character" w:customStyle="1" w:styleId="419">
    <w:name w:val="Char Char161"/>
    <w:qFormat/>
    <w:uiPriority w:val="0"/>
    <w:rPr>
      <w:rFonts w:eastAsia="宋体"/>
      <w:b/>
      <w:kern w:val="2"/>
      <w:sz w:val="32"/>
      <w:lang w:val="en-US" w:eastAsia="zh-CN"/>
    </w:rPr>
  </w:style>
  <w:style w:type="character" w:customStyle="1" w:styleId="420">
    <w:name w:val="javascript"/>
    <w:qFormat/>
    <w:uiPriority w:val="0"/>
  </w:style>
  <w:style w:type="character" w:customStyle="1" w:styleId="421">
    <w:name w:val="图名 Char"/>
    <w:qFormat/>
    <w:uiPriority w:val="0"/>
    <w:rPr>
      <w:rFonts w:ascii="Arial" w:hAnsi="Arial" w:eastAsia="黑体"/>
      <w:kern w:val="2"/>
      <w:sz w:val="24"/>
      <w:szCs w:val="24"/>
      <w:lang w:val="en-US" w:eastAsia="zh-CN" w:bidi="ar-SA"/>
    </w:rPr>
  </w:style>
  <w:style w:type="character" w:customStyle="1" w:styleId="422">
    <w:name w:val="Used by Word for text of Help footnotes Char Char"/>
    <w:qFormat/>
    <w:uiPriority w:val="0"/>
    <w:rPr>
      <w:rFonts w:ascii="Times New Roman" w:hAnsi="Times New Roman" w:eastAsia="宋体" w:cs="Times New Roman"/>
      <w:sz w:val="20"/>
      <w:szCs w:val="20"/>
    </w:rPr>
  </w:style>
  <w:style w:type="character" w:customStyle="1" w:styleId="423">
    <w:name w:val="编号，小四 Char"/>
    <w:link w:val="424"/>
    <w:qFormat/>
    <w:uiPriority w:val="0"/>
    <w:rPr>
      <w:rFonts w:ascii="Arial" w:hAnsi="Arial"/>
      <w:sz w:val="24"/>
    </w:rPr>
  </w:style>
  <w:style w:type="paragraph" w:customStyle="1" w:styleId="424">
    <w:name w:val="编号，小四"/>
    <w:basedOn w:val="1"/>
    <w:link w:val="423"/>
    <w:qFormat/>
    <w:uiPriority w:val="0"/>
    <w:pPr>
      <w:tabs>
        <w:tab w:val="left" w:pos="432"/>
      </w:tabs>
      <w:adjustRightInd/>
      <w:spacing w:line="360" w:lineRule="auto"/>
      <w:ind w:left="432" w:hanging="432"/>
    </w:pPr>
    <w:rPr>
      <w:rFonts w:ascii="Arial" w:hAnsi="Arial"/>
      <w:kern w:val="0"/>
      <w:sz w:val="24"/>
      <w:szCs w:val="20"/>
    </w:rPr>
  </w:style>
  <w:style w:type="character" w:customStyle="1" w:styleId="425">
    <w:name w:val="Font Style82"/>
    <w:qFormat/>
    <w:uiPriority w:val="99"/>
    <w:rPr>
      <w:rFonts w:ascii="宋体" w:eastAsia="宋体" w:cs="宋体"/>
      <w:color w:val="000000"/>
      <w:sz w:val="14"/>
      <w:szCs w:val="14"/>
    </w:rPr>
  </w:style>
  <w:style w:type="character" w:customStyle="1" w:styleId="426">
    <w:name w:val="标题 2 Char Char"/>
    <w:qFormat/>
    <w:uiPriority w:val="0"/>
    <w:rPr>
      <w:rFonts w:ascii="楷体_GB2312" w:hAnsi="Arial" w:eastAsia="楷体_GB2312"/>
      <w:b/>
      <w:bCs/>
      <w:kern w:val="2"/>
      <w:sz w:val="24"/>
      <w:szCs w:val="32"/>
      <w:lang w:val="en-US" w:eastAsia="zh-CN" w:bidi="ar-SA"/>
    </w:rPr>
  </w:style>
  <w:style w:type="character" w:customStyle="1" w:styleId="427">
    <w:name w:val="未用 Char"/>
    <w:qFormat/>
    <w:uiPriority w:val="0"/>
    <w:rPr>
      <w:rFonts w:ascii="Arial" w:hAnsi="Arial" w:eastAsia="黑体"/>
      <w:kern w:val="2"/>
      <w:sz w:val="21"/>
      <w:szCs w:val="21"/>
      <w:lang w:val="en-US" w:eastAsia="zh-CN" w:bidi="ar-SA"/>
    </w:rPr>
  </w:style>
  <w:style w:type="character" w:customStyle="1" w:styleId="428">
    <w:name w:val="myp1111"/>
    <w:qFormat/>
    <w:uiPriority w:val="0"/>
    <w:rPr>
      <w:rFonts w:hint="default" w:ascii="ˎ̥" w:hAnsi="ˎ̥"/>
      <w:color w:val="000000"/>
      <w:sz w:val="20"/>
      <w:szCs w:val="20"/>
      <w:u w:val="none"/>
    </w:rPr>
  </w:style>
  <w:style w:type="character" w:customStyle="1" w:styleId="429">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430">
    <w:name w:val="h Char Char"/>
    <w:qFormat/>
    <w:uiPriority w:val="0"/>
    <w:rPr>
      <w:rFonts w:eastAsia="宋体"/>
      <w:kern w:val="2"/>
      <w:sz w:val="18"/>
      <w:lang w:val="en-US" w:eastAsia="zh-CN" w:bidi="ar-SA"/>
    </w:rPr>
  </w:style>
  <w:style w:type="character" w:customStyle="1" w:styleId="431">
    <w:name w:val="仿宋正文 Char"/>
    <w:link w:val="432"/>
    <w:qFormat/>
    <w:uiPriority w:val="0"/>
    <w:rPr>
      <w:rFonts w:ascii="仿宋_GB2312" w:eastAsia="仿宋_GB2312"/>
      <w:kern w:val="2"/>
      <w:sz w:val="24"/>
      <w:lang w:val="en-US" w:eastAsia="zh-CN" w:bidi="ar-SA"/>
    </w:rPr>
  </w:style>
  <w:style w:type="paragraph" w:customStyle="1" w:styleId="432">
    <w:name w:val="仿宋正文"/>
    <w:basedOn w:val="1"/>
    <w:link w:val="431"/>
    <w:qFormat/>
    <w:uiPriority w:val="0"/>
    <w:pPr>
      <w:adjustRightInd/>
      <w:spacing w:line="360" w:lineRule="auto"/>
      <w:ind w:firstLine="480" w:firstLineChars="200"/>
    </w:pPr>
    <w:rPr>
      <w:rFonts w:ascii="仿宋_GB2312" w:eastAsia="仿宋_GB2312"/>
      <w:sz w:val="24"/>
      <w:szCs w:val="20"/>
    </w:rPr>
  </w:style>
  <w:style w:type="character" w:customStyle="1" w:styleId="433">
    <w:name w:val="正文首行缩进 Char Char Char Char Char Char"/>
    <w:qFormat/>
    <w:uiPriority w:val="0"/>
    <w:rPr>
      <w:rFonts w:ascii="宋体" w:eastAsia="宋体"/>
      <w:kern w:val="2"/>
      <w:sz w:val="24"/>
      <w:lang w:val="zh-CN" w:bidi="ar-SA"/>
    </w:rPr>
  </w:style>
  <w:style w:type="character" w:customStyle="1" w:styleId="434">
    <w:name w:val="样式 宋体"/>
    <w:qFormat/>
    <w:uiPriority w:val="0"/>
    <w:rPr>
      <w:rFonts w:ascii="宋体" w:hAnsi="宋体"/>
      <w:sz w:val="24"/>
    </w:rPr>
  </w:style>
  <w:style w:type="character" w:customStyle="1" w:styleId="435">
    <w:name w:val="tw4winJump"/>
    <w:qFormat/>
    <w:uiPriority w:val="0"/>
    <w:rPr>
      <w:rFonts w:ascii="Courier New" w:hAnsi="Courier New" w:cs="Courier New"/>
      <w:color w:val="008080"/>
      <w:lang w:val="en-US" w:eastAsia="zh-CN"/>
    </w:rPr>
  </w:style>
  <w:style w:type="character" w:customStyle="1" w:styleId="436">
    <w:name w:val="style36"/>
    <w:basedOn w:val="71"/>
    <w:qFormat/>
    <w:uiPriority w:val="0"/>
    <w:rPr>
      <w:rFonts w:ascii="Arial" w:hAnsi="Arial" w:eastAsia="黑体" w:cs="Arial"/>
      <w:snapToGrid w:val="0"/>
      <w:kern w:val="0"/>
      <w:szCs w:val="21"/>
    </w:rPr>
  </w:style>
  <w:style w:type="character" w:customStyle="1" w:styleId="437">
    <w:name w:val="pt9"/>
    <w:qFormat/>
    <w:uiPriority w:val="0"/>
    <w:rPr>
      <w:rFonts w:ascii="仿宋_GB2312" w:eastAsia="微软雅黑"/>
      <w:b/>
      <w:kern w:val="2"/>
      <w:sz w:val="32"/>
      <w:szCs w:val="32"/>
      <w:lang w:val="en-US" w:eastAsia="zh-CN" w:bidi="ar-SA"/>
    </w:rPr>
  </w:style>
  <w:style w:type="character" w:customStyle="1" w:styleId="438">
    <w:name w:val="DO_NOT_TRANSLATE"/>
    <w:qFormat/>
    <w:uiPriority w:val="0"/>
    <w:rPr>
      <w:rFonts w:ascii="Courier New" w:hAnsi="Courier New" w:cs="Courier New"/>
      <w:color w:val="800000"/>
      <w:lang w:val="en-US" w:eastAsia="zh-CN"/>
    </w:rPr>
  </w:style>
  <w:style w:type="character" w:customStyle="1" w:styleId="439">
    <w:name w:val="标书1 Char1"/>
    <w:qFormat/>
    <w:uiPriority w:val="0"/>
    <w:rPr>
      <w:rFonts w:eastAsia="宋体"/>
      <w:b/>
      <w:bCs/>
      <w:kern w:val="44"/>
      <w:sz w:val="44"/>
      <w:szCs w:val="44"/>
      <w:lang w:val="en-US" w:eastAsia="zh-CN" w:bidi="ar-SA"/>
    </w:rPr>
  </w:style>
  <w:style w:type="character" w:customStyle="1" w:styleId="440">
    <w:name w:val="页脚 字符"/>
    <w:qFormat/>
    <w:uiPriority w:val="99"/>
    <w:rPr>
      <w:kern w:val="2"/>
      <w:sz w:val="18"/>
      <w:szCs w:val="18"/>
    </w:rPr>
  </w:style>
  <w:style w:type="character" w:customStyle="1" w:styleId="441">
    <w:name w:val="正文2 Char"/>
    <w:qFormat/>
    <w:uiPriority w:val="0"/>
    <w:rPr>
      <w:rFonts w:eastAsia="宋体"/>
      <w:kern w:val="2"/>
      <w:sz w:val="24"/>
      <w:lang w:val="en-US" w:eastAsia="zh-CN" w:bidi="ar-SA"/>
    </w:rPr>
  </w:style>
  <w:style w:type="character" w:customStyle="1" w:styleId="442">
    <w:name w:val="Char Char21"/>
    <w:qFormat/>
    <w:uiPriority w:val="6"/>
    <w:rPr>
      <w:rFonts w:ascii="宋体" w:hAnsi="宋体"/>
      <w:kern w:val="1"/>
      <w:sz w:val="24"/>
      <w:szCs w:val="21"/>
      <w:lang w:val="zh-CN"/>
    </w:rPr>
  </w:style>
  <w:style w:type="character" w:customStyle="1" w:styleId="443">
    <w:name w:val="样式 正文缩进 + 首行缩进:  2 字符 Char Char"/>
    <w:link w:val="444"/>
    <w:qFormat/>
    <w:uiPriority w:val="0"/>
    <w:rPr>
      <w:rFonts w:cs="宋体"/>
      <w:kern w:val="2"/>
      <w:sz w:val="24"/>
    </w:rPr>
  </w:style>
  <w:style w:type="paragraph" w:customStyle="1" w:styleId="444">
    <w:name w:val="样式 正文缩进 + 首行缩进:  2 字符"/>
    <w:basedOn w:val="15"/>
    <w:link w:val="44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46">
    <w:name w:val="gray6"/>
    <w:basedOn w:val="71"/>
    <w:qFormat/>
    <w:uiPriority w:val="0"/>
    <w:rPr>
      <w:rFonts w:ascii="Arial" w:hAnsi="Arial" w:eastAsia="黑体" w:cs="Arial"/>
      <w:snapToGrid w:val="0"/>
      <w:kern w:val="0"/>
      <w:szCs w:val="21"/>
    </w:rPr>
  </w:style>
  <w:style w:type="character" w:customStyle="1" w:styleId="447">
    <w:name w:val="hui"/>
    <w:basedOn w:val="71"/>
    <w:qFormat/>
    <w:uiPriority w:val="0"/>
    <w:rPr>
      <w:rFonts w:ascii="Arial" w:hAnsi="Arial" w:eastAsia="黑体" w:cs="Arial"/>
      <w:snapToGrid w:val="0"/>
      <w:kern w:val="0"/>
      <w:szCs w:val="21"/>
    </w:rPr>
  </w:style>
  <w:style w:type="character" w:customStyle="1" w:styleId="448">
    <w:name w:val="哈哈正文 Char Char"/>
    <w:qFormat/>
    <w:uiPriority w:val="0"/>
    <w:rPr>
      <w:rFonts w:ascii="宋体" w:hAnsi="宋体" w:eastAsia="宋体" w:cs="宋体"/>
      <w:kern w:val="2"/>
      <w:sz w:val="24"/>
      <w:lang w:val="en-US" w:eastAsia="zh-CN" w:bidi="ar-SA"/>
    </w:rPr>
  </w:style>
  <w:style w:type="paragraph" w:customStyle="1" w:styleId="449">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5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6">
    <w:name w:val="标题4_自定义"/>
    <w:basedOn w:val="5"/>
    <w:qFormat/>
    <w:uiPriority w:val="0"/>
    <w:pPr>
      <w:adjustRightInd/>
      <w:spacing w:before="0" w:after="0" w:line="360" w:lineRule="auto"/>
    </w:pPr>
    <w:rPr>
      <w:rFonts w:ascii="Verdana" w:eastAsia="Verdana"/>
      <w:sz w:val="21"/>
      <w:lang w:val="en-US"/>
    </w:rPr>
  </w:style>
  <w:style w:type="paragraph" w:customStyle="1" w:styleId="457">
    <w:name w:val="正文 内标 序号标"/>
    <w:basedOn w:val="458"/>
    <w:qFormat/>
    <w:uiPriority w:val="0"/>
    <w:pPr>
      <w:tabs>
        <w:tab w:val="left" w:pos="0"/>
      </w:tabs>
      <w:adjustRightInd/>
      <w:spacing w:before="0"/>
      <w:ind w:firstLine="482"/>
    </w:pPr>
    <w:rPr>
      <w:rFonts w:ascii="微软雅黑" w:hAnsi="微软雅黑"/>
      <w:sz w:val="24"/>
      <w:szCs w:val="24"/>
    </w:rPr>
  </w:style>
  <w:style w:type="paragraph" w:customStyle="1" w:styleId="458">
    <w:name w:val="My正文"/>
    <w:basedOn w:val="1"/>
    <w:qFormat/>
    <w:uiPriority w:val="0"/>
    <w:pPr>
      <w:spacing w:before="120" w:line="360" w:lineRule="auto"/>
      <w:ind w:firstLine="567"/>
    </w:pPr>
    <w:rPr>
      <w:rFonts w:ascii="Arial" w:hAnsi="Arial"/>
      <w:sz w:val="20"/>
      <w:szCs w:val="20"/>
    </w:rPr>
  </w:style>
  <w:style w:type="paragraph" w:customStyle="1" w:styleId="4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2">
    <w:name w:val="修订2"/>
    <w:qFormat/>
    <w:uiPriority w:val="0"/>
    <w:rPr>
      <w:rFonts w:ascii="Times New Roman" w:hAnsi="Times New Roman" w:eastAsia="宋体" w:cs="Times New Roman"/>
      <w:kern w:val="2"/>
      <w:sz w:val="21"/>
      <w:lang w:val="en-US" w:eastAsia="zh-CN" w:bidi="ar-SA"/>
    </w:rPr>
  </w:style>
  <w:style w:type="paragraph" w:customStyle="1" w:styleId="4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5">
    <w:name w:val="文章标题"/>
    <w:next w:val="46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6">
    <w:name w:val="封面公司名"/>
    <w:qFormat/>
    <w:uiPriority w:val="0"/>
    <w:pPr>
      <w:jc w:val="center"/>
    </w:pPr>
    <w:rPr>
      <w:rFonts w:ascii="Arial" w:hAnsi="Arial" w:eastAsia="楷体_GB2312" w:cs="宋体"/>
      <w:bCs/>
      <w:kern w:val="2"/>
      <w:sz w:val="28"/>
      <w:lang w:val="en-US" w:eastAsia="zh-CN" w:bidi="ar-SA"/>
    </w:rPr>
  </w:style>
  <w:style w:type="paragraph" w:customStyle="1" w:styleId="467">
    <w:name w:val="Char1 Char Char Char5"/>
    <w:basedOn w:val="1"/>
    <w:qFormat/>
    <w:uiPriority w:val="0"/>
    <w:pPr>
      <w:adjustRightInd/>
      <w:ind w:firstLine="200" w:firstLineChars="200"/>
    </w:pPr>
    <w:rPr>
      <w:rFonts w:ascii="Tahoma" w:hAnsi="Tahoma"/>
      <w:sz w:val="24"/>
      <w:szCs w:val="20"/>
    </w:rPr>
  </w:style>
  <w:style w:type="paragraph" w:customStyle="1" w:styleId="4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70">
    <w:name w:val="Char Char Char Char Char Char Char Char"/>
    <w:basedOn w:val="1"/>
    <w:qFormat/>
    <w:uiPriority w:val="0"/>
    <w:pPr>
      <w:tabs>
        <w:tab w:val="left" w:pos="360"/>
      </w:tabs>
    </w:pPr>
    <w:rPr>
      <w:sz w:val="24"/>
      <w:szCs w:val="20"/>
    </w:rPr>
  </w:style>
  <w:style w:type="paragraph" w:customStyle="1" w:styleId="471">
    <w:name w:val="Char Char11 Char Char Char"/>
    <w:basedOn w:val="1"/>
    <w:qFormat/>
    <w:uiPriority w:val="0"/>
    <w:pPr>
      <w:spacing w:line="360" w:lineRule="auto"/>
    </w:pPr>
    <w:rPr>
      <w:szCs w:val="20"/>
    </w:rPr>
  </w:style>
  <w:style w:type="paragraph" w:customStyle="1" w:styleId="4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74">
    <w:name w:val="样式3"/>
    <w:basedOn w:val="96"/>
    <w:qFormat/>
    <w:uiPriority w:val="0"/>
    <w:pPr>
      <w:spacing w:before="312" w:beforeLines="100"/>
      <w:jc w:val="left"/>
    </w:pPr>
  </w:style>
  <w:style w:type="paragraph" w:customStyle="1" w:styleId="475">
    <w:name w:val="Char Char1 Char Char1 Char Char1"/>
    <w:basedOn w:val="1"/>
    <w:qFormat/>
    <w:uiPriority w:val="0"/>
    <w:pPr>
      <w:tabs>
        <w:tab w:val="left" w:pos="840"/>
      </w:tabs>
      <w:ind w:left="840" w:hanging="420"/>
    </w:pPr>
    <w:rPr>
      <w:rFonts w:ascii="Tahoma" w:hAnsi="Tahoma"/>
      <w:sz w:val="24"/>
    </w:rPr>
  </w:style>
  <w:style w:type="paragraph" w:customStyle="1" w:styleId="47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9">
    <w:name w:val="正文21"/>
    <w:basedOn w:val="1"/>
    <w:qFormat/>
    <w:uiPriority w:val="0"/>
    <w:pPr>
      <w:adjustRightInd/>
      <w:spacing w:before="156" w:line="360" w:lineRule="auto"/>
      <w:ind w:firstLine="510" w:firstLineChars="200"/>
    </w:pPr>
    <w:rPr>
      <w:sz w:val="24"/>
      <w:szCs w:val="20"/>
    </w:rPr>
  </w:style>
  <w:style w:type="paragraph" w:customStyle="1" w:styleId="48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8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2">
    <w:name w:val="Char1"/>
    <w:basedOn w:val="1"/>
    <w:qFormat/>
    <w:uiPriority w:val="0"/>
    <w:rPr>
      <w:rFonts w:ascii="仿宋_GB2312" w:eastAsia="仿宋_GB2312"/>
      <w:b/>
      <w:sz w:val="32"/>
      <w:szCs w:val="32"/>
    </w:rPr>
  </w:style>
  <w:style w:type="paragraph" w:customStyle="1" w:styleId="48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7">
    <w:name w:val="6级标题"/>
    <w:basedOn w:val="488"/>
    <w:qFormat/>
    <w:uiPriority w:val="0"/>
    <w:pPr>
      <w:keepNext/>
      <w:tabs>
        <w:tab w:val="left" w:pos="360"/>
      </w:tabs>
      <w:spacing w:before="0" w:after="0"/>
      <w:outlineLvl w:val="5"/>
    </w:pPr>
  </w:style>
  <w:style w:type="paragraph" w:customStyle="1" w:styleId="488">
    <w:name w:val="5级标题"/>
    <w:basedOn w:val="48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9">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90">
    <w:name w:val="样式 正文文本缩进 + 段前: 2 字符"/>
    <w:basedOn w:val="1"/>
    <w:qFormat/>
    <w:uiPriority w:val="0"/>
    <w:pPr>
      <w:adjustRightInd/>
      <w:ind w:left="420" w:leftChars="200"/>
      <w:jc w:val="left"/>
    </w:pPr>
    <w:rPr>
      <w:sz w:val="28"/>
      <w:szCs w:val="20"/>
      <w:lang w:eastAsia="zh-TW"/>
    </w:rPr>
  </w:style>
  <w:style w:type="paragraph" w:customStyle="1" w:styleId="491">
    <w:name w:val="Char2 Char Char"/>
    <w:basedOn w:val="1"/>
    <w:qFormat/>
    <w:uiPriority w:val="0"/>
    <w:pPr>
      <w:adjustRightInd/>
    </w:pPr>
    <w:rPr>
      <w:rFonts w:ascii="Tahoma" w:hAnsi="Tahoma"/>
      <w:sz w:val="24"/>
      <w:szCs w:val="20"/>
    </w:rPr>
  </w:style>
  <w:style w:type="paragraph" w:customStyle="1" w:styleId="492">
    <w:name w:val="_Style 11"/>
    <w:basedOn w:val="1"/>
    <w:qFormat/>
    <w:uiPriority w:val="34"/>
    <w:pPr>
      <w:adjustRightInd/>
      <w:ind w:firstLine="420" w:firstLineChars="200"/>
    </w:pPr>
    <w:rPr>
      <w:rFonts w:eastAsia="仿宋_GB2312"/>
      <w:sz w:val="28"/>
    </w:rPr>
  </w:style>
  <w:style w:type="paragraph" w:customStyle="1" w:styleId="49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4">
    <w:name w:val="Char Char Char"/>
    <w:basedOn w:val="1"/>
    <w:qFormat/>
    <w:uiPriority w:val="0"/>
    <w:rPr>
      <w:rFonts w:ascii="Tahoma" w:hAnsi="Tahoma"/>
      <w:sz w:val="24"/>
      <w:szCs w:val="20"/>
    </w:rPr>
  </w:style>
  <w:style w:type="paragraph" w:customStyle="1" w:styleId="49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9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7">
    <w:name w:val="无间隔2"/>
    <w:basedOn w:val="1"/>
    <w:link w:val="938"/>
    <w:qFormat/>
    <w:uiPriority w:val="99"/>
    <w:rPr>
      <w:szCs w:val="22"/>
    </w:rPr>
  </w:style>
  <w:style w:type="paragraph" w:customStyle="1" w:styleId="49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9">
    <w:name w:val="Char Char Char Char Char Char Char Char Char Char Char Char1 Char1"/>
    <w:basedOn w:val="1"/>
    <w:qFormat/>
    <w:uiPriority w:val="6"/>
    <w:rPr>
      <w:rFonts w:ascii="Tahoma" w:hAnsi="Tahoma" w:cs="仿宋_GB2312"/>
      <w:sz w:val="24"/>
      <w:szCs w:val="20"/>
    </w:rPr>
  </w:style>
  <w:style w:type="paragraph" w:customStyle="1" w:styleId="50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0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3">
    <w:name w:val="MM Topic 2"/>
    <w:basedOn w:val="3"/>
    <w:qFormat/>
    <w:uiPriority w:val="0"/>
    <w:pPr>
      <w:tabs>
        <w:tab w:val="left" w:pos="1260"/>
      </w:tabs>
      <w:ind w:left="1260" w:hanging="420"/>
    </w:pPr>
    <w:rPr>
      <w:rFonts w:ascii="Arial" w:hAnsi="Arial" w:eastAsia="黑体"/>
      <w:lang w:val="en-US"/>
    </w:rPr>
  </w:style>
  <w:style w:type="paragraph" w:customStyle="1" w:styleId="504">
    <w:name w:val="五级无标题条"/>
    <w:basedOn w:val="1"/>
    <w:qFormat/>
    <w:uiPriority w:val="0"/>
    <w:pPr>
      <w:adjustRightInd/>
    </w:pPr>
  </w:style>
  <w:style w:type="paragraph" w:customStyle="1" w:styleId="505">
    <w:name w:val="Char5"/>
    <w:basedOn w:val="1"/>
    <w:qFormat/>
    <w:uiPriority w:val="0"/>
    <w:rPr>
      <w:rFonts w:ascii="仿宋_GB2312" w:eastAsia="仿宋_GB2312"/>
      <w:b/>
      <w:sz w:val="32"/>
      <w:szCs w:val="32"/>
    </w:rPr>
  </w:style>
  <w:style w:type="paragraph" w:customStyle="1" w:styleId="50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7">
    <w:name w:val="彩色列表 - 强调文字颜色 12"/>
    <w:basedOn w:val="1"/>
    <w:qFormat/>
    <w:uiPriority w:val="0"/>
    <w:pPr>
      <w:adjustRightInd/>
      <w:ind w:firstLine="420" w:firstLineChars="200"/>
    </w:pPr>
    <w:rPr>
      <w:rFonts w:ascii="Calibri" w:hAnsi="Calibri"/>
      <w:szCs w:val="22"/>
    </w:rPr>
  </w:style>
  <w:style w:type="paragraph" w:customStyle="1" w:styleId="50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9">
    <w:name w:val="Char2"/>
    <w:basedOn w:val="1"/>
    <w:qFormat/>
    <w:uiPriority w:val="0"/>
    <w:rPr>
      <w:rFonts w:ascii="仿宋_GB2312" w:eastAsia="仿宋_GB2312"/>
      <w:b/>
      <w:sz w:val="32"/>
      <w:szCs w:val="32"/>
    </w:rPr>
  </w:style>
  <w:style w:type="paragraph" w:customStyle="1" w:styleId="510">
    <w:name w:val="数字标题3"/>
    <w:basedOn w:val="4"/>
    <w:next w:val="1"/>
    <w:qFormat/>
    <w:uiPriority w:val="0"/>
    <w:pPr>
      <w:spacing w:line="240" w:lineRule="auto"/>
    </w:pPr>
    <w:rPr>
      <w:sz w:val="28"/>
      <w:szCs w:val="28"/>
    </w:rPr>
  </w:style>
  <w:style w:type="paragraph" w:customStyle="1" w:styleId="511">
    <w:name w:val="FA正文"/>
    <w:basedOn w:val="1"/>
    <w:qFormat/>
    <w:uiPriority w:val="0"/>
    <w:pPr>
      <w:spacing w:line="360" w:lineRule="auto"/>
      <w:ind w:firstLine="480" w:firstLineChars="200"/>
    </w:pPr>
    <w:rPr>
      <w:rFonts w:hAnsi="宋体"/>
      <w:sz w:val="24"/>
      <w:szCs w:val="20"/>
    </w:rPr>
  </w:style>
  <w:style w:type="paragraph" w:customStyle="1" w:styleId="512">
    <w:name w:val="MM Topic 5"/>
    <w:basedOn w:val="6"/>
    <w:qFormat/>
    <w:uiPriority w:val="0"/>
    <w:pPr>
      <w:tabs>
        <w:tab w:val="left" w:pos="2520"/>
      </w:tabs>
      <w:adjustRightInd/>
      <w:ind w:left="2520" w:hanging="420"/>
    </w:pPr>
  </w:style>
  <w:style w:type="paragraph" w:customStyle="1" w:styleId="513">
    <w:name w:val="Char Char Char Char Char Char Char Char Char Char1"/>
    <w:basedOn w:val="1"/>
    <w:qFormat/>
    <w:uiPriority w:val="0"/>
    <w:rPr>
      <w:rFonts w:ascii="仿宋_GB2312" w:eastAsia="仿宋_GB2312"/>
      <w:b/>
      <w:sz w:val="32"/>
      <w:szCs w:val="32"/>
    </w:rPr>
  </w:style>
  <w:style w:type="paragraph" w:customStyle="1" w:styleId="51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5">
    <w:name w:val="修订1"/>
    <w:qFormat/>
    <w:uiPriority w:val="3"/>
    <w:rPr>
      <w:rFonts w:ascii="Times New Roman" w:hAnsi="Times New Roman" w:eastAsia="宋体" w:cs="Times New Roman"/>
      <w:color w:val="000000"/>
      <w:kern w:val="1"/>
      <w:sz w:val="21"/>
      <w:lang w:val="en-US" w:eastAsia="zh-CN" w:bidi="ar-SA"/>
    </w:rPr>
  </w:style>
  <w:style w:type="paragraph" w:customStyle="1" w:styleId="516">
    <w:name w:val="Char2 Char Char Char"/>
    <w:basedOn w:val="1"/>
    <w:qFormat/>
    <w:uiPriority w:val="0"/>
    <w:rPr>
      <w:rFonts w:ascii="仿宋_GB2312" w:eastAsia="仿宋_GB2312"/>
      <w:b/>
      <w:sz w:val="32"/>
      <w:szCs w:val="32"/>
    </w:rPr>
  </w:style>
  <w:style w:type="paragraph" w:customStyle="1" w:styleId="517">
    <w:name w:val="Char2 Char Char Char1"/>
    <w:basedOn w:val="1"/>
    <w:qFormat/>
    <w:uiPriority w:val="6"/>
    <w:rPr>
      <w:rFonts w:ascii="仿宋_GB2312" w:eastAsia="仿宋_GB2312"/>
      <w:b/>
      <w:sz w:val="32"/>
      <w:szCs w:val="32"/>
    </w:rPr>
  </w:style>
  <w:style w:type="paragraph" w:customStyle="1" w:styleId="518">
    <w:name w:val="默认段落样式"/>
    <w:basedOn w:val="150"/>
    <w:qFormat/>
    <w:uiPriority w:val="0"/>
    <w:pPr>
      <w:spacing w:before="0"/>
      <w:ind w:firstLine="480"/>
      <w:outlineLvl w:val="2"/>
    </w:pPr>
    <w:rPr>
      <w:rFonts w:ascii="仿宋_GB2312" w:hAnsi="宋体" w:eastAsia="仿宋_GB2312"/>
      <w:color w:val="000000"/>
      <w:szCs w:val="24"/>
    </w:rPr>
  </w:style>
  <w:style w:type="paragraph" w:customStyle="1" w:styleId="519">
    <w:name w:val="图中文字"/>
    <w:basedOn w:val="1"/>
    <w:qFormat/>
    <w:uiPriority w:val="0"/>
    <w:pPr>
      <w:snapToGrid w:val="0"/>
      <w:spacing w:line="0" w:lineRule="atLeast"/>
      <w:ind w:firstLine="200" w:firstLineChars="200"/>
      <w:jc w:val="center"/>
    </w:pPr>
    <w:rPr>
      <w:sz w:val="24"/>
      <w:szCs w:val="20"/>
    </w:rPr>
  </w:style>
  <w:style w:type="paragraph" w:customStyle="1" w:styleId="5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MM Topic 3"/>
    <w:basedOn w:val="4"/>
    <w:qFormat/>
    <w:uiPriority w:val="0"/>
    <w:pPr>
      <w:tabs>
        <w:tab w:val="left" w:pos="1680"/>
      </w:tabs>
      <w:ind w:left="1680" w:hanging="420"/>
    </w:pPr>
  </w:style>
  <w:style w:type="paragraph" w:customStyle="1" w:styleId="522">
    <w:name w:val="标准小四"/>
    <w:basedOn w:val="1"/>
    <w:qFormat/>
    <w:uiPriority w:val="0"/>
    <w:pPr>
      <w:spacing w:line="360" w:lineRule="auto"/>
      <w:ind w:firstLine="480" w:firstLineChars="200"/>
    </w:pPr>
    <w:rPr>
      <w:rFonts w:ascii="Arial" w:hAnsi="Arial"/>
      <w:sz w:val="24"/>
      <w:szCs w:val="21"/>
    </w:rPr>
  </w:style>
  <w:style w:type="paragraph" w:customStyle="1" w:styleId="5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24">
    <w:name w:val="表格（小）"/>
    <w:basedOn w:val="1"/>
    <w:qFormat/>
    <w:uiPriority w:val="0"/>
    <w:pPr>
      <w:adjustRightInd/>
      <w:snapToGrid w:val="0"/>
      <w:spacing w:line="300" w:lineRule="auto"/>
    </w:pPr>
    <w:rPr>
      <w:rFonts w:eastAsia="仿宋"/>
      <w:szCs w:val="21"/>
    </w:rPr>
  </w:style>
  <w:style w:type="paragraph" w:customStyle="1" w:styleId="5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6">
    <w:name w:val="Char2 Char Char1"/>
    <w:basedOn w:val="1"/>
    <w:qFormat/>
    <w:uiPriority w:val="6"/>
    <w:pPr>
      <w:adjustRightInd/>
    </w:pPr>
    <w:rPr>
      <w:rFonts w:ascii="Tahoma" w:hAnsi="Tahoma"/>
      <w:sz w:val="24"/>
      <w:szCs w:val="20"/>
    </w:rPr>
  </w:style>
  <w:style w:type="paragraph" w:customStyle="1" w:styleId="527">
    <w:name w:val="列出段落5"/>
    <w:basedOn w:val="1"/>
    <w:qFormat/>
    <w:uiPriority w:val="0"/>
    <w:pPr>
      <w:spacing w:line="360" w:lineRule="auto"/>
      <w:ind w:firstLine="200" w:firstLineChars="200"/>
    </w:pPr>
    <w:rPr>
      <w:rFonts w:eastAsia="楷体_GB2312" w:cs="Lucida Sans"/>
      <w:sz w:val="24"/>
    </w:rPr>
  </w:style>
  <w:style w:type="paragraph" w:customStyle="1" w:styleId="5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9">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3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3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7">
    <w:name w:val="左对齐表格文字"/>
    <w:basedOn w:val="1"/>
    <w:qFormat/>
    <w:uiPriority w:val="0"/>
    <w:pPr>
      <w:adjustRightInd/>
      <w:ind w:firstLine="200" w:firstLineChars="200"/>
      <w:jc w:val="right"/>
    </w:pPr>
  </w:style>
  <w:style w:type="paragraph" w:customStyle="1" w:styleId="538">
    <w:name w:val="Char Char11 Char Char Char Char Char Char Char Char Char"/>
    <w:basedOn w:val="1"/>
    <w:qFormat/>
    <w:uiPriority w:val="0"/>
    <w:pPr>
      <w:spacing w:line="360" w:lineRule="auto"/>
    </w:pPr>
    <w:rPr>
      <w:szCs w:val="20"/>
    </w:rPr>
  </w:style>
  <w:style w:type="paragraph" w:customStyle="1" w:styleId="539">
    <w:name w:val="正文1.25"/>
    <w:basedOn w:val="1"/>
    <w:qFormat/>
    <w:uiPriority w:val="0"/>
    <w:pPr>
      <w:adjustRightInd/>
      <w:spacing w:line="300" w:lineRule="auto"/>
      <w:ind w:firstLine="480" w:firstLineChars="200"/>
    </w:pPr>
    <w:rPr>
      <w:sz w:val="24"/>
      <w:szCs w:val="20"/>
    </w:rPr>
  </w:style>
  <w:style w:type="paragraph" w:customStyle="1" w:styleId="54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4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1 Char Char Char1"/>
    <w:basedOn w:val="1"/>
    <w:qFormat/>
    <w:uiPriority w:val="6"/>
    <w:rPr>
      <w:rFonts w:ascii="仿宋_GB2312" w:eastAsia="仿宋_GB2312"/>
      <w:b/>
      <w:sz w:val="32"/>
      <w:szCs w:val="20"/>
    </w:rPr>
  </w:style>
  <w:style w:type="paragraph" w:customStyle="1" w:styleId="544">
    <w:name w:val="列出段落2"/>
    <w:basedOn w:val="1"/>
    <w:qFormat/>
    <w:uiPriority w:val="0"/>
    <w:pPr>
      <w:adjustRightInd/>
      <w:ind w:firstLine="420" w:firstLineChars="200"/>
    </w:pPr>
    <w:rPr>
      <w:rFonts w:ascii="宋体" w:hAnsi="宋体"/>
      <w:sz w:val="24"/>
    </w:rPr>
  </w:style>
  <w:style w:type="paragraph" w:customStyle="1" w:styleId="545">
    <w:name w:val="默认段落字体 Para Char Char Char Char Char Char Char"/>
    <w:basedOn w:val="1"/>
    <w:qFormat/>
    <w:uiPriority w:val="0"/>
    <w:rPr>
      <w:rFonts w:eastAsia="仿宋_GB2312"/>
      <w:sz w:val="28"/>
      <w:szCs w:val="20"/>
    </w:rPr>
  </w:style>
  <w:style w:type="paragraph" w:customStyle="1" w:styleId="54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样式 标题 4PIM 4H4h4bulletblbbH41H42H43H44H45H46H47H48...1"/>
    <w:basedOn w:val="5"/>
    <w:qFormat/>
    <w:uiPriority w:val="0"/>
    <w:pPr>
      <w:widowControl/>
      <w:jc w:val="left"/>
    </w:pPr>
    <w:rPr>
      <w:rFonts w:cs="宋体"/>
      <w:sz w:val="24"/>
      <w:szCs w:val="20"/>
    </w:rPr>
  </w:style>
  <w:style w:type="paragraph" w:customStyle="1" w:styleId="548">
    <w:name w:val="彩色列表 - 强调文字颜色 11"/>
    <w:basedOn w:val="1"/>
    <w:qFormat/>
    <w:uiPriority w:val="0"/>
    <w:pPr>
      <w:adjustRightInd/>
      <w:ind w:firstLine="420" w:firstLineChars="200"/>
    </w:pPr>
    <w:rPr>
      <w:rFonts w:ascii="Calibri" w:hAnsi="Calibri"/>
      <w:szCs w:val="22"/>
    </w:rPr>
  </w:style>
  <w:style w:type="paragraph" w:customStyle="1" w:styleId="54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5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52">
    <w:name w:val="Char Char Char1 Char1"/>
    <w:basedOn w:val="1"/>
    <w:qFormat/>
    <w:uiPriority w:val="6"/>
    <w:rPr>
      <w:szCs w:val="20"/>
    </w:rPr>
  </w:style>
  <w:style w:type="paragraph" w:customStyle="1" w:styleId="5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8">
    <w:name w:val="CM14"/>
    <w:basedOn w:val="253"/>
    <w:next w:val="253"/>
    <w:qFormat/>
    <w:uiPriority w:val="0"/>
    <w:pPr>
      <w:spacing w:after="68"/>
    </w:pPr>
    <w:rPr>
      <w:rFonts w:ascii="FHLHE E+ Futura Bk" w:eastAsia="FHLHE E+ Futura Bk" w:cs="Times New Roman"/>
      <w:color w:val="auto"/>
    </w:rPr>
  </w:style>
  <w:style w:type="paragraph" w:customStyle="1" w:styleId="55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6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2">
    <w:name w:val="正文文字 2"/>
    <w:basedOn w:val="253"/>
    <w:next w:val="253"/>
    <w:qFormat/>
    <w:uiPriority w:val="0"/>
    <w:rPr>
      <w:rFonts w:ascii="宋体" w:eastAsia="宋体" w:cs="Times New Roman"/>
      <w:color w:val="auto"/>
    </w:rPr>
  </w:style>
  <w:style w:type="paragraph" w:customStyle="1" w:styleId="56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4">
    <w:name w:val="Char Char1 Char"/>
    <w:basedOn w:val="1"/>
    <w:qFormat/>
    <w:uiPriority w:val="0"/>
    <w:rPr>
      <w:rFonts w:ascii="仿宋_GB2312" w:eastAsia="仿宋_GB2312"/>
      <w:b/>
      <w:sz w:val="32"/>
      <w:szCs w:val="32"/>
    </w:rPr>
  </w:style>
  <w:style w:type="paragraph" w:customStyle="1" w:styleId="56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7">
    <w:name w:val="Char Char111"/>
    <w:basedOn w:val="1"/>
    <w:qFormat/>
    <w:uiPriority w:val="0"/>
    <w:pPr>
      <w:spacing w:line="360" w:lineRule="auto"/>
    </w:pPr>
    <w:rPr>
      <w:szCs w:val="20"/>
    </w:rPr>
  </w:style>
  <w:style w:type="paragraph" w:customStyle="1" w:styleId="568">
    <w:name w:val="Char"/>
    <w:basedOn w:val="1"/>
    <w:qFormat/>
    <w:uiPriority w:val="0"/>
    <w:rPr>
      <w:rFonts w:ascii="仿宋_GB2312" w:eastAsia="仿宋_GB2312"/>
      <w:b/>
      <w:sz w:val="32"/>
      <w:szCs w:val="32"/>
    </w:rPr>
  </w:style>
  <w:style w:type="paragraph" w:customStyle="1" w:styleId="56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1">
    <w:name w:val="Char Char Char1 Char"/>
    <w:basedOn w:val="1"/>
    <w:qFormat/>
    <w:uiPriority w:val="0"/>
    <w:rPr>
      <w:szCs w:val="20"/>
    </w:rPr>
  </w:style>
  <w:style w:type="paragraph" w:customStyle="1" w:styleId="572">
    <w:name w:val="正文标准"/>
    <w:basedOn w:val="1"/>
    <w:qFormat/>
    <w:uiPriority w:val="0"/>
    <w:pPr>
      <w:adjustRightInd/>
      <w:spacing w:line="360" w:lineRule="auto"/>
      <w:ind w:firstLine="200" w:firstLineChars="200"/>
    </w:pPr>
    <w:rPr>
      <w:rFonts w:ascii="宋体" w:hAnsi="Calibri"/>
      <w:sz w:val="24"/>
    </w:rPr>
  </w:style>
  <w:style w:type="paragraph" w:customStyle="1" w:styleId="5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4">
    <w:name w:val="Char Char Char Char Char Char Char Char Char Char"/>
    <w:basedOn w:val="1"/>
    <w:qFormat/>
    <w:uiPriority w:val="0"/>
    <w:rPr>
      <w:rFonts w:ascii="仿宋_GB2312" w:eastAsia="仿宋_GB2312"/>
      <w:b/>
      <w:sz w:val="32"/>
      <w:szCs w:val="32"/>
    </w:rPr>
  </w:style>
  <w:style w:type="paragraph" w:customStyle="1" w:styleId="5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6">
    <w:name w:val="_正文段落"/>
    <w:basedOn w:val="1"/>
    <w:qFormat/>
    <w:uiPriority w:val="0"/>
    <w:pPr>
      <w:adjustRightInd/>
      <w:ind w:firstLine="560"/>
    </w:pPr>
    <w:rPr>
      <w:rFonts w:ascii="仿宋_GB2312" w:hAnsi="仿宋" w:eastAsia="仿宋_GB2312"/>
      <w:kern w:val="0"/>
      <w:sz w:val="28"/>
      <w:szCs w:val="28"/>
    </w:rPr>
  </w:style>
  <w:style w:type="paragraph" w:customStyle="1" w:styleId="5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3">
    <w:name w:val="Char Char Char1 Char2"/>
    <w:basedOn w:val="1"/>
    <w:qFormat/>
    <w:uiPriority w:val="0"/>
    <w:rPr>
      <w:szCs w:val="20"/>
    </w:rPr>
  </w:style>
  <w:style w:type="paragraph" w:customStyle="1" w:styleId="5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5">
    <w:name w:val="默认段落字体 Para Char"/>
    <w:basedOn w:val="1"/>
    <w:qFormat/>
    <w:uiPriority w:val="0"/>
    <w:rPr>
      <w:rFonts w:ascii="Tahoma" w:hAnsi="Tahoma"/>
      <w:sz w:val="24"/>
      <w:szCs w:val="20"/>
    </w:rPr>
  </w:style>
  <w:style w:type="paragraph" w:customStyle="1" w:styleId="596">
    <w:name w:val="标题五"/>
    <w:basedOn w:val="1"/>
    <w:qFormat/>
    <w:uiPriority w:val="0"/>
    <w:pPr>
      <w:adjustRightInd/>
      <w:spacing w:before="156" w:beforeLines="50" w:line="360" w:lineRule="auto"/>
    </w:pPr>
    <w:rPr>
      <w:b/>
      <w:sz w:val="24"/>
    </w:rPr>
  </w:style>
  <w:style w:type="paragraph" w:customStyle="1" w:styleId="597">
    <w:name w:val="Char Char1101"/>
    <w:basedOn w:val="1"/>
    <w:qFormat/>
    <w:uiPriority w:val="0"/>
    <w:pPr>
      <w:spacing w:line="360" w:lineRule="auto"/>
    </w:pPr>
    <w:rPr>
      <w:rFonts w:ascii="Tahoma" w:hAnsi="Tahoma"/>
      <w:sz w:val="24"/>
      <w:szCs w:val="20"/>
    </w:rPr>
  </w:style>
  <w:style w:type="paragraph" w:customStyle="1" w:styleId="598">
    <w:name w:val="Char Char Char Char Char Char Char Char1"/>
    <w:basedOn w:val="1"/>
    <w:qFormat/>
    <w:uiPriority w:val="0"/>
    <w:pPr>
      <w:tabs>
        <w:tab w:val="left" w:pos="360"/>
      </w:tabs>
    </w:pPr>
    <w:rPr>
      <w:sz w:val="24"/>
      <w:szCs w:val="20"/>
    </w:rPr>
  </w:style>
  <w:style w:type="paragraph" w:customStyle="1" w:styleId="599">
    <w:name w:val="Char Char Char 字元 字元"/>
    <w:basedOn w:val="1"/>
    <w:qFormat/>
    <w:uiPriority w:val="0"/>
    <w:pPr>
      <w:adjustRightInd/>
      <w:spacing w:line="360" w:lineRule="auto"/>
      <w:ind w:firstLine="200" w:firstLineChars="200"/>
    </w:pPr>
    <w:rPr>
      <w:szCs w:val="20"/>
    </w:rPr>
  </w:style>
  <w:style w:type="paragraph" w:customStyle="1" w:styleId="6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Char Char Char Char Char Char Char"/>
    <w:basedOn w:val="1"/>
    <w:qFormat/>
    <w:uiPriority w:val="0"/>
    <w:rPr>
      <w:rFonts w:ascii="仿宋_GB2312" w:eastAsia="仿宋_GB2312"/>
      <w:b/>
      <w:sz w:val="32"/>
      <w:szCs w:val="32"/>
    </w:rPr>
  </w:style>
  <w:style w:type="paragraph" w:customStyle="1" w:styleId="6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5">
    <w:name w:val="批注框文本 Char Char"/>
    <w:basedOn w:val="1"/>
    <w:qFormat/>
    <w:uiPriority w:val="0"/>
    <w:pPr>
      <w:adjustRightInd/>
    </w:pPr>
    <w:rPr>
      <w:sz w:val="18"/>
      <w:szCs w:val="20"/>
    </w:rPr>
  </w:style>
  <w:style w:type="paragraph" w:customStyle="1" w:styleId="60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qFormat/>
    <w:uiPriority w:val="99"/>
    <w:pPr>
      <w:adjustRightInd/>
      <w:spacing w:line="360" w:lineRule="auto"/>
    </w:pPr>
    <w:rPr>
      <w:rFonts w:ascii="仿宋_GB2312" w:eastAsia="仿宋_GB2312"/>
      <w:sz w:val="24"/>
      <w:szCs w:val="20"/>
    </w:rPr>
  </w:style>
  <w:style w:type="paragraph" w:customStyle="1" w:styleId="6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qFormat/>
    <w:uiPriority w:val="0"/>
    <w:pPr>
      <w:spacing w:line="480" w:lineRule="atLeast"/>
      <w:ind w:firstLine="567"/>
      <w:textAlignment w:val="baseline"/>
    </w:pPr>
    <w:rPr>
      <w:kern w:val="0"/>
      <w:sz w:val="24"/>
      <w:szCs w:val="20"/>
    </w:rPr>
  </w:style>
  <w:style w:type="paragraph" w:customStyle="1" w:styleId="615">
    <w:name w:val="正文文字表格居中"/>
    <w:basedOn w:val="1"/>
    <w:next w:val="59"/>
    <w:qFormat/>
    <w:uiPriority w:val="0"/>
    <w:pPr>
      <w:snapToGrid w:val="0"/>
      <w:spacing w:line="360" w:lineRule="auto"/>
    </w:pPr>
    <w:rPr>
      <w:rFonts w:ascii="宋体"/>
      <w:b/>
      <w:sz w:val="24"/>
      <w:szCs w:val="20"/>
    </w:rPr>
  </w:style>
  <w:style w:type="paragraph" w:customStyle="1" w:styleId="61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7">
    <w:name w:val="小节"/>
    <w:basedOn w:val="4"/>
    <w:qFormat/>
    <w:uiPriority w:val="0"/>
    <w:pPr>
      <w:spacing w:before="200" w:after="200" w:line="560" w:lineRule="exact"/>
    </w:pPr>
    <w:rPr>
      <w:rFonts w:ascii="宋体" w:hAnsi="宋体"/>
      <w:color w:val="000000"/>
      <w:spacing w:val="10"/>
      <w:kern w:val="24"/>
      <w:sz w:val="28"/>
    </w:rPr>
  </w:style>
  <w:style w:type="paragraph" w:customStyle="1" w:styleId="618">
    <w:name w:val="Plain Text1"/>
    <w:basedOn w:val="1"/>
    <w:qFormat/>
    <w:uiPriority w:val="7"/>
    <w:pPr>
      <w:adjustRightInd/>
    </w:pPr>
    <w:rPr>
      <w:rFonts w:ascii="宋体" w:hAnsi="Courier New"/>
    </w:rPr>
  </w:style>
  <w:style w:type="paragraph" w:customStyle="1" w:styleId="619">
    <w:name w:val="Char3"/>
    <w:basedOn w:val="1"/>
    <w:qFormat/>
    <w:uiPriority w:val="0"/>
    <w:pPr>
      <w:adjustRightInd/>
    </w:pPr>
    <w:rPr>
      <w:rFonts w:ascii="仿宋_GB2312" w:eastAsia="仿宋_GB2312"/>
      <w:b/>
      <w:sz w:val="32"/>
      <w:szCs w:val="32"/>
    </w:rPr>
  </w:style>
  <w:style w:type="paragraph" w:customStyle="1" w:styleId="6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qFormat/>
    <w:uiPriority w:val="0"/>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qFormat/>
    <w:uiPriority w:val="0"/>
    <w:pPr>
      <w:widowControl/>
      <w:adjustRightInd/>
      <w:spacing w:after="160" w:line="240" w:lineRule="exact"/>
      <w:jc w:val="left"/>
    </w:pPr>
    <w:rPr>
      <w:szCs w:val="20"/>
    </w:rPr>
  </w:style>
  <w:style w:type="paragraph" w:customStyle="1" w:styleId="628">
    <w:name w:val="表格标题2"/>
    <w:basedOn w:val="629"/>
    <w:qFormat/>
    <w:uiPriority w:val="0"/>
    <w:rPr>
      <w:b/>
    </w:rPr>
  </w:style>
  <w:style w:type="paragraph" w:customStyle="1" w:styleId="629">
    <w:name w:val="表格内文"/>
    <w:basedOn w:val="1"/>
    <w:qFormat/>
    <w:uiPriority w:val="0"/>
    <w:pPr>
      <w:adjustRightInd/>
      <w:spacing w:line="360" w:lineRule="auto"/>
    </w:pPr>
    <w:rPr>
      <w:rFonts w:ascii="宋体" w:hAnsi="宋体" w:cs="宋体"/>
      <w:color w:val="000000"/>
      <w:szCs w:val="20"/>
    </w:rPr>
  </w:style>
  <w:style w:type="paragraph" w:customStyle="1" w:styleId="630">
    <w:name w:val="Char Char Char Char Char Char Char Char Char Char2"/>
    <w:basedOn w:val="1"/>
    <w:qFormat/>
    <w:uiPriority w:val="0"/>
    <w:rPr>
      <w:rFonts w:ascii="仿宋_GB2312" w:eastAsia="仿宋_GB2312"/>
      <w:b/>
      <w:sz w:val="32"/>
      <w:szCs w:val="32"/>
    </w:rPr>
  </w:style>
  <w:style w:type="paragraph" w:customStyle="1" w:styleId="63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3">
    <w:name w:val="Char Char11 Char Char Char Char Char Char Char Char Char11"/>
    <w:basedOn w:val="1"/>
    <w:qFormat/>
    <w:uiPriority w:val="0"/>
    <w:pPr>
      <w:spacing w:line="360" w:lineRule="auto"/>
    </w:pPr>
    <w:rPr>
      <w:szCs w:val="20"/>
    </w:rPr>
  </w:style>
  <w:style w:type="paragraph" w:customStyle="1" w:styleId="63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6">
    <w:name w:val="MM Topic 1"/>
    <w:basedOn w:val="2"/>
    <w:qFormat/>
    <w:uiPriority w:val="0"/>
    <w:pPr>
      <w:tabs>
        <w:tab w:val="left" w:pos="840"/>
      </w:tabs>
      <w:adjustRightInd/>
      <w:ind w:left="840" w:hanging="420"/>
    </w:pPr>
  </w:style>
  <w:style w:type="paragraph" w:customStyle="1" w:styleId="63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qFormat/>
    <w:uiPriority w:val="0"/>
    <w:pPr>
      <w:spacing w:line="360" w:lineRule="auto"/>
      <w:ind w:firstLine="200" w:firstLineChars="200"/>
    </w:pPr>
    <w:rPr>
      <w:kern w:val="0"/>
      <w:sz w:val="24"/>
      <w:szCs w:val="20"/>
    </w:rPr>
  </w:style>
  <w:style w:type="paragraph" w:customStyle="1" w:styleId="63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97"/>
    <w:next w:val="1"/>
    <w:qFormat/>
    <w:uiPriority w:val="0"/>
    <w:pPr>
      <w:spacing w:after="156" w:afterLines="50"/>
      <w:jc w:val="left"/>
      <w:outlineLvl w:val="3"/>
    </w:pPr>
    <w:rPr>
      <w:sz w:val="24"/>
      <w:szCs w:val="24"/>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9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50"/>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50"/>
    <w:qFormat/>
    <w:uiPriority w:val="0"/>
    <w:pPr>
      <w:tabs>
        <w:tab w:val="left" w:pos="1260"/>
        <w:tab w:val="left" w:pos="1680"/>
        <w:tab w:val="left" w:pos="2100"/>
      </w:tabs>
      <w:ind w:left="0"/>
      <w:outlineLvl w:val="3"/>
    </w:pPr>
  </w:style>
  <w:style w:type="paragraph" w:customStyle="1" w:styleId="666">
    <w:name w:val="一级条标题"/>
    <w:basedOn w:val="667"/>
    <w:next w:val="650"/>
    <w:qFormat/>
    <w:uiPriority w:val="0"/>
    <w:pPr>
      <w:tabs>
        <w:tab w:val="left" w:pos="1260"/>
        <w:tab w:val="left" w:pos="1680"/>
      </w:tabs>
      <w:spacing w:before="0" w:beforeLines="0" w:after="0" w:afterLines="0"/>
      <w:ind w:left="1680"/>
      <w:outlineLvl w:val="2"/>
    </w:pPr>
  </w:style>
  <w:style w:type="paragraph" w:customStyle="1" w:styleId="667">
    <w:name w:val="章标题"/>
    <w:next w:val="6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5"/>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8"/>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0"/>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 标题 3H3 + 两端对齐"/>
    <w:basedOn w:val="4"/>
    <w:qFormat/>
    <w:uiPriority w:val="0"/>
    <w:pPr>
      <w:spacing w:before="0" w:after="0" w:line="240" w:lineRule="auto"/>
    </w:pPr>
    <w:rPr>
      <w:rFonts w:cs="宋体"/>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2"/>
    <w:next w:val="72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9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6"/>
    <w:qFormat/>
    <w:uiPriority w:val="0"/>
    <w:pPr>
      <w:tabs>
        <w:tab w:val="clear" w:pos="900"/>
      </w:tabs>
      <w:spacing w:after="0" w:line="360" w:lineRule="auto"/>
    </w:pPr>
    <w:rPr>
      <w:rFonts w:asci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50"/>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50"/>
    <w:qFormat/>
    <w:uiPriority w:val="0"/>
    <w:pPr>
      <w:tabs>
        <w:tab w:val="left" w:pos="2940"/>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5"/>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0"/>
    <w:pPr>
      <w:adjustRightInd/>
      <w:spacing w:line="360" w:lineRule="auto"/>
      <w:ind w:firstLine="480" w:firstLineChars="200"/>
    </w:pPr>
    <w:rPr>
      <w:sz w:val="24"/>
      <w:szCs w:val="20"/>
    </w:rPr>
  </w:style>
  <w:style w:type="paragraph" w:customStyle="1" w:styleId="816">
    <w:name w:val="P1"/>
    <w:basedOn w:val="1"/>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qFormat/>
    <w:uiPriority w:val="6"/>
    <w:pPr>
      <w:spacing w:line="360" w:lineRule="auto"/>
    </w:pPr>
    <w:rPr>
      <w:szCs w:val="20"/>
    </w:rPr>
  </w:style>
  <w:style w:type="paragraph" w:customStyle="1" w:styleId="8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0"/>
    <w:pPr>
      <w:spacing w:line="360" w:lineRule="auto"/>
    </w:pPr>
    <w:rPr>
      <w:szCs w:val="20"/>
    </w:rPr>
  </w:style>
  <w:style w:type="paragraph" w:customStyle="1" w:styleId="8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qFormat/>
    <w:uiPriority w:val="0"/>
    <w:pPr>
      <w:adjustRightInd/>
      <w:spacing w:line="360" w:lineRule="auto"/>
      <w:ind w:firstLine="480"/>
    </w:pPr>
    <w:rPr>
      <w:rFonts w:cs="宋体"/>
      <w:sz w:val="24"/>
      <w:szCs w:val="20"/>
    </w:rPr>
  </w:style>
  <w:style w:type="paragraph" w:customStyle="1" w:styleId="831">
    <w:name w:val="Char Char4 Char Char"/>
    <w:basedOn w:val="1"/>
    <w:qFormat/>
    <w:uiPriority w:val="0"/>
    <w:pPr>
      <w:widowControl/>
      <w:adjustRightInd/>
      <w:spacing w:after="160" w:line="240" w:lineRule="exact"/>
      <w:jc w:val="left"/>
    </w:pPr>
  </w:style>
  <w:style w:type="paragraph" w:customStyle="1" w:styleId="8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0"/>
    <w:pPr>
      <w:spacing w:line="360" w:lineRule="auto"/>
    </w:pPr>
    <w:rPr>
      <w:szCs w:val="20"/>
    </w:rPr>
  </w:style>
  <w:style w:type="paragraph" w:customStyle="1" w:styleId="8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8"/>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1"/>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51"/>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widowControl/>
      <w:snapToGrid w:val="0"/>
      <w:spacing w:before="120" w:after="60" w:line="300" w:lineRule="auto"/>
    </w:pPr>
    <w:rPr>
      <w:rFonts w:ascii="Arial Narrow" w:hAnsi="Arial Narrow"/>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7"/>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58"/>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74"/>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41"/>
    <w:qFormat/>
    <w:uiPriority w:val="0"/>
    <w:rPr>
      <w:kern w:val="2"/>
      <w:sz w:val="21"/>
      <w:szCs w:val="24"/>
      <w:lang w:val="zh-CN"/>
    </w:rPr>
  </w:style>
  <w:style w:type="character" w:customStyle="1" w:styleId="938">
    <w:name w:val="无间隔 Char"/>
    <w:link w:val="497"/>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7"/>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_Style 468"/>
    <w:basedOn w:val="1"/>
    <w:next w:val="277"/>
    <w:qFormat/>
    <w:uiPriority w:val="99"/>
    <w:pPr>
      <w:spacing w:line="360" w:lineRule="auto"/>
      <w:ind w:firstLine="200" w:firstLineChars="200"/>
    </w:pPr>
    <w:rPr>
      <w:rFonts w:ascii="宋体" w:hAnsi="宋体"/>
      <w:kern w:val="0"/>
      <w:sz w:val="20"/>
    </w:rPr>
  </w:style>
  <w:style w:type="character" w:customStyle="1" w:styleId="970">
    <w:name w:val="ca-1"/>
    <w:qFormat/>
    <w:uiPriority w:val="0"/>
  </w:style>
  <w:style w:type="character" w:customStyle="1" w:styleId="971">
    <w:name w:val="10"/>
    <w:basedOn w:val="71"/>
    <w:qFormat/>
    <w:uiPriority w:val="0"/>
    <w:rPr>
      <w:rFonts w:hint="default" w:ascii="Calibri" w:hAnsi="Calibri" w:cs="Calibri"/>
    </w:rPr>
  </w:style>
  <w:style w:type="paragraph" w:styleId="972">
    <w:name w:val="List Paragraph"/>
    <w:basedOn w:val="1"/>
    <w:qFormat/>
    <w:uiPriority w:val="99"/>
    <w:pPr>
      <w:ind w:firstLine="420" w:firstLineChars="200"/>
    </w:pPr>
  </w:style>
  <w:style w:type="paragraph" w:customStyle="1" w:styleId="973">
    <w:name w:val="Heading5"/>
    <w:basedOn w:val="1"/>
    <w:next w:val="1"/>
    <w:qFormat/>
    <w:uiPriority w:val="0"/>
    <w:pPr>
      <w:keepNext/>
      <w:keepLines/>
      <w:spacing w:after="120"/>
      <w:textAlignment w:val="baseline"/>
    </w:pPr>
    <w:rPr>
      <w:rFonts w:eastAsia="微软雅黑"/>
      <w:b/>
      <w:bCs/>
    </w:rPr>
  </w:style>
  <w:style w:type="character" w:customStyle="1" w:styleId="974">
    <w:name w:val="hour_pm"/>
    <w:basedOn w:val="71"/>
    <w:qFormat/>
    <w:uiPriority w:val="0"/>
  </w:style>
  <w:style w:type="character" w:customStyle="1" w:styleId="975">
    <w:name w:val="hover9"/>
    <w:basedOn w:val="71"/>
    <w:qFormat/>
    <w:uiPriority w:val="0"/>
    <w:rPr>
      <w:shd w:val="clear" w:color="auto" w:fill="EEEEEE"/>
    </w:rPr>
  </w:style>
  <w:style w:type="character" w:customStyle="1" w:styleId="976">
    <w:name w:val="old"/>
    <w:basedOn w:val="71"/>
    <w:qFormat/>
    <w:uiPriority w:val="0"/>
    <w:rPr>
      <w:color w:val="999999"/>
    </w:rPr>
  </w:style>
  <w:style w:type="character" w:customStyle="1" w:styleId="977">
    <w:name w:val="hour_am"/>
    <w:basedOn w:val="71"/>
    <w:qFormat/>
    <w:uiPriority w:val="0"/>
  </w:style>
  <w:style w:type="character" w:customStyle="1" w:styleId="978">
    <w:name w:val="hover"/>
    <w:basedOn w:val="71"/>
    <w:qFormat/>
    <w:uiPriority w:val="0"/>
    <w:rPr>
      <w:shd w:val="clear" w:color="auto" w:fill="EEEEEE"/>
    </w:rPr>
  </w:style>
  <w:style w:type="character" w:customStyle="1" w:styleId="979">
    <w:name w:val="content-right_8zs401"/>
    <w:basedOn w:val="71"/>
    <w:qFormat/>
    <w:uiPriority w:val="0"/>
  </w:style>
  <w:style w:type="paragraph" w:styleId="980">
    <w:name w:val="No Spacing"/>
    <w:basedOn w:val="1"/>
    <w:qFormat/>
    <w:uiPriority w:val="99"/>
    <w:rPr>
      <w:szCs w:val="22"/>
    </w:rPr>
  </w:style>
  <w:style w:type="character" w:customStyle="1" w:styleId="981">
    <w:name w:val="fontstyle01"/>
    <w:basedOn w:val="71"/>
    <w:qFormat/>
    <w:uiPriority w:val="0"/>
    <w:rPr>
      <w:rFonts w:hint="eastAsia" w:ascii="宋体" w:hAnsi="宋体" w:eastAsia="宋体"/>
      <w:color w:val="000000"/>
      <w:sz w:val="22"/>
      <w:szCs w:val="22"/>
    </w:rPr>
  </w:style>
  <w:style w:type="paragraph" w:customStyle="1" w:styleId="982">
    <w:name w:val="表格字体"/>
    <w:basedOn w:val="1"/>
    <w:qFormat/>
    <w:uiPriority w:val="0"/>
    <w:pPr>
      <w:widowControl/>
      <w:jc w:val="center"/>
    </w:pPr>
    <w:rPr>
      <w:rFonts w:ascii="宋体" w:hAnsi="宋体" w:cs="宋体"/>
      <w:color w:val="000000"/>
      <w:szCs w:val="22"/>
    </w:rPr>
  </w:style>
  <w:style w:type="paragraph" w:customStyle="1" w:styleId="98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84">
    <w:name w:val="“加粗”"/>
    <w:basedOn w:val="1"/>
    <w:next w:val="1"/>
    <w:qFormat/>
    <w:uiPriority w:val="0"/>
    <w:pPr>
      <w:ind w:firstLine="200" w:firstLineChars="200"/>
    </w:pPr>
    <w:rPr>
      <w:b/>
    </w:rPr>
  </w:style>
  <w:style w:type="paragraph" w:customStyle="1" w:styleId="985">
    <w:name w:val="“一”标题"/>
    <w:basedOn w:val="4"/>
    <w:next w:val="1"/>
    <w:qFormat/>
    <w:uiPriority w:val="0"/>
    <w:pPr>
      <w:spacing w:before="0" w:after="0" w:line="360" w:lineRule="auto"/>
      <w:ind w:firstLine="200" w:firstLineChars="200"/>
    </w:pPr>
    <w:rPr>
      <w:color w:val="000000" w:themeColor="text1"/>
      <w:sz w:val="28"/>
      <w14:textFill>
        <w14:solidFill>
          <w14:schemeClr w14:val="tx1"/>
        </w14:solidFill>
      </w14:textFill>
    </w:rPr>
  </w:style>
  <w:style w:type="paragraph" w:customStyle="1" w:styleId="986">
    <w:name w:val="“（一）”标题"/>
    <w:basedOn w:val="5"/>
    <w:next w:val="1"/>
    <w:qFormat/>
    <w:uiPriority w:val="0"/>
    <w:pPr>
      <w:keepNext w:val="0"/>
      <w:keepLines w:val="0"/>
      <w:spacing w:before="0" w:after="0" w:line="360" w:lineRule="auto"/>
      <w:ind w:firstLine="200" w:firstLineChars="200"/>
    </w:pPr>
    <w:rPr>
      <w:rFonts w:eastAsia="微软雅黑"/>
      <w:color w:val="000000" w:themeColor="text1"/>
      <w:sz w:val="24"/>
      <w14:textFill>
        <w14:solidFill>
          <w14:schemeClr w14:val="tx1"/>
        </w14:solidFill>
      </w14:textFill>
    </w:rPr>
  </w:style>
  <w:style w:type="paragraph" w:customStyle="1" w:styleId="987">
    <w:name w:val="图表"/>
    <w:basedOn w:val="1"/>
    <w:next w:val="1"/>
    <w:qFormat/>
    <w:uiPriority w:val="0"/>
    <w:pPr>
      <w:spacing w:line="360" w:lineRule="auto"/>
      <w:jc w:val="center"/>
    </w:pPr>
    <w:rPr>
      <w:rFonts w:eastAsia="Songti SC"/>
    </w:rPr>
  </w:style>
  <w:style w:type="character" w:customStyle="1" w:styleId="988">
    <w:name w:val="font171"/>
    <w:basedOn w:val="71"/>
    <w:qFormat/>
    <w:uiPriority w:val="0"/>
    <w:rPr>
      <w:rFonts w:hint="eastAsia" w:ascii="微软雅黑" w:hAnsi="微软雅黑" w:eastAsia="微软雅黑" w:cs="微软雅黑"/>
      <w:color w:val="000000"/>
      <w:sz w:val="24"/>
      <w:szCs w:val="24"/>
      <w:u w:val="none"/>
    </w:rPr>
  </w:style>
  <w:style w:type="character" w:customStyle="1" w:styleId="989">
    <w:name w:val="font111"/>
    <w:basedOn w:val="71"/>
    <w:qFormat/>
    <w:uiPriority w:val="0"/>
    <w:rPr>
      <w:rFonts w:hint="eastAsia" w:ascii="宋体" w:hAnsi="宋体" w:eastAsia="宋体" w:cs="宋体"/>
      <w:color w:val="000000"/>
      <w:sz w:val="24"/>
      <w:szCs w:val="24"/>
      <w:u w:val="none"/>
    </w:rPr>
  </w:style>
  <w:style w:type="character" w:customStyle="1" w:styleId="990">
    <w:name w:val="font142"/>
    <w:basedOn w:val="71"/>
    <w:qFormat/>
    <w:uiPriority w:val="0"/>
    <w:rPr>
      <w:rFonts w:hint="eastAsia" w:ascii="宋体" w:hAnsi="宋体" w:eastAsia="宋体" w:cs="宋体"/>
      <w:color w:val="000000"/>
      <w:sz w:val="24"/>
      <w:szCs w:val="24"/>
      <w:u w:val="none"/>
    </w:rPr>
  </w:style>
  <w:style w:type="table" w:customStyle="1" w:styleId="99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16320</Words>
  <Characters>17536</Characters>
  <Lines>822</Lines>
  <Paragraphs>231</Paragraphs>
  <TotalTime>3</TotalTime>
  <ScaleCrop>false</ScaleCrop>
  <LinksUpToDate>false</LinksUpToDate>
  <CharactersWithSpaces>17927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2024-03-08T09:44:00Z</dcterms:created>
  <dc:creator>玥</dc:creator>
  <cp:lastModifiedBy>crows</cp:lastModifiedBy>
  <cp:lastPrinted>2022-02-22T03:06:00Z</cp:lastPrinted>
  <dcterms:modified xsi:type="dcterms:W3CDTF">2025-06-25T07:56:28Z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f24503fd_mFV3xj84Jik0O8pOlnv+q3wA6zg=_8QYrr15fIzUrPdNGknTgrm2PqYPsaPfWHlVmWr7SdmnVKwHYcHH3fOpovoJgQCc+jKrxg2ITciw9gOw5ACnVh0h3KUE=_24c48059</vt:lpwstr>
  </property>
  <property fmtid="{D5CDD505-2E9C-101B-9397-08002B2CF9AE}" pid="4" name="ICV">
    <vt:lpwstr>3FFD6094EEEF4985BD1EB9358EE03EEB_13</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eyJoZGlkIjoiNTMzZTFhODBmMmJhYWVmODZjODY1ZTllNmVlNjFjMGQiLCJ1c2VySWQiOiI0NTgzNjc2MzQifQ==</vt:lpwstr>
  </property>
</Properties>
</file>