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6362B">
      <w:pPr>
        <w:pStyle w:val="3"/>
        <w:spacing w:line="240" w:lineRule="auto"/>
        <w:jc w:val="left"/>
        <w:rPr>
          <w:color w:val="auto"/>
          <w:sz w:val="18"/>
          <w:szCs w:val="18"/>
          <w:highlight w:val="none"/>
        </w:rPr>
      </w:pPr>
    </w:p>
    <w:p w14:paraId="282F3F70">
      <w:pPr>
        <w:adjustRightInd/>
        <w:spacing w:line="360" w:lineRule="auto"/>
        <w:jc w:val="center"/>
        <w:rPr>
          <w:rFonts w:hint="eastAsia" w:ascii="宋体" w:hAnsi="宋体" w:cs="宋体"/>
          <w:b/>
          <w:bCs/>
          <w:color w:val="auto"/>
          <w:sz w:val="48"/>
          <w:szCs w:val="48"/>
          <w:highlight w:val="none"/>
          <w:lang w:eastAsia="zh-CN"/>
        </w:rPr>
      </w:pPr>
      <w:r>
        <w:rPr>
          <w:rFonts w:hint="eastAsia" w:ascii="宋体" w:hAnsi="宋体" w:cs="宋体"/>
          <w:b/>
          <w:bCs/>
          <w:color w:val="auto"/>
          <w:sz w:val="48"/>
          <w:szCs w:val="48"/>
          <w:highlight w:val="none"/>
          <w:lang w:eastAsia="zh-CN"/>
        </w:rPr>
        <w:t>新湾街道2025—2026年度治安巡逻防控</w:t>
      </w:r>
    </w:p>
    <w:p w14:paraId="0AB6522A">
      <w:pPr>
        <w:pStyle w:val="2"/>
        <w:jc w:val="center"/>
        <w:rPr>
          <w:rFonts w:hint="eastAsia"/>
          <w:lang w:eastAsia="zh-CN"/>
        </w:rPr>
      </w:pPr>
      <w:r>
        <w:rPr>
          <w:rFonts w:hint="eastAsia" w:ascii="宋体" w:hAnsi="宋体" w:cs="宋体"/>
          <w:b/>
          <w:bCs/>
          <w:color w:val="auto"/>
          <w:sz w:val="48"/>
          <w:szCs w:val="48"/>
          <w:highlight w:val="none"/>
          <w:lang w:eastAsia="zh-CN"/>
        </w:rPr>
        <w:t>第三方服务采购项目</w:t>
      </w:r>
    </w:p>
    <w:p w14:paraId="4C1C2186">
      <w:pPr>
        <w:adjustRightInd/>
        <w:spacing w:line="360" w:lineRule="auto"/>
        <w:jc w:val="center"/>
        <w:rPr>
          <w:rFonts w:hint="eastAsia" w:ascii="宋体" w:hAnsi="宋体" w:cs="宋体"/>
          <w:b/>
          <w:bCs/>
          <w:color w:val="auto"/>
          <w:sz w:val="48"/>
          <w:szCs w:val="48"/>
          <w:highlight w:val="none"/>
        </w:rPr>
      </w:pPr>
    </w:p>
    <w:p w14:paraId="740FBB29">
      <w:pPr>
        <w:adjustRightInd/>
        <w:spacing w:line="360" w:lineRule="auto"/>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招标文件</w:t>
      </w:r>
    </w:p>
    <w:p w14:paraId="554A97E6">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E5413E1">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项目编号:</w:t>
      </w:r>
      <w:bookmarkStart w:id="523" w:name="_GoBack"/>
      <w:r>
        <w:rPr>
          <w:rFonts w:hint="eastAsia" w:ascii="宋体" w:hAnsi="宋体" w:cs="宋体"/>
          <w:color w:val="auto"/>
          <w:sz w:val="30"/>
          <w:szCs w:val="30"/>
          <w:highlight w:val="none"/>
          <w:u w:val="none"/>
          <w:lang w:eastAsia="zh-CN"/>
        </w:rPr>
        <w:t>QTCG-GK-2025-101</w:t>
      </w:r>
      <w:bookmarkEnd w:id="523"/>
    </w:p>
    <w:p w14:paraId="5E4DEC67">
      <w:pPr>
        <w:adjustRightInd/>
        <w:spacing w:line="360" w:lineRule="auto"/>
        <w:rPr>
          <w:rFonts w:ascii="宋体" w:hAnsi="宋体" w:cs="宋体"/>
          <w:color w:val="auto"/>
          <w:sz w:val="28"/>
          <w:szCs w:val="20"/>
          <w:highlight w:val="none"/>
        </w:rPr>
      </w:pPr>
    </w:p>
    <w:p w14:paraId="012BC735">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6ED98B12">
      <w:pPr>
        <w:spacing w:line="360" w:lineRule="auto"/>
        <w:jc w:val="center"/>
        <w:rPr>
          <w:rFonts w:ascii="宋体" w:hAnsi="宋体" w:cs="宋体"/>
          <w:b/>
          <w:color w:val="auto"/>
          <w:sz w:val="44"/>
          <w:szCs w:val="44"/>
          <w:highlight w:val="none"/>
        </w:rPr>
      </w:pPr>
    </w:p>
    <w:p w14:paraId="3E99C125">
      <w:pPr>
        <w:pStyle w:val="3"/>
        <w:rPr>
          <w:color w:val="auto"/>
          <w:highlight w:val="none"/>
        </w:rPr>
      </w:pPr>
    </w:p>
    <w:p w14:paraId="4EC53904">
      <w:pPr>
        <w:spacing w:line="360" w:lineRule="auto"/>
        <w:jc w:val="center"/>
        <w:rPr>
          <w:rFonts w:ascii="宋体" w:hAnsi="宋体" w:cs="宋体"/>
          <w:color w:val="auto"/>
          <w:sz w:val="24"/>
          <w:highlight w:val="none"/>
        </w:rPr>
      </w:pPr>
    </w:p>
    <w:tbl>
      <w:tblPr>
        <w:tblStyle w:val="63"/>
        <w:tblpPr w:leftFromText="180" w:rightFromText="180" w:vertAnchor="text" w:horzAnchor="page" w:tblpX="1817" w:tblpY="454"/>
        <w:tblOverlap w:val="never"/>
        <w:tblW w:w="4396" w:type="pct"/>
        <w:tblInd w:w="0" w:type="dxa"/>
        <w:tblLayout w:type="fixed"/>
        <w:tblCellMar>
          <w:top w:w="0" w:type="dxa"/>
          <w:left w:w="108" w:type="dxa"/>
          <w:bottom w:w="0" w:type="dxa"/>
          <w:right w:w="108" w:type="dxa"/>
        </w:tblCellMar>
      </w:tblPr>
      <w:tblGrid>
        <w:gridCol w:w="2210"/>
        <w:gridCol w:w="5856"/>
      </w:tblGrid>
      <w:tr w14:paraId="37B17DAC">
        <w:tblPrEx>
          <w:tblCellMar>
            <w:top w:w="0" w:type="dxa"/>
            <w:left w:w="108" w:type="dxa"/>
            <w:bottom w:w="0" w:type="dxa"/>
            <w:right w:w="108" w:type="dxa"/>
          </w:tblCellMar>
        </w:tblPrEx>
        <w:trPr>
          <w:trHeight w:val="405" w:hRule="atLeast"/>
        </w:trPr>
        <w:tc>
          <w:tcPr>
            <w:tcW w:w="1370" w:type="pct"/>
            <w:tcBorders>
              <w:top w:val="nil"/>
              <w:left w:val="nil"/>
              <w:bottom w:val="nil"/>
              <w:right w:val="nil"/>
            </w:tcBorders>
            <w:shd w:val="clear" w:color="auto" w:fill="auto"/>
            <w:noWrap/>
            <w:vAlign w:val="center"/>
          </w:tcPr>
          <w:p w14:paraId="13027C72">
            <w:pPr>
              <w:widowControl/>
              <w:jc w:val="left"/>
              <w:textAlignment w:val="center"/>
              <w:rPr>
                <w:rFonts w:ascii="宋体" w:hAnsi="宋体" w:cs="宋体"/>
                <w:b/>
                <w:bCs/>
                <w:color w:val="auto"/>
                <w:sz w:val="30"/>
                <w:szCs w:val="30"/>
                <w:highlight w:val="none"/>
              </w:rPr>
            </w:pPr>
            <w:r>
              <w:rPr>
                <w:rFonts w:hint="eastAsia" w:ascii="宋体" w:hAnsi="宋体" w:cs="宋体"/>
                <w:b/>
                <w:bCs/>
                <w:color w:val="auto"/>
                <w:kern w:val="0"/>
                <w:sz w:val="30"/>
                <w:szCs w:val="30"/>
                <w:highlight w:val="none"/>
                <w:lang w:bidi="ar"/>
              </w:rPr>
              <w:t>采   购  人：</w:t>
            </w:r>
          </w:p>
        </w:tc>
        <w:tc>
          <w:tcPr>
            <w:tcW w:w="3629" w:type="pct"/>
            <w:tcBorders>
              <w:top w:val="nil"/>
              <w:left w:val="nil"/>
              <w:bottom w:val="nil"/>
              <w:right w:val="nil"/>
            </w:tcBorders>
            <w:shd w:val="clear" w:color="auto" w:fill="auto"/>
            <w:noWrap/>
            <w:vAlign w:val="center"/>
          </w:tcPr>
          <w:p w14:paraId="70791A46">
            <w:pPr>
              <w:widowControl/>
              <w:jc w:val="left"/>
              <w:textAlignment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lang w:eastAsia="zh-CN"/>
              </w:rPr>
              <w:t>杭州市钱塘区人民政府新湾街道办事处</w:t>
            </w:r>
          </w:p>
        </w:tc>
      </w:tr>
      <w:tr w14:paraId="4E9A721F">
        <w:tblPrEx>
          <w:tblCellMar>
            <w:top w:w="0" w:type="dxa"/>
            <w:left w:w="108" w:type="dxa"/>
            <w:bottom w:w="0" w:type="dxa"/>
            <w:right w:w="108" w:type="dxa"/>
          </w:tblCellMar>
        </w:tblPrEx>
        <w:trPr>
          <w:trHeight w:val="629" w:hRule="atLeast"/>
        </w:trPr>
        <w:tc>
          <w:tcPr>
            <w:tcW w:w="1370" w:type="pct"/>
            <w:tcBorders>
              <w:top w:val="nil"/>
              <w:left w:val="nil"/>
              <w:bottom w:val="nil"/>
              <w:right w:val="nil"/>
            </w:tcBorders>
            <w:shd w:val="clear" w:color="auto" w:fill="auto"/>
            <w:noWrap/>
            <w:vAlign w:val="center"/>
          </w:tcPr>
          <w:p w14:paraId="3C5DFEC9">
            <w:pPr>
              <w:widowControl/>
              <w:jc w:val="left"/>
              <w:textAlignment w:val="center"/>
              <w:rPr>
                <w:rFonts w:ascii="宋体" w:hAnsi="宋体" w:cs="宋体"/>
                <w:b/>
                <w:bCs/>
                <w:color w:val="auto"/>
                <w:sz w:val="30"/>
                <w:szCs w:val="30"/>
                <w:highlight w:val="none"/>
              </w:rPr>
            </w:pPr>
            <w:r>
              <w:rPr>
                <w:rFonts w:hint="eastAsia" w:ascii="宋体" w:hAnsi="宋体" w:cs="宋体"/>
                <w:b/>
                <w:bCs/>
                <w:color w:val="auto"/>
                <w:kern w:val="0"/>
                <w:sz w:val="30"/>
                <w:szCs w:val="30"/>
                <w:highlight w:val="none"/>
                <w:lang w:bidi="ar"/>
              </w:rPr>
              <w:t>采购代理机构：</w:t>
            </w:r>
          </w:p>
        </w:tc>
        <w:tc>
          <w:tcPr>
            <w:tcW w:w="3629" w:type="pct"/>
            <w:tcBorders>
              <w:top w:val="nil"/>
              <w:left w:val="nil"/>
              <w:bottom w:val="nil"/>
              <w:right w:val="nil"/>
            </w:tcBorders>
            <w:shd w:val="clear" w:color="auto" w:fill="auto"/>
            <w:noWrap/>
            <w:vAlign w:val="center"/>
          </w:tcPr>
          <w:p w14:paraId="52DA1457">
            <w:pPr>
              <w:widowControl/>
              <w:jc w:val="left"/>
              <w:textAlignment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kern w:val="0"/>
                <w:sz w:val="30"/>
                <w:szCs w:val="30"/>
                <w:highlight w:val="none"/>
                <w:lang w:eastAsia="zh-CN" w:bidi="ar"/>
              </w:rPr>
              <w:t>浙江勋达工程咨询有限公司</w:t>
            </w:r>
          </w:p>
        </w:tc>
      </w:tr>
      <w:tr w14:paraId="03A0F7F5">
        <w:tblPrEx>
          <w:tblCellMar>
            <w:top w:w="0" w:type="dxa"/>
            <w:left w:w="108" w:type="dxa"/>
            <w:bottom w:w="0" w:type="dxa"/>
            <w:right w:w="108" w:type="dxa"/>
          </w:tblCellMar>
        </w:tblPrEx>
        <w:trPr>
          <w:trHeight w:val="679" w:hRule="atLeast"/>
        </w:trPr>
        <w:tc>
          <w:tcPr>
            <w:tcW w:w="1370" w:type="pct"/>
            <w:tcBorders>
              <w:top w:val="nil"/>
              <w:left w:val="nil"/>
              <w:bottom w:val="nil"/>
              <w:right w:val="nil"/>
            </w:tcBorders>
            <w:shd w:val="clear" w:color="auto" w:fill="auto"/>
            <w:noWrap/>
            <w:vAlign w:val="center"/>
          </w:tcPr>
          <w:p w14:paraId="2EBBBB38">
            <w:pPr>
              <w:widowControl/>
              <w:jc w:val="left"/>
              <w:textAlignment w:val="center"/>
              <w:rPr>
                <w:rFonts w:ascii="宋体" w:hAnsi="宋体" w:cs="宋体"/>
                <w:b/>
                <w:bCs/>
                <w:color w:val="auto"/>
                <w:sz w:val="30"/>
                <w:szCs w:val="30"/>
                <w:highlight w:val="none"/>
              </w:rPr>
            </w:pPr>
            <w:r>
              <w:rPr>
                <w:rFonts w:hint="eastAsia" w:ascii="宋体" w:hAnsi="宋体" w:cs="宋体"/>
                <w:b/>
                <w:bCs/>
                <w:color w:val="auto"/>
                <w:kern w:val="0"/>
                <w:sz w:val="30"/>
                <w:szCs w:val="30"/>
                <w:highlight w:val="none"/>
                <w:lang w:bidi="ar"/>
              </w:rPr>
              <w:t>编 制 日 期：</w:t>
            </w:r>
          </w:p>
        </w:tc>
        <w:tc>
          <w:tcPr>
            <w:tcW w:w="3629" w:type="pct"/>
            <w:tcBorders>
              <w:top w:val="nil"/>
              <w:left w:val="nil"/>
              <w:bottom w:val="nil"/>
              <w:right w:val="nil"/>
            </w:tcBorders>
            <w:shd w:val="clear" w:color="auto" w:fill="auto"/>
            <w:noWrap/>
            <w:vAlign w:val="center"/>
          </w:tcPr>
          <w:p w14:paraId="60ADF504">
            <w:pPr>
              <w:widowControl/>
              <w:jc w:val="left"/>
              <w:textAlignment w:val="center"/>
              <w:rPr>
                <w:rFonts w:ascii="宋体" w:hAnsi="宋体" w:cs="宋体"/>
                <w:b/>
                <w:bCs/>
                <w:color w:val="auto"/>
                <w:sz w:val="30"/>
                <w:szCs w:val="30"/>
                <w:highlight w:val="none"/>
              </w:rPr>
            </w:pPr>
            <w:r>
              <w:rPr>
                <w:rFonts w:hint="eastAsia" w:ascii="宋体" w:hAnsi="宋体" w:cs="宋体"/>
                <w:b/>
                <w:bCs/>
                <w:color w:val="auto"/>
                <w:kern w:val="0"/>
                <w:sz w:val="30"/>
                <w:szCs w:val="30"/>
                <w:highlight w:val="none"/>
                <w:lang w:bidi="ar"/>
              </w:rPr>
              <w:t>二〇二</w:t>
            </w:r>
            <w:r>
              <w:rPr>
                <w:rFonts w:hint="eastAsia" w:ascii="宋体" w:hAnsi="宋体" w:cs="宋体"/>
                <w:b/>
                <w:bCs/>
                <w:color w:val="auto"/>
                <w:kern w:val="0"/>
                <w:sz w:val="30"/>
                <w:szCs w:val="30"/>
                <w:highlight w:val="none"/>
                <w:lang w:val="en-US" w:eastAsia="zh-CN" w:bidi="ar"/>
              </w:rPr>
              <w:t>五</w:t>
            </w:r>
            <w:r>
              <w:rPr>
                <w:rFonts w:hint="eastAsia" w:ascii="宋体" w:hAnsi="宋体" w:cs="宋体"/>
                <w:b/>
                <w:bCs/>
                <w:color w:val="auto"/>
                <w:kern w:val="0"/>
                <w:sz w:val="30"/>
                <w:szCs w:val="30"/>
                <w:highlight w:val="none"/>
                <w:lang w:bidi="ar"/>
              </w:rPr>
              <w:t>年</w:t>
            </w:r>
            <w:r>
              <w:rPr>
                <w:rFonts w:hint="eastAsia" w:ascii="宋体" w:hAnsi="宋体" w:cs="宋体"/>
                <w:b/>
                <w:bCs/>
                <w:color w:val="auto"/>
                <w:kern w:val="0"/>
                <w:sz w:val="30"/>
                <w:szCs w:val="30"/>
                <w:highlight w:val="none"/>
                <w:lang w:val="en-US" w:eastAsia="zh-CN" w:bidi="ar"/>
              </w:rPr>
              <w:t>六</w:t>
            </w:r>
            <w:r>
              <w:rPr>
                <w:rFonts w:hint="eastAsia" w:ascii="宋体" w:hAnsi="宋体" w:cs="宋体"/>
                <w:b/>
                <w:bCs/>
                <w:color w:val="auto"/>
                <w:kern w:val="0"/>
                <w:sz w:val="30"/>
                <w:szCs w:val="30"/>
                <w:highlight w:val="none"/>
                <w:lang w:bidi="ar"/>
              </w:rPr>
              <w:t>月</w:t>
            </w:r>
          </w:p>
        </w:tc>
      </w:tr>
    </w:tbl>
    <w:p w14:paraId="2834BD2C">
      <w:pPr>
        <w:spacing w:line="360" w:lineRule="auto"/>
        <w:jc w:val="center"/>
        <w:rPr>
          <w:rFonts w:ascii="宋体" w:hAnsi="宋体" w:cs="宋体"/>
          <w:color w:val="auto"/>
          <w:sz w:val="24"/>
          <w:highlight w:val="none"/>
        </w:rPr>
      </w:pPr>
    </w:p>
    <w:p w14:paraId="6B0F1608">
      <w:pPr>
        <w:spacing w:line="360" w:lineRule="auto"/>
        <w:rPr>
          <w:rFonts w:ascii="宋体" w:hAnsi="宋体" w:cs="宋体"/>
          <w:color w:val="auto"/>
          <w:sz w:val="32"/>
          <w:szCs w:val="32"/>
          <w:highlight w:val="none"/>
        </w:rPr>
      </w:pPr>
    </w:p>
    <w:p w14:paraId="7F59AF29">
      <w:pPr>
        <w:jc w:val="left"/>
        <w:rPr>
          <w:rFonts w:ascii="宋体" w:hAnsi="宋体" w:cs="宋体"/>
          <w:b/>
          <w:color w:val="auto"/>
          <w:sz w:val="48"/>
          <w:szCs w:val="48"/>
          <w:highlight w:val="none"/>
        </w:rPr>
      </w:pPr>
      <w:r>
        <w:rPr>
          <w:rFonts w:hint="eastAsia" w:ascii="宋体" w:hAnsi="宋体" w:cs="宋体"/>
          <w:b/>
          <w:color w:val="auto"/>
          <w:sz w:val="48"/>
          <w:szCs w:val="48"/>
          <w:highlight w:val="none"/>
        </w:rPr>
        <w:br w:type="page"/>
      </w:r>
    </w:p>
    <w:p w14:paraId="3CB20D48">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2D681AE">
      <w:pPr>
        <w:spacing w:line="360" w:lineRule="auto"/>
        <w:rPr>
          <w:rFonts w:ascii="宋体" w:hAnsi="宋体" w:cs="宋体"/>
          <w:color w:val="auto"/>
          <w:sz w:val="32"/>
          <w:szCs w:val="32"/>
          <w:highlight w:val="none"/>
        </w:rPr>
      </w:pPr>
    </w:p>
    <w:p w14:paraId="16F5DEB4">
      <w:pPr>
        <w:spacing w:line="360" w:lineRule="auto"/>
        <w:rPr>
          <w:rFonts w:ascii="宋体" w:hAnsi="宋体" w:cs="宋体"/>
          <w:color w:val="auto"/>
          <w:sz w:val="32"/>
          <w:szCs w:val="32"/>
          <w:highlight w:val="none"/>
        </w:rPr>
      </w:pPr>
    </w:p>
    <w:p w14:paraId="28CA1F6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6D2704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2BF7E50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586508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F2BAF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524D20B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8099584">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14:paraId="477FF34D">
      <w:pPr>
        <w:spacing w:line="360" w:lineRule="auto"/>
        <w:ind w:firstLine="549" w:firstLineChars="229"/>
        <w:rPr>
          <w:rFonts w:ascii="宋体" w:hAnsi="宋体" w:cs="宋体"/>
          <w:color w:val="auto"/>
          <w:sz w:val="24"/>
          <w:highlight w:val="none"/>
        </w:rPr>
      </w:pPr>
    </w:p>
    <w:p w14:paraId="4995ED6D">
      <w:pPr>
        <w:spacing w:line="360" w:lineRule="auto"/>
        <w:ind w:firstLine="549" w:firstLineChars="229"/>
        <w:rPr>
          <w:rFonts w:ascii="宋体" w:hAnsi="宋体" w:cs="宋体"/>
          <w:color w:val="auto"/>
          <w:sz w:val="24"/>
          <w:highlight w:val="none"/>
        </w:rPr>
      </w:pPr>
    </w:p>
    <w:p w14:paraId="0EEAE059">
      <w:pPr>
        <w:spacing w:line="360" w:lineRule="auto"/>
        <w:ind w:firstLine="549" w:firstLineChars="229"/>
        <w:rPr>
          <w:rFonts w:ascii="宋体" w:hAnsi="宋体" w:cs="宋体"/>
          <w:color w:val="auto"/>
          <w:sz w:val="24"/>
          <w:highlight w:val="none"/>
        </w:rPr>
      </w:pPr>
    </w:p>
    <w:p w14:paraId="49491D7A">
      <w:pPr>
        <w:spacing w:line="360" w:lineRule="auto"/>
        <w:ind w:firstLine="549" w:firstLineChars="229"/>
        <w:rPr>
          <w:rFonts w:ascii="宋体" w:hAnsi="宋体" w:cs="宋体"/>
          <w:color w:val="auto"/>
          <w:sz w:val="24"/>
          <w:highlight w:val="none"/>
        </w:rPr>
      </w:pPr>
    </w:p>
    <w:p w14:paraId="6EF4F93C">
      <w:pPr>
        <w:spacing w:line="360" w:lineRule="auto"/>
        <w:ind w:firstLine="549" w:firstLineChars="229"/>
        <w:rPr>
          <w:rFonts w:ascii="宋体" w:hAnsi="宋体" w:cs="宋体"/>
          <w:color w:val="auto"/>
          <w:sz w:val="24"/>
          <w:highlight w:val="none"/>
        </w:rPr>
      </w:pPr>
    </w:p>
    <w:p w14:paraId="545192C2">
      <w:pPr>
        <w:spacing w:line="360" w:lineRule="auto"/>
        <w:ind w:firstLine="549" w:firstLineChars="229"/>
        <w:rPr>
          <w:rFonts w:ascii="宋体" w:hAnsi="宋体" w:cs="宋体"/>
          <w:color w:val="auto"/>
          <w:sz w:val="24"/>
          <w:highlight w:val="none"/>
        </w:rPr>
      </w:pPr>
    </w:p>
    <w:p w14:paraId="162C40D0">
      <w:pPr>
        <w:spacing w:line="360" w:lineRule="auto"/>
        <w:ind w:firstLine="549" w:firstLineChars="229"/>
        <w:rPr>
          <w:rFonts w:ascii="宋体" w:hAnsi="宋体" w:cs="宋体"/>
          <w:color w:val="auto"/>
          <w:sz w:val="24"/>
          <w:highlight w:val="none"/>
        </w:rPr>
      </w:pPr>
    </w:p>
    <w:p w14:paraId="797F4819">
      <w:pPr>
        <w:spacing w:line="360" w:lineRule="auto"/>
        <w:ind w:firstLine="549" w:firstLineChars="229"/>
        <w:rPr>
          <w:rFonts w:ascii="宋体" w:hAnsi="宋体" w:cs="宋体"/>
          <w:color w:val="auto"/>
          <w:sz w:val="24"/>
          <w:highlight w:val="none"/>
        </w:rPr>
      </w:pPr>
    </w:p>
    <w:p w14:paraId="3F39AC5A">
      <w:pPr>
        <w:spacing w:line="360" w:lineRule="auto"/>
        <w:ind w:firstLine="549" w:firstLineChars="229"/>
        <w:rPr>
          <w:rFonts w:ascii="宋体" w:hAnsi="宋体" w:cs="宋体"/>
          <w:color w:val="auto"/>
          <w:sz w:val="24"/>
          <w:highlight w:val="none"/>
        </w:rPr>
      </w:pPr>
    </w:p>
    <w:p w14:paraId="534502D2">
      <w:pPr>
        <w:spacing w:line="360" w:lineRule="auto"/>
        <w:ind w:firstLine="549" w:firstLineChars="229"/>
        <w:rPr>
          <w:rFonts w:ascii="宋体" w:hAnsi="宋体" w:cs="宋体"/>
          <w:color w:val="auto"/>
          <w:sz w:val="24"/>
          <w:highlight w:val="none"/>
        </w:rPr>
      </w:pPr>
    </w:p>
    <w:p w14:paraId="6CC2DA17">
      <w:pPr>
        <w:spacing w:line="360" w:lineRule="auto"/>
        <w:ind w:firstLine="549" w:firstLineChars="229"/>
        <w:rPr>
          <w:rFonts w:ascii="宋体" w:hAnsi="宋体" w:cs="宋体"/>
          <w:color w:val="auto"/>
          <w:sz w:val="24"/>
          <w:highlight w:val="none"/>
        </w:rPr>
      </w:pPr>
    </w:p>
    <w:p w14:paraId="38CE4A2F">
      <w:pPr>
        <w:spacing w:line="360" w:lineRule="auto"/>
        <w:ind w:firstLine="549" w:firstLineChars="229"/>
        <w:rPr>
          <w:rFonts w:ascii="宋体" w:hAnsi="宋体" w:cs="宋体"/>
          <w:color w:val="auto"/>
          <w:sz w:val="24"/>
          <w:highlight w:val="none"/>
        </w:rPr>
      </w:pPr>
    </w:p>
    <w:p w14:paraId="6A2FA2F0">
      <w:pPr>
        <w:spacing w:line="360" w:lineRule="auto"/>
        <w:rPr>
          <w:rFonts w:ascii="宋体" w:hAnsi="宋体" w:cs="宋体"/>
          <w:color w:val="auto"/>
          <w:sz w:val="24"/>
          <w:highlight w:val="none"/>
        </w:rPr>
      </w:pPr>
    </w:p>
    <w:p w14:paraId="4F6D9313">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29822"/>
      <w:bookmarkEnd w:id="3"/>
      <w:bookmarkStart w:id="4" w:name="_Hlt74707423"/>
      <w:bookmarkEnd w:id="4"/>
      <w:bookmarkStart w:id="5" w:name="_Hlt74649545"/>
      <w:bookmarkEnd w:id="5"/>
      <w:bookmarkStart w:id="6" w:name="_Hlt74728647"/>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招标公告</w:t>
      </w:r>
    </w:p>
    <w:p w14:paraId="46EC8C28">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highlight w:val="none"/>
        </w:rPr>
      </w:pPr>
      <w:r>
        <w:rPr>
          <w:rFonts w:hint="eastAsia" w:ascii="宋体" w:hAnsi="宋体" w:cs="宋体"/>
          <w:color w:val="auto"/>
          <w:sz w:val="24"/>
          <w:highlight w:val="none"/>
        </w:rPr>
        <w:t>项目概况</w:t>
      </w:r>
    </w:p>
    <w:p w14:paraId="3D19C6A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新湾街道2025—2026年度治安巡逻防控第三方服务采购项目</w:t>
      </w:r>
      <w:r>
        <w:rPr>
          <w:rFonts w:hint="eastAsia" w:ascii="宋体" w:hAnsi="宋体" w:cs="宋体"/>
          <w:color w:val="auto"/>
          <w:sz w:val="24"/>
          <w:highlight w:val="none"/>
        </w:rPr>
        <w:t>招标项目的潜在供应商应在政采云平台（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4"/>
          <w:rFonts w:hint="eastAsia" w:ascii="宋体" w:hAnsi="宋体" w:eastAsia="宋体" w:cs="宋体"/>
          <w:snapToGrid/>
          <w:color w:val="auto"/>
          <w:kern w:val="2"/>
          <w:sz w:val="24"/>
          <w:szCs w:val="24"/>
          <w:highlight w:val="none"/>
        </w:rPr>
        <w:t>https://www.zcygov.cn/）获取（下载）招标文件，并于</w:t>
      </w:r>
      <w:r>
        <w:rPr>
          <w:rStyle w:val="74"/>
          <w:rFonts w:hint="eastAsia" w:ascii="宋体" w:hAnsi="宋体" w:eastAsia="宋体" w:cs="宋体"/>
          <w:snapToGrid/>
          <w:color w:val="auto"/>
          <w:kern w:val="2"/>
          <w:sz w:val="24"/>
          <w:szCs w:val="24"/>
          <w:highlight w:val="none"/>
          <w:u w:val="single"/>
        </w:rPr>
        <w:t>202</w:t>
      </w:r>
      <w:r>
        <w:rPr>
          <w:rStyle w:val="74"/>
          <w:rFonts w:hint="eastAsia" w:ascii="宋体" w:hAnsi="宋体" w:cs="宋体"/>
          <w:snapToGrid/>
          <w:color w:val="auto"/>
          <w:kern w:val="2"/>
          <w:sz w:val="24"/>
          <w:szCs w:val="24"/>
          <w:highlight w:val="none"/>
          <w:u w:val="single"/>
          <w:lang w:val="en-US" w:eastAsia="zh-CN"/>
        </w:rPr>
        <w:t>5</w:t>
      </w:r>
      <w:r>
        <w:rPr>
          <w:rStyle w:val="74"/>
          <w:rFonts w:hint="eastAsia" w:ascii="宋体" w:hAnsi="宋体" w:eastAsia="宋体" w:cs="宋体"/>
          <w:snapToGrid/>
          <w:color w:val="auto"/>
          <w:kern w:val="2"/>
          <w:sz w:val="24"/>
          <w:szCs w:val="24"/>
          <w:highlight w:val="none"/>
        </w:rPr>
        <w:t>年</w:t>
      </w:r>
      <w:r>
        <w:rPr>
          <w:rStyle w:val="74"/>
          <w:rFonts w:hint="eastAsia" w:ascii="宋体" w:hAnsi="宋体" w:cs="宋体"/>
          <w:snapToGrid/>
          <w:color w:val="auto"/>
          <w:kern w:val="2"/>
          <w:sz w:val="24"/>
          <w:szCs w:val="24"/>
          <w:highlight w:val="none"/>
          <w:u w:val="single"/>
          <w:lang w:val="en-US" w:eastAsia="zh-CN"/>
        </w:rPr>
        <w:t xml:space="preserve">   </w:t>
      </w:r>
      <w:r>
        <w:rPr>
          <w:rStyle w:val="74"/>
          <w:rFonts w:hint="eastAsia" w:ascii="宋体" w:hAnsi="宋体" w:eastAsia="宋体" w:cs="宋体"/>
          <w:snapToGrid/>
          <w:color w:val="auto"/>
          <w:kern w:val="2"/>
          <w:sz w:val="24"/>
          <w:szCs w:val="24"/>
          <w:highlight w:val="none"/>
        </w:rPr>
        <w:t>月</w:t>
      </w:r>
      <w:r>
        <w:rPr>
          <w:rStyle w:val="74"/>
          <w:rFonts w:hint="eastAsia" w:ascii="宋体" w:hAnsi="宋体" w:eastAsia="黑体" w:cs="宋体"/>
          <w:snapToGrid/>
          <w:color w:val="auto"/>
          <w:kern w:val="2"/>
          <w:sz w:val="24"/>
          <w:szCs w:val="24"/>
          <w:highlight w:val="none"/>
          <w:u w:val="single"/>
          <w:lang w:val="en-US" w:eastAsia="zh-CN"/>
        </w:rPr>
        <w:t xml:space="preserve">  </w:t>
      </w:r>
      <w:r>
        <w:rPr>
          <w:rStyle w:val="74"/>
          <w:rFonts w:hint="eastAsia" w:ascii="宋体" w:hAnsi="宋体" w:eastAsia="宋体" w:cs="宋体"/>
          <w:snapToGrid/>
          <w:color w:val="auto"/>
          <w:kern w:val="2"/>
          <w:sz w:val="24"/>
          <w:szCs w:val="24"/>
          <w:highlight w:val="none"/>
        </w:rPr>
        <w:t>日</w:t>
      </w:r>
      <w:r>
        <w:rPr>
          <w:rStyle w:val="74"/>
          <w:rFonts w:hint="eastAsia" w:ascii="宋体" w:hAnsi="宋体" w:eastAsia="黑体" w:cs="宋体"/>
          <w:snapToGrid/>
          <w:color w:val="auto"/>
          <w:kern w:val="2"/>
          <w:sz w:val="24"/>
          <w:szCs w:val="24"/>
          <w:highlight w:val="none"/>
          <w:u w:val="single"/>
          <w:lang w:val="en-US" w:eastAsia="zh-CN"/>
        </w:rPr>
        <w:t>09</w:t>
      </w:r>
      <w:r>
        <w:rPr>
          <w:rStyle w:val="74"/>
          <w:rFonts w:hint="eastAsia" w:ascii="宋体" w:hAnsi="宋体" w:eastAsia="宋体" w:cs="宋体"/>
          <w:snapToGrid/>
          <w:color w:val="auto"/>
          <w:kern w:val="2"/>
          <w:sz w:val="24"/>
          <w:szCs w:val="24"/>
          <w:highlight w:val="none"/>
        </w:rPr>
        <w:t>点</w:t>
      </w:r>
      <w:r>
        <w:rPr>
          <w:rStyle w:val="74"/>
          <w:rFonts w:hint="eastAsia" w:ascii="宋体" w:hAnsi="宋体" w:cs="宋体"/>
          <w:snapToGrid/>
          <w:color w:val="auto"/>
          <w:kern w:val="2"/>
          <w:sz w:val="24"/>
          <w:szCs w:val="24"/>
          <w:highlight w:val="none"/>
          <w:u w:val="single"/>
          <w:lang w:val="en-US" w:eastAsia="zh-CN"/>
        </w:rPr>
        <w:t>30</w:t>
      </w:r>
      <w:r>
        <w:rPr>
          <w:rStyle w:val="74"/>
          <w:rFonts w:hint="eastAsia" w:ascii="宋体" w:hAnsi="宋体" w:eastAsia="宋体" w:cs="宋体"/>
          <w:snapToGrid/>
          <w:color w:val="auto"/>
          <w:kern w:val="2"/>
          <w:sz w:val="24"/>
          <w:szCs w:val="24"/>
          <w:highlight w:val="none"/>
        </w:rPr>
        <w:t>分</w:t>
      </w:r>
      <w:r>
        <w:rPr>
          <w:rStyle w:val="74"/>
          <w:rFonts w:hint="eastAsia" w:ascii="宋体" w:hAnsi="宋体" w:eastAsia="宋体" w:cs="宋体"/>
          <w:bCs/>
          <w:snapToGrid/>
          <w:color w:val="auto"/>
          <w:kern w:val="2"/>
          <w:sz w:val="24"/>
          <w:szCs w:val="24"/>
          <w:highlight w:val="none"/>
        </w:rPr>
        <w:t>00秒</w:t>
      </w:r>
      <w:r>
        <w:rPr>
          <w:rStyle w:val="74"/>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F286D8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EF52F7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QTCG-GK-2025-101</w:t>
      </w:r>
    </w:p>
    <w:p w14:paraId="65D0BA57">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新湾街道2025—2026年度治安巡逻防控第三方服务采购项目</w:t>
      </w:r>
    </w:p>
    <w:p w14:paraId="4243CA8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Cs/>
          <w:color w:val="auto"/>
          <w:sz w:val="24"/>
          <w:highlight w:val="none"/>
          <w:lang w:eastAsia="zh-CN"/>
        </w:rPr>
        <w:t>5300000.00</w:t>
      </w:r>
      <w:r>
        <w:rPr>
          <w:rFonts w:hint="eastAsia" w:ascii="宋体" w:hAnsi="宋体" w:cs="宋体"/>
          <w:bCs/>
          <w:color w:val="auto"/>
          <w:sz w:val="24"/>
          <w:highlight w:val="none"/>
        </w:rPr>
        <w:t xml:space="preserve"> </w:t>
      </w:r>
    </w:p>
    <w:p w14:paraId="6B357D56">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最高限价（元）：</w:t>
      </w:r>
      <w:r>
        <w:rPr>
          <w:rFonts w:hint="eastAsia" w:ascii="宋体" w:hAnsi="宋体" w:cs="宋体"/>
          <w:bCs/>
          <w:color w:val="auto"/>
          <w:sz w:val="24"/>
          <w:highlight w:val="none"/>
          <w:lang w:eastAsia="zh-CN"/>
        </w:rPr>
        <w:t>5300000.00</w:t>
      </w:r>
    </w:p>
    <w:p w14:paraId="68CDA201">
      <w:pPr>
        <w:spacing w:line="360" w:lineRule="auto"/>
        <w:ind w:firstLine="482" w:firstLineChars="200"/>
        <w:rPr>
          <w:rFonts w:hAnsi="宋体" w:cs="宋体"/>
          <w:bCs/>
          <w:color w:val="auto"/>
          <w:sz w:val="24"/>
          <w:highlight w:val="none"/>
        </w:rPr>
      </w:pPr>
      <w:r>
        <w:rPr>
          <w:rFonts w:hint="eastAsia" w:hAnsi="宋体" w:cs="宋体"/>
          <w:b/>
          <w:color w:val="auto"/>
          <w:sz w:val="24"/>
          <w:highlight w:val="none"/>
        </w:rPr>
        <w:t>简要规格描述或项目基本概况介绍、用途：</w:t>
      </w:r>
      <w:r>
        <w:rPr>
          <w:rFonts w:hint="eastAsia" w:hAnsi="宋体" w:cs="宋体"/>
          <w:b w:val="0"/>
          <w:bCs/>
          <w:color w:val="auto"/>
          <w:sz w:val="24"/>
          <w:highlight w:val="none"/>
        </w:rPr>
        <w:t>新湾街道</w:t>
      </w:r>
      <w:r>
        <w:rPr>
          <w:rFonts w:hint="eastAsia" w:hAnsi="宋体" w:cs="宋体"/>
          <w:b w:val="0"/>
          <w:bCs/>
          <w:color w:val="auto"/>
          <w:sz w:val="24"/>
          <w:highlight w:val="none"/>
          <w:lang w:eastAsia="zh-CN"/>
        </w:rPr>
        <w:t>2025—2026</w:t>
      </w:r>
      <w:r>
        <w:rPr>
          <w:rFonts w:hint="eastAsia" w:hAnsi="宋体" w:cs="宋体"/>
          <w:b w:val="0"/>
          <w:bCs/>
          <w:color w:val="auto"/>
          <w:sz w:val="24"/>
          <w:highlight w:val="none"/>
        </w:rPr>
        <w:t>年度治安巡逻防控第三方服务采购。</w:t>
      </w:r>
      <w:r>
        <w:rPr>
          <w:rFonts w:hint="eastAsia" w:asciiTheme="minorEastAsia" w:hAnsiTheme="minorEastAsia" w:eastAsiaTheme="minorEastAsia"/>
          <w:b w:val="0"/>
          <w:bCs/>
          <w:color w:val="auto"/>
          <w:sz w:val="24"/>
          <w:highlight w:val="none"/>
        </w:rPr>
        <w:t>具体以招标文件第三部分采购</w:t>
      </w:r>
      <w:r>
        <w:rPr>
          <w:rFonts w:hint="eastAsia" w:asciiTheme="minorEastAsia" w:hAnsiTheme="minorEastAsia" w:eastAsiaTheme="minorEastAsia"/>
          <w:color w:val="auto"/>
          <w:sz w:val="24"/>
          <w:highlight w:val="none"/>
        </w:rPr>
        <w:t>需求为准，供应商可点击本公告下方“浏览采购文件”查看采购需求。</w:t>
      </w:r>
    </w:p>
    <w:p w14:paraId="099AC511">
      <w:pPr>
        <w:pStyle w:val="24"/>
        <w:autoSpaceDE/>
        <w:autoSpaceDN/>
        <w:ind w:firstLine="482" w:firstLineChars="200"/>
        <w:rPr>
          <w:rFonts w:hAnsi="宋体" w:cs="宋体"/>
          <w:bCs/>
          <w:color w:val="auto"/>
          <w:highlight w:val="none"/>
          <w:u w:val="single"/>
        </w:rPr>
      </w:pPr>
      <w:r>
        <w:rPr>
          <w:rFonts w:hint="eastAsia" w:hAnsi="宋体" w:cs="宋体"/>
          <w:b/>
          <w:color w:val="auto"/>
          <w:highlight w:val="none"/>
        </w:rPr>
        <w:t>合同履约期限：</w:t>
      </w:r>
      <w:r>
        <w:rPr>
          <w:rFonts w:hint="eastAsia" w:hAnsi="宋体" w:cs="宋体"/>
          <w:b/>
          <w:color w:val="auto"/>
          <w:highlight w:val="none"/>
          <w:lang w:val="en-US" w:eastAsia="zh-CN"/>
        </w:rPr>
        <w:t>1年（具体以合同签订时间为准）</w:t>
      </w:r>
      <w:r>
        <w:rPr>
          <w:rFonts w:hint="eastAsia"/>
          <w:color w:val="auto"/>
          <w:highlight w:val="none"/>
        </w:rPr>
        <w:t>。</w:t>
      </w:r>
    </w:p>
    <w:p w14:paraId="5007F0F1">
      <w:pPr>
        <w:pStyle w:val="1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1591624199"/>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cs="Segoe UI Symbol"/>
              <w:color w:val="auto"/>
              <w:kern w:val="0"/>
              <w:sz w:val="24"/>
              <w:highlight w:val="none"/>
            </w:rPr>
            <w:t></w:t>
          </w:r>
        </w:sdtContent>
      </w:sdt>
      <w:r>
        <w:rPr>
          <w:rFonts w:hint="eastAsia" w:hAnsi="宋体" w:cs="宋体"/>
          <w:b/>
          <w:color w:val="auto"/>
          <w:sz w:val="24"/>
          <w:highlight w:val="none"/>
        </w:rPr>
        <w:t>是</w:t>
      </w:r>
      <w:r>
        <w:rPr>
          <w:rFonts w:hint="eastAsia" w:hAnsi="宋体" w:cs="宋体"/>
          <w:color w:val="auto"/>
          <w:kern w:val="0"/>
          <w:sz w:val="24"/>
          <w:highlight w:val="none"/>
        </w:rPr>
        <w:t>。</w:t>
      </w:r>
    </w:p>
    <w:p w14:paraId="7CF52A9C">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435B1C9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1E95FDC">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3A8B3D0">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564BBB3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C997C2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752C28C">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307D806">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43434EB6">
      <w:pPr>
        <w:rPr>
          <w:rFonts w:ascii="宋体" w:hAnsi="宋体" w:cs="宋体"/>
          <w:color w:val="auto"/>
          <w:highlight w:val="none"/>
        </w:rPr>
      </w:pPr>
    </w:p>
    <w:p w14:paraId="59864D5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7CBFF96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1350D8B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1B44EB5F">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14:paraId="4FB61629">
      <w:pPr>
        <w:snapToGrid w:val="0"/>
        <w:spacing w:line="360" w:lineRule="auto"/>
        <w:ind w:firstLine="480" w:firstLineChars="200"/>
        <w:rPr>
          <w:rFonts w:ascii="宋体" w:hAnsi="宋体" w:cs="宋体"/>
          <w:color w:val="auto"/>
          <w:sz w:val="24"/>
          <w:highlight w:val="none"/>
          <w:u w:val="single"/>
        </w:rPr>
      </w:pPr>
      <w:sdt>
        <w:sdtPr>
          <w:rPr>
            <w:rFonts w:hint="eastAsia" w:ascii="宋体" w:hAnsi="宋体" w:cs="宋体"/>
            <w:color w:val="auto"/>
            <w:kern w:val="0"/>
            <w:sz w:val="24"/>
            <w:highlight w:val="none"/>
          </w:rPr>
          <w:id w:val="1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C13710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82C157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72152A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color w:val="auto"/>
          <w:sz w:val="24"/>
          <w:highlight w:val="none"/>
        </w:rPr>
        <w:t>，每天上午00:00至12:00 ，下午12:00至23:59（北京时间，线上获取法定节假日均可，线下获取文件法定节假日除外）</w:t>
      </w:r>
    </w:p>
    <w:p w14:paraId="11F8F4F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E5B44E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C0E79A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D344989">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08F86C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69003B5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投标地点（网址）：请登录政采云投标客户端投标</w:t>
      </w:r>
      <w:r>
        <w:rPr>
          <w:rFonts w:hint="eastAsia" w:ascii="宋体" w:hAnsi="宋体" w:cs="宋体"/>
          <w:color w:val="auto"/>
          <w:sz w:val="24"/>
          <w:highlight w:val="none"/>
        </w:rPr>
        <w:t xml:space="preserve"> </w:t>
      </w:r>
    </w:p>
    <w:p w14:paraId="6DD35576">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64F33B97">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政采云平台（https://www.zcygov.cn/）浙江省杭州市钱塘区下沙街道金沙大道600号东楼</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楼</w:t>
      </w:r>
      <w:r>
        <w:rPr>
          <w:rFonts w:hint="eastAsia" w:ascii="宋体" w:hAnsi="宋体" w:cs="宋体"/>
          <w:color w:val="auto"/>
          <w:sz w:val="24"/>
          <w:highlight w:val="none"/>
          <w:lang w:val="en-US" w:eastAsia="zh-CN"/>
        </w:rPr>
        <w:t>开标室</w:t>
      </w:r>
    </w:p>
    <w:p w14:paraId="722D2498">
      <w:pPr>
        <w:numPr>
          <w:ilvl w:val="0"/>
          <w:numId w:val="1"/>
        </w:numPr>
        <w:spacing w:line="360" w:lineRule="auto"/>
        <w:rPr>
          <w:rFonts w:ascii="宋体" w:hAnsi="宋体" w:cs="宋体"/>
          <w:b/>
          <w:color w:val="auto"/>
          <w:sz w:val="24"/>
          <w:highlight w:val="none"/>
        </w:rPr>
      </w:pPr>
      <w:r>
        <w:rPr>
          <w:rFonts w:hint="eastAsia" w:ascii="宋体" w:hAnsi="宋体" w:cs="宋体"/>
          <w:b/>
          <w:color w:val="auto"/>
          <w:sz w:val="24"/>
          <w:highlight w:val="none"/>
        </w:rPr>
        <w:t>采购意向公告链接</w:t>
      </w:r>
    </w:p>
    <w:p w14:paraId="0FBB39EC">
      <w:pPr>
        <w:spacing w:line="360" w:lineRule="auto"/>
        <w:ind w:firstLine="480" w:firstLineChars="200"/>
        <w:rPr>
          <w:rFonts w:hint="eastAsia" w:ascii="宋体" w:hAnsi="宋体" w:cs="宋体"/>
          <w:b w:val="0"/>
          <w:bCs/>
          <w:color w:val="auto"/>
          <w:sz w:val="24"/>
          <w:highlight w:val="none"/>
        </w:rPr>
      </w:pPr>
      <w:r>
        <w:rPr>
          <w:rFonts w:hint="eastAsia" w:ascii="宋体" w:hAnsi="宋体" w:cs="宋体"/>
          <w:b w:val="0"/>
          <w:bCs/>
          <w:color w:val="auto"/>
          <w:sz w:val="24"/>
          <w:highlight w:val="none"/>
        </w:rPr>
        <w:t>https://zfcg.czt.zj.gov.cn/site/detail?parentId=600007&amp;articleId=QGsDvzJri31T4a2thoUZ%2FA%3D%3D</w:t>
      </w:r>
    </w:p>
    <w:p w14:paraId="2E33BF0D">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7DDBE5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9CB94C0">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22807B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9E492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FED2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7CF28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供应商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55158AF">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53974AB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14489E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杭州市钱塘区人民政府新湾街道办事处</w:t>
      </w:r>
      <w:r>
        <w:rPr>
          <w:rFonts w:hint="eastAsia" w:ascii="宋体" w:hAnsi="宋体" w:cs="宋体"/>
          <w:color w:val="auto"/>
          <w:sz w:val="24"/>
          <w:highlight w:val="none"/>
        </w:rPr>
        <w:t xml:space="preserve"> </w:t>
      </w:r>
    </w:p>
    <w:p w14:paraId="404B860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杭州市钱塘区新宏路 38 号</w:t>
      </w:r>
    </w:p>
    <w:p w14:paraId="7DE91BE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0E0B73B1">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p>
    <w:p w14:paraId="257C3507">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p>
    <w:p w14:paraId="51F26EB8">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质疑联系人：</w:t>
      </w:r>
      <w:r>
        <w:rPr>
          <w:rFonts w:hint="eastAsia" w:ascii="宋体" w:hAnsi="宋体" w:cs="宋体"/>
          <w:color w:val="auto"/>
          <w:sz w:val="24"/>
          <w:szCs w:val="24"/>
          <w:highlight w:val="none"/>
          <w:lang w:eastAsia="zh-CN"/>
        </w:rPr>
        <w:t>周女士</w:t>
      </w:r>
    </w:p>
    <w:p w14:paraId="320D5F79">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rPr>
        <w:t xml:space="preserve">质疑联系方式：0571-82198372 </w:t>
      </w:r>
    </w:p>
    <w:p w14:paraId="2BAD2F6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2C6081EE">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浙江勋达工程咨询有限公司</w:t>
      </w:r>
    </w:p>
    <w:p w14:paraId="74932A65">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杭州市钱塘区义蓬街道义蓬中路782号</w:t>
      </w:r>
    </w:p>
    <w:p w14:paraId="440F4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0AF8C271">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平建波</w:t>
      </w:r>
    </w:p>
    <w:p w14:paraId="67EC113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15088779243</w:t>
      </w:r>
    </w:p>
    <w:p w14:paraId="2CEBB95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姚东强</w:t>
      </w:r>
    </w:p>
    <w:p w14:paraId="52E6EEF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15968327758</w:t>
      </w:r>
    </w:p>
    <w:p w14:paraId="21D1C83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C56C58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名称：</w:t>
      </w:r>
      <w:r>
        <w:rPr>
          <w:rFonts w:hint="eastAsia" w:ascii="宋体" w:hAnsi="宋体" w:eastAsia="宋体" w:cs="宋体"/>
          <w:color w:val="auto"/>
          <w:sz w:val="24"/>
          <w:highlight w:val="none"/>
        </w:rPr>
        <w:t>杭州市钱塘区财政局、浙江省政府采购行政裁决服务中心（杭州）</w:t>
      </w:r>
    </w:p>
    <w:p w14:paraId="75DC54F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地址：杭州市上城区清泰街549号城建综合大楼11楼（快递仅限ems或顺丰）</w:t>
      </w:r>
    </w:p>
    <w:p w14:paraId="1A7E474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6EADB78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6C14CAF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监督投诉电话：电话：0571-87800218,0571-87227671   </w:t>
      </w:r>
    </w:p>
    <w:p w14:paraId="56BA9E3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9CC51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437FBA13">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62F120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供应商须知</w:t>
      </w:r>
      <w:bookmarkEnd w:id="8"/>
    </w:p>
    <w:p w14:paraId="757DE102">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02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387"/>
        <w:gridCol w:w="7005"/>
      </w:tblGrid>
      <w:tr w14:paraId="6274B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4EF70B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87" w:type="dxa"/>
            <w:tcBorders>
              <w:top w:val="single" w:color="000000" w:sz="8" w:space="0"/>
              <w:left w:val="single" w:color="auto" w:sz="4" w:space="0"/>
              <w:bottom w:val="single" w:color="000000" w:sz="8" w:space="0"/>
              <w:right w:val="single" w:color="000000" w:sz="8" w:space="0"/>
            </w:tcBorders>
            <w:vAlign w:val="center"/>
          </w:tcPr>
          <w:p w14:paraId="56C2838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7005" w:type="dxa"/>
            <w:tcBorders>
              <w:top w:val="single" w:color="000000" w:sz="8" w:space="0"/>
              <w:left w:val="single" w:color="000000" w:sz="2" w:space="0"/>
              <w:bottom w:val="single" w:color="000000" w:sz="8" w:space="0"/>
              <w:right w:val="single" w:color="000000" w:sz="8" w:space="0"/>
            </w:tcBorders>
            <w:vAlign w:val="center"/>
          </w:tcPr>
          <w:p w14:paraId="4FEF931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C1296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38B9B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87" w:type="dxa"/>
            <w:tcBorders>
              <w:top w:val="single" w:color="000000" w:sz="8" w:space="0"/>
              <w:left w:val="single" w:color="auto" w:sz="4" w:space="0"/>
              <w:bottom w:val="single" w:color="000000" w:sz="8" w:space="0"/>
              <w:right w:val="single" w:color="000000" w:sz="8" w:space="0"/>
            </w:tcBorders>
            <w:vAlign w:val="center"/>
          </w:tcPr>
          <w:p w14:paraId="0756E78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7005" w:type="dxa"/>
            <w:tcBorders>
              <w:top w:val="single" w:color="000000" w:sz="8" w:space="0"/>
              <w:left w:val="single" w:color="000000" w:sz="2" w:space="0"/>
              <w:bottom w:val="single" w:color="000000" w:sz="8" w:space="0"/>
              <w:right w:val="single" w:color="000000" w:sz="8" w:space="0"/>
            </w:tcBorders>
            <w:vAlign w:val="center"/>
          </w:tcPr>
          <w:p w14:paraId="3B4D8F2F">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20B0B4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1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2B6811">
            <w:pPr>
              <w:snapToGrid w:val="0"/>
              <w:spacing w:line="360" w:lineRule="auto"/>
              <w:jc w:val="center"/>
              <w:rPr>
                <w:rFonts w:ascii="宋体" w:hAnsi="宋体" w:cs="宋体"/>
                <w:color w:val="auto"/>
                <w:sz w:val="24"/>
                <w:highlight w:val="none"/>
              </w:rPr>
            </w:pPr>
          </w:p>
          <w:p w14:paraId="54C1797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87" w:type="dxa"/>
            <w:tcBorders>
              <w:top w:val="single" w:color="000000" w:sz="8" w:space="0"/>
              <w:left w:val="single" w:color="auto" w:sz="4" w:space="0"/>
              <w:bottom w:val="single" w:color="000000" w:sz="8" w:space="0"/>
              <w:right w:val="single" w:color="000000" w:sz="8" w:space="0"/>
            </w:tcBorders>
            <w:vAlign w:val="center"/>
          </w:tcPr>
          <w:p w14:paraId="045FD473">
            <w:pPr>
              <w:adjustRightInd/>
              <w:spacing w:line="360" w:lineRule="auto"/>
              <w:jc w:val="left"/>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7005" w:type="dxa"/>
            <w:tcBorders>
              <w:top w:val="single" w:color="000000" w:sz="8" w:space="0"/>
              <w:left w:val="single" w:color="000000" w:sz="2" w:space="0"/>
              <w:bottom w:val="single" w:color="000000" w:sz="8" w:space="0"/>
              <w:right w:val="single" w:color="000000" w:sz="8" w:space="0"/>
            </w:tcBorders>
            <w:vAlign w:val="center"/>
          </w:tcPr>
          <w:p w14:paraId="3EF09CD3">
            <w:pPr>
              <w:adjustRightInd/>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新湾街道2025—2026年度治安巡逻防控第三方服务</w:t>
            </w:r>
            <w:r>
              <w:rPr>
                <w:rFonts w:hint="eastAsia" w:ascii="宋体" w:hAnsi="宋体" w:cs="宋体"/>
                <w:color w:val="auto"/>
                <w:kern w:val="0"/>
                <w:sz w:val="24"/>
                <w:highlight w:val="none"/>
              </w:rPr>
              <w:t>，属于</w:t>
            </w:r>
            <w:r>
              <w:rPr>
                <w:rFonts w:hint="eastAsia" w:ascii="宋体" w:hAnsi="宋体" w:cs="宋体"/>
                <w:b/>
                <w:bCs/>
                <w:color w:val="auto"/>
                <w:kern w:val="0"/>
                <w:sz w:val="24"/>
                <w:highlight w:val="none"/>
                <w:u w:val="single"/>
              </w:rPr>
              <w:t>租赁和商业服务业</w:t>
            </w:r>
            <w:r>
              <w:rPr>
                <w:rFonts w:hint="eastAsia" w:ascii="宋体" w:hAnsi="宋体" w:cs="宋体"/>
                <w:color w:val="auto"/>
                <w:kern w:val="0"/>
                <w:sz w:val="24"/>
                <w:highlight w:val="none"/>
              </w:rPr>
              <w:t>行业；</w:t>
            </w:r>
          </w:p>
          <w:p w14:paraId="466FCD92">
            <w:pPr>
              <w:adjustRightInd/>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备注：《关于印发中小企业划型标准规定的通知》（工信部联企业〔2011〕300）第（十二）条：租赁和商业服务业。从业人员300人以下的为中小微型企业。其中，从业人员100人及以上的为中型企业；从业人员10人及以上的为小型企业；从业人员10人以下的为微型企业。</w:t>
            </w:r>
          </w:p>
          <w:p w14:paraId="3B1C3636">
            <w:pPr>
              <w:adjustRightInd/>
              <w:spacing w:line="360"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（2）本项目为专门面向中小企业预留采购份额的采购项目。</w:t>
            </w:r>
          </w:p>
          <w:p w14:paraId="2BFE3810">
            <w:pPr>
              <w:adjustRightInd/>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3）本招标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28E9F0D">
            <w:pPr>
              <w:adjustRightInd/>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（4）以联合体形式参加政府采购活动，联合体各方均为中小企业的，联合体视同中小企业。</w:t>
            </w:r>
          </w:p>
          <w:p w14:paraId="5F7FA0CF">
            <w:pPr>
              <w:adjustRightInd/>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（5）符合中小企业划分标准的个体工商户，视同中小企业。</w:t>
            </w:r>
          </w:p>
          <w:p w14:paraId="3BB12E0D">
            <w:pPr>
              <w:adjustRightInd/>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（6）本标项的服务要求全部由中小企业承接。</w:t>
            </w:r>
          </w:p>
          <w:p w14:paraId="6D9706A0">
            <w:pPr>
              <w:adjustRightInd/>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（7）提供的服务由中小企业承接的，供应商应当出具《中小企业声明函》。</w:t>
            </w:r>
          </w:p>
          <w:p w14:paraId="6B68EA21">
            <w:pPr>
              <w:adjustRightInd/>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（8）残疾人福利性单位视同中小企业。残疾人福利性单位参加政府采购活动时，应当提供《残疾人福利性单位声明函》。</w:t>
            </w:r>
          </w:p>
          <w:p w14:paraId="6140FDBD">
            <w:pPr>
              <w:pStyle w:val="2"/>
              <w:tabs>
                <w:tab w:val="left" w:pos="0"/>
                <w:tab w:val="left" w:pos="283"/>
                <w:tab w:val="clear" w:pos="432"/>
              </w:tabs>
              <w:ind w:left="0" w:firstLine="0"/>
              <w:rPr>
                <w:rFonts w:ascii="宋体" w:hAnsi="宋体" w:eastAsia="宋体" w:cs="宋体"/>
                <w:color w:val="auto"/>
                <w:sz w:val="24"/>
                <w:szCs w:val="24"/>
                <w:highlight w:val="none"/>
                <w:lang w:val="en-US"/>
              </w:rPr>
            </w:pPr>
            <w:r>
              <w:rPr>
                <w:rFonts w:hint="eastAsia" w:ascii="宋体" w:hAnsi="宋体" w:eastAsia="宋体" w:cs="宋体"/>
                <w:b w:val="0"/>
                <w:bCs w:val="0"/>
                <w:color w:val="auto"/>
                <w:kern w:val="0"/>
                <w:sz w:val="24"/>
                <w:szCs w:val="24"/>
                <w:highlight w:val="none"/>
              </w:rPr>
              <w:t>（9）监狱企业视同中小企业。监狱企业参加政府采购活动时，应当出具省级以上监狱管理局、戒毒管理局（含新疆生产建设兵团）提供的属于监狱企业的证明文件。</w:t>
            </w:r>
          </w:p>
        </w:tc>
      </w:tr>
      <w:tr w14:paraId="2F9AE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EC887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387" w:type="dxa"/>
            <w:tcBorders>
              <w:top w:val="single" w:color="000000" w:sz="8" w:space="0"/>
              <w:left w:val="single" w:color="auto" w:sz="4" w:space="0"/>
              <w:bottom w:val="single" w:color="000000" w:sz="8" w:space="0"/>
              <w:right w:val="single" w:color="000000" w:sz="8" w:space="0"/>
            </w:tcBorders>
            <w:vAlign w:val="center"/>
          </w:tcPr>
          <w:p w14:paraId="372DBE70">
            <w:pPr>
              <w:snapToGrid w:val="0"/>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7005" w:type="dxa"/>
            <w:tcBorders>
              <w:top w:val="single" w:color="000000" w:sz="8" w:space="0"/>
              <w:left w:val="single" w:color="000000" w:sz="2" w:space="0"/>
              <w:bottom w:val="single" w:color="000000" w:sz="8" w:space="0"/>
              <w:right w:val="single" w:color="000000" w:sz="8" w:space="0"/>
            </w:tcBorders>
            <w:vAlign w:val="center"/>
          </w:tcPr>
          <w:p w14:paraId="1BE46EB7">
            <w:pPr>
              <w:adjustRightInd/>
              <w:spacing w:line="312" w:lineRule="auto"/>
              <w:jc w:val="left"/>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C5570E9">
            <w:pPr>
              <w:pStyle w:val="2"/>
              <w:rPr>
                <w:color w:val="auto"/>
                <w:highlight w:val="none"/>
              </w:rPr>
            </w:pPr>
            <w:sdt>
              <w:sdtPr>
                <w:rPr>
                  <w:rFonts w:hint="eastAsia" w:ascii="宋体" w:hAnsi="宋体" w:cs="宋体"/>
                  <w:color w:val="auto"/>
                  <w:kern w:val="0"/>
                  <w:sz w:val="24"/>
                  <w:highlight w:val="none"/>
                </w:rPr>
                <w:id w:val="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b/>
                    <w:bCs/>
                    <w:color w:val="auto"/>
                    <w:kern w:val="0"/>
                    <w:sz w:val="24"/>
                    <w:szCs w:val="24"/>
                    <w:highlight w:val="none"/>
                    <w:lang w:val="en-US" w:eastAsia="zh-CN" w:bidi="ar-SA"/>
                  </w:rPr>
                  <w:t>☐</w:t>
                </w:r>
              </w:sdtContent>
            </w:sdt>
            <w:r>
              <w:rPr>
                <w:rFonts w:hint="eastAsia" w:ascii="宋体" w:hAnsi="宋体" w:eastAsia="宋体" w:cs="宋体"/>
                <w:b w:val="0"/>
                <w:bCs w:val="0"/>
                <w:color w:val="auto"/>
                <w:kern w:val="0"/>
                <w:sz w:val="24"/>
                <w:szCs w:val="24"/>
                <w:highlight w:val="none"/>
                <w:lang w:val="en-US" w:eastAsia="zh-CN" w:bidi="ar-SA"/>
              </w:rPr>
              <w:t>可以就</w:t>
            </w:r>
            <w:r>
              <w:rPr>
                <w:rFonts w:hint="eastAsia" w:ascii="宋体" w:hAnsi="宋体" w:eastAsia="宋体" w:cs="宋体"/>
                <w:b w:val="0"/>
                <w:bCs w:val="0"/>
                <w:color w:val="auto"/>
                <w:kern w:val="0"/>
                <w:sz w:val="24"/>
                <w:szCs w:val="24"/>
                <w:highlight w:val="none"/>
                <w:u w:val="single"/>
                <w:lang w:val="en-US" w:eastAsia="zh-CN" w:bidi="ar-SA"/>
              </w:rPr>
              <w:t xml:space="preserve">    </w:t>
            </w:r>
            <w:r>
              <w:rPr>
                <w:rFonts w:hint="eastAsia" w:ascii="宋体" w:hAnsi="宋体" w:eastAsia="宋体" w:cs="宋体"/>
                <w:b w:val="0"/>
                <w:bCs w:val="0"/>
                <w:color w:val="auto"/>
                <w:kern w:val="0"/>
                <w:sz w:val="24"/>
                <w:szCs w:val="24"/>
                <w:highlight w:val="none"/>
                <w:lang w:val="en-US" w:eastAsia="zh-CN" w:bidi="ar-SA"/>
              </w:rPr>
              <w:t>采购进口产品。</w:t>
            </w:r>
          </w:p>
        </w:tc>
      </w:tr>
      <w:tr w14:paraId="5A6CD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63ABA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387" w:type="dxa"/>
            <w:tcBorders>
              <w:top w:val="single" w:color="000000" w:sz="8" w:space="0"/>
              <w:left w:val="single" w:color="auto" w:sz="4" w:space="0"/>
              <w:bottom w:val="single" w:color="000000" w:sz="8" w:space="0"/>
              <w:right w:val="single" w:color="000000" w:sz="8" w:space="0"/>
            </w:tcBorders>
            <w:vAlign w:val="center"/>
          </w:tcPr>
          <w:p w14:paraId="1BE3D09C">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7005" w:type="dxa"/>
            <w:tcBorders>
              <w:top w:val="single" w:color="000000" w:sz="8" w:space="0"/>
              <w:left w:val="single" w:color="000000" w:sz="2" w:space="0"/>
              <w:bottom w:val="single" w:color="000000" w:sz="8" w:space="0"/>
              <w:right w:val="single" w:color="000000" w:sz="8" w:space="0"/>
            </w:tcBorders>
            <w:vAlign w:val="center"/>
          </w:tcPr>
          <w:p w14:paraId="2BBB7B06">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495702D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D961744">
            <w:pPr>
              <w:adjustRightInd/>
              <w:spacing w:line="312" w:lineRule="auto"/>
              <w:jc w:val="left"/>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CF84B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0FD3A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387" w:type="dxa"/>
            <w:tcBorders>
              <w:top w:val="single" w:color="000000" w:sz="8" w:space="0"/>
              <w:left w:val="single" w:color="auto" w:sz="4" w:space="0"/>
              <w:bottom w:val="single" w:color="000000" w:sz="8" w:space="0"/>
              <w:right w:val="single" w:color="000000" w:sz="8" w:space="0"/>
            </w:tcBorders>
            <w:vAlign w:val="center"/>
          </w:tcPr>
          <w:p w14:paraId="4CAEFE6E">
            <w:pPr>
              <w:snapToGrid w:val="0"/>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7005" w:type="dxa"/>
            <w:tcBorders>
              <w:top w:val="single" w:color="000000" w:sz="8" w:space="0"/>
              <w:left w:val="single" w:color="000000" w:sz="2" w:space="0"/>
              <w:bottom w:val="single" w:color="000000" w:sz="8" w:space="0"/>
              <w:right w:val="single" w:color="000000" w:sz="8" w:space="0"/>
            </w:tcBorders>
            <w:vAlign w:val="center"/>
          </w:tcPr>
          <w:p w14:paraId="2D4E8C62">
            <w:pPr>
              <w:adjustRightInd/>
              <w:spacing w:line="312" w:lineRule="auto"/>
              <w:jc w:val="left"/>
              <w:rPr>
                <w:rFonts w:hint="eastAsia"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5BAFE0B">
            <w:pPr>
              <w:pStyle w:val="2"/>
              <w:rPr>
                <w:color w:val="auto"/>
                <w:highlight w:val="none"/>
              </w:rPr>
            </w:pPr>
            <w:sdt>
              <w:sdtPr>
                <w:rPr>
                  <w:rFonts w:hint="eastAsia" w:ascii="宋体" w:hAnsi="宋体" w:cs="宋体"/>
                  <w:color w:val="auto"/>
                  <w:kern w:val="0"/>
                  <w:sz w:val="24"/>
                  <w:highlight w:val="none"/>
                </w:rPr>
                <w:id w:val="16"/>
                <w14:checkbox>
                  <w14:checked w14:val="0"/>
                  <w14:checkedState w14:val="00FE" w14:font="Wingdings"/>
                  <w14:uncheckedState w14:val="2610" w14:font="MS Gothic"/>
                </w14:checkbox>
              </w:sdtPr>
              <w:sdtEndPr>
                <w:rPr>
                  <w:rFonts w:hint="eastAsia" w:ascii="宋体" w:hAnsi="宋体" w:eastAsia="宋体" w:cs="宋体"/>
                  <w:b w:val="0"/>
                  <w:bCs w:val="0"/>
                  <w:color w:val="auto"/>
                  <w:kern w:val="0"/>
                  <w:sz w:val="24"/>
                  <w:szCs w:val="24"/>
                  <w:highlight w:val="none"/>
                  <w:lang w:val="en-US" w:eastAsia="zh-CN" w:bidi="ar-SA"/>
                </w:rPr>
              </w:sdtEndPr>
              <w:sdtContent>
                <w:r>
                  <w:rPr>
                    <w:rFonts w:hint="eastAsia" w:ascii="MS Gothic" w:hAnsi="MS Gothic" w:eastAsia="宋体" w:cs="宋体"/>
                    <w:b w:val="0"/>
                    <w:bCs w:val="0"/>
                    <w:color w:val="auto"/>
                    <w:kern w:val="0"/>
                    <w:sz w:val="24"/>
                    <w:szCs w:val="24"/>
                    <w:highlight w:val="none"/>
                    <w:lang w:val="en-US" w:eastAsia="zh-CN" w:bidi="ar-SA"/>
                  </w:rPr>
                  <w:t>☐</w:t>
                </w:r>
              </w:sdtContent>
            </w:sdt>
            <w:r>
              <w:rPr>
                <w:rFonts w:hint="eastAsia" w:ascii="宋体" w:hAnsi="宋体" w:eastAsia="宋体" w:cs="宋体"/>
                <w:b w:val="0"/>
                <w:bCs w:val="0"/>
                <w:color w:val="auto"/>
                <w:kern w:val="0"/>
                <w:sz w:val="24"/>
                <w:szCs w:val="24"/>
                <w:highlight w:val="none"/>
                <w:lang w:val="en-US" w:eastAsia="zh-CN" w:bidi="ar-SA"/>
              </w:rPr>
              <w:t>B组织，时间：</w:t>
            </w:r>
            <w:r>
              <w:rPr>
                <w:rFonts w:hint="eastAsia" w:ascii="宋体" w:hAnsi="宋体" w:eastAsia="宋体" w:cs="宋体"/>
                <w:b w:val="0"/>
                <w:bCs w:val="0"/>
                <w:color w:val="auto"/>
                <w:kern w:val="0"/>
                <w:sz w:val="24"/>
                <w:szCs w:val="24"/>
                <w:highlight w:val="none"/>
                <w:u w:val="single"/>
                <w:lang w:val="en-US" w:eastAsia="zh-CN" w:bidi="ar-SA"/>
              </w:rPr>
              <w:t xml:space="preserve">      </w:t>
            </w:r>
            <w:r>
              <w:rPr>
                <w:rFonts w:hint="eastAsia" w:ascii="宋体" w:hAnsi="宋体" w:eastAsia="宋体" w:cs="宋体"/>
                <w:b w:val="0"/>
                <w:bCs w:val="0"/>
                <w:color w:val="auto"/>
                <w:kern w:val="0"/>
                <w:sz w:val="24"/>
                <w:szCs w:val="24"/>
                <w:highlight w:val="none"/>
                <w:lang w:val="en-US" w:eastAsia="zh-CN" w:bidi="ar-SA"/>
              </w:rPr>
              <w:t>,地点：</w:t>
            </w:r>
            <w:r>
              <w:rPr>
                <w:rFonts w:hint="eastAsia" w:ascii="宋体" w:hAnsi="宋体" w:eastAsia="宋体" w:cs="宋体"/>
                <w:b w:val="0"/>
                <w:bCs w:val="0"/>
                <w:color w:val="auto"/>
                <w:kern w:val="0"/>
                <w:sz w:val="24"/>
                <w:szCs w:val="24"/>
                <w:highlight w:val="none"/>
                <w:u w:val="single"/>
                <w:lang w:val="en-US" w:eastAsia="zh-CN" w:bidi="ar-SA"/>
              </w:rPr>
              <w:t xml:space="preserve">      </w:t>
            </w:r>
            <w:r>
              <w:rPr>
                <w:rFonts w:hint="eastAsia" w:ascii="宋体" w:hAnsi="宋体" w:eastAsia="宋体" w:cs="宋体"/>
                <w:b w:val="0"/>
                <w:bCs w:val="0"/>
                <w:color w:val="auto"/>
                <w:kern w:val="0"/>
                <w:sz w:val="24"/>
                <w:szCs w:val="24"/>
                <w:highlight w:val="none"/>
                <w:lang w:val="en-US" w:eastAsia="zh-CN" w:bidi="ar-SA"/>
              </w:rPr>
              <w:t>，联系人：</w:t>
            </w:r>
            <w:r>
              <w:rPr>
                <w:rFonts w:hint="eastAsia" w:ascii="宋体" w:hAnsi="宋体" w:eastAsia="宋体" w:cs="宋体"/>
                <w:b w:val="0"/>
                <w:bCs w:val="0"/>
                <w:color w:val="auto"/>
                <w:kern w:val="0"/>
                <w:sz w:val="24"/>
                <w:szCs w:val="24"/>
                <w:highlight w:val="none"/>
                <w:u w:val="single"/>
                <w:lang w:val="en-US" w:eastAsia="zh-CN" w:bidi="ar-SA"/>
              </w:rPr>
              <w:t xml:space="preserve">      </w:t>
            </w:r>
            <w:r>
              <w:rPr>
                <w:rFonts w:hint="eastAsia" w:ascii="宋体" w:hAnsi="宋体" w:eastAsia="宋体" w:cs="宋体"/>
                <w:b w:val="0"/>
                <w:bCs w:val="0"/>
                <w:color w:val="auto"/>
                <w:kern w:val="0"/>
                <w:sz w:val="24"/>
                <w:szCs w:val="24"/>
                <w:highlight w:val="none"/>
                <w:lang w:val="en-US" w:eastAsia="zh-CN" w:bidi="ar-SA"/>
              </w:rPr>
              <w:t>，联系方式：</w:t>
            </w:r>
            <w:r>
              <w:rPr>
                <w:rFonts w:hint="eastAsia" w:ascii="宋体" w:hAnsi="宋体" w:eastAsia="宋体" w:cs="宋体"/>
                <w:b w:val="0"/>
                <w:bCs w:val="0"/>
                <w:color w:val="auto"/>
                <w:kern w:val="0"/>
                <w:sz w:val="24"/>
                <w:szCs w:val="24"/>
                <w:highlight w:val="none"/>
                <w:u w:val="single"/>
                <w:lang w:val="en-US" w:eastAsia="zh-CN" w:bidi="ar-SA"/>
              </w:rPr>
              <w:t xml:space="preserve">      </w:t>
            </w:r>
            <w:r>
              <w:rPr>
                <w:rFonts w:hint="eastAsia" w:ascii="宋体" w:hAnsi="宋体" w:eastAsia="宋体" w:cs="宋体"/>
                <w:b w:val="0"/>
                <w:bCs w:val="0"/>
                <w:color w:val="auto"/>
                <w:kern w:val="0"/>
                <w:sz w:val="24"/>
                <w:szCs w:val="24"/>
                <w:highlight w:val="none"/>
                <w:lang w:val="en-US" w:eastAsia="zh-CN" w:bidi="ar-SA"/>
              </w:rPr>
              <w:t>。</w:t>
            </w:r>
          </w:p>
        </w:tc>
      </w:tr>
      <w:tr w14:paraId="01FBC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EB773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387" w:type="dxa"/>
            <w:tcBorders>
              <w:top w:val="single" w:color="000000" w:sz="8" w:space="0"/>
              <w:left w:val="single" w:color="auto" w:sz="4" w:space="0"/>
              <w:bottom w:val="single" w:color="000000" w:sz="8" w:space="0"/>
              <w:right w:val="single" w:color="000000" w:sz="8" w:space="0"/>
            </w:tcBorders>
            <w:vAlign w:val="center"/>
          </w:tcPr>
          <w:p w14:paraId="1DE758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7005" w:type="dxa"/>
            <w:tcBorders>
              <w:top w:val="single" w:color="000000" w:sz="8" w:space="0"/>
              <w:left w:val="single" w:color="000000" w:sz="2" w:space="0"/>
              <w:bottom w:val="single" w:color="000000" w:sz="8" w:space="0"/>
              <w:right w:val="single" w:color="000000" w:sz="8" w:space="0"/>
            </w:tcBorders>
            <w:vAlign w:val="center"/>
          </w:tcPr>
          <w:p w14:paraId="1E96E81C">
            <w:pPr>
              <w:adjustRightInd/>
              <w:spacing w:line="312" w:lineRule="auto"/>
              <w:jc w:val="left"/>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r>
              <w:rPr>
                <w:rFonts w:hint="eastAsia" w:ascii="宋体" w:hAnsi="宋体" w:cs="宋体"/>
                <w:color w:val="auto"/>
                <w:sz w:val="24"/>
                <w:highlight w:val="none"/>
                <w:lang w:eastAsia="zh-CN"/>
              </w:rPr>
              <w:t>。</w:t>
            </w:r>
          </w:p>
          <w:p w14:paraId="757EF881">
            <w:pPr>
              <w:pStyle w:val="2"/>
              <w:rPr>
                <w:rFonts w:hint="eastAsia" w:eastAsia="宋体"/>
                <w:color w:val="auto"/>
                <w:highlight w:val="none"/>
                <w:lang w:val="en-US" w:eastAsia="zh-CN"/>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b w:val="0"/>
                  <w:bCs w:val="0"/>
                  <w:color w:val="auto"/>
                  <w:kern w:val="2"/>
                  <w:sz w:val="24"/>
                  <w:szCs w:val="24"/>
                  <w:highlight w:val="none"/>
                  <w:lang w:val="en-US" w:eastAsia="zh-CN" w:bidi="ar-SA"/>
                </w:rPr>
              </w:sdtEndPr>
              <w:sdtContent>
                <w:r>
                  <w:rPr>
                    <w:rFonts w:hint="eastAsia" w:ascii="宋体" w:hAnsi="宋体" w:eastAsia="宋体" w:cs="宋体"/>
                    <w:b w:val="0"/>
                    <w:bCs w:val="0"/>
                    <w:color w:val="auto"/>
                    <w:kern w:val="2"/>
                    <w:sz w:val="24"/>
                    <w:szCs w:val="24"/>
                    <w:highlight w:val="none"/>
                    <w:lang w:val="en-US" w:eastAsia="zh-CN" w:bidi="ar-SA"/>
                  </w:rPr>
                  <w:t>☐</w:t>
                </w:r>
              </w:sdtContent>
            </w:sdt>
            <w:r>
              <w:rPr>
                <w:rFonts w:hint="eastAsia" w:ascii="宋体" w:hAnsi="宋体" w:eastAsia="宋体" w:cs="宋体"/>
                <w:b w:val="0"/>
                <w:bCs w:val="0"/>
                <w:color w:val="auto"/>
                <w:kern w:val="2"/>
                <w:sz w:val="24"/>
                <w:szCs w:val="24"/>
                <w:highlight w:val="none"/>
                <w:lang w:val="en-US" w:eastAsia="zh-CN" w:bidi="ar-SA"/>
              </w:rPr>
              <w:t>B要求提供。</w:t>
            </w:r>
          </w:p>
        </w:tc>
      </w:tr>
      <w:tr w14:paraId="032A8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8B5BF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387" w:type="dxa"/>
            <w:tcBorders>
              <w:top w:val="single" w:color="000000" w:sz="8" w:space="0"/>
              <w:left w:val="single" w:color="auto" w:sz="4" w:space="0"/>
              <w:bottom w:val="single" w:color="000000" w:sz="8" w:space="0"/>
              <w:right w:val="single" w:color="000000" w:sz="8" w:space="0"/>
            </w:tcBorders>
            <w:vAlign w:val="center"/>
          </w:tcPr>
          <w:p w14:paraId="4B2320BD">
            <w:pPr>
              <w:snapToGrid w:val="0"/>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7005" w:type="dxa"/>
            <w:tcBorders>
              <w:top w:val="single" w:color="000000" w:sz="8" w:space="0"/>
              <w:left w:val="single" w:color="000000" w:sz="2" w:space="0"/>
              <w:bottom w:val="single" w:color="000000" w:sz="8" w:space="0"/>
              <w:right w:val="single" w:color="000000" w:sz="8" w:space="0"/>
            </w:tcBorders>
            <w:vAlign w:val="center"/>
          </w:tcPr>
          <w:p w14:paraId="77BC0A21">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A不</w:t>
            </w:r>
            <w:r>
              <w:rPr>
                <w:rFonts w:hint="eastAsia" w:ascii="宋体" w:hAnsi="宋体" w:cs="宋体"/>
                <w:color w:val="auto"/>
                <w:kern w:val="0"/>
                <w:sz w:val="24"/>
                <w:highlight w:val="none"/>
              </w:rPr>
              <w:t>组织。</w:t>
            </w:r>
          </w:p>
          <w:p w14:paraId="7E76C6F7">
            <w:pPr>
              <w:pStyle w:val="2"/>
              <w:rPr>
                <w:color w:val="auto"/>
                <w:highlight w:val="none"/>
                <w:lang w:val="zh-CN"/>
              </w:rPr>
            </w:pPr>
            <w:sdt>
              <w:sdtPr>
                <w:rPr>
                  <w:rFonts w:hint="eastAsia" w:ascii="宋体" w:hAnsi="宋体" w:cs="宋体"/>
                  <w:color w:val="auto"/>
                  <w:kern w:val="0"/>
                  <w:sz w:val="24"/>
                  <w:highlight w:val="none"/>
                </w:rPr>
                <w:id w:val="147470238"/>
                <w14:checkbox>
                  <w14:checked w14:val="0"/>
                  <w14:checkedState w14:val="00FE" w14:font="Wingdings"/>
                  <w14:uncheckedState w14:val="2610" w14:font="MS Gothic"/>
                </w14:checkbox>
              </w:sdtPr>
              <w:sdtEndPr>
                <w:rPr>
                  <w:rFonts w:hint="eastAsia" w:ascii="宋体" w:hAnsi="宋体" w:eastAsia="宋体" w:cs="宋体"/>
                  <w:b w:val="0"/>
                  <w:bCs w:val="0"/>
                  <w:color w:val="auto"/>
                  <w:kern w:val="0"/>
                  <w:sz w:val="24"/>
                  <w:szCs w:val="24"/>
                  <w:highlight w:val="none"/>
                  <w:lang w:val="en-US" w:eastAsia="zh-CN" w:bidi="ar-SA"/>
                </w:rPr>
              </w:sdtEndPr>
              <w:sdtContent>
                <w:r>
                  <w:rPr>
                    <w:rFonts w:hint="eastAsia" w:ascii="宋体" w:hAnsi="宋体" w:eastAsia="宋体" w:cs="宋体"/>
                    <w:b w:val="0"/>
                    <w:bCs w:val="0"/>
                    <w:color w:val="auto"/>
                    <w:kern w:val="0"/>
                    <w:sz w:val="24"/>
                    <w:szCs w:val="24"/>
                    <w:highlight w:val="none"/>
                    <w:lang w:val="en-US" w:eastAsia="zh-CN" w:bidi="ar-SA"/>
                  </w:rPr>
                  <w:t>☐</w:t>
                </w:r>
              </w:sdtContent>
            </w:sdt>
            <w:r>
              <w:rPr>
                <w:rFonts w:hint="eastAsia" w:ascii="宋体" w:hAnsi="宋体" w:eastAsia="宋体" w:cs="宋体"/>
                <w:b w:val="0"/>
                <w:bCs w:val="0"/>
                <w:color w:val="auto"/>
                <w:kern w:val="0"/>
                <w:sz w:val="24"/>
                <w:szCs w:val="24"/>
                <w:highlight w:val="none"/>
                <w:lang w:val="en-US" w:eastAsia="zh-CN" w:bidi="ar-SA"/>
              </w:rPr>
              <w:t>B组织。</w:t>
            </w:r>
          </w:p>
        </w:tc>
      </w:tr>
      <w:tr w14:paraId="6620D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511121E0">
            <w:pPr>
              <w:snapToGrid w:val="0"/>
              <w:spacing w:line="360" w:lineRule="auto"/>
              <w:jc w:val="center"/>
              <w:rPr>
                <w:rFonts w:ascii="宋体" w:hAnsi="宋体" w:cs="宋体"/>
                <w:color w:val="auto"/>
                <w:sz w:val="24"/>
                <w:highlight w:val="none"/>
              </w:rPr>
            </w:pPr>
          </w:p>
          <w:p w14:paraId="0FF68819">
            <w:pPr>
              <w:snapToGrid w:val="0"/>
              <w:spacing w:line="360" w:lineRule="auto"/>
              <w:jc w:val="center"/>
              <w:rPr>
                <w:rFonts w:ascii="宋体" w:hAnsi="宋体" w:cs="宋体"/>
                <w:color w:val="auto"/>
                <w:sz w:val="24"/>
                <w:highlight w:val="none"/>
              </w:rPr>
            </w:pPr>
          </w:p>
          <w:p w14:paraId="720AF6A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387" w:type="dxa"/>
            <w:vMerge w:val="restart"/>
            <w:tcBorders>
              <w:top w:val="single" w:color="000000" w:sz="8" w:space="0"/>
              <w:left w:val="single" w:color="auto" w:sz="4" w:space="0"/>
              <w:right w:val="single" w:color="000000" w:sz="8" w:space="0"/>
            </w:tcBorders>
            <w:vAlign w:val="center"/>
          </w:tcPr>
          <w:p w14:paraId="76985912">
            <w:pPr>
              <w:snapToGrid w:val="0"/>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7005" w:type="dxa"/>
            <w:tcBorders>
              <w:top w:val="single" w:color="000000" w:sz="8" w:space="0"/>
              <w:left w:val="single" w:color="000000" w:sz="2" w:space="0"/>
              <w:bottom w:val="single" w:color="auto" w:sz="4" w:space="0"/>
              <w:right w:val="single" w:color="000000" w:sz="8" w:space="0"/>
            </w:tcBorders>
            <w:vAlign w:val="center"/>
          </w:tcPr>
          <w:p w14:paraId="4F329B10">
            <w:pPr>
              <w:adjustRightInd/>
              <w:spacing w:line="312" w:lineRule="auto"/>
              <w:jc w:val="left"/>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0C325DC1">
            <w:pPr>
              <w:adjustRightInd/>
              <w:spacing w:line="312" w:lineRule="auto"/>
              <w:jc w:val="left"/>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供应商未提供有效的资格证明文件的，视为供应商不具备招标文件中规定的资格要求，投标无效。</w:t>
            </w:r>
          </w:p>
        </w:tc>
      </w:tr>
      <w:tr w14:paraId="74971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continue"/>
            <w:tcBorders>
              <w:left w:val="single" w:color="auto" w:sz="4" w:space="0"/>
              <w:bottom w:val="single" w:color="auto" w:sz="4" w:space="0"/>
              <w:right w:val="single" w:color="auto" w:sz="4" w:space="0"/>
            </w:tcBorders>
          </w:tcPr>
          <w:p w14:paraId="0E0BAFCD">
            <w:pPr>
              <w:snapToGrid w:val="0"/>
              <w:spacing w:line="360" w:lineRule="auto"/>
              <w:jc w:val="center"/>
              <w:rPr>
                <w:rFonts w:ascii="宋体" w:hAnsi="宋体" w:cs="宋体"/>
                <w:color w:val="auto"/>
                <w:sz w:val="24"/>
                <w:highlight w:val="none"/>
              </w:rPr>
            </w:pPr>
          </w:p>
        </w:tc>
        <w:tc>
          <w:tcPr>
            <w:tcW w:w="1387" w:type="dxa"/>
            <w:vMerge w:val="continue"/>
            <w:tcBorders>
              <w:left w:val="single" w:color="auto" w:sz="4" w:space="0"/>
              <w:bottom w:val="single" w:color="000000" w:sz="8" w:space="0"/>
              <w:right w:val="single" w:color="000000" w:sz="8" w:space="0"/>
            </w:tcBorders>
            <w:vAlign w:val="center"/>
          </w:tcPr>
          <w:p w14:paraId="750B42F2">
            <w:pPr>
              <w:snapToGrid w:val="0"/>
              <w:spacing w:line="360" w:lineRule="auto"/>
              <w:jc w:val="center"/>
              <w:rPr>
                <w:rFonts w:ascii="宋体" w:hAnsi="宋体" w:cs="宋体"/>
                <w:b/>
                <w:color w:val="auto"/>
                <w:sz w:val="24"/>
                <w:highlight w:val="none"/>
              </w:rPr>
            </w:pPr>
          </w:p>
        </w:tc>
        <w:tc>
          <w:tcPr>
            <w:tcW w:w="7005" w:type="dxa"/>
            <w:tcBorders>
              <w:top w:val="single" w:color="auto" w:sz="4" w:space="0"/>
              <w:left w:val="single" w:color="000000" w:sz="2" w:space="0"/>
              <w:bottom w:val="single" w:color="000000" w:sz="8" w:space="0"/>
              <w:right w:val="single" w:color="000000" w:sz="8" w:space="0"/>
            </w:tcBorders>
            <w:vAlign w:val="center"/>
          </w:tcPr>
          <w:p w14:paraId="75B9005E">
            <w:pPr>
              <w:adjustRightInd/>
              <w:spacing w:line="312" w:lineRule="auto"/>
              <w:jc w:val="left"/>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DB13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237D1A2">
            <w:pPr>
              <w:snapToGrid w:val="0"/>
              <w:spacing w:line="360" w:lineRule="auto"/>
              <w:jc w:val="center"/>
              <w:rPr>
                <w:rFonts w:ascii="宋体" w:hAnsi="宋体" w:cs="宋体"/>
                <w:color w:val="auto"/>
                <w:sz w:val="24"/>
                <w:highlight w:val="none"/>
              </w:rPr>
            </w:pPr>
          </w:p>
          <w:p w14:paraId="6EB1FE83">
            <w:pPr>
              <w:snapToGrid w:val="0"/>
              <w:spacing w:line="360" w:lineRule="auto"/>
              <w:jc w:val="center"/>
              <w:rPr>
                <w:rFonts w:ascii="宋体" w:hAnsi="宋体" w:cs="宋体"/>
                <w:color w:val="auto"/>
                <w:sz w:val="24"/>
                <w:highlight w:val="none"/>
              </w:rPr>
            </w:pPr>
          </w:p>
          <w:p w14:paraId="00C861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387" w:type="dxa"/>
            <w:tcBorders>
              <w:top w:val="single" w:color="000000" w:sz="8" w:space="0"/>
              <w:left w:val="single" w:color="000000" w:sz="2" w:space="0"/>
              <w:bottom w:val="single" w:color="000000" w:sz="8" w:space="0"/>
              <w:right w:val="single" w:color="000000" w:sz="8" w:space="0"/>
            </w:tcBorders>
            <w:vAlign w:val="center"/>
          </w:tcPr>
          <w:p w14:paraId="715CEA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7005" w:type="dxa"/>
            <w:tcBorders>
              <w:top w:val="single" w:color="000000" w:sz="8" w:space="0"/>
              <w:left w:val="single" w:color="000000" w:sz="2" w:space="0"/>
              <w:bottom w:val="single" w:color="000000" w:sz="8" w:space="0"/>
              <w:right w:val="single" w:color="000000" w:sz="8" w:space="0"/>
            </w:tcBorders>
            <w:vAlign w:val="center"/>
          </w:tcPr>
          <w:p w14:paraId="7C64C888">
            <w:pPr>
              <w:adjustRightInd/>
              <w:spacing w:line="312" w:lineRule="auto"/>
              <w:jc w:val="left"/>
              <w:rPr>
                <w:rFonts w:hint="default"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A</w:t>
            </w:r>
            <w:r>
              <w:rPr>
                <w:rFonts w:hint="eastAsia" w:ascii="宋体" w:hAnsi="宋体" w:cs="宋体"/>
                <w:b/>
                <w:bCs/>
                <w:color w:val="auto"/>
                <w:kern w:val="0"/>
                <w:sz w:val="24"/>
                <w:highlight w:val="none"/>
                <w:lang w:val="en-US" w:eastAsia="zh-CN"/>
              </w:rPr>
              <w:sym w:font="Wingdings 2" w:char="0052"/>
            </w:r>
            <w:r>
              <w:rPr>
                <w:rFonts w:hint="eastAsia" w:ascii="宋体" w:hAnsi="宋体" w:cs="宋体"/>
                <w:b/>
                <w:bCs/>
                <w:color w:val="auto"/>
                <w:kern w:val="0"/>
                <w:sz w:val="24"/>
                <w:highlight w:val="none"/>
                <w:lang w:val="en-US" w:eastAsia="zh-CN"/>
              </w:rPr>
              <w:t>无。</w:t>
            </w:r>
          </w:p>
          <w:p w14:paraId="3828CC6D">
            <w:pPr>
              <w:adjustRightInd/>
              <w:spacing w:line="312" w:lineRule="auto"/>
              <w:jc w:val="left"/>
              <w:rPr>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07410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61" w:hRule="atLeast"/>
          <w:tblHeader/>
        </w:trPr>
        <w:tc>
          <w:tcPr>
            <w:tcW w:w="629" w:type="dxa"/>
            <w:vMerge w:val="restart"/>
            <w:tcBorders>
              <w:top w:val="single" w:color="auto" w:sz="4" w:space="0"/>
              <w:left w:val="single" w:color="000000" w:sz="8" w:space="0"/>
              <w:right w:val="single" w:color="000000" w:sz="2" w:space="0"/>
            </w:tcBorders>
            <w:vAlign w:val="center"/>
          </w:tcPr>
          <w:p w14:paraId="2A1626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10</w:t>
            </w:r>
          </w:p>
        </w:tc>
        <w:tc>
          <w:tcPr>
            <w:tcW w:w="1387" w:type="dxa"/>
            <w:vMerge w:val="restart"/>
            <w:tcBorders>
              <w:top w:val="single" w:color="000000" w:sz="8" w:space="0"/>
              <w:left w:val="single" w:color="000000" w:sz="2" w:space="0"/>
              <w:right w:val="single" w:color="000000" w:sz="8" w:space="0"/>
            </w:tcBorders>
            <w:vAlign w:val="center"/>
          </w:tcPr>
          <w:p w14:paraId="3E53314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7005" w:type="dxa"/>
            <w:tcBorders>
              <w:top w:val="single" w:color="000000" w:sz="8" w:space="0"/>
              <w:left w:val="single" w:color="000000" w:sz="2" w:space="0"/>
              <w:bottom w:val="single" w:color="000000" w:sz="8" w:space="0"/>
              <w:right w:val="single" w:color="000000" w:sz="8" w:space="0"/>
            </w:tcBorders>
            <w:vAlign w:val="center"/>
          </w:tcPr>
          <w:p w14:paraId="1D69CADB">
            <w:pPr>
              <w:adjustRightInd/>
              <w:spacing w:line="312" w:lineRule="auto"/>
              <w:jc w:val="left"/>
              <w:rPr>
                <w:rFonts w:hint="eastAsia" w:ascii="宋体" w:hAnsi="宋体" w:cs="宋体"/>
                <w:bCs/>
                <w:color w:val="auto"/>
                <w:kern w:val="0"/>
                <w:sz w:val="24"/>
                <w:highlight w:val="none"/>
                <w:lang w:val="zh-CN"/>
              </w:rPr>
            </w:pPr>
            <w:r>
              <w:rPr>
                <w:rFonts w:hint="eastAsia" w:ascii="宋体" w:hAnsi="宋体" w:cs="宋体"/>
                <w:b/>
                <w:snapToGrid w:val="0"/>
                <w:color w:val="auto"/>
                <w:kern w:val="0"/>
                <w:sz w:val="24"/>
                <w:highlight w:val="none"/>
                <w:lang w:val="en-US" w:eastAsia="zh-CN"/>
              </w:rPr>
              <w:t>投标总价</w:t>
            </w:r>
            <w:r>
              <w:rPr>
                <w:rFonts w:hint="eastAsia" w:ascii="宋体" w:hAnsi="宋体" w:cs="宋体"/>
                <w:b/>
                <w:snapToGrid w:val="0"/>
                <w:color w:val="auto"/>
                <w:kern w:val="0"/>
                <w:sz w:val="24"/>
                <w:highlight w:val="none"/>
              </w:rPr>
              <w:t>最高限价：</w:t>
            </w:r>
            <w:r>
              <w:rPr>
                <w:rFonts w:hint="eastAsia" w:ascii="宋体" w:hAnsi="宋体" w:cs="宋体"/>
                <w:b/>
                <w:snapToGrid w:val="0"/>
                <w:color w:val="auto"/>
                <w:kern w:val="0"/>
                <w:sz w:val="24"/>
                <w:highlight w:val="none"/>
                <w:lang w:eastAsia="zh-CN"/>
              </w:rPr>
              <w:t>5300000.00</w:t>
            </w:r>
            <w:r>
              <w:rPr>
                <w:rFonts w:hint="eastAsia" w:ascii="宋体" w:hAnsi="宋体" w:cs="宋体"/>
                <w:b/>
                <w:snapToGrid w:val="0"/>
                <w:color w:val="auto"/>
                <w:kern w:val="0"/>
                <w:sz w:val="24"/>
                <w:highlight w:val="none"/>
              </w:rPr>
              <w:t>元</w:t>
            </w:r>
            <w:r>
              <w:rPr>
                <w:rFonts w:hint="eastAsia" w:ascii="宋体" w:hAnsi="宋体" w:cs="宋体"/>
                <w:b/>
                <w:snapToGrid w:val="0"/>
                <w:color w:val="auto"/>
                <w:kern w:val="0"/>
                <w:sz w:val="24"/>
                <w:highlight w:val="none"/>
                <w:lang w:eastAsia="zh-CN"/>
              </w:rPr>
              <w:t>；</w:t>
            </w:r>
            <w:r>
              <w:rPr>
                <w:rFonts w:hint="eastAsia" w:ascii="宋体" w:hAnsi="宋体" w:cs="宋体"/>
                <w:b/>
                <w:snapToGrid w:val="0"/>
                <w:color w:val="auto"/>
                <w:kern w:val="0"/>
                <w:sz w:val="24"/>
                <w:highlight w:val="none"/>
                <w:lang w:val="en-US" w:eastAsia="zh-CN"/>
              </w:rPr>
              <w:t>本项目采用投标总价报价，特保人员实际用工数量如有增减，根据人员综合单价按实结算。</w:t>
            </w:r>
            <w:r>
              <w:rPr>
                <w:rFonts w:hint="eastAsia" w:ascii="宋体" w:hAnsi="宋体" w:cs="宋体"/>
                <w:bCs/>
                <w:snapToGrid w:val="0"/>
                <w:color w:val="auto"/>
                <w:kern w:val="0"/>
                <w:sz w:val="24"/>
                <w:highlight w:val="none"/>
              </w:rPr>
              <w:t>报价超出此范围的做无效报价处理。</w:t>
            </w:r>
            <w:r>
              <w:rPr>
                <w:rFonts w:hint="eastAsia" w:ascii="宋体" w:hAnsi="宋体" w:cs="宋体"/>
                <w:bCs/>
                <w:color w:val="auto"/>
                <w:kern w:val="0"/>
                <w:sz w:val="24"/>
                <w:highlight w:val="none"/>
                <w:lang w:val="zh-CN"/>
              </w:rPr>
              <w:t>有关本项目实施所需的所有费用（含税费）均计入报价。投标文件</w:t>
            </w:r>
            <w:r>
              <w:rPr>
                <w:rFonts w:hint="eastAsia" w:ascii="宋体" w:hAnsi="宋体" w:cs="宋体"/>
                <w:bCs/>
                <w:color w:val="auto"/>
                <w:sz w:val="24"/>
                <w:highlight w:val="none"/>
              </w:rPr>
              <w:t>开标一览表（报价表）是报价的唯一载体，如供应商在政府采购云平台填写的投标报价与投标文件报价文件中开标一览表（报价表）不一致的，以报价文件中开标一览表（报价表）为准。</w:t>
            </w:r>
            <w:r>
              <w:rPr>
                <w:rFonts w:hint="eastAsia" w:ascii="宋体" w:hAnsi="宋体" w:cs="宋体"/>
                <w:bCs/>
                <w:color w:val="auto"/>
                <w:kern w:val="0"/>
                <w:sz w:val="24"/>
                <w:highlight w:val="none"/>
                <w:lang w:val="zh-CN"/>
              </w:rPr>
              <w:t>投标文件中价格全部采用人民币报价。采购文件未列明，而供应商认为必需的费用也需列入报价。提醒：验收时检测费用由采购人承担，不包含在投标总价中。</w:t>
            </w:r>
          </w:p>
          <w:p w14:paraId="57B72A0B">
            <w:pPr>
              <w:adjustRightInd/>
              <w:spacing w:line="312"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投标报价出现下列情形的，投标无效：</w:t>
            </w:r>
          </w:p>
          <w:p w14:paraId="06F15D4B">
            <w:pPr>
              <w:adjustRightInd/>
              <w:spacing w:line="312" w:lineRule="auto"/>
              <w:ind w:firstLine="240" w:firstLineChars="1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w:t>
            </w:r>
            <w:r>
              <w:rPr>
                <w:rFonts w:hint="eastAsia" w:ascii="宋体" w:hAnsi="宋体" w:cs="宋体"/>
                <w:bCs/>
                <w:color w:val="auto"/>
                <w:kern w:val="0"/>
                <w:sz w:val="24"/>
                <w:highlight w:val="none"/>
              </w:rPr>
              <w:t>1</w:t>
            </w:r>
            <w:r>
              <w:rPr>
                <w:rFonts w:hint="eastAsia" w:ascii="宋体" w:hAnsi="宋体" w:cs="宋体"/>
                <w:bCs/>
                <w:color w:val="auto"/>
                <w:kern w:val="0"/>
                <w:sz w:val="24"/>
                <w:highlight w:val="none"/>
                <w:lang w:val="zh-CN"/>
              </w:rPr>
              <w:t>）投标文件出现不是唯一的、有选择性投标报价的；</w:t>
            </w:r>
          </w:p>
          <w:p w14:paraId="31DB4FD4">
            <w:pPr>
              <w:adjustRightInd/>
              <w:spacing w:line="312" w:lineRule="auto"/>
              <w:ind w:firstLine="240" w:firstLineChars="1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w:t>
            </w:r>
            <w:r>
              <w:rPr>
                <w:rFonts w:hint="eastAsia" w:ascii="宋体" w:hAnsi="宋体" w:cs="宋体"/>
                <w:bCs/>
                <w:color w:val="auto"/>
                <w:kern w:val="0"/>
                <w:sz w:val="24"/>
                <w:highlight w:val="none"/>
              </w:rPr>
              <w:t>2</w:t>
            </w:r>
            <w:r>
              <w:rPr>
                <w:rFonts w:hint="eastAsia" w:ascii="宋体" w:hAnsi="宋体" w:cs="宋体"/>
                <w:bCs/>
                <w:color w:val="auto"/>
                <w:kern w:val="0"/>
                <w:sz w:val="24"/>
                <w:highlight w:val="none"/>
                <w:lang w:val="zh-CN"/>
              </w:rPr>
              <w:t>）投标报价超过采购文件中规定的预算金额或者最高限价的；</w:t>
            </w:r>
          </w:p>
          <w:p w14:paraId="68B74DEE">
            <w:pPr>
              <w:adjustRightInd/>
              <w:spacing w:line="312" w:lineRule="auto"/>
              <w:ind w:firstLine="240" w:firstLineChars="1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（3）报价明显低于其他通过符合性审查供应商的报价，有可能影响产品质量或者不能诚信履约的，未能按要求提供书面说明或者提交相关证明材料证明其报价合理性的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Cs/>
                <w:color w:val="auto"/>
                <w:sz w:val="24"/>
                <w:szCs w:val="21"/>
                <w:highlight w:val="none"/>
                <w:lang w:eastAsia="zh-CN"/>
              </w:rPr>
              <w:t>；</w:t>
            </w:r>
          </w:p>
          <w:p w14:paraId="51C0D11C">
            <w:pPr>
              <w:pStyle w:val="23"/>
              <w:numPr>
                <w:ilvl w:val="0"/>
                <w:numId w:val="2"/>
              </w:numPr>
              <w:rPr>
                <w:rFonts w:hint="eastAsia" w:ascii="宋体" w:hAnsi="宋体" w:cs="宋体"/>
                <w:bCs/>
                <w:color w:val="auto"/>
                <w:sz w:val="24"/>
                <w:highlight w:val="none"/>
              </w:rPr>
            </w:pPr>
            <w:r>
              <w:rPr>
                <w:rFonts w:hint="eastAsia" w:ascii="宋体" w:hAnsi="宋体" w:cs="宋体"/>
                <w:bCs/>
                <w:color w:val="auto"/>
                <w:kern w:val="0"/>
                <w:sz w:val="24"/>
                <w:highlight w:val="none"/>
              </w:rPr>
              <w:t>供应商对根据修正原则修正后的报价不确认的</w:t>
            </w:r>
            <w:r>
              <w:rPr>
                <w:rFonts w:hint="eastAsia" w:ascii="宋体" w:hAnsi="宋体" w:cs="宋体"/>
                <w:bCs/>
                <w:color w:val="auto"/>
                <w:sz w:val="24"/>
                <w:highlight w:val="none"/>
              </w:rPr>
              <w:t>。</w:t>
            </w:r>
          </w:p>
          <w:p w14:paraId="7CC24011">
            <w:pPr>
              <w:pStyle w:val="23"/>
              <w:numPr>
                <w:ilvl w:val="0"/>
                <w:numId w:val="2"/>
              </w:numPr>
              <w:rPr>
                <w:color w:val="auto"/>
                <w:highlight w:val="none"/>
              </w:rPr>
            </w:pPr>
            <w:r>
              <w:rPr>
                <w:rFonts w:hint="eastAsia" w:ascii="宋体" w:hAnsi="宋体" w:cs="宋体"/>
                <w:b/>
                <w:color w:val="auto"/>
                <w:sz w:val="24"/>
                <w:highlight w:val="none"/>
                <w:lang w:eastAsia="zh-CN"/>
              </w:rPr>
              <w:t>特别说明：▲供应商报价低于项目预算50%的，应当在报价文件中详细阐述不影响产品质量或者诚信履约的具体原因，未做阐述说明的，投标无效。</w:t>
            </w:r>
          </w:p>
        </w:tc>
      </w:tr>
      <w:tr w14:paraId="44C66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23" w:hRule="atLeast"/>
          <w:tblHeader/>
        </w:trPr>
        <w:tc>
          <w:tcPr>
            <w:tcW w:w="629" w:type="dxa"/>
            <w:vMerge w:val="restart"/>
            <w:tcBorders>
              <w:top w:val="single" w:color="auto" w:sz="4" w:space="0"/>
              <w:left w:val="single" w:color="000000" w:sz="8" w:space="0"/>
              <w:right w:val="single" w:color="000000" w:sz="2" w:space="0"/>
            </w:tcBorders>
            <w:vAlign w:val="center"/>
          </w:tcPr>
          <w:p w14:paraId="147AE2C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387" w:type="dxa"/>
            <w:vMerge w:val="restart"/>
            <w:tcBorders>
              <w:top w:val="single" w:color="000000" w:sz="8" w:space="0"/>
              <w:left w:val="single" w:color="000000" w:sz="2" w:space="0"/>
              <w:right w:val="single" w:color="000000" w:sz="8" w:space="0"/>
            </w:tcBorders>
            <w:vAlign w:val="center"/>
          </w:tcPr>
          <w:p w14:paraId="5487149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7005" w:type="dxa"/>
            <w:tcBorders>
              <w:top w:val="single" w:color="000000" w:sz="8" w:space="0"/>
              <w:left w:val="single" w:color="000000" w:sz="2" w:space="0"/>
              <w:right w:val="single" w:color="000000" w:sz="8" w:space="0"/>
            </w:tcBorders>
            <w:vAlign w:val="center"/>
          </w:tcPr>
          <w:p w14:paraId="64B68F49">
            <w:pPr>
              <w:spacing w:line="360" w:lineRule="auto"/>
              <w:ind w:firstLine="480" w:firstLineChars="200"/>
              <w:jc w:val="lef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s://www.qiantang.gov.cn/inde</w:t>
            </w:r>
          </w:p>
          <w:p w14:paraId="11744170">
            <w:pPr>
              <w:spacing w:line="360" w:lineRule="auto"/>
              <w:jc w:val="lef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x.html） “公告公示”专栏，查看信用融资政策文件及各相关银行服务方案。</w:t>
            </w:r>
          </w:p>
        </w:tc>
      </w:tr>
      <w:tr w14:paraId="4AD0DE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23" w:hRule="atLeast"/>
          <w:tblHeader/>
        </w:trPr>
        <w:tc>
          <w:tcPr>
            <w:tcW w:w="629" w:type="dxa"/>
            <w:vMerge w:val="continue"/>
            <w:tcBorders>
              <w:left w:val="single" w:color="000000" w:sz="8" w:space="0"/>
              <w:right w:val="single" w:color="000000" w:sz="2" w:space="0"/>
            </w:tcBorders>
            <w:vAlign w:val="center"/>
          </w:tcPr>
          <w:p w14:paraId="622C5702">
            <w:pPr>
              <w:snapToGrid w:val="0"/>
              <w:spacing w:line="360" w:lineRule="auto"/>
              <w:jc w:val="center"/>
              <w:rPr>
                <w:rFonts w:hint="eastAsia" w:ascii="宋体" w:hAnsi="宋体" w:cs="宋体"/>
                <w:color w:val="auto"/>
                <w:sz w:val="24"/>
                <w:highlight w:val="none"/>
              </w:rPr>
            </w:pPr>
          </w:p>
        </w:tc>
        <w:tc>
          <w:tcPr>
            <w:tcW w:w="1387" w:type="dxa"/>
            <w:vMerge w:val="continue"/>
            <w:tcBorders>
              <w:left w:val="single" w:color="000000" w:sz="2" w:space="0"/>
              <w:right w:val="single" w:color="000000" w:sz="8" w:space="0"/>
            </w:tcBorders>
            <w:vAlign w:val="center"/>
          </w:tcPr>
          <w:p w14:paraId="59E63C50">
            <w:pPr>
              <w:snapToGrid w:val="0"/>
              <w:spacing w:line="360" w:lineRule="auto"/>
              <w:jc w:val="center"/>
              <w:rPr>
                <w:rFonts w:hint="eastAsia" w:ascii="宋体" w:hAnsi="宋体" w:cs="宋体"/>
                <w:b/>
                <w:color w:val="auto"/>
                <w:sz w:val="24"/>
                <w:highlight w:val="none"/>
              </w:rPr>
            </w:pPr>
          </w:p>
        </w:tc>
        <w:tc>
          <w:tcPr>
            <w:tcW w:w="7005" w:type="dxa"/>
            <w:tcBorders>
              <w:top w:val="single" w:color="000000" w:sz="8" w:space="0"/>
              <w:left w:val="single" w:color="000000" w:sz="2" w:space="0"/>
              <w:right w:val="single" w:color="000000" w:sz="8" w:space="0"/>
            </w:tcBorders>
            <w:vAlign w:val="center"/>
          </w:tcPr>
          <w:p w14:paraId="5842EB26">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5DEF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2FF0CC5">
            <w:pPr>
              <w:snapToGrid w:val="0"/>
              <w:spacing w:line="360" w:lineRule="auto"/>
              <w:jc w:val="center"/>
              <w:rPr>
                <w:rFonts w:ascii="宋体" w:hAnsi="宋体" w:cs="宋体"/>
                <w:color w:val="auto"/>
                <w:sz w:val="24"/>
                <w:highlight w:val="none"/>
              </w:rPr>
            </w:pPr>
          </w:p>
          <w:p w14:paraId="027DF37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387" w:type="dxa"/>
            <w:tcBorders>
              <w:top w:val="single" w:color="000000" w:sz="8" w:space="0"/>
              <w:left w:val="single" w:color="000000" w:sz="2" w:space="0"/>
              <w:bottom w:val="single" w:color="000000" w:sz="8" w:space="0"/>
              <w:right w:val="single" w:color="000000" w:sz="8" w:space="0"/>
            </w:tcBorders>
            <w:vAlign w:val="center"/>
          </w:tcPr>
          <w:p w14:paraId="1AFC81F1">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7005" w:type="dxa"/>
            <w:tcBorders>
              <w:top w:val="single" w:color="000000" w:sz="8" w:space="0"/>
              <w:left w:val="single" w:color="000000" w:sz="2" w:space="0"/>
              <w:bottom w:val="single" w:color="000000" w:sz="8" w:space="0"/>
              <w:right w:val="single" w:color="000000" w:sz="8" w:space="0"/>
            </w:tcBorders>
            <w:vAlign w:val="center"/>
          </w:tcPr>
          <w:p w14:paraId="3571EE19">
            <w:pPr>
              <w:snapToGrid w:val="0"/>
              <w:spacing w:line="320" w:lineRule="exact"/>
              <w:rPr>
                <w:rFonts w:hint="eastAsia" w:ascii="宋体" w:hAnsi="宋体" w:eastAsia="宋体" w:cs="宋体"/>
                <w:b/>
                <w:bCs/>
                <w:color w:val="auto"/>
                <w:sz w:val="24"/>
                <w:highlight w:val="none"/>
                <w:lang w:val="en-US" w:eastAsia="zh-CN"/>
              </w:rPr>
            </w:pPr>
            <w:r>
              <w:rPr>
                <w:rFonts w:hint="eastAsia" w:hAnsi="宋体" w:cs="宋体"/>
                <w:color w:val="auto"/>
                <w:kern w:val="28"/>
                <w:sz w:val="24"/>
                <w:szCs w:val="24"/>
                <w:highlight w:val="none"/>
                <w:lang w:val="en-US" w:eastAsia="zh-CN"/>
              </w:rPr>
              <w:t>本项目</w:t>
            </w:r>
            <w:r>
              <w:rPr>
                <w:rFonts w:hint="eastAsia" w:hAnsi="宋体" w:cs="宋体"/>
                <w:color w:val="auto"/>
                <w:kern w:val="28"/>
                <w:sz w:val="24"/>
                <w:szCs w:val="24"/>
                <w:highlight w:val="none"/>
              </w:rPr>
              <w:t>备份文件不收取</w:t>
            </w:r>
            <w:r>
              <w:rPr>
                <w:rFonts w:hint="eastAsia" w:hAnsi="宋体" w:cs="宋体"/>
                <w:color w:val="auto"/>
                <w:kern w:val="28"/>
                <w:sz w:val="24"/>
                <w:szCs w:val="24"/>
                <w:highlight w:val="none"/>
                <w:lang w:eastAsia="zh-CN"/>
              </w:rPr>
              <w:t>。</w:t>
            </w:r>
          </w:p>
        </w:tc>
      </w:tr>
      <w:tr w14:paraId="79EAD9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000000" w:sz="8" w:space="0"/>
              <w:right w:val="single" w:color="000000" w:sz="2" w:space="0"/>
            </w:tcBorders>
            <w:vAlign w:val="center"/>
          </w:tcPr>
          <w:p w14:paraId="17B0A953">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387" w:type="dxa"/>
            <w:tcBorders>
              <w:top w:val="single" w:color="000000" w:sz="8" w:space="0"/>
              <w:left w:val="single" w:color="000000" w:sz="2" w:space="0"/>
              <w:bottom w:val="single" w:color="000000" w:sz="8" w:space="0"/>
              <w:right w:val="single" w:color="000000" w:sz="8" w:space="0"/>
            </w:tcBorders>
            <w:vAlign w:val="center"/>
          </w:tcPr>
          <w:p w14:paraId="3EFD08B0">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代理费</w:t>
            </w:r>
          </w:p>
        </w:tc>
        <w:tc>
          <w:tcPr>
            <w:tcW w:w="7005" w:type="dxa"/>
            <w:tcBorders>
              <w:top w:val="single" w:color="000000" w:sz="8" w:space="0"/>
              <w:left w:val="single" w:color="000000" w:sz="2" w:space="0"/>
              <w:bottom w:val="single" w:color="000000" w:sz="8" w:space="0"/>
              <w:right w:val="single" w:color="000000" w:sz="8" w:space="0"/>
            </w:tcBorders>
            <w:vAlign w:val="center"/>
          </w:tcPr>
          <w:p w14:paraId="07AFA05E">
            <w:pPr>
              <w:widowControl/>
              <w:adjustRightInd/>
              <w:spacing w:line="24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本项目由采购代理机构负责采购代理工作，采购活动结束后中标单位在领取中标通知书需向采购代理机构支付代理服务费，费用按发改价格（2011）534号中规定的招标代理服务费标准的</w:t>
            </w:r>
            <w:r>
              <w:rPr>
                <w:rFonts w:hint="eastAsia" w:ascii="宋体" w:hAnsi="宋体" w:cs="宋体"/>
                <w:color w:val="auto"/>
                <w:sz w:val="24"/>
                <w:highlight w:val="none"/>
                <w:lang w:val="en-US" w:eastAsia="zh-CN"/>
              </w:rPr>
              <w:t>64</w:t>
            </w:r>
            <w:r>
              <w:rPr>
                <w:rFonts w:hint="eastAsia" w:ascii="宋体" w:hAnsi="宋体" w:cs="宋体"/>
                <w:color w:val="auto"/>
                <w:sz w:val="24"/>
                <w:highlight w:val="none"/>
              </w:rPr>
              <w:t>%计取，采购代理收费按照差额定率累计法记取。具体标准为:中标金额为100万元及以下：中标金额×1.5%；</w:t>
            </w:r>
          </w:p>
          <w:p w14:paraId="7F0C971E">
            <w:pPr>
              <w:widowControl/>
              <w:adjustRightInd/>
              <w:spacing w:line="240" w:lineRule="auto"/>
              <w:ind w:firstLine="480" w:firstLineChars="200"/>
              <w:jc w:val="left"/>
              <w:rPr>
                <w:rFonts w:hint="eastAsia"/>
                <w:color w:val="auto"/>
                <w:highlight w:val="none"/>
              </w:rPr>
            </w:pPr>
            <w:r>
              <w:rPr>
                <w:rFonts w:hint="eastAsia" w:ascii="宋体" w:hAnsi="宋体" w:cs="宋体"/>
                <w:color w:val="auto"/>
                <w:sz w:val="24"/>
                <w:highlight w:val="none"/>
              </w:rPr>
              <w:t>中标金额为100～500万元：【100万×1.5%+(中标金额-100万)×0.8%】*</w:t>
            </w:r>
            <w:r>
              <w:rPr>
                <w:rFonts w:hint="eastAsia" w:ascii="宋体" w:hAnsi="宋体" w:cs="宋体"/>
                <w:color w:val="auto"/>
                <w:sz w:val="24"/>
                <w:highlight w:val="none"/>
                <w:lang w:val="en-US" w:eastAsia="zh-CN"/>
              </w:rPr>
              <w:t>64</w:t>
            </w:r>
            <w:r>
              <w:rPr>
                <w:rFonts w:hint="eastAsia" w:ascii="宋体" w:hAnsi="宋体" w:cs="宋体"/>
                <w:color w:val="auto"/>
                <w:sz w:val="24"/>
                <w:highlight w:val="none"/>
              </w:rPr>
              <w:t>%。结算方式及时间为：在领取中标通知书时由中标供应商一次性向采购代理机构付清。该费用考虑在投标总报价中，不必单列。</w:t>
            </w:r>
          </w:p>
        </w:tc>
      </w:tr>
      <w:tr w14:paraId="0F932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8" w:hRule="atLeast"/>
          <w:tblHeader/>
        </w:trPr>
        <w:tc>
          <w:tcPr>
            <w:tcW w:w="629" w:type="dxa"/>
            <w:tcBorders>
              <w:top w:val="single" w:color="000000" w:sz="8" w:space="0"/>
              <w:left w:val="single" w:color="000000" w:sz="8" w:space="0"/>
              <w:bottom w:val="single" w:color="000000" w:sz="8" w:space="0"/>
              <w:right w:val="single" w:color="000000" w:sz="8" w:space="0"/>
            </w:tcBorders>
            <w:vAlign w:val="center"/>
          </w:tcPr>
          <w:p w14:paraId="12C03924">
            <w:pPr>
              <w:snapToGrid w:val="0"/>
              <w:spacing w:line="360" w:lineRule="auto"/>
              <w:jc w:val="center"/>
              <w:rPr>
                <w:rFonts w:ascii="宋体" w:hAnsi="宋体" w:cs="宋体"/>
                <w:color w:val="auto"/>
                <w:sz w:val="24"/>
                <w:highlight w:val="none"/>
              </w:rPr>
            </w:pPr>
          </w:p>
          <w:p w14:paraId="7EFB81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387" w:type="dxa"/>
            <w:tcBorders>
              <w:top w:val="single" w:color="000000" w:sz="8" w:space="0"/>
              <w:left w:val="single" w:color="000000" w:sz="8" w:space="0"/>
              <w:bottom w:val="single" w:color="000000" w:sz="8" w:space="0"/>
              <w:right w:val="single" w:color="000000" w:sz="8" w:space="0"/>
            </w:tcBorders>
            <w:vAlign w:val="center"/>
          </w:tcPr>
          <w:p w14:paraId="34347F7F">
            <w:pPr>
              <w:snapToGrid w:val="0"/>
              <w:spacing w:line="360" w:lineRule="auto"/>
              <w:ind w:firstLine="241" w:firstLineChars="100"/>
              <w:jc w:val="both"/>
              <w:rPr>
                <w:rFonts w:ascii="宋体" w:hAnsi="宋体" w:cs="宋体"/>
                <w:b/>
                <w:color w:val="auto"/>
                <w:sz w:val="24"/>
                <w:highlight w:val="none"/>
              </w:rPr>
            </w:pPr>
            <w:r>
              <w:rPr>
                <w:rFonts w:hint="eastAsia" w:ascii="宋体" w:hAnsi="宋体" w:cs="宋体"/>
                <w:b/>
                <w:color w:val="auto"/>
                <w:sz w:val="24"/>
                <w:highlight w:val="none"/>
              </w:rPr>
              <w:t>代理费</w:t>
            </w:r>
          </w:p>
        </w:tc>
        <w:tc>
          <w:tcPr>
            <w:tcW w:w="7005" w:type="dxa"/>
            <w:tcBorders>
              <w:top w:val="single" w:color="000000" w:sz="8" w:space="0"/>
              <w:left w:val="single" w:color="000000" w:sz="8" w:space="0"/>
              <w:bottom w:val="single" w:color="000000" w:sz="8" w:space="0"/>
              <w:right w:val="single" w:color="000000" w:sz="8" w:space="0"/>
            </w:tcBorders>
            <w:vAlign w:val="center"/>
          </w:tcPr>
          <w:p w14:paraId="6047170A">
            <w:pPr>
              <w:widowControl/>
              <w:adjustRightInd/>
              <w:spacing w:line="312" w:lineRule="auto"/>
              <w:ind w:firstLine="480" w:firstLineChars="200"/>
              <w:rPr>
                <w:rFonts w:hAnsi="宋体" w:cs="宋体"/>
                <w:color w:val="auto"/>
                <w:kern w:val="28"/>
                <w:sz w:val="24"/>
                <w:highlight w:val="none"/>
              </w:rPr>
            </w:pPr>
            <w:r>
              <w:rPr>
                <w:rFonts w:hint="eastAsia" w:ascii="宋体" w:hAnsi="宋体" w:cs="宋体"/>
                <w:color w:val="auto"/>
                <w:sz w:val="24"/>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tc>
      </w:tr>
      <w:tr w14:paraId="3D089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8" w:hRule="atLeast"/>
          <w:tblHeader/>
        </w:trPr>
        <w:tc>
          <w:tcPr>
            <w:tcW w:w="629" w:type="dxa"/>
            <w:tcBorders>
              <w:top w:val="single" w:color="000000" w:sz="8" w:space="0"/>
              <w:left w:val="single" w:color="000000" w:sz="8" w:space="0"/>
              <w:bottom w:val="single" w:color="000000" w:sz="8" w:space="0"/>
              <w:right w:val="single" w:color="000000" w:sz="8" w:space="0"/>
            </w:tcBorders>
            <w:vAlign w:val="center"/>
          </w:tcPr>
          <w:p w14:paraId="0FAB90C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387" w:type="dxa"/>
            <w:tcBorders>
              <w:top w:val="single" w:color="000000" w:sz="8" w:space="0"/>
              <w:left w:val="single" w:color="000000" w:sz="8" w:space="0"/>
              <w:bottom w:val="single" w:color="000000" w:sz="8" w:space="0"/>
              <w:right w:val="single" w:color="000000" w:sz="8" w:space="0"/>
            </w:tcBorders>
            <w:vAlign w:val="center"/>
          </w:tcPr>
          <w:p w14:paraId="0BE75F5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履约保证金</w:t>
            </w:r>
          </w:p>
        </w:tc>
        <w:tc>
          <w:tcPr>
            <w:tcW w:w="7005" w:type="dxa"/>
            <w:tcBorders>
              <w:top w:val="single" w:color="000000" w:sz="8" w:space="0"/>
              <w:left w:val="single" w:color="000000" w:sz="8" w:space="0"/>
              <w:bottom w:val="single" w:color="000000" w:sz="8" w:space="0"/>
              <w:right w:val="single" w:color="000000" w:sz="8" w:space="0"/>
            </w:tcBorders>
            <w:vAlign w:val="center"/>
          </w:tcPr>
          <w:p w14:paraId="129DECF0">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合同价的1%。</w:t>
            </w:r>
          </w:p>
        </w:tc>
      </w:tr>
      <w:tr w14:paraId="5DE62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3" w:hRule="atLeast"/>
          <w:tblHeader/>
        </w:trPr>
        <w:tc>
          <w:tcPr>
            <w:tcW w:w="629" w:type="dxa"/>
            <w:tcBorders>
              <w:top w:val="single" w:color="000000" w:sz="8" w:space="0"/>
              <w:left w:val="single" w:color="000000" w:sz="8" w:space="0"/>
              <w:bottom w:val="single" w:color="000000" w:sz="8" w:space="0"/>
              <w:right w:val="single" w:color="000000" w:sz="8" w:space="0"/>
            </w:tcBorders>
            <w:vAlign w:val="center"/>
          </w:tcPr>
          <w:p w14:paraId="4BE5A0A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1387" w:type="dxa"/>
            <w:tcBorders>
              <w:top w:val="single" w:color="000000" w:sz="8" w:space="0"/>
              <w:left w:val="single" w:color="000000" w:sz="8" w:space="0"/>
              <w:bottom w:val="single" w:color="000000" w:sz="8" w:space="0"/>
              <w:right w:val="single" w:color="000000" w:sz="8" w:space="0"/>
            </w:tcBorders>
            <w:vAlign w:val="center"/>
          </w:tcPr>
          <w:p w14:paraId="65E7C67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中标候选人</w:t>
            </w:r>
          </w:p>
        </w:tc>
        <w:tc>
          <w:tcPr>
            <w:tcW w:w="7005" w:type="dxa"/>
            <w:tcBorders>
              <w:top w:val="single" w:color="000000" w:sz="8" w:space="0"/>
              <w:left w:val="single" w:color="000000" w:sz="8" w:space="0"/>
              <w:bottom w:val="single" w:color="000000" w:sz="8" w:space="0"/>
              <w:right w:val="single" w:color="000000" w:sz="8" w:space="0"/>
            </w:tcBorders>
            <w:vAlign w:val="center"/>
          </w:tcPr>
          <w:p w14:paraId="06A092C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推荐1家。</w:t>
            </w:r>
          </w:p>
        </w:tc>
      </w:tr>
      <w:tr w14:paraId="4F742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8" w:hRule="atLeast"/>
          <w:tblHeader/>
        </w:trPr>
        <w:tc>
          <w:tcPr>
            <w:tcW w:w="629" w:type="dxa"/>
            <w:tcBorders>
              <w:top w:val="single" w:color="000000" w:sz="8" w:space="0"/>
              <w:left w:val="single" w:color="000000" w:sz="8" w:space="0"/>
              <w:bottom w:val="single" w:color="000000" w:sz="8" w:space="0"/>
              <w:right w:val="single" w:color="000000" w:sz="8" w:space="0"/>
            </w:tcBorders>
            <w:vAlign w:val="center"/>
          </w:tcPr>
          <w:p w14:paraId="336F8F2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16</w:t>
            </w:r>
          </w:p>
        </w:tc>
        <w:tc>
          <w:tcPr>
            <w:tcW w:w="1387" w:type="dxa"/>
            <w:tcBorders>
              <w:top w:val="single" w:color="000000" w:sz="8" w:space="0"/>
              <w:left w:val="single" w:color="000000" w:sz="8" w:space="0"/>
              <w:bottom w:val="single" w:color="000000" w:sz="8" w:space="0"/>
              <w:right w:val="single" w:color="000000" w:sz="8" w:space="0"/>
            </w:tcBorders>
            <w:vAlign w:val="center"/>
          </w:tcPr>
          <w:p w14:paraId="771C8420">
            <w:pPr>
              <w:pStyle w:val="26"/>
              <w:tabs>
                <w:tab w:val="left" w:pos="-5"/>
              </w:tabs>
              <w:spacing w:line="240" w:lineRule="auto"/>
              <w:ind w:firstLine="0" w:firstLineChars="0"/>
              <w:jc w:val="center"/>
              <w:rPr>
                <w:rFonts w:cs="宋体"/>
                <w:b/>
                <w:color w:val="auto"/>
                <w:highlight w:val="none"/>
              </w:rPr>
            </w:pPr>
            <w:r>
              <w:rPr>
                <w:rFonts w:hint="eastAsia" w:cs="宋体"/>
                <w:b/>
                <w:color w:val="auto"/>
                <w:highlight w:val="none"/>
              </w:rPr>
              <w:t>资格审查和信用信息审查</w:t>
            </w:r>
          </w:p>
        </w:tc>
        <w:tc>
          <w:tcPr>
            <w:tcW w:w="7005" w:type="dxa"/>
            <w:tcBorders>
              <w:top w:val="single" w:color="000000" w:sz="8" w:space="0"/>
              <w:left w:val="single" w:color="000000" w:sz="8" w:space="0"/>
              <w:bottom w:val="single" w:color="000000" w:sz="8" w:space="0"/>
              <w:right w:val="single" w:color="000000" w:sz="8" w:space="0"/>
            </w:tcBorders>
            <w:vAlign w:val="center"/>
          </w:tcPr>
          <w:p w14:paraId="4C0BF2E1">
            <w:pPr>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本项目由采购人进行资格文件及信用信息查询。</w:t>
            </w:r>
          </w:p>
        </w:tc>
      </w:tr>
      <w:tr w14:paraId="1C763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000000" w:sz="8" w:space="0"/>
              <w:left w:val="single" w:color="000000" w:sz="8" w:space="0"/>
              <w:right w:val="single" w:color="000000" w:sz="8" w:space="0"/>
            </w:tcBorders>
            <w:vAlign w:val="center"/>
          </w:tcPr>
          <w:p w14:paraId="1E409A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17</w:t>
            </w:r>
          </w:p>
        </w:tc>
        <w:tc>
          <w:tcPr>
            <w:tcW w:w="1387" w:type="dxa"/>
            <w:vMerge w:val="restart"/>
            <w:tcBorders>
              <w:top w:val="single" w:color="000000" w:sz="8" w:space="0"/>
              <w:left w:val="single" w:color="000000" w:sz="8" w:space="0"/>
              <w:right w:val="single" w:color="000000" w:sz="8" w:space="0"/>
            </w:tcBorders>
            <w:vAlign w:val="center"/>
          </w:tcPr>
          <w:p w14:paraId="71E91167">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7005" w:type="dxa"/>
            <w:tcBorders>
              <w:top w:val="single" w:color="000000" w:sz="8" w:space="0"/>
              <w:left w:val="single" w:color="000000" w:sz="8" w:space="0"/>
              <w:bottom w:val="single" w:color="000000" w:sz="8" w:space="0"/>
              <w:right w:val="single" w:color="000000" w:sz="8" w:space="0"/>
            </w:tcBorders>
            <w:vAlign w:val="center"/>
          </w:tcPr>
          <w:p w14:paraId="47D1D3C9">
            <w:pPr>
              <w:pStyle w:val="34"/>
              <w:snapToGrid w:val="0"/>
              <w:spacing w:line="400" w:lineRule="exact"/>
              <w:rPr>
                <w:rFonts w:hAnsi="宋体" w:cs="宋体"/>
                <w:color w:val="auto"/>
                <w:kern w:val="28"/>
                <w:sz w:val="24"/>
                <w:szCs w:val="24"/>
                <w:highlight w:val="none"/>
              </w:rPr>
            </w:pPr>
            <w:r>
              <w:rPr>
                <w:rFonts w:hint="eastAsia" w:hAnsi="宋体" w:cs="宋体"/>
                <w:color w:val="auto"/>
                <w:kern w:val="28"/>
                <w:sz w:val="24"/>
                <w:szCs w:val="24"/>
                <w:highlight w:val="none"/>
              </w:rPr>
              <w:t>业绩证明材料</w:t>
            </w:r>
          </w:p>
          <w:p w14:paraId="2F11C657">
            <w:pPr>
              <w:pStyle w:val="34"/>
              <w:snapToGrid w:val="0"/>
              <w:spacing w:line="400" w:lineRule="exact"/>
              <w:rPr>
                <w:rFonts w:ascii="仿宋" w:hAnsi="仿宋" w:eastAsia="仿宋" w:cs="仿宋"/>
                <w:color w:val="auto"/>
                <w:kern w:val="28"/>
                <w:sz w:val="24"/>
                <w:szCs w:val="24"/>
                <w:highlight w:val="none"/>
              </w:rPr>
            </w:pPr>
            <w:sdt>
              <w:sdtPr>
                <w:rPr>
                  <w:rFonts w:hint="eastAsia" w:ascii="仿宋" w:hAnsi="仿宋" w:eastAsia="仿宋" w:cs="仿宋"/>
                  <w:color w:val="auto"/>
                  <w:kern w:val="0"/>
                  <w:sz w:val="24"/>
                  <w:highlight w:val="none"/>
                </w:rPr>
                <w:id w:val="69181137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仿宋" w:cs="仿宋"/>
                    <w:snapToGrid w:val="0"/>
                    <w:color w:val="auto"/>
                    <w:kern w:val="0"/>
                    <w:sz w:val="24"/>
                    <w:szCs w:val="24"/>
                    <w:highlight w:val="none"/>
                    <w:lang w:val="en-US" w:eastAsia="zh-CN" w:bidi="ar-SA"/>
                  </w:rPr>
                  <w:t>þ</w:t>
                </w:r>
              </w:sdtContent>
            </w:sdt>
            <w:r>
              <w:rPr>
                <w:rFonts w:hint="eastAsia" w:hAnsi="宋体" w:cs="宋体"/>
                <w:color w:val="auto"/>
                <w:kern w:val="28"/>
                <w:sz w:val="24"/>
                <w:szCs w:val="24"/>
                <w:highlight w:val="none"/>
              </w:rPr>
              <w:t>联合体投标的，按联合体协议约定的分工内容出具相应的业绩证明材料。承担相同工作的各方或工作内容存在部分相同的，业绩数量以提供材料较少的一方为准。</w:t>
            </w:r>
          </w:p>
          <w:p w14:paraId="5CD07D3A">
            <w:pPr>
              <w:pStyle w:val="34"/>
              <w:snapToGrid w:val="0"/>
              <w:spacing w:line="400" w:lineRule="exact"/>
              <w:rPr>
                <w:rFonts w:hAnsi="宋体" w:cs="宋体"/>
                <w:color w:val="auto"/>
                <w:kern w:val="28"/>
                <w:sz w:val="24"/>
                <w:highlight w:val="none"/>
              </w:rPr>
            </w:pPr>
            <w:sdt>
              <w:sdtPr>
                <w:rPr>
                  <w:rFonts w:hint="eastAsia" w:ascii="仿宋" w:hAnsi="仿宋" w:eastAsia="仿宋" w:cs="仿宋"/>
                  <w:color w:val="auto"/>
                  <w:kern w:val="0"/>
                  <w:sz w:val="24"/>
                  <w:highlight w:val="none"/>
                </w:rPr>
                <w:id w:val="106183366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ascii="MS Gothic" w:hAnsi="MS Gothic" w:eastAsia="仿宋" w:cs="仿宋"/>
                    <w:snapToGrid w:val="0"/>
                    <w:color w:val="auto"/>
                    <w:kern w:val="0"/>
                    <w:sz w:val="24"/>
                    <w:szCs w:val="24"/>
                    <w:highlight w:val="none"/>
                    <w:lang w:val="en-US" w:eastAsia="zh-CN" w:bidi="ar-SA"/>
                  </w:rPr>
                  <w:t>☐</w:t>
                </w:r>
              </w:sdtContent>
            </w:sdt>
            <w:r>
              <w:rPr>
                <w:rFonts w:hint="eastAsia" w:hAnsi="宋体" w:cs="宋体"/>
                <w:color w:val="auto"/>
                <w:kern w:val="28"/>
                <w:sz w:val="24"/>
                <w:szCs w:val="24"/>
                <w:highlight w:val="none"/>
              </w:rPr>
              <w:t>联合体投标的，由联合体牵头方出具相应的业绩证明材料。</w:t>
            </w:r>
          </w:p>
        </w:tc>
      </w:tr>
      <w:tr w14:paraId="39041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8" w:space="0"/>
            </w:tcBorders>
            <w:vAlign w:val="center"/>
          </w:tcPr>
          <w:p w14:paraId="7415C488">
            <w:pPr>
              <w:snapToGrid w:val="0"/>
              <w:spacing w:line="360" w:lineRule="auto"/>
              <w:jc w:val="center"/>
              <w:rPr>
                <w:rFonts w:hint="eastAsia" w:ascii="宋体" w:hAnsi="宋体" w:cs="宋体"/>
                <w:color w:val="auto"/>
                <w:sz w:val="24"/>
                <w:highlight w:val="none"/>
              </w:rPr>
            </w:pPr>
          </w:p>
        </w:tc>
        <w:tc>
          <w:tcPr>
            <w:tcW w:w="1387" w:type="dxa"/>
            <w:vMerge w:val="continue"/>
            <w:tcBorders>
              <w:left w:val="single" w:color="000000" w:sz="8" w:space="0"/>
              <w:right w:val="single" w:color="000000" w:sz="8" w:space="0"/>
            </w:tcBorders>
            <w:vAlign w:val="center"/>
          </w:tcPr>
          <w:p w14:paraId="2140880C">
            <w:pPr>
              <w:snapToGrid w:val="0"/>
              <w:spacing w:line="360" w:lineRule="auto"/>
              <w:jc w:val="center"/>
              <w:rPr>
                <w:rFonts w:hint="eastAsia" w:cs="仿宋_GB2312" w:asciiTheme="minorEastAsia" w:hAnsiTheme="minorEastAsia" w:eastAsiaTheme="minorEastAsia"/>
                <w:b/>
                <w:color w:val="auto"/>
                <w:sz w:val="24"/>
                <w:highlight w:val="none"/>
              </w:rPr>
            </w:pPr>
          </w:p>
        </w:tc>
        <w:tc>
          <w:tcPr>
            <w:tcW w:w="7005" w:type="dxa"/>
            <w:tcBorders>
              <w:top w:val="single" w:color="000000" w:sz="8" w:space="0"/>
              <w:left w:val="single" w:color="000000" w:sz="8" w:space="0"/>
              <w:bottom w:val="single" w:color="000000" w:sz="8" w:space="0"/>
              <w:right w:val="single" w:color="000000" w:sz="8" w:space="0"/>
            </w:tcBorders>
            <w:vAlign w:val="center"/>
          </w:tcPr>
          <w:p w14:paraId="7EEA37C6">
            <w:pPr>
              <w:pStyle w:val="34"/>
              <w:snapToGrid w:val="0"/>
              <w:spacing w:line="400" w:lineRule="exact"/>
              <w:rPr>
                <w:rFonts w:hAnsi="宋体" w:cs="宋体"/>
                <w:color w:val="auto"/>
                <w:kern w:val="28"/>
                <w:sz w:val="24"/>
                <w:szCs w:val="24"/>
                <w:highlight w:val="none"/>
              </w:rPr>
            </w:pPr>
            <w:r>
              <w:rPr>
                <w:rFonts w:hint="eastAsia" w:hAnsi="宋体" w:cs="宋体"/>
                <w:color w:val="auto"/>
                <w:kern w:val="28"/>
                <w:sz w:val="24"/>
                <w:szCs w:val="24"/>
                <w:highlight w:val="none"/>
              </w:rPr>
              <w:t>其他资信证明材料</w:t>
            </w:r>
          </w:p>
          <w:p w14:paraId="69A3543E">
            <w:pPr>
              <w:pStyle w:val="34"/>
              <w:snapToGrid w:val="0"/>
              <w:spacing w:line="400" w:lineRule="exact"/>
              <w:rPr>
                <w:rFonts w:ascii="仿宋" w:hAnsi="仿宋" w:eastAsia="仿宋" w:cs="仿宋"/>
                <w:color w:val="auto"/>
                <w:kern w:val="28"/>
                <w:sz w:val="24"/>
                <w:szCs w:val="24"/>
                <w:highlight w:val="none"/>
              </w:rPr>
            </w:pPr>
            <w:sdt>
              <w:sdtPr>
                <w:rPr>
                  <w:rFonts w:hint="eastAsia" w:ascii="仿宋" w:hAnsi="仿宋" w:eastAsia="仿宋" w:cs="仿宋"/>
                  <w:color w:val="auto"/>
                  <w:kern w:val="0"/>
                  <w:sz w:val="24"/>
                  <w:highlight w:val="none"/>
                </w:rPr>
                <w:id w:val="-494111705"/>
                <w14:checkbox>
                  <w14:checked w14:val="0"/>
                  <w14:checkedState w14:val="00FE" w14:font="Wingdings"/>
                  <w14:uncheckedState w14:val="2610" w14:font="MS Gothic"/>
                </w14:checkbox>
              </w:sdtPr>
              <w:sdtEndPr>
                <w:rPr>
                  <w:rFonts w:hint="eastAsia" w:ascii="宋体" w:hAnsi="宋体" w:eastAsia="宋体" w:cs="宋体"/>
                  <w:color w:val="auto"/>
                  <w:kern w:val="28"/>
                  <w:sz w:val="24"/>
                  <w:szCs w:val="24"/>
                  <w:highlight w:val="none"/>
                </w:rPr>
              </w:sdtEndPr>
              <w:sdtContent>
                <w:r>
                  <w:rPr>
                    <w:rFonts w:hint="eastAsia" w:ascii="MS Gothic" w:hAnsi="MS Gothic" w:eastAsia="仿宋" w:cs="仿宋"/>
                    <w:snapToGrid w:val="0"/>
                    <w:color w:val="auto"/>
                    <w:kern w:val="0"/>
                    <w:sz w:val="24"/>
                    <w:szCs w:val="24"/>
                    <w:highlight w:val="none"/>
                    <w:lang w:val="en-US" w:eastAsia="zh-CN" w:bidi="ar-SA"/>
                  </w:rPr>
                  <w:t>☐</w:t>
                </w:r>
              </w:sdtContent>
            </w:sdt>
            <w:r>
              <w:rPr>
                <w:rFonts w:hint="eastAsia" w:hAnsi="宋体" w:cs="宋体"/>
                <w:color w:val="auto"/>
                <w:kern w:val="28"/>
                <w:sz w:val="24"/>
                <w:szCs w:val="24"/>
                <w:highlight w:val="none"/>
              </w:rPr>
              <w:t>联合体投标的，联合体各方均需按招标文件第四部分评标标准要求提供资信证明文件，否则视为不符合相关要求。</w:t>
            </w:r>
          </w:p>
          <w:p w14:paraId="311C644C">
            <w:pPr>
              <w:pStyle w:val="34"/>
              <w:snapToGrid w:val="0"/>
              <w:spacing w:line="400" w:lineRule="exact"/>
              <w:rPr>
                <w:rFonts w:hint="eastAsia" w:hAnsi="宋体" w:cs="宋体"/>
                <w:color w:val="auto"/>
                <w:kern w:val="28"/>
                <w:sz w:val="24"/>
                <w:szCs w:val="24"/>
                <w:highlight w:val="none"/>
              </w:rPr>
            </w:pPr>
            <w:sdt>
              <w:sdtPr>
                <w:rPr>
                  <w:rFonts w:hint="eastAsia" w:ascii="仿宋" w:hAnsi="仿宋" w:eastAsia="仿宋" w:cs="仿宋"/>
                  <w:color w:val="auto"/>
                  <w:kern w:val="0"/>
                  <w:sz w:val="24"/>
                  <w:highlight w:val="none"/>
                </w:rPr>
                <w:id w:val="1308368168"/>
                <w14:checkbox>
                  <w14:checked w14:val="1"/>
                  <w14:checkedState w14:val="00FE" w14:font="Wingdings"/>
                  <w14:uncheckedState w14:val="2610" w14:font="MS Gothic"/>
                </w14:checkbox>
              </w:sdtPr>
              <w:sdtEndPr>
                <w:rPr>
                  <w:rFonts w:hint="eastAsia" w:ascii="宋体" w:hAnsi="宋体" w:eastAsia="宋体" w:cs="宋体"/>
                  <w:color w:val="auto"/>
                  <w:kern w:val="28"/>
                  <w:sz w:val="24"/>
                  <w:szCs w:val="24"/>
                  <w:highlight w:val="none"/>
                </w:rPr>
              </w:sdtEndPr>
              <w:sdtContent>
                <w:r>
                  <w:rPr>
                    <w:rFonts w:ascii="Wingdings" w:hAnsi="Wingdings" w:eastAsia="仿宋" w:cs="仿宋"/>
                    <w:color w:val="auto"/>
                    <w:kern w:val="0"/>
                    <w:sz w:val="24"/>
                    <w:szCs w:val="24"/>
                    <w:highlight w:val="none"/>
                  </w:rPr>
                  <w:t></w:t>
                </w:r>
              </w:sdtContent>
            </w:sdt>
            <w:r>
              <w:rPr>
                <w:rFonts w:hint="eastAsia" w:hAnsi="宋体" w:cs="宋体"/>
                <w:color w:val="auto"/>
                <w:kern w:val="28"/>
                <w:sz w:val="24"/>
                <w:szCs w:val="24"/>
                <w:highlight w:val="none"/>
              </w:rPr>
              <w:t>联合体投标的，联合体牵头方或者联合体成员根据分工按招标文件第四部分评标标准要求提供资信证明文件的，视为符合了相关要求。</w:t>
            </w:r>
          </w:p>
        </w:tc>
      </w:tr>
      <w:tr w14:paraId="4E648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000000" w:sz="8" w:space="0"/>
              <w:right w:val="single" w:color="000000" w:sz="8" w:space="0"/>
            </w:tcBorders>
          </w:tcPr>
          <w:p w14:paraId="579968FA">
            <w:pPr>
              <w:snapToGrid w:val="0"/>
              <w:spacing w:line="360" w:lineRule="auto"/>
              <w:jc w:val="center"/>
              <w:rPr>
                <w:rFonts w:ascii="宋体" w:hAnsi="宋体" w:cs="宋体"/>
                <w:color w:val="auto"/>
                <w:sz w:val="24"/>
                <w:highlight w:val="none"/>
              </w:rPr>
            </w:pPr>
          </w:p>
        </w:tc>
        <w:tc>
          <w:tcPr>
            <w:tcW w:w="1387" w:type="dxa"/>
            <w:vMerge w:val="continue"/>
            <w:tcBorders>
              <w:left w:val="single" w:color="000000" w:sz="8" w:space="0"/>
              <w:bottom w:val="single" w:color="000000" w:sz="8" w:space="0"/>
              <w:right w:val="single" w:color="000000" w:sz="8" w:space="0"/>
            </w:tcBorders>
            <w:vAlign w:val="center"/>
          </w:tcPr>
          <w:p w14:paraId="01E58ADA">
            <w:pPr>
              <w:snapToGrid w:val="0"/>
              <w:spacing w:line="360" w:lineRule="auto"/>
              <w:jc w:val="center"/>
              <w:rPr>
                <w:rFonts w:ascii="宋体" w:hAnsi="宋体" w:cs="宋体"/>
                <w:b/>
                <w:color w:val="auto"/>
                <w:sz w:val="24"/>
                <w:highlight w:val="none"/>
              </w:rPr>
            </w:pPr>
          </w:p>
        </w:tc>
        <w:tc>
          <w:tcPr>
            <w:tcW w:w="7005" w:type="dxa"/>
            <w:tcBorders>
              <w:top w:val="single" w:color="000000" w:sz="8" w:space="0"/>
              <w:left w:val="single" w:color="000000" w:sz="8" w:space="0"/>
              <w:bottom w:val="single" w:color="000000" w:sz="8" w:space="0"/>
              <w:right w:val="single" w:color="000000" w:sz="8" w:space="0"/>
            </w:tcBorders>
            <w:vAlign w:val="center"/>
          </w:tcPr>
          <w:p w14:paraId="608CEA10">
            <w:pPr>
              <w:adjustRightInd/>
              <w:spacing w:line="312" w:lineRule="auto"/>
              <w:jc w:val="lef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本项目通用总则条款与前附表等专用特别规定有冲突之处，以专用条款（特别规定）为准。</w:t>
            </w:r>
          </w:p>
        </w:tc>
      </w:tr>
      <w:bookmarkEnd w:id="9"/>
    </w:tbl>
    <w:p w14:paraId="0DD750A9">
      <w:pPr>
        <w:rPr>
          <w:rFonts w:ascii="宋体" w:hAnsi="宋体" w:cs="宋体"/>
          <w:b/>
          <w:color w:val="auto"/>
          <w:sz w:val="32"/>
          <w:szCs w:val="20"/>
          <w:highlight w:val="none"/>
        </w:rPr>
      </w:pPr>
      <w:bookmarkStart w:id="10" w:name="_Toc164416483"/>
      <w:bookmarkStart w:id="11" w:name="第三部分"/>
      <w:r>
        <w:rPr>
          <w:rFonts w:hint="eastAsia" w:ascii="宋体" w:hAnsi="宋体" w:cs="宋体"/>
          <w:b/>
          <w:color w:val="auto"/>
          <w:sz w:val="32"/>
          <w:szCs w:val="20"/>
          <w:highlight w:val="none"/>
        </w:rPr>
        <w:br w:type="page"/>
      </w:r>
    </w:p>
    <w:p w14:paraId="2214BFA6">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AD35891">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4FE096A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942E55A">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5278A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A6C96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291A47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“供应商”系指是指响应招标、参加投标竞争的法人、其他组织或者自然人。</w:t>
      </w:r>
    </w:p>
    <w:p w14:paraId="5C9AA6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62415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CFC8E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4CE186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330775C">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F9D497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8AFB5D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支持绿色发展（本项目不适用）</w:t>
      </w:r>
    </w:p>
    <w:p w14:paraId="4941A6F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招标文件要求提供相关产品认证证书。</w:t>
      </w:r>
      <w:r>
        <w:rPr>
          <w:rFonts w:hint="eastAsia" w:ascii="宋体" w:hAnsi="宋体" w:cs="宋体"/>
          <w:b/>
          <w:color w:val="auto"/>
          <w:sz w:val="24"/>
          <w:highlight w:val="none"/>
        </w:rPr>
        <w:t>▲采购人拟采购的产品属于政府强制采购的节能产品品目清单范围的，供应商相应的投标产品未获得国家确定的认证机构出具的、处于有效期之内的节能产品认证证书的，投标无效。</w:t>
      </w:r>
    </w:p>
    <w:p w14:paraId="3B1C8A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56E051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8F43F5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113F93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1984DC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409FA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4CB30E8">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供应商提供的货物、工程或者服务符合下列情形的，享受中小企业扶持政策：在服务采购项目中，服务由中小企业承接，即提供服务的人员为中小企业依照《中华人民共和国劳动合同法》订立劳动合同的从业人员。</w:t>
      </w:r>
    </w:p>
    <w:p w14:paraId="2BB8EF6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D3113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47C89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261FC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BCBAB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供应商应按照招标文件格式要求提供《中小企业声明函》，供应商提供的《中小企业声明函》与实际情况不符的，不享受中小企业扶持政策。声明内容不实的，属于提供虚假材料谋取中标、成交的，依法承担法律责任。</w:t>
      </w:r>
    </w:p>
    <w:p w14:paraId="26E9CB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5273AC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F4131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7418FD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618C1A52">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1E60BDD">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0432D46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EBD16D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DDE928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44FBE58">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81A5481">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B234EA1">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C2C978F">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7BD7A2A">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42BDAA9">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7C97124">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2278B244">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C4B97B0">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231F9081">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7D46711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1D72FE15">
      <w:pPr>
        <w:pStyle w:val="34"/>
        <w:adjustRightInd/>
        <w:spacing w:line="360" w:lineRule="auto"/>
        <w:ind w:firstLine="480" w:firstLineChars="200"/>
        <w:jc w:val="left"/>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15A0CC3">
      <w:pPr>
        <w:pStyle w:val="34"/>
        <w:shd w:val="clear" w:color="auto" w:fill="FFFFFF"/>
        <w:adjustRightInd/>
        <w:spacing w:after="240" w:line="360" w:lineRule="auto"/>
        <w:ind w:firstLine="480" w:firstLineChars="200"/>
        <w:contextualSpacing/>
        <w:jc w:val="left"/>
        <w:rPr>
          <w:rFonts w:hAnsi="宋体" w:cs="宋体"/>
          <w:color w:val="auto"/>
          <w:kern w:val="0"/>
          <w:sz w:val="24"/>
          <w:highlight w:val="none"/>
          <w:lang w:val="zh-CN"/>
        </w:rPr>
      </w:pPr>
      <w:r>
        <w:rPr>
          <w:rFonts w:hint="eastAsia" w:hAnsi="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588BF317">
      <w:pPr>
        <w:pStyle w:val="34"/>
        <w:shd w:val="clear" w:color="auto" w:fill="FFFFFF"/>
        <w:adjustRightInd/>
        <w:spacing w:after="240" w:line="360" w:lineRule="auto"/>
        <w:ind w:firstLine="480" w:firstLineChars="200"/>
        <w:contextualSpacing/>
        <w:jc w:val="left"/>
        <w:rPr>
          <w:rFonts w:hAnsi="宋体" w:cs="宋体"/>
          <w:color w:val="auto"/>
          <w:kern w:val="0"/>
          <w:sz w:val="24"/>
          <w:highlight w:val="none"/>
          <w:lang w:val="zh-CN"/>
        </w:rPr>
      </w:pPr>
      <w:r>
        <w:rPr>
          <w:rFonts w:hint="eastAsia" w:hAnsi="宋体" w:cs="宋体"/>
          <w:color w:val="auto"/>
          <w:kern w:val="0"/>
          <w:sz w:val="24"/>
          <w:highlight w:val="none"/>
          <w:lang w:val="zh-CN"/>
        </w:rPr>
        <w:t>质疑函范本及制作说明详见附件2。</w:t>
      </w:r>
    </w:p>
    <w:p w14:paraId="039E3091">
      <w:pPr>
        <w:pStyle w:val="34"/>
        <w:shd w:val="clear" w:color="auto" w:fill="FFFFFF"/>
        <w:adjustRightInd/>
        <w:spacing w:after="240" w:line="360" w:lineRule="auto"/>
        <w:ind w:firstLine="480" w:firstLineChars="200"/>
        <w:contextualSpacing/>
        <w:jc w:val="left"/>
        <w:rPr>
          <w:rFonts w:hAnsi="宋体" w:cs="宋体"/>
          <w:color w:val="auto"/>
          <w:kern w:val="0"/>
          <w:sz w:val="24"/>
          <w:highlight w:val="none"/>
          <w:lang w:val="zh-CN"/>
        </w:rPr>
      </w:pPr>
      <w:r>
        <w:rPr>
          <w:rFonts w:hint="eastAsia" w:hAnsi="宋体" w:cs="宋体"/>
          <w:color w:val="auto"/>
          <w:kern w:val="0"/>
          <w:sz w:val="24"/>
          <w:highlight w:val="none"/>
          <w:lang w:val="zh-CN"/>
        </w:rPr>
        <w:t>4.3.4对同一采购程序环节的质疑，供应商须在法定质疑期内一次性提出。</w:t>
      </w:r>
    </w:p>
    <w:p w14:paraId="79DCE3FF">
      <w:pPr>
        <w:pStyle w:val="34"/>
        <w:shd w:val="clear" w:color="auto" w:fill="FFFFFF"/>
        <w:adjustRightInd/>
        <w:spacing w:after="240" w:line="360" w:lineRule="auto"/>
        <w:ind w:firstLine="480" w:firstLineChars="200"/>
        <w:contextualSpacing/>
        <w:jc w:val="left"/>
        <w:rPr>
          <w:rFonts w:hAnsi="宋体" w:cs="宋体"/>
          <w:color w:val="auto"/>
          <w:kern w:val="0"/>
          <w:sz w:val="24"/>
          <w:highlight w:val="none"/>
          <w:lang w:val="zh-CN"/>
        </w:rPr>
      </w:pPr>
      <w:r>
        <w:rPr>
          <w:rFonts w:hint="eastAsia" w:hAnsi="宋体" w:cs="宋体"/>
          <w:color w:val="auto"/>
          <w:kern w:val="0"/>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FC94573">
      <w:pPr>
        <w:pStyle w:val="34"/>
        <w:shd w:val="clear" w:color="auto" w:fill="FFFFFF"/>
        <w:adjustRightInd/>
        <w:spacing w:after="240" w:line="360" w:lineRule="auto"/>
        <w:ind w:firstLine="480" w:firstLineChars="200"/>
        <w:contextualSpacing/>
        <w:jc w:val="left"/>
        <w:rPr>
          <w:rFonts w:hAnsi="宋体" w:cs="宋体"/>
          <w:color w:val="auto"/>
          <w:kern w:val="0"/>
          <w:sz w:val="24"/>
          <w:highlight w:val="none"/>
          <w:lang w:val="zh-CN"/>
        </w:rPr>
      </w:pPr>
      <w:r>
        <w:rPr>
          <w:rFonts w:hint="eastAsia" w:hAnsi="宋体" w:cs="宋体"/>
          <w:color w:val="auto"/>
          <w:kern w:val="0"/>
          <w:sz w:val="24"/>
          <w:highlight w:val="none"/>
          <w:lang w:val="zh-CN"/>
        </w:rPr>
        <w:t>4.3.6询问或者质疑事项可能影响采购结果的，采购人应当暂停签订合同，已经签订合同的，应当中止履行合同。</w:t>
      </w:r>
    </w:p>
    <w:p w14:paraId="0E84FF36">
      <w:pPr>
        <w:pStyle w:val="34"/>
        <w:shd w:val="clear" w:color="auto" w:fill="FFFFFF"/>
        <w:adjustRightInd/>
        <w:spacing w:after="240" w:line="360" w:lineRule="auto"/>
        <w:ind w:firstLine="480" w:firstLineChars="200"/>
        <w:contextualSpacing/>
        <w:jc w:val="left"/>
        <w:rPr>
          <w:rFonts w:hAnsi="宋体" w:cs="宋体"/>
          <w:color w:val="auto"/>
          <w:kern w:val="0"/>
          <w:sz w:val="24"/>
          <w:highlight w:val="none"/>
          <w:lang w:val="zh-CN"/>
        </w:rPr>
      </w:pPr>
      <w:r>
        <w:rPr>
          <w:rFonts w:hint="eastAsia" w:hAnsi="宋体" w:cs="宋体"/>
          <w:color w:val="auto"/>
          <w:kern w:val="0"/>
          <w:sz w:val="24"/>
          <w:highlight w:val="none"/>
          <w:lang w:val="zh-CN"/>
        </w:rPr>
        <w:t>4.4供应商投诉</w:t>
      </w:r>
    </w:p>
    <w:p w14:paraId="4F1CBF24">
      <w:pPr>
        <w:pStyle w:val="34"/>
        <w:shd w:val="clear" w:color="auto" w:fill="FFFFFF"/>
        <w:adjustRightInd/>
        <w:spacing w:after="240" w:line="360" w:lineRule="auto"/>
        <w:ind w:firstLine="480" w:firstLineChars="200"/>
        <w:contextualSpacing/>
        <w:jc w:val="left"/>
        <w:rPr>
          <w:rFonts w:hAnsi="宋体" w:cs="宋体"/>
          <w:color w:val="auto"/>
          <w:kern w:val="0"/>
          <w:sz w:val="24"/>
          <w:highlight w:val="none"/>
          <w:lang w:val="zh-CN"/>
        </w:rPr>
      </w:pPr>
      <w:r>
        <w:rPr>
          <w:rFonts w:hint="eastAsia" w:hAnsi="宋体" w:cs="宋体"/>
          <w:color w:val="auto"/>
          <w:kern w:val="0"/>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0A9A615F">
      <w:pPr>
        <w:pStyle w:val="34"/>
        <w:shd w:val="clear" w:color="auto" w:fill="FFFFFF"/>
        <w:adjustRightInd/>
        <w:spacing w:after="240" w:line="360" w:lineRule="auto"/>
        <w:ind w:firstLine="480" w:firstLineChars="200"/>
        <w:contextualSpacing/>
        <w:jc w:val="left"/>
        <w:rPr>
          <w:rFonts w:hAnsi="宋体" w:cs="宋体"/>
          <w:color w:val="auto"/>
          <w:kern w:val="0"/>
          <w:sz w:val="24"/>
          <w:highlight w:val="none"/>
          <w:lang w:val="zh-CN"/>
        </w:rPr>
      </w:pPr>
      <w:r>
        <w:rPr>
          <w:rFonts w:hint="eastAsia" w:hAnsi="宋体" w:cs="宋体"/>
          <w:color w:val="auto"/>
          <w:kern w:val="0"/>
          <w:sz w:val="24"/>
          <w:highlight w:val="none"/>
          <w:lang w:val="zh-CN"/>
        </w:rPr>
        <w:t>4.4.2供应商投诉的事项不得超出已质疑事项的范围，基于质疑答复内容提出的投诉事项除外。</w:t>
      </w:r>
    </w:p>
    <w:p w14:paraId="6AE3AC2B">
      <w:pPr>
        <w:pStyle w:val="34"/>
        <w:shd w:val="clear" w:color="auto" w:fill="FFFFFF"/>
        <w:adjustRightInd/>
        <w:spacing w:after="240" w:line="360" w:lineRule="auto"/>
        <w:ind w:firstLine="480" w:firstLineChars="200"/>
        <w:contextualSpacing/>
        <w:jc w:val="left"/>
        <w:rPr>
          <w:rFonts w:hAnsi="宋体" w:cs="宋体"/>
          <w:color w:val="auto"/>
          <w:kern w:val="0"/>
          <w:sz w:val="24"/>
          <w:highlight w:val="none"/>
          <w:lang w:val="zh-CN"/>
        </w:rPr>
      </w:pPr>
      <w:r>
        <w:rPr>
          <w:rFonts w:hint="eastAsia" w:hAnsi="宋体" w:cs="宋体"/>
          <w:color w:val="auto"/>
          <w:kern w:val="0"/>
          <w:sz w:val="24"/>
          <w:highlight w:val="none"/>
          <w:lang w:val="zh-CN"/>
        </w:rPr>
        <w:t>4.4.3供应商投诉应当有明确的请求和必要的证明材料。</w:t>
      </w:r>
    </w:p>
    <w:p w14:paraId="732A3B0E">
      <w:pPr>
        <w:pStyle w:val="34"/>
        <w:shd w:val="clear" w:color="auto" w:fill="FFFFFF"/>
        <w:adjustRightInd/>
        <w:spacing w:after="240" w:line="360" w:lineRule="auto"/>
        <w:ind w:firstLine="480" w:firstLineChars="200"/>
        <w:contextualSpacing/>
        <w:jc w:val="left"/>
        <w:rPr>
          <w:rFonts w:hAnsi="宋体" w:cs="宋体"/>
          <w:color w:val="auto"/>
          <w:kern w:val="0"/>
          <w:sz w:val="24"/>
          <w:highlight w:val="none"/>
          <w:lang w:val="zh-CN"/>
        </w:rPr>
      </w:pPr>
      <w:r>
        <w:rPr>
          <w:rFonts w:hint="eastAsia" w:hAnsi="宋体" w:cs="宋体"/>
          <w:color w:val="auto"/>
          <w:kern w:val="0"/>
          <w:sz w:val="24"/>
          <w:highlight w:val="none"/>
          <w:lang w:val="zh-CN"/>
        </w:rPr>
        <w:t>4.4.4以联合体形式参加政府采购活动的，其投诉应当由组成联合体的所有供应商共同提出。</w:t>
      </w:r>
    </w:p>
    <w:p w14:paraId="318C7A12">
      <w:pPr>
        <w:pStyle w:val="34"/>
        <w:shd w:val="clear" w:color="auto" w:fill="FFFFFF"/>
        <w:adjustRightInd/>
        <w:spacing w:after="240" w:line="360" w:lineRule="auto"/>
        <w:ind w:firstLine="480" w:firstLineChars="200"/>
        <w:contextualSpacing/>
        <w:jc w:val="left"/>
        <w:rPr>
          <w:rFonts w:hAnsi="宋体" w:cs="宋体"/>
          <w:color w:val="auto"/>
          <w:kern w:val="0"/>
          <w:sz w:val="24"/>
          <w:highlight w:val="none"/>
          <w:lang w:val="zh-CN"/>
        </w:rPr>
      </w:pPr>
      <w:r>
        <w:rPr>
          <w:rFonts w:hint="eastAsia" w:hAnsi="宋体" w:cs="宋体"/>
          <w:color w:val="auto"/>
          <w:kern w:val="0"/>
          <w:sz w:val="24"/>
          <w:highlight w:val="none"/>
          <w:lang w:val="zh-CN"/>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55A7F850">
      <w:pPr>
        <w:pStyle w:val="34"/>
        <w:shd w:val="clear" w:color="auto" w:fill="FFFFFF"/>
        <w:adjustRightInd/>
        <w:spacing w:after="240" w:line="360" w:lineRule="auto"/>
        <w:ind w:firstLine="480" w:firstLineChars="200"/>
        <w:contextualSpacing/>
        <w:jc w:val="left"/>
        <w:rPr>
          <w:rFonts w:hAnsi="宋体" w:cs="宋体"/>
          <w:color w:val="auto"/>
          <w:kern w:val="0"/>
          <w:sz w:val="24"/>
          <w:highlight w:val="none"/>
          <w:lang w:val="zh-CN"/>
        </w:rPr>
      </w:pPr>
      <w:r>
        <w:rPr>
          <w:rFonts w:hint="eastAsia" w:hAnsi="宋体" w:cs="宋体"/>
          <w:color w:val="auto"/>
          <w:kern w:val="0"/>
          <w:sz w:val="24"/>
          <w:highlight w:val="none"/>
          <w:lang w:val="zh-CN"/>
        </w:rPr>
        <w:t>投诉书范本及制作说明详见附件3。</w:t>
      </w:r>
    </w:p>
    <w:p w14:paraId="518C302D">
      <w:pPr>
        <w:pStyle w:val="34"/>
        <w:shd w:val="clear" w:color="auto" w:fill="FFFFFF"/>
        <w:adjustRightInd/>
        <w:spacing w:after="240" w:line="360" w:lineRule="auto"/>
        <w:ind w:firstLine="480" w:firstLineChars="200"/>
        <w:contextualSpacing/>
        <w:jc w:val="left"/>
        <w:rPr>
          <w:rFonts w:hAnsi="宋体" w:cs="宋体"/>
          <w:color w:val="auto"/>
          <w:kern w:val="0"/>
          <w:sz w:val="24"/>
          <w:highlight w:val="none"/>
          <w:lang w:val="zh-CN"/>
        </w:rPr>
      </w:pPr>
    </w:p>
    <w:p w14:paraId="1603E149">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2B09E30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10CC332">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A05A5C7">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50C3DC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7F121C31">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400CB0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020E00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355448">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CC80184">
      <w:pP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7E88B7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F5AC4EF">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6.1已获取招标文件的潜在供应商，若有问题需要澄清，应于投标截止时间前，以书面形式向采购代理机构提出。</w:t>
      </w:r>
    </w:p>
    <w:p w14:paraId="1113BC1F">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供应商。依法应当公告的，将按规定公告，同时视情况延长投标截止时间和开标时间。该澄清或者修改的内容为招标文件的组成部分。</w:t>
      </w:r>
    </w:p>
    <w:p w14:paraId="36149C17">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1D3DC0FA">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7AE09C2D">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EFE23DD">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15C828A">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DF53675">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采购人组织潜在供应商现场考察或者召开开标前答疑会的，潜在供应商按第二部分供应商须知前附表的规定参加现场考察或者开标前答疑会。</w:t>
      </w:r>
    </w:p>
    <w:p w14:paraId="58909B31">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2EF32F6E">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A36CA7D">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F853D6F">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投标文件及供应商与采购有关的来往通知、函件和文件均应使用中文。</w:t>
      </w:r>
    </w:p>
    <w:p w14:paraId="2D1D27E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F8B3B2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760777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BBFEC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49BD115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E04B7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8D174AB">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BD36D3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FC44D6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E94A3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60F397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A495D4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492896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3FFA2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B6BCCC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4D28687">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367A1B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1B4E937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F56BB06">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59B0BC7">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供应商提供虚假材料投标的，投标无效。</w:t>
      </w:r>
    </w:p>
    <w:p w14:paraId="25D78D38">
      <w:pPr>
        <w:pStyle w:val="134"/>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D1C5289">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14:paraId="7EEFB5B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12.2供应商进行电子投标应安装客户端软件—“政采云电子交易客户端”，并按照招标文件和电子交易平台的要求编制并加密投标文件。供应商未按规定加密的投标文件，电子交易平台将拒收并提示。</w:t>
      </w:r>
    </w:p>
    <w:p w14:paraId="519B93C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1E117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2CB28F0">
      <w:pPr>
        <w:pStyle w:val="134"/>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▲供应商的投标文件未按照招标文件要求签署、盖章的，其投标无效</w:t>
      </w:r>
      <w:r>
        <w:rPr>
          <w:rFonts w:hint="eastAsia" w:ascii="宋体" w:hAnsi="宋体" w:cs="宋体"/>
          <w:color w:val="auto"/>
          <w:szCs w:val="24"/>
          <w:highlight w:val="none"/>
        </w:rPr>
        <w:t>。</w:t>
      </w:r>
    </w:p>
    <w:p w14:paraId="46CB5B46">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13.2为确保网上操作合法、有效和安全，供应商应当在投标截止时间前完成在“政府采购云平台”的身份认证，确保在电子投标过程中能够对相关数据电文进行加密和使用电子签名。</w:t>
      </w:r>
    </w:p>
    <w:p w14:paraId="1F5130BD">
      <w:pPr>
        <w:pStyle w:val="134"/>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D2149FB">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251E6C4">
      <w:pPr>
        <w:pStyle w:val="134"/>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AA64A2D">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FFB5EA9">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14.3采购人、采购代理机构可以视情况延长投标文件提交的截止时间。在上述情况下，采购代理机构与供应商以前在投标截止期方面的全部权利、责任和义务，将适用于延长至新的投标截止期。</w:t>
      </w:r>
    </w:p>
    <w:p w14:paraId="7ACB283E">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AE0E1FD">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但采购人、采购代理机构不强制或变相强制供应商提交备份投标文件。</w:t>
      </w:r>
    </w:p>
    <w:p w14:paraId="448D0C57">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中。备份投标文件应当密封包装并在包装上加盖公章并注明投标项目名称，供应商名称(联合体投标的，包装物封面需注明联合体投标，并注明联合体成员各方的名称和联合协议中约定的牵头人的名称)。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A8B5BF5">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15.3直接提交备份投标文件的，供应商应于投标截止时间前在招标公告中载明的开标地点将备份投标文件提交给采购代理机构，采购代理机构将拒绝接受逾期送达的备份投标文件。</w:t>
      </w:r>
    </w:p>
    <w:p w14:paraId="0D8E15F0">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15.4以邮政快递方式递交备份投标文件的，供应商应先将备份投标文件按要求密封和标记，再进行邮政快递包装后邮寄。备份投标文件须在投标截止时间之前送达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招标文件第二部分供应商须知前附表规定的备份投标文件送达地点；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送达时间以签收人签收时间为准。采购代理机构将拒绝接受逾期送达的备份投标文件。邮寄过程中，电子备份投标文件发生泄露、遗失、损坏或延期送达等情况的，由供应商自行负责。</w:t>
      </w:r>
    </w:p>
    <w:p w14:paraId="71DE89B3">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15.5供应商仅提交备份投标文件，未在电子交易平台传输递交投标文件的，投标无效。</w:t>
      </w:r>
    </w:p>
    <w:p w14:paraId="366417C0">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06F95F8">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0A2E6950">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991AF7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供应商的投标文件中承</w:t>
      </w:r>
      <w:r>
        <w:rPr>
          <w:rFonts w:hint="eastAsia" w:ascii="宋体" w:hAnsi="宋体" w:cs="宋体"/>
          <w:b/>
          <w:color w:val="auto"/>
          <w:sz w:val="24"/>
          <w:szCs w:val="21"/>
          <w:highlight w:val="none"/>
        </w:rPr>
        <w:t>诺的投标有效期少于招标文件中载明的投标有效期的，投标无效。</w:t>
      </w:r>
    </w:p>
    <w:p w14:paraId="3AA2F228">
      <w:pPr>
        <w:pStyle w:val="134"/>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4AA2B66">
      <w:pPr>
        <w:pStyle w:val="134"/>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17.3在原定投标有效期满之前，如果出现特殊情况，采购代理机构可以以书面形式通知供应商延长投标有效期。供应商同意延长的，不得要求或被允许修改其投标文件，供应商拒绝延长的，其投标无效。</w:t>
      </w:r>
    </w:p>
    <w:p w14:paraId="48285A83">
      <w:pPr>
        <w:pStyle w:val="134"/>
        <w:spacing w:before="0"/>
        <w:ind w:firstLine="480"/>
        <w:rPr>
          <w:rFonts w:ascii="宋体" w:hAnsi="宋体" w:cs="宋体"/>
          <w:color w:val="auto"/>
          <w:highlight w:val="none"/>
        </w:rPr>
      </w:pPr>
    </w:p>
    <w:p w14:paraId="5890DC83">
      <w:pPr>
        <w:pStyle w:val="134"/>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5451141">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C7A4462">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18.1采购代理机构按照招标文件规定的时间通过电子交易平台组织开标，所有供应商均应当准时在线参加。供应商不足3家的，不得开标。</w:t>
      </w:r>
    </w:p>
    <w:p w14:paraId="3F3E85A3">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18.2开标时，电子交易平台按开标时间自动提取所有投标文件。采购代理机构依托电子交易平台发起开始解密指令，供应商按照平台提示和招标文件的规定在半小时内完成在线解密。</w:t>
      </w:r>
    </w:p>
    <w:p w14:paraId="2C805573">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投标文件未按时解密，供应商提供了备份投标文件的，以备份投标文件作为依据，否则视为投标文件撤回。投标文件已按时解密的，备份投标文件自动失效。</w:t>
      </w:r>
    </w:p>
    <w:p w14:paraId="37B95E2A">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770D9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采购人或采购代理机构依据法律法规和招标文件的规定，对供应商的资格进行审查。</w:t>
      </w:r>
    </w:p>
    <w:p w14:paraId="288AC306">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19.2供应商未按照招标文件要求提供与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供应商不具备招标文件中规定的资格要求，其投标无效。</w:t>
      </w:r>
    </w:p>
    <w:p w14:paraId="7E132D64">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3对未通过资格审查的供应商，采购人或采购代理机构告知其未通过的原因。</w:t>
      </w:r>
    </w:p>
    <w:p w14:paraId="2B967BD3">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4合格供应商不足3家的，不再评标。</w:t>
      </w:r>
    </w:p>
    <w:p w14:paraId="63A8EBAE">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421AEA09">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20.1信用信息查询渠道及截止时间：采购代理机构将在资格审查时通过“信用中国”网站(www.creditchina.gov.cn)、中国政府采购网(www.ccgp.gov.cn)渠道查询供应商接受资格时的信用记录。</w:t>
      </w:r>
    </w:p>
    <w:p w14:paraId="2568F66C">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190F8EDB">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53E8F965">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3A915D8">
      <w:pPr>
        <w:pStyle w:val="134"/>
        <w:spacing w:before="0"/>
        <w:ind w:firstLine="0" w:firstLineChars="0"/>
        <w:rPr>
          <w:rFonts w:ascii="宋体" w:hAnsi="宋体" w:cs="宋体"/>
          <w:color w:val="auto"/>
          <w:kern w:val="0"/>
          <w:szCs w:val="24"/>
          <w:highlight w:val="none"/>
        </w:rPr>
      </w:pPr>
    </w:p>
    <w:p w14:paraId="30E7D4C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388AFEF">
      <w:pPr>
        <w:spacing w:line="360" w:lineRule="auto"/>
        <w:rPr>
          <w:rFonts w:ascii="宋体" w:hAnsi="宋体" w:cs="宋体"/>
          <w:b/>
          <w:color w:val="auto"/>
          <w:sz w:val="24"/>
          <w:highlight w:val="none"/>
        </w:rPr>
      </w:pPr>
      <w:bookmarkStart w:id="12"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供应商对招标文件的响应情况。对实质上响应招标文件的供应商，按照评审因素的量化指标排出推荐中标的供应商的先后顺序，并按顺序提出授标建议。</w:t>
      </w:r>
      <w:r>
        <w:rPr>
          <w:rFonts w:hint="eastAsia" w:ascii="宋体" w:hAnsi="宋体" w:cs="宋体"/>
          <w:b/>
          <w:color w:val="auto"/>
          <w:sz w:val="24"/>
          <w:highlight w:val="none"/>
        </w:rPr>
        <w:t>详见招标文件第四部分评标办法。</w:t>
      </w:r>
    </w:p>
    <w:p w14:paraId="48046870">
      <w:pPr>
        <w:spacing w:line="360" w:lineRule="auto"/>
        <w:rPr>
          <w:rFonts w:ascii="宋体" w:hAnsi="宋体" w:cs="宋体"/>
          <w:b/>
          <w:color w:val="auto"/>
          <w:sz w:val="24"/>
          <w:highlight w:val="none"/>
        </w:rPr>
      </w:pPr>
    </w:p>
    <w:p w14:paraId="6315BBC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6B4C096">
      <w:pPr>
        <w:pStyle w:val="26"/>
        <w:spacing w:line="360" w:lineRule="auto"/>
        <w:ind w:left="478" w:hanging="479" w:hangingChars="199"/>
        <w:rPr>
          <w:rFonts w:cs="宋体"/>
          <w:b/>
          <w:color w:val="auto"/>
          <w:highlight w:val="none"/>
        </w:rPr>
      </w:pPr>
      <w:r>
        <w:rPr>
          <w:rFonts w:hint="eastAsia" w:cs="宋体"/>
          <w:b/>
          <w:color w:val="auto"/>
          <w:highlight w:val="none"/>
        </w:rPr>
        <w:t>22. 确定中标供应商</w:t>
      </w:r>
    </w:p>
    <w:p w14:paraId="443DF5B9">
      <w:pPr>
        <w:pStyle w:val="134"/>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1076917">
      <w:pPr>
        <w:pStyle w:val="134"/>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F2E72E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500B5F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宋体" w:hAnsi="宋体" w:cs="宋体"/>
          <w:color w:val="auto"/>
          <w:sz w:val="24"/>
          <w:highlight w:val="none"/>
        </w:rPr>
        <w:t>资格审查情况、评审专家抽取规则、符合性审查情况、</w:t>
      </w:r>
      <w:bookmarkEnd w:id="13"/>
      <w:r>
        <w:rPr>
          <w:rFonts w:hint="eastAsia" w:ascii="宋体" w:hAnsi="宋体" w:cs="宋体"/>
          <w:color w:val="auto"/>
          <w:sz w:val="24"/>
          <w:highlight w:val="none"/>
        </w:rPr>
        <w:t>未中标情况说明、中标公告期限以及评审专家名单、评分汇总及明细。</w:t>
      </w:r>
    </w:p>
    <w:p w14:paraId="27311C0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40421892">
      <w:pPr>
        <w:snapToGrid w:val="0"/>
        <w:spacing w:line="360" w:lineRule="auto"/>
        <w:ind w:left="120" w:leftChars="57" w:firstLine="482" w:firstLineChars="150"/>
        <w:jc w:val="center"/>
        <w:rPr>
          <w:rFonts w:ascii="宋体" w:hAnsi="宋体" w:cs="宋体"/>
          <w:b/>
          <w:color w:val="auto"/>
          <w:sz w:val="32"/>
          <w:highlight w:val="none"/>
        </w:rPr>
      </w:pPr>
    </w:p>
    <w:p w14:paraId="6E66CE5F">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D6AA82B">
      <w:pPr>
        <w:pStyle w:val="26"/>
        <w:spacing w:line="360" w:lineRule="auto"/>
        <w:ind w:left="478"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F96C3E4">
      <w:pPr>
        <w:pStyle w:val="26"/>
        <w:spacing w:line="360" w:lineRule="auto"/>
        <w:ind w:left="478" w:hanging="479" w:hangingChars="199"/>
        <w:rPr>
          <w:rFonts w:cs="宋体"/>
          <w:b/>
          <w:color w:val="auto"/>
          <w:highlight w:val="none"/>
        </w:rPr>
      </w:pPr>
      <w:r>
        <w:rPr>
          <w:rFonts w:hint="eastAsia" w:cs="宋体"/>
          <w:b/>
          <w:color w:val="auto"/>
          <w:highlight w:val="none"/>
        </w:rPr>
        <w:t>25. 合同的签订</w:t>
      </w:r>
    </w:p>
    <w:p w14:paraId="01DCFD61">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B1334C9">
      <w:pPr>
        <w:pStyle w:val="134"/>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62EFCC0">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386A7ED">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27A1319">
      <w:pPr>
        <w:pStyle w:val="134"/>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5FF35A5B">
      <w:pPr>
        <w:pStyle w:val="26"/>
        <w:spacing w:line="360" w:lineRule="auto"/>
        <w:ind w:left="478" w:hanging="479" w:hangingChars="199"/>
        <w:rPr>
          <w:rFonts w:cs="宋体"/>
          <w:b/>
          <w:color w:val="auto"/>
          <w:highlight w:val="none"/>
        </w:rPr>
      </w:pPr>
      <w:r>
        <w:rPr>
          <w:rFonts w:hint="eastAsia" w:cs="宋体"/>
          <w:b/>
          <w:color w:val="auto"/>
          <w:highlight w:val="none"/>
        </w:rPr>
        <w:t>26. 履约保证金</w:t>
      </w:r>
    </w:p>
    <w:p w14:paraId="430E7F11">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拟签订的合同文本要求中标供应商提交履约保证金的，供应商应当以金融机构、担保机构出具的保函形式提交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8D94150">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DE05788">
      <w:pPr>
        <w:pStyle w:val="2"/>
        <w:rPr>
          <w:color w:val="auto"/>
          <w:highlight w:val="none"/>
        </w:rPr>
      </w:pPr>
      <w:r>
        <w:rPr>
          <w:rFonts w:ascii="宋体" w:hAnsi="宋体" w:eastAsia="宋体"/>
          <w:color w:val="auto"/>
          <w:sz w:val="24"/>
          <w:highlight w:val="none"/>
          <w:lang w:val="en-US"/>
        </w:rPr>
        <w:t>27.预付款</w:t>
      </w:r>
    </w:p>
    <w:p w14:paraId="15526278">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7E68CC68">
      <w:pPr>
        <w:rPr>
          <w:color w:val="auto"/>
          <w:highlight w:val="none"/>
        </w:rPr>
      </w:pPr>
    </w:p>
    <w:p w14:paraId="071CFCD9">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45369A46">
      <w:pPr>
        <w:pStyle w:val="134"/>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22E54583">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4B3D0C6">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0E6F568">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4EFD6BBF">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4644AD5">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1ACC1575">
      <w:pPr>
        <w:pStyle w:val="134"/>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623DBB3">
      <w:pPr>
        <w:tabs>
          <w:tab w:val="left" w:pos="0"/>
        </w:tabs>
        <w:spacing w:line="360" w:lineRule="auto"/>
        <w:ind w:firstLine="480"/>
        <w:rPr>
          <w:rFonts w:ascii="宋体" w:hAnsi="宋体" w:cs="宋体"/>
          <w:color w:val="auto"/>
          <w:sz w:val="24"/>
          <w:highlight w:val="none"/>
        </w:rPr>
      </w:pPr>
    </w:p>
    <w:p w14:paraId="56C1BFC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23DF0E14">
      <w:pPr>
        <w:pStyle w:val="26"/>
        <w:spacing w:line="360" w:lineRule="auto"/>
        <w:ind w:firstLine="0" w:firstLineChars="0"/>
        <w:rPr>
          <w:rFonts w:cs="宋体"/>
          <w:b/>
          <w:color w:val="auto"/>
          <w:highlight w:val="none"/>
        </w:rPr>
      </w:pPr>
      <w:r>
        <w:rPr>
          <w:rFonts w:hint="eastAsia" w:cs="宋体"/>
          <w:b/>
          <w:color w:val="auto"/>
          <w:highlight w:val="none"/>
        </w:rPr>
        <w:t>30.验收</w:t>
      </w:r>
    </w:p>
    <w:p w14:paraId="7610215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CED1B8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6E69302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26CBE4A">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1674E449">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361" w:right="1474" w:bottom="1361" w:left="1474" w:header="851" w:footer="992" w:gutter="0"/>
          <w:pgBorders>
            <w:top w:val="none" w:sz="0" w:space="0"/>
            <w:left w:val="none" w:sz="0" w:space="0"/>
            <w:bottom w:val="none" w:sz="0" w:space="0"/>
            <w:right w:val="none" w:sz="0" w:space="0"/>
          </w:pgBorders>
          <w:cols w:space="720" w:num="1"/>
          <w:titlePg/>
          <w:docGrid w:linePitch="312" w:charSpace="0"/>
        </w:sectPr>
      </w:pPr>
      <w:bookmarkStart w:id="14" w:name="_Hlt75236011"/>
      <w:bookmarkEnd w:id="14"/>
      <w:bookmarkStart w:id="15" w:name="_Hlt75236101"/>
      <w:bookmarkEnd w:id="15"/>
      <w:bookmarkStart w:id="16" w:name="_Hlt68072990"/>
      <w:bookmarkEnd w:id="16"/>
      <w:bookmarkStart w:id="17" w:name="_Hlt68057669"/>
      <w:bookmarkEnd w:id="17"/>
      <w:bookmarkStart w:id="18" w:name="_Hlt68403820"/>
      <w:bookmarkEnd w:id="18"/>
      <w:bookmarkStart w:id="19" w:name="_Hlt74714665"/>
      <w:bookmarkEnd w:id="19"/>
      <w:bookmarkStart w:id="20" w:name="_Hlt68072998"/>
      <w:bookmarkEnd w:id="20"/>
      <w:bookmarkStart w:id="21" w:name="_Hlt68073093"/>
      <w:bookmarkEnd w:id="21"/>
      <w:bookmarkStart w:id="22" w:name="_Hlt74730295"/>
      <w:bookmarkEnd w:id="22"/>
      <w:bookmarkStart w:id="23" w:name="_Hlt74707468"/>
      <w:bookmarkEnd w:id="23"/>
      <w:bookmarkStart w:id="24" w:name="_Hlt74729768"/>
      <w:bookmarkEnd w:id="24"/>
      <w:bookmarkStart w:id="25" w:name="_Hlt75236290"/>
      <w:bookmarkEnd w:id="25"/>
    </w:p>
    <w:bookmarkEnd w:id="10"/>
    <w:bookmarkEnd w:id="11"/>
    <w:p w14:paraId="0DD7AAC1">
      <w:pPr>
        <w:spacing w:line="360" w:lineRule="auto"/>
        <w:jc w:val="center"/>
        <w:outlineLvl w:val="0"/>
        <w:rPr>
          <w:rFonts w:ascii="宋体" w:hAnsi="宋体" w:cs="宋体"/>
          <w:b/>
          <w:color w:val="auto"/>
          <w:sz w:val="36"/>
          <w:szCs w:val="36"/>
          <w:highlight w:val="none"/>
        </w:rPr>
      </w:pPr>
      <w:bookmarkStart w:id="26" w:name="第四部分"/>
      <w:r>
        <w:rPr>
          <w:rFonts w:hint="eastAsia" w:ascii="宋体" w:hAnsi="宋体" w:cs="宋体"/>
          <w:b/>
          <w:color w:val="auto"/>
          <w:sz w:val="36"/>
          <w:szCs w:val="36"/>
          <w:highlight w:val="none"/>
        </w:rPr>
        <w:t>第三部分   采购需求</w:t>
      </w:r>
    </w:p>
    <w:p w14:paraId="42676272">
      <w:pPr>
        <w:tabs>
          <w:tab w:val="left" w:pos="8280"/>
        </w:tabs>
        <w:autoSpaceDE w:val="0"/>
        <w:autoSpaceDN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一、招标一览表</w:t>
      </w:r>
    </w:p>
    <w:tbl>
      <w:tblPr>
        <w:tblStyle w:val="63"/>
        <w:tblW w:w="9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984"/>
        <w:gridCol w:w="660"/>
        <w:gridCol w:w="1185"/>
        <w:gridCol w:w="1470"/>
        <w:gridCol w:w="1890"/>
        <w:gridCol w:w="2172"/>
      </w:tblGrid>
      <w:tr w14:paraId="36DE5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8" w:hRule="atLeast"/>
        </w:trPr>
        <w:tc>
          <w:tcPr>
            <w:tcW w:w="523" w:type="dxa"/>
            <w:tcMar>
              <w:top w:w="15" w:type="dxa"/>
              <w:left w:w="15" w:type="dxa"/>
              <w:bottom w:w="0" w:type="dxa"/>
              <w:right w:w="15" w:type="dxa"/>
            </w:tcMar>
            <w:vAlign w:val="center"/>
          </w:tcPr>
          <w:p w14:paraId="7381DACD">
            <w:pPr>
              <w:tabs>
                <w:tab w:val="left" w:pos="0"/>
              </w:tabs>
              <w:adjustRightInd/>
              <w:spacing w:line="288"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984" w:type="dxa"/>
            <w:tcMar>
              <w:top w:w="15" w:type="dxa"/>
              <w:left w:w="15" w:type="dxa"/>
              <w:bottom w:w="0" w:type="dxa"/>
              <w:right w:w="15" w:type="dxa"/>
            </w:tcMar>
            <w:vAlign w:val="center"/>
          </w:tcPr>
          <w:p w14:paraId="3371E5BC">
            <w:pPr>
              <w:tabs>
                <w:tab w:val="left" w:pos="0"/>
              </w:tabs>
              <w:adjustRightInd/>
              <w:spacing w:line="288" w:lineRule="auto"/>
              <w:jc w:val="center"/>
              <w:rPr>
                <w:rFonts w:ascii="宋体" w:hAnsi="宋体" w:cs="宋体"/>
                <w:b/>
                <w:bCs/>
                <w:color w:val="auto"/>
                <w:sz w:val="24"/>
                <w:highlight w:val="none"/>
              </w:rPr>
            </w:pPr>
            <w:r>
              <w:rPr>
                <w:rFonts w:hint="eastAsia" w:ascii="宋体" w:hAnsi="宋体" w:cs="宋体"/>
                <w:b/>
                <w:bCs/>
                <w:color w:val="auto"/>
                <w:sz w:val="24"/>
                <w:highlight w:val="none"/>
              </w:rPr>
              <w:t>名称</w:t>
            </w:r>
          </w:p>
        </w:tc>
        <w:tc>
          <w:tcPr>
            <w:tcW w:w="660" w:type="dxa"/>
            <w:tcMar>
              <w:top w:w="15" w:type="dxa"/>
              <w:left w:w="15" w:type="dxa"/>
              <w:bottom w:w="0" w:type="dxa"/>
              <w:right w:w="15" w:type="dxa"/>
            </w:tcMar>
            <w:vAlign w:val="center"/>
          </w:tcPr>
          <w:p w14:paraId="2F74CBD6">
            <w:pPr>
              <w:tabs>
                <w:tab w:val="left" w:pos="0"/>
              </w:tabs>
              <w:adjustRightInd/>
              <w:spacing w:line="288" w:lineRule="auto"/>
              <w:jc w:val="center"/>
              <w:rPr>
                <w:rFonts w:ascii="宋体" w:hAnsi="宋体" w:cs="宋体"/>
                <w:b/>
                <w:bCs/>
                <w:color w:val="auto"/>
                <w:sz w:val="24"/>
                <w:highlight w:val="none"/>
              </w:rPr>
            </w:pPr>
            <w:r>
              <w:rPr>
                <w:rFonts w:hint="eastAsia" w:ascii="宋体" w:hAnsi="宋体" w:cs="宋体"/>
                <w:b/>
                <w:bCs/>
                <w:color w:val="auto"/>
                <w:sz w:val="24"/>
                <w:highlight w:val="none"/>
              </w:rPr>
              <w:t>数量</w:t>
            </w:r>
          </w:p>
        </w:tc>
        <w:tc>
          <w:tcPr>
            <w:tcW w:w="1185" w:type="dxa"/>
            <w:tcMar>
              <w:top w:w="15" w:type="dxa"/>
              <w:left w:w="15" w:type="dxa"/>
              <w:bottom w:w="0" w:type="dxa"/>
              <w:right w:w="15" w:type="dxa"/>
            </w:tcMar>
            <w:vAlign w:val="center"/>
          </w:tcPr>
          <w:p w14:paraId="6BFEB4DE">
            <w:pPr>
              <w:tabs>
                <w:tab w:val="left" w:pos="0"/>
              </w:tabs>
              <w:adjustRightInd/>
              <w:spacing w:line="288" w:lineRule="auto"/>
              <w:jc w:val="center"/>
              <w:rPr>
                <w:rFonts w:ascii="宋体" w:hAnsi="宋体" w:cs="宋体"/>
                <w:b/>
                <w:bCs/>
                <w:color w:val="auto"/>
                <w:sz w:val="24"/>
                <w:highlight w:val="none"/>
              </w:rPr>
            </w:pPr>
            <w:r>
              <w:rPr>
                <w:rFonts w:hint="eastAsia" w:ascii="宋体" w:hAnsi="宋体" w:cs="宋体"/>
                <w:b/>
                <w:bCs/>
                <w:color w:val="auto"/>
                <w:sz w:val="24"/>
                <w:highlight w:val="none"/>
              </w:rPr>
              <w:t>单位</w:t>
            </w:r>
          </w:p>
        </w:tc>
        <w:tc>
          <w:tcPr>
            <w:tcW w:w="1470" w:type="dxa"/>
            <w:vAlign w:val="center"/>
          </w:tcPr>
          <w:p w14:paraId="6E3F9C8A">
            <w:pPr>
              <w:tabs>
                <w:tab w:val="left" w:pos="0"/>
              </w:tabs>
              <w:adjustRightInd/>
              <w:spacing w:line="288" w:lineRule="auto"/>
              <w:jc w:val="center"/>
              <w:rPr>
                <w:rFonts w:ascii="宋体" w:hAnsi="宋体" w:cs="宋体"/>
                <w:b/>
                <w:bCs/>
                <w:color w:val="auto"/>
                <w:sz w:val="24"/>
                <w:highlight w:val="none"/>
              </w:rPr>
            </w:pPr>
            <w:r>
              <w:rPr>
                <w:rFonts w:hint="eastAsia" w:ascii="宋体" w:hAnsi="宋体" w:cs="宋体"/>
                <w:b/>
                <w:bCs/>
                <w:color w:val="auto"/>
                <w:sz w:val="24"/>
                <w:highlight w:val="none"/>
              </w:rPr>
              <w:t>预算（元）</w:t>
            </w:r>
          </w:p>
        </w:tc>
        <w:tc>
          <w:tcPr>
            <w:tcW w:w="1890" w:type="dxa"/>
            <w:vAlign w:val="center"/>
          </w:tcPr>
          <w:p w14:paraId="2BBE4617">
            <w:pPr>
              <w:tabs>
                <w:tab w:val="left" w:pos="0"/>
              </w:tabs>
              <w:adjustRightInd/>
              <w:spacing w:line="288" w:lineRule="auto"/>
              <w:jc w:val="center"/>
              <w:rPr>
                <w:rFonts w:ascii="宋体" w:hAnsi="宋体" w:cs="宋体"/>
                <w:b/>
                <w:bCs/>
                <w:color w:val="auto"/>
                <w:sz w:val="24"/>
                <w:highlight w:val="none"/>
              </w:rPr>
            </w:pPr>
            <w:r>
              <w:rPr>
                <w:rFonts w:hint="eastAsia" w:ascii="宋体" w:hAnsi="宋体" w:cs="宋体"/>
                <w:b/>
                <w:bCs/>
                <w:color w:val="auto"/>
                <w:sz w:val="24"/>
                <w:highlight w:val="none"/>
              </w:rPr>
              <w:t>简要规格描述或基本情况介绍</w:t>
            </w:r>
          </w:p>
        </w:tc>
        <w:tc>
          <w:tcPr>
            <w:tcW w:w="2172" w:type="dxa"/>
            <w:vAlign w:val="center"/>
          </w:tcPr>
          <w:p w14:paraId="77F60213">
            <w:pPr>
              <w:tabs>
                <w:tab w:val="left" w:pos="0"/>
              </w:tabs>
              <w:adjustRightInd/>
              <w:spacing w:line="288" w:lineRule="auto"/>
              <w:jc w:val="center"/>
              <w:rPr>
                <w:rFonts w:ascii="宋体" w:hAnsi="宋体" w:cs="宋体"/>
                <w:b/>
                <w:bCs/>
                <w:color w:val="auto"/>
                <w:sz w:val="24"/>
                <w:highlight w:val="none"/>
              </w:rPr>
            </w:pPr>
            <w:r>
              <w:rPr>
                <w:rFonts w:hint="eastAsia" w:ascii="宋体" w:hAnsi="宋体" w:cs="宋体"/>
                <w:b/>
                <w:bCs/>
                <w:color w:val="auto"/>
                <w:sz w:val="24"/>
                <w:highlight w:val="none"/>
              </w:rPr>
              <w:t>最高限价（元）</w:t>
            </w:r>
          </w:p>
        </w:tc>
      </w:tr>
      <w:tr w14:paraId="1A6F1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524CB2F6">
            <w:pPr>
              <w:tabs>
                <w:tab w:val="left" w:pos="0"/>
              </w:tabs>
              <w:adjustRightInd/>
              <w:spacing w:line="288"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984" w:type="dxa"/>
            <w:tcMar>
              <w:top w:w="15" w:type="dxa"/>
              <w:left w:w="15" w:type="dxa"/>
              <w:bottom w:w="0" w:type="dxa"/>
              <w:right w:w="15" w:type="dxa"/>
            </w:tcMar>
            <w:vAlign w:val="center"/>
          </w:tcPr>
          <w:p w14:paraId="5893DD92">
            <w:pPr>
              <w:adjustRightInd/>
              <w:spacing w:line="288" w:lineRule="auto"/>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新湾街道2025—2026年度治安巡逻防控第三方服务采购项目</w:t>
            </w:r>
          </w:p>
        </w:tc>
        <w:tc>
          <w:tcPr>
            <w:tcW w:w="660" w:type="dxa"/>
            <w:tcMar>
              <w:top w:w="15" w:type="dxa"/>
              <w:left w:w="15" w:type="dxa"/>
              <w:bottom w:w="0" w:type="dxa"/>
              <w:right w:w="15" w:type="dxa"/>
            </w:tcMar>
            <w:vAlign w:val="center"/>
          </w:tcPr>
          <w:p w14:paraId="19F69D7D">
            <w:pPr>
              <w:adjustRightInd/>
              <w:spacing w:line="288"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1185" w:type="dxa"/>
            <w:tcMar>
              <w:top w:w="15" w:type="dxa"/>
              <w:left w:w="15" w:type="dxa"/>
              <w:bottom w:w="0" w:type="dxa"/>
              <w:right w:w="15" w:type="dxa"/>
            </w:tcMar>
            <w:vAlign w:val="center"/>
          </w:tcPr>
          <w:p w14:paraId="73E553FE">
            <w:pPr>
              <w:adjustRightInd/>
              <w:spacing w:line="288"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项</w:t>
            </w:r>
          </w:p>
        </w:tc>
        <w:tc>
          <w:tcPr>
            <w:tcW w:w="1470" w:type="dxa"/>
            <w:vAlign w:val="center"/>
          </w:tcPr>
          <w:p w14:paraId="194C0EFF">
            <w:pPr>
              <w:adjustRightInd/>
              <w:spacing w:line="288" w:lineRule="auto"/>
              <w:jc w:val="center"/>
              <w:textAlignment w:val="center"/>
              <w:rPr>
                <w:rFonts w:ascii="宋体" w:hAnsi="宋体" w:cs="宋体"/>
                <w:color w:val="auto"/>
                <w:sz w:val="24"/>
                <w:highlight w:val="none"/>
              </w:rPr>
            </w:pPr>
            <w:r>
              <w:rPr>
                <w:rFonts w:hint="eastAsia" w:ascii="宋体" w:hAnsi="宋体" w:cs="宋体"/>
                <w:color w:val="auto"/>
                <w:sz w:val="24"/>
                <w:highlight w:val="none"/>
                <w:lang w:val="en-US" w:eastAsia="zh-CN"/>
              </w:rPr>
              <w:t>5300000.00</w:t>
            </w:r>
          </w:p>
        </w:tc>
        <w:tc>
          <w:tcPr>
            <w:tcW w:w="1890" w:type="dxa"/>
            <w:vAlign w:val="center"/>
          </w:tcPr>
          <w:p w14:paraId="2FE033FB">
            <w:pPr>
              <w:tabs>
                <w:tab w:val="left" w:pos="0"/>
              </w:tabs>
              <w:adjustRightInd/>
              <w:spacing w:line="288"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详见“二、服务内容和相关具体要求”</w:t>
            </w:r>
          </w:p>
        </w:tc>
        <w:tc>
          <w:tcPr>
            <w:tcW w:w="2172" w:type="dxa"/>
            <w:vAlign w:val="center"/>
          </w:tcPr>
          <w:p w14:paraId="59815B40">
            <w:pPr>
              <w:adjustRightInd/>
              <w:spacing w:line="288" w:lineRule="auto"/>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5300000.00</w:t>
            </w:r>
          </w:p>
        </w:tc>
      </w:tr>
    </w:tbl>
    <w:p w14:paraId="2843E263">
      <w:pPr>
        <w:rPr>
          <w:color w:val="auto"/>
          <w:highlight w:val="none"/>
        </w:rPr>
      </w:pPr>
    </w:p>
    <w:p w14:paraId="29004245">
      <w:pPr>
        <w:pStyle w:val="24"/>
        <w:numPr>
          <w:ilvl w:val="255"/>
          <w:numId w:val="0"/>
        </w:numPr>
        <w:ind w:firstLine="482" w:firstLineChars="200"/>
        <w:jc w:val="left"/>
        <w:outlineLvl w:val="2"/>
        <w:rPr>
          <w:rFonts w:hint="eastAsia" w:ascii="宋体" w:hAnsi="宋体" w:eastAsia="宋体" w:cs="宋体"/>
          <w:b/>
          <w:bCs/>
          <w:color w:val="auto"/>
          <w:kern w:val="0"/>
          <w:sz w:val="24"/>
          <w:szCs w:val="24"/>
          <w:highlight w:val="none"/>
        </w:rPr>
      </w:pPr>
      <w:r>
        <w:rPr>
          <w:rFonts w:hint="eastAsia" w:hAnsi="宋体" w:cs="宋体"/>
          <w:b/>
          <w:color w:val="auto"/>
          <w:highlight w:val="none"/>
        </w:rPr>
        <w:t>二、服务内容和</w:t>
      </w:r>
      <w:r>
        <w:rPr>
          <w:rFonts w:hint="eastAsia" w:hAnsi="宋体" w:cs="宋体"/>
          <w:b/>
          <w:bCs/>
          <w:color w:val="auto"/>
          <w:szCs w:val="24"/>
          <w:highlight w:val="none"/>
        </w:rPr>
        <w:t>相关</w:t>
      </w:r>
      <w:r>
        <w:rPr>
          <w:rFonts w:hint="eastAsia" w:hAnsi="宋体" w:cs="宋体"/>
          <w:b/>
          <w:bCs/>
          <w:color w:val="auto"/>
          <w:szCs w:val="24"/>
          <w:highlight w:val="none"/>
          <w:lang w:val="en-US"/>
        </w:rPr>
        <w:t>具体要求</w:t>
      </w:r>
    </w:p>
    <w:p w14:paraId="3E4BFFE4">
      <w:pPr>
        <w:widowControl/>
        <w:tabs>
          <w:tab w:val="left" w:pos="1212"/>
          <w:tab w:val="left" w:pos="3888"/>
        </w:tabs>
        <w:snapToGrid w:val="0"/>
        <w:spacing w:line="360" w:lineRule="auto"/>
        <w:ind w:firstLine="422"/>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rPr>
        <w:t>项目基本概述</w:t>
      </w:r>
    </w:p>
    <w:p w14:paraId="1C144B2B">
      <w:pPr>
        <w:widowControl/>
        <w:tabs>
          <w:tab w:val="left" w:pos="1212"/>
          <w:tab w:val="left" w:pos="3888"/>
        </w:tabs>
        <w:snapToGrid w:val="0"/>
        <w:spacing w:line="360" w:lineRule="auto"/>
        <w:ind w:firstLine="420"/>
        <w:jc w:val="left"/>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根据辖区经济发展和治安复杂形势带来的管理需求，需要继续采购</w:t>
      </w:r>
      <w:r>
        <w:rPr>
          <w:rFonts w:hint="eastAsia" w:ascii="宋体" w:hAnsi="宋体" w:cs="宋体"/>
          <w:color w:val="auto"/>
          <w:kern w:val="0"/>
          <w:sz w:val="24"/>
          <w:szCs w:val="24"/>
          <w:highlight w:val="none"/>
          <w:lang w:eastAsia="zh-CN"/>
        </w:rPr>
        <w:t>2025—2026</w:t>
      </w:r>
      <w:r>
        <w:rPr>
          <w:rFonts w:hint="default" w:ascii="宋体" w:hAnsi="宋体" w:eastAsia="宋体" w:cs="宋体"/>
          <w:color w:val="auto"/>
          <w:kern w:val="0"/>
          <w:sz w:val="24"/>
          <w:szCs w:val="24"/>
          <w:highlight w:val="none"/>
        </w:rPr>
        <w:t>年度治安巡逻防控第三方服务。</w:t>
      </w:r>
      <w:r>
        <w:rPr>
          <w:rFonts w:hint="eastAsia" w:ascii="宋体" w:hAnsi="宋体" w:eastAsia="宋体" w:cs="宋体"/>
          <w:color w:val="auto"/>
          <w:kern w:val="0"/>
          <w:sz w:val="24"/>
          <w:szCs w:val="24"/>
          <w:highlight w:val="none"/>
        </w:rPr>
        <w:t>为解决新湾辖区治安巡防力量薄弱的实际情况，新湾街道通过采取购买服务方式承担辖区巡逻防控任务，按照辖区现有的巡逻防控模式，在社会面分三个片区进行巡逻防控，分别为新湾东片区域、新湾西片区域、部队区域。</w:t>
      </w:r>
    </w:p>
    <w:p w14:paraId="59915EA1">
      <w:pPr>
        <w:widowControl/>
        <w:tabs>
          <w:tab w:val="left" w:pos="1212"/>
          <w:tab w:val="left" w:pos="3888"/>
        </w:tabs>
        <w:snapToGrid w:val="0"/>
        <w:spacing w:line="360" w:lineRule="auto"/>
        <w:ind w:firstLine="422"/>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rPr>
        <w:t>、特保岗位要求</w:t>
      </w:r>
    </w:p>
    <w:p w14:paraId="3DFEF2A7">
      <w:pPr>
        <w:widowControl/>
        <w:tabs>
          <w:tab w:val="left" w:pos="1212"/>
          <w:tab w:val="left" w:pos="3888"/>
        </w:tabs>
        <w:snapToGri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人员基本数量及配置</w:t>
      </w:r>
    </w:p>
    <w:p w14:paraId="1309D660">
      <w:pPr>
        <w:widowControl/>
        <w:tabs>
          <w:tab w:val="left" w:pos="1212"/>
          <w:tab w:val="left" w:pos="3888"/>
        </w:tabs>
        <w:snapToGrid w:val="0"/>
        <w:spacing w:line="360" w:lineRule="auto"/>
        <w:ind w:firstLine="42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本次</w:t>
      </w:r>
      <w:r>
        <w:rPr>
          <w:rFonts w:hint="eastAsia" w:ascii="宋体" w:hAnsi="宋体" w:eastAsia="宋体" w:cs="宋体"/>
          <w:color w:val="auto"/>
          <w:kern w:val="0"/>
          <w:sz w:val="24"/>
          <w:szCs w:val="24"/>
          <w:highlight w:val="none"/>
          <w:lang w:eastAsia="zh-CN"/>
        </w:rPr>
        <w:t>项目采购</w:t>
      </w:r>
      <w:r>
        <w:rPr>
          <w:rFonts w:hint="eastAsia" w:ascii="宋体" w:hAnsi="宋体" w:eastAsia="宋体" w:cs="宋体"/>
          <w:color w:val="auto"/>
          <w:kern w:val="0"/>
          <w:sz w:val="24"/>
          <w:szCs w:val="24"/>
          <w:highlight w:val="none"/>
        </w:rPr>
        <w:t>总人数需求：</w:t>
      </w:r>
      <w:r>
        <w:rPr>
          <w:rFonts w:hint="default" w:ascii="宋体" w:hAnsi="宋体" w:eastAsia="宋体" w:cs="宋体"/>
          <w:color w:val="auto"/>
          <w:kern w:val="0"/>
          <w:sz w:val="24"/>
          <w:szCs w:val="24"/>
          <w:highlight w:val="none"/>
        </w:rPr>
        <w:t>第三方服务采购项目先行派遣特保</w:t>
      </w:r>
      <w:r>
        <w:rPr>
          <w:rFonts w:hint="eastAsia" w:ascii="宋体" w:hAnsi="宋体" w:cs="宋体"/>
          <w:color w:val="auto"/>
          <w:kern w:val="0"/>
          <w:sz w:val="24"/>
          <w:szCs w:val="24"/>
          <w:highlight w:val="none"/>
          <w:lang w:val="en-US" w:eastAsia="zh-CN"/>
        </w:rPr>
        <w:t>不少于</w:t>
      </w:r>
      <w:r>
        <w:rPr>
          <w:rFonts w:hint="default"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val="en-US" w:eastAsia="zh-CN"/>
        </w:rPr>
        <w:t>7</w:t>
      </w:r>
      <w:r>
        <w:rPr>
          <w:rFonts w:hint="default" w:ascii="宋体" w:hAnsi="宋体" w:eastAsia="宋体" w:cs="宋体"/>
          <w:color w:val="auto"/>
          <w:kern w:val="0"/>
          <w:sz w:val="24"/>
          <w:szCs w:val="24"/>
          <w:highlight w:val="none"/>
        </w:rPr>
        <w:t>名，同时确定</w:t>
      </w:r>
      <w:r>
        <w:rPr>
          <w:rFonts w:hint="eastAsia" w:ascii="宋体" w:hAnsi="宋体" w:cs="宋体"/>
          <w:color w:val="auto"/>
          <w:kern w:val="0"/>
          <w:sz w:val="24"/>
          <w:szCs w:val="24"/>
          <w:highlight w:val="none"/>
          <w:lang w:val="en-US" w:eastAsia="zh-CN"/>
        </w:rPr>
        <w:t>不少于</w:t>
      </w:r>
      <w:r>
        <w:rPr>
          <w:rFonts w:hint="default" w:ascii="宋体" w:hAnsi="宋体" w:eastAsia="宋体" w:cs="宋体"/>
          <w:color w:val="auto"/>
          <w:kern w:val="0"/>
          <w:sz w:val="24"/>
          <w:szCs w:val="24"/>
          <w:highlight w:val="none"/>
        </w:rPr>
        <w:t>5名应急机动名额，应急机动名额原则上为街道编外人员离职，因各种原因无法及时得到补充造成管理能力不足时使用，即街道编外人员与第三方派驻特保采取动态互补，总量保持不变。</w:t>
      </w:r>
    </w:p>
    <w:p w14:paraId="34ECDBE1">
      <w:pPr>
        <w:widowControl/>
        <w:tabs>
          <w:tab w:val="left" w:pos="1212"/>
          <w:tab w:val="left" w:pos="3888"/>
        </w:tabs>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鉴于工作性质，所涉岗位配备专业特保人员。其中涉及到人员休息、轮岗、轮休的，由采购人制订相应排班表。</w:t>
      </w:r>
    </w:p>
    <w:p w14:paraId="34698D1D">
      <w:pPr>
        <w:widowControl/>
        <w:tabs>
          <w:tab w:val="left" w:pos="1212"/>
          <w:tab w:val="left" w:pos="3888"/>
        </w:tabs>
        <w:snapToGrid w:val="0"/>
        <w:spacing w:line="360" w:lineRule="auto"/>
        <w:ind w:firstLine="720" w:firstLineChars="3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应确保不影响采购人的实际服务需要。除正常休假人员外，确保不缺人、不缺岗。如缺岗按实际缺岗人数扣除当月劳务费（实际支付款项按具体岗位人员支付）。</w:t>
      </w:r>
    </w:p>
    <w:p w14:paraId="2D7939D9">
      <w:pPr>
        <w:widowControl/>
        <w:tabs>
          <w:tab w:val="left" w:pos="1212"/>
          <w:tab w:val="left" w:pos="3888"/>
        </w:tabs>
        <w:snapToGrid w:val="0"/>
        <w:spacing w:line="360" w:lineRule="auto"/>
        <w:ind w:firstLine="720" w:firstLineChars="3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中标后采购人有权根据实际情况对人员、岗位及时间安排作进一步的调整，中标</w:t>
      </w:r>
      <w:r>
        <w:rPr>
          <w:rFonts w:hint="eastAsia" w:ascii="宋体" w:hAnsi="宋体" w:eastAsia="宋体" w:cs="宋体"/>
          <w:color w:val="auto"/>
          <w:kern w:val="0"/>
          <w:sz w:val="24"/>
          <w:szCs w:val="24"/>
          <w:highlight w:val="none"/>
          <w:lang w:eastAsia="zh-CN"/>
        </w:rPr>
        <w:t>人</w:t>
      </w:r>
      <w:r>
        <w:rPr>
          <w:rFonts w:hint="eastAsia" w:ascii="宋体" w:hAnsi="宋体" w:eastAsia="宋体" w:cs="宋体"/>
          <w:color w:val="auto"/>
          <w:kern w:val="0"/>
          <w:sz w:val="24"/>
          <w:szCs w:val="24"/>
          <w:highlight w:val="none"/>
        </w:rPr>
        <w:t xml:space="preserve">不得拒绝。 </w:t>
      </w:r>
    </w:p>
    <w:p w14:paraId="639B52A9">
      <w:pPr>
        <w:widowControl/>
        <w:tabs>
          <w:tab w:val="left" w:pos="1212"/>
          <w:tab w:val="left" w:pos="3888"/>
        </w:tabs>
        <w:snapToGrid w:val="0"/>
        <w:spacing w:line="360" w:lineRule="auto"/>
        <w:ind w:firstLine="422"/>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rPr>
        <w:t>、服务要求</w:t>
      </w:r>
    </w:p>
    <w:p w14:paraId="6E2456FE">
      <w:pPr>
        <w:widowControl/>
        <w:tabs>
          <w:tab w:val="left" w:pos="1212"/>
          <w:tab w:val="left" w:pos="3888"/>
        </w:tabs>
        <w:snapToGri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中标人拟派遣特保人员须经</w:t>
      </w:r>
      <w:r>
        <w:rPr>
          <w:rFonts w:hint="eastAsia" w:ascii="宋体" w:hAnsi="宋体" w:eastAsia="宋体" w:cs="宋体"/>
          <w:color w:val="auto"/>
          <w:kern w:val="0"/>
          <w:sz w:val="24"/>
          <w:szCs w:val="24"/>
          <w:highlight w:val="none"/>
          <w:lang w:val="zh-CN"/>
        </w:rPr>
        <w:t>采购人</w:t>
      </w:r>
      <w:r>
        <w:rPr>
          <w:rFonts w:hint="eastAsia" w:ascii="宋体" w:hAnsi="宋体" w:eastAsia="宋体" w:cs="宋体"/>
          <w:color w:val="auto"/>
          <w:kern w:val="0"/>
          <w:sz w:val="24"/>
          <w:szCs w:val="24"/>
          <w:highlight w:val="none"/>
        </w:rPr>
        <w:t>确认，派遣</w:t>
      </w:r>
      <w:r>
        <w:rPr>
          <w:rFonts w:hint="eastAsia" w:ascii="宋体" w:hAnsi="宋体" w:eastAsia="宋体" w:cs="宋体"/>
          <w:color w:val="auto"/>
          <w:kern w:val="0"/>
          <w:sz w:val="24"/>
          <w:szCs w:val="24"/>
          <w:highlight w:val="none"/>
          <w:lang w:val="zh-CN"/>
        </w:rPr>
        <w:t>人员的名单</w:t>
      </w:r>
      <w:r>
        <w:rPr>
          <w:rFonts w:hint="eastAsia" w:ascii="宋体" w:hAnsi="宋体" w:eastAsia="宋体" w:cs="宋体"/>
          <w:color w:val="auto"/>
          <w:kern w:val="0"/>
          <w:sz w:val="24"/>
          <w:szCs w:val="24"/>
          <w:highlight w:val="none"/>
        </w:rPr>
        <w:t>确认后</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中标人须在</w:t>
      </w:r>
      <w:r>
        <w:rPr>
          <w:rFonts w:hint="eastAsia" w:ascii="宋体" w:hAnsi="宋体" w:eastAsia="宋体" w:cs="宋体"/>
          <w:color w:val="auto"/>
          <w:kern w:val="0"/>
          <w:sz w:val="24"/>
          <w:szCs w:val="24"/>
          <w:highlight w:val="none"/>
          <w:lang w:val="zh-CN"/>
        </w:rPr>
        <w:t>5个工作日内办理完毕劳动签订手续、派遣手续、人员变更手续、及时向采购人派遣。</w:t>
      </w:r>
    </w:p>
    <w:p w14:paraId="2DC010D2">
      <w:pPr>
        <w:widowControl/>
        <w:tabs>
          <w:tab w:val="left" w:pos="1212"/>
          <w:tab w:val="left" w:pos="3888"/>
        </w:tabs>
        <w:snapToGri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中标人须组织派遣人员进行派遣前的体检，费用由中标人承担。</w:t>
      </w:r>
    </w:p>
    <w:p w14:paraId="708048C2">
      <w:pPr>
        <w:widowControl/>
        <w:tabs>
          <w:tab w:val="left" w:pos="1212"/>
          <w:tab w:val="left" w:pos="3888"/>
        </w:tabs>
        <w:snapToGri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中标人应规范作业。相关人员配证上岗；执勤期内不做与执勤无关的事；须遵守相关行政执法部门的规章制度，执行相应的工作要求。</w:t>
      </w:r>
    </w:p>
    <w:p w14:paraId="086A15B1">
      <w:pPr>
        <w:widowControl/>
        <w:tabs>
          <w:tab w:val="left" w:pos="1212"/>
          <w:tab w:val="left" w:pos="3888"/>
        </w:tabs>
        <w:snapToGri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中标人必须采取切实有效措施保持特保队伍的稳定，严格控制非违纪人员轮换岗比例，合同期限内轮换岗特保人数不得超过合同编制的10%；项目负责人或特保队长更换，应提前一个月以书面形式通知采购人，其他队员更换要提前半个月告知采购人；确保服务质量不因人员变动而受影响。鉴于工作的特殊性，要求年服务人员变动率不得高</w:t>
      </w:r>
      <w:r>
        <w:rPr>
          <w:rFonts w:hint="eastAsia" w:ascii="宋体" w:hAnsi="宋体" w:eastAsia="宋体" w:cs="宋体"/>
          <w:color w:val="auto"/>
          <w:kern w:val="0"/>
          <w:sz w:val="24"/>
          <w:szCs w:val="24"/>
          <w:highlight w:val="none"/>
          <w:lang w:eastAsia="zh-CN"/>
        </w:rPr>
        <w:t>于</w:t>
      </w:r>
      <w:r>
        <w:rPr>
          <w:rFonts w:hint="eastAsia" w:ascii="宋体" w:hAnsi="宋体" w:eastAsia="宋体" w:cs="宋体"/>
          <w:color w:val="auto"/>
          <w:kern w:val="0"/>
          <w:sz w:val="24"/>
          <w:szCs w:val="24"/>
          <w:highlight w:val="none"/>
        </w:rPr>
        <w:t>30%。</w:t>
      </w:r>
    </w:p>
    <w:p w14:paraId="2B5BF2A2">
      <w:pPr>
        <w:widowControl/>
        <w:tabs>
          <w:tab w:val="left" w:pos="1212"/>
          <w:tab w:val="left" w:pos="3888"/>
        </w:tabs>
        <w:snapToGrid w:val="0"/>
        <w:spacing w:line="360" w:lineRule="auto"/>
        <w:ind w:firstLine="42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特保人员应聘、录用、离职等管理档案规范，手续齐全，相应资料必须报采购人备案。中标人须</w:t>
      </w:r>
      <w:r>
        <w:rPr>
          <w:rFonts w:hint="eastAsia" w:ascii="宋体" w:hAnsi="宋体" w:eastAsia="宋体" w:cs="宋体"/>
          <w:color w:val="auto"/>
          <w:kern w:val="0"/>
          <w:sz w:val="24"/>
          <w:szCs w:val="24"/>
          <w:highlight w:val="none"/>
          <w:lang w:val="zh-CN"/>
        </w:rPr>
        <w:t>给每个派遣员工建立一份档案，所有档案资料同时进行扫描电子存档，方便备查。完</w:t>
      </w:r>
      <w:r>
        <w:rPr>
          <w:rFonts w:hint="eastAsia" w:ascii="宋体" w:hAnsi="宋体" w:eastAsia="宋体" w:cs="宋体"/>
          <w:color w:val="auto"/>
          <w:kern w:val="0"/>
          <w:sz w:val="24"/>
          <w:szCs w:val="24"/>
          <w:highlight w:val="none"/>
        </w:rPr>
        <w:t>善</w:t>
      </w:r>
      <w:r>
        <w:rPr>
          <w:rFonts w:hint="eastAsia" w:ascii="宋体" w:hAnsi="宋体" w:eastAsia="宋体" w:cs="宋体"/>
          <w:color w:val="auto"/>
          <w:kern w:val="0"/>
          <w:sz w:val="24"/>
          <w:szCs w:val="24"/>
          <w:highlight w:val="none"/>
          <w:lang w:val="zh-CN"/>
        </w:rPr>
        <w:t>档案资料送寄体系，为全体</w:t>
      </w:r>
      <w:r>
        <w:rPr>
          <w:rFonts w:hint="eastAsia" w:ascii="宋体" w:hAnsi="宋体" w:eastAsia="宋体" w:cs="宋体"/>
          <w:color w:val="auto"/>
          <w:kern w:val="0"/>
          <w:sz w:val="24"/>
          <w:szCs w:val="24"/>
          <w:highlight w:val="none"/>
        </w:rPr>
        <w:t>派遣辅警员工</w:t>
      </w:r>
      <w:r>
        <w:rPr>
          <w:rFonts w:hint="eastAsia" w:ascii="宋体" w:hAnsi="宋体" w:eastAsia="宋体" w:cs="宋体"/>
          <w:color w:val="auto"/>
          <w:kern w:val="0"/>
          <w:sz w:val="24"/>
          <w:szCs w:val="24"/>
          <w:highlight w:val="none"/>
          <w:lang w:val="zh-CN"/>
        </w:rPr>
        <w:t>入、离职，特别是应届毕业生在校档案转递，打造一个便捷、安全、高效的寄递通道。</w:t>
      </w:r>
    </w:p>
    <w:p w14:paraId="73412949">
      <w:pPr>
        <w:autoSpaceDE w:val="0"/>
        <w:autoSpaceDN w:val="0"/>
        <w:spacing w:line="360" w:lineRule="auto"/>
        <w:ind w:firstLine="480" w:firstLineChars="200"/>
        <w:rPr>
          <w:rFonts w:hint="eastAsia" w:ascii="宋体" w:hAnsi="宋体" w:eastAsia="宋体" w:cs="宋体"/>
          <w:color w:val="auto"/>
          <w:kern w:val="0"/>
          <w:sz w:val="24"/>
          <w:szCs w:val="24"/>
          <w:highlight w:val="none"/>
          <w:lang w:val="zh-CN"/>
        </w:rPr>
      </w:pPr>
      <w:bookmarkStart w:id="27" w:name="_Hlk101795964"/>
      <w:bookmarkStart w:id="28" w:name="_Hlk101289781"/>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中标</w:t>
      </w:r>
      <w:r>
        <w:rPr>
          <w:rFonts w:hint="eastAsia" w:ascii="宋体" w:hAnsi="宋体" w:eastAsia="宋体" w:cs="宋体"/>
          <w:color w:val="auto"/>
          <w:kern w:val="0"/>
          <w:sz w:val="24"/>
          <w:szCs w:val="24"/>
          <w:highlight w:val="none"/>
          <w:lang w:val="zh-CN"/>
        </w:rPr>
        <w:t>人应确保及时、准确、妥善</w:t>
      </w:r>
      <w:r>
        <w:rPr>
          <w:rFonts w:hint="eastAsia" w:ascii="宋体" w:hAnsi="宋体" w:eastAsia="宋体" w:cs="宋体"/>
          <w:color w:val="auto"/>
          <w:kern w:val="0"/>
          <w:sz w:val="24"/>
          <w:szCs w:val="24"/>
          <w:highlight w:val="none"/>
        </w:rPr>
        <w:t>办理</w:t>
      </w:r>
      <w:r>
        <w:rPr>
          <w:rFonts w:hint="eastAsia" w:ascii="宋体" w:hAnsi="宋体" w:eastAsia="宋体" w:cs="宋体"/>
          <w:color w:val="auto"/>
          <w:kern w:val="0"/>
          <w:sz w:val="24"/>
          <w:szCs w:val="24"/>
          <w:highlight w:val="none"/>
          <w:lang w:val="zh-CN"/>
        </w:rPr>
        <w:t>派遣辅警员工的社保、</w:t>
      </w:r>
      <w:r>
        <w:rPr>
          <w:rFonts w:hint="eastAsia" w:ascii="宋体" w:hAnsi="宋体" w:eastAsia="宋体" w:cs="宋体"/>
          <w:color w:val="auto"/>
          <w:kern w:val="0"/>
          <w:sz w:val="24"/>
          <w:szCs w:val="24"/>
          <w:highlight w:val="none"/>
        </w:rPr>
        <w:t>医保</w:t>
      </w:r>
      <w:r>
        <w:rPr>
          <w:rFonts w:hint="eastAsia" w:ascii="宋体" w:hAnsi="宋体" w:eastAsia="宋体" w:cs="宋体"/>
          <w:color w:val="auto"/>
          <w:kern w:val="0"/>
          <w:sz w:val="24"/>
          <w:szCs w:val="24"/>
          <w:highlight w:val="none"/>
          <w:lang w:val="zh-CN"/>
        </w:rPr>
        <w:t>工作</w:t>
      </w:r>
      <w:r>
        <w:rPr>
          <w:rFonts w:hint="eastAsia" w:ascii="宋体" w:hAnsi="宋体" w:eastAsia="宋体" w:cs="宋体"/>
          <w:color w:val="auto"/>
          <w:kern w:val="0"/>
          <w:sz w:val="24"/>
          <w:szCs w:val="24"/>
          <w:highlight w:val="none"/>
        </w:rPr>
        <w:t>，单位缴纳部分费用由中标人承担。</w:t>
      </w:r>
    </w:p>
    <w:p w14:paraId="14CA7465">
      <w:pPr>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中标人须及时发放工资，不得拖欠、错发、漏发、重发等，采购人有权检查工资发放</w:t>
      </w:r>
      <w:r>
        <w:rPr>
          <w:rFonts w:hint="eastAsia" w:ascii="宋体" w:hAnsi="宋体" w:eastAsia="宋体" w:cs="宋体"/>
          <w:color w:val="auto"/>
          <w:kern w:val="0"/>
          <w:sz w:val="24"/>
          <w:szCs w:val="24"/>
          <w:highlight w:val="none"/>
          <w:lang w:val="en-US" w:eastAsia="zh-CN"/>
        </w:rPr>
        <w:t>情况</w:t>
      </w:r>
      <w:r>
        <w:rPr>
          <w:rFonts w:hint="eastAsia" w:ascii="宋体" w:hAnsi="宋体" w:eastAsia="宋体" w:cs="宋体"/>
          <w:color w:val="auto"/>
          <w:kern w:val="0"/>
          <w:sz w:val="24"/>
          <w:szCs w:val="24"/>
          <w:highlight w:val="none"/>
        </w:rPr>
        <w:t>。</w:t>
      </w:r>
    </w:p>
    <w:p w14:paraId="7200968C">
      <w:pPr>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被派遣特保人员在采购人工作期间出现工伤、职业病、死亡等事故的，由中标人依法申请认定工伤，采购人协助工伤认定的调查核实工作，所有损失和赔偿均由中标人自行承担。服务期间，如因中标人原因发生人身事故，由中标人承担全部责任，所产生费用由中标人全部承担；因中标人自身管理不善或使用不当造成的损失由中标人负责赔偿。</w:t>
      </w:r>
    </w:p>
    <w:p w14:paraId="3F5E9E49">
      <w:pPr>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中标人须做好节假日及重大活动的配合和保障工作。</w:t>
      </w:r>
    </w:p>
    <w:p w14:paraId="244D60B1">
      <w:pPr>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中标人须配合做好防汛抗台、抗雪防冻、疫情防控等突发事件应急处理工作，确保突发事件及时处置得当。</w:t>
      </w:r>
    </w:p>
    <w:bookmarkEnd w:id="27"/>
    <w:bookmarkEnd w:id="28"/>
    <w:p w14:paraId="3C738507">
      <w:pPr>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在服务期内采购人遇到突发事件时，中标人应无条件加班，服从采购人安排；一般情形下，应确保第一梯队不少于10人次能半小时内赶赴现场，第二梯队不少于20人次能1小时内赶赴现场保障到位。</w:t>
      </w:r>
    </w:p>
    <w:p w14:paraId="1AFBCA2E">
      <w:pPr>
        <w:widowControl/>
        <w:tabs>
          <w:tab w:val="left" w:pos="1212"/>
          <w:tab w:val="left" w:pos="3888"/>
        </w:tabs>
        <w:snapToGri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接到责任区域投拆电话和新闻舆论批评，中标人应在24小时内处理完毕和及时进行信息反馈。</w:t>
      </w:r>
    </w:p>
    <w:p w14:paraId="6A49E203">
      <w:pPr>
        <w:widowControl/>
        <w:tabs>
          <w:tab w:val="left" w:pos="1212"/>
          <w:tab w:val="left" w:pos="3888"/>
        </w:tabs>
        <w:snapToGri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rPr>
        <w:t>如采购人检查发现中标人提供的治安防控服务不符合标准要求，中标人应立即进行整改，直到符合要求为止。采购人可根据考核标准从履约保证金中扣除中标人因检查不合格而应该扣罚的款项（扣罚款项在签订合同时明确），中标人需在扣除款项后的5日内及时补足履约保证金。</w:t>
      </w:r>
    </w:p>
    <w:p w14:paraId="4F923A70">
      <w:pPr>
        <w:widowControl/>
        <w:tabs>
          <w:tab w:val="left" w:pos="1212"/>
          <w:tab w:val="left" w:pos="3888"/>
        </w:tabs>
        <w:snapToGrid w:val="0"/>
        <w:spacing w:line="360" w:lineRule="auto"/>
        <w:ind w:firstLine="422"/>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4</w:t>
      </w:r>
      <w:r>
        <w:rPr>
          <w:rFonts w:hint="eastAsia" w:ascii="宋体" w:hAnsi="宋体" w:eastAsia="宋体" w:cs="宋体"/>
          <w:b/>
          <w:bCs/>
          <w:color w:val="auto"/>
          <w:kern w:val="0"/>
          <w:sz w:val="24"/>
          <w:szCs w:val="24"/>
          <w:highlight w:val="none"/>
        </w:rPr>
        <w:t>、场地要求</w:t>
      </w:r>
    </w:p>
    <w:p w14:paraId="571092E1">
      <w:pPr>
        <w:widowControl/>
        <w:tabs>
          <w:tab w:val="left" w:pos="1212"/>
          <w:tab w:val="left" w:pos="3888"/>
        </w:tabs>
        <w:snapToGri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本项目相关办公场所由采购人提供，但办公用品及生活用品由中标人自行解决。</w:t>
      </w:r>
    </w:p>
    <w:p w14:paraId="0395EF56">
      <w:pPr>
        <w:widowControl/>
        <w:tabs>
          <w:tab w:val="left" w:pos="1212"/>
          <w:tab w:val="left" w:pos="3888"/>
        </w:tabs>
        <w:snapToGrid w:val="0"/>
        <w:spacing w:line="360" w:lineRule="auto"/>
        <w:ind w:firstLine="422"/>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rPr>
        <w:t>、人员要求</w:t>
      </w:r>
    </w:p>
    <w:p w14:paraId="51822C39">
      <w:pPr>
        <w:widowControl/>
        <w:tabs>
          <w:tab w:val="left" w:pos="1212"/>
          <w:tab w:val="left" w:pos="3888"/>
        </w:tabs>
        <w:snapToGri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人员素质：</w:t>
      </w:r>
    </w:p>
    <w:p w14:paraId="7765D0B5">
      <w:pPr>
        <w:widowControl/>
        <w:tabs>
          <w:tab w:val="left" w:pos="1212"/>
          <w:tab w:val="left" w:pos="3888"/>
        </w:tabs>
        <w:snapToGri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特保人员应知法，懂法，守法，依法办事，必须严格遵守从业规范，遵守相关部门的相关管理规定。</w:t>
      </w:r>
    </w:p>
    <w:p w14:paraId="79F922F2">
      <w:pPr>
        <w:widowControl/>
        <w:tabs>
          <w:tab w:val="left" w:pos="1212"/>
          <w:tab w:val="left" w:pos="3888"/>
        </w:tabs>
        <w:snapToGri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特保人员</w:t>
      </w:r>
      <w:r>
        <w:rPr>
          <w:rFonts w:hint="eastAsia" w:ascii="宋体" w:hAnsi="宋体" w:eastAsia="宋体" w:cs="宋体"/>
          <w:color w:val="auto"/>
          <w:kern w:val="0"/>
          <w:sz w:val="24"/>
          <w:szCs w:val="24"/>
          <w:highlight w:val="none"/>
          <w:lang w:eastAsia="zh-CN"/>
        </w:rPr>
        <w:t>原则上</w:t>
      </w:r>
      <w:r>
        <w:rPr>
          <w:rFonts w:hint="eastAsia" w:ascii="宋体" w:hAnsi="宋体" w:eastAsia="宋体" w:cs="宋体"/>
          <w:color w:val="auto"/>
          <w:kern w:val="0"/>
          <w:sz w:val="24"/>
          <w:szCs w:val="24"/>
          <w:highlight w:val="none"/>
        </w:rPr>
        <w:t>要求男性</w:t>
      </w:r>
      <w:r>
        <w:rPr>
          <w:rFonts w:hint="eastAsia" w:ascii="宋体" w:hAnsi="宋体" w:eastAsia="宋体" w:cs="宋体"/>
          <w:color w:val="auto"/>
          <w:kern w:val="0"/>
          <w:sz w:val="24"/>
          <w:szCs w:val="24"/>
          <w:highlight w:val="none"/>
          <w:lang w:eastAsia="zh-CN"/>
        </w:rPr>
        <w:t>，确因工作需要可适当安排一定比例的女性，</w:t>
      </w:r>
      <w:r>
        <w:rPr>
          <w:rFonts w:hint="eastAsia" w:ascii="宋体" w:hAnsi="宋体" w:eastAsia="宋体" w:cs="宋体"/>
          <w:color w:val="auto"/>
          <w:kern w:val="0"/>
          <w:sz w:val="24"/>
          <w:szCs w:val="24"/>
          <w:highlight w:val="none"/>
        </w:rPr>
        <w:t>身高 170CM及以上，年龄要求在20～40周岁（198</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年1月1日～200</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年12月31日期间出生）；身体健康，体貌端正；没有传染病及精神病等不能控制自己行为能力的疾病病史。</w:t>
      </w:r>
    </w:p>
    <w:p w14:paraId="3215ECED">
      <w:pPr>
        <w:widowControl/>
        <w:tabs>
          <w:tab w:val="left" w:pos="1212"/>
          <w:tab w:val="left" w:pos="3888"/>
        </w:tabs>
        <w:snapToGri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具有高中及以上文化程度，无违法犯罪记录。具有从事特保工作经验、退伍军人、党员等优先考虑。</w:t>
      </w:r>
    </w:p>
    <w:p w14:paraId="5E81244A">
      <w:pPr>
        <w:widowControl/>
        <w:tabs>
          <w:tab w:val="left" w:pos="1212"/>
          <w:tab w:val="left" w:pos="3888"/>
        </w:tabs>
        <w:snapToGri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所聘用的特保人员有吃苦耐劳的精神和高度的责任感，岗前需专门参加为期1个月左右的培训（培训不合格不得上岗），熟知采购人的相关管理规定，严格履行岗位职责，善于发现各类问题，具备一定的管理经验和处理突发事件能力。</w:t>
      </w:r>
    </w:p>
    <w:p w14:paraId="1664F993">
      <w:pPr>
        <w:widowControl/>
        <w:tabs>
          <w:tab w:val="left" w:pos="1212"/>
          <w:tab w:val="left" w:pos="3888"/>
        </w:tabs>
        <w:snapToGri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中标人必须在合同签订前提供所有特保人员的有效省公安厅颁发的《保安资格证》原件供采购人审核，并须经过杭州市公安局备案合格，如果中标人不能提供所有特保人员的有效《保安资格证》原件，或特保人员不能通过杭州市公安局备案，则采购人有权废除中标人的中标资格。</w:t>
      </w:r>
    </w:p>
    <w:p w14:paraId="5BB2AD8F">
      <w:pPr>
        <w:widowControl/>
        <w:tabs>
          <w:tab w:val="left" w:pos="1212"/>
          <w:tab w:val="left" w:pos="3888"/>
        </w:tabs>
        <w:snapToGri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所有特保人员必须专职为采购人服务，不得兼职</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具体工作岗位和勤务安排，全部服从采购人统一安排</w:t>
      </w:r>
      <w:r>
        <w:rPr>
          <w:rFonts w:hint="eastAsia" w:ascii="宋体" w:hAnsi="宋体" w:eastAsia="宋体" w:cs="宋体"/>
          <w:color w:val="auto"/>
          <w:kern w:val="0"/>
          <w:sz w:val="24"/>
          <w:szCs w:val="24"/>
          <w:highlight w:val="none"/>
        </w:rPr>
        <w:t>。</w:t>
      </w:r>
    </w:p>
    <w:p w14:paraId="38376816">
      <w:pPr>
        <w:widowControl/>
        <w:tabs>
          <w:tab w:val="left" w:pos="1212"/>
          <w:tab w:val="left" w:pos="3888"/>
        </w:tabs>
        <w:snapToGrid w:val="0"/>
        <w:spacing w:line="360" w:lineRule="auto"/>
        <w:ind w:firstLine="42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（7）中标人所提供特保人员均需经过采购人的综合考察后方能入职。</w:t>
      </w:r>
    </w:p>
    <w:p w14:paraId="24BB8284">
      <w:pPr>
        <w:widowControl/>
        <w:tabs>
          <w:tab w:val="left" w:pos="1212"/>
          <w:tab w:val="left" w:pos="3888"/>
        </w:tabs>
        <w:snapToGrid w:val="0"/>
        <w:spacing w:line="360" w:lineRule="auto"/>
        <w:ind w:firstLine="422"/>
        <w:jc w:val="left"/>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6</w:t>
      </w:r>
      <w:r>
        <w:rPr>
          <w:rFonts w:hint="eastAsia" w:ascii="宋体" w:hAnsi="宋体" w:eastAsia="宋体" w:cs="宋体"/>
          <w:b/>
          <w:bCs/>
          <w:color w:val="auto"/>
          <w:kern w:val="0"/>
          <w:sz w:val="24"/>
          <w:szCs w:val="24"/>
          <w:highlight w:val="none"/>
        </w:rPr>
        <w:t>、其他要求</w:t>
      </w:r>
    </w:p>
    <w:p w14:paraId="3FBAC84E">
      <w:pPr>
        <w:widowControl/>
        <w:tabs>
          <w:tab w:val="left" w:pos="1212"/>
          <w:tab w:val="left" w:pos="3888"/>
        </w:tabs>
        <w:snapToGri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应考虑企业自身实力、经验及项目实施过程中的各种因素，根据采购要求，详细说明所能提供的各项具体服务内容，自主确定报价，实行综合单价包干，并按服务的内容分别独立报价并提供报价组成与成本分析。</w:t>
      </w:r>
    </w:p>
    <w:p w14:paraId="4CFB7F56">
      <w:pPr>
        <w:widowControl/>
        <w:tabs>
          <w:tab w:val="left" w:pos="1212"/>
          <w:tab w:val="left" w:pos="3888"/>
        </w:tabs>
        <w:snapToGri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的报价应包括为完成本项目服务可能发生的全部费用及</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的利润和应交纳的税金等（包括人员工资、人员福利津贴、交通工具费用、各种社会保险、人员食宿与交通、办公费等）。</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对合同内容的费用、质量、安全、文明服务等实行全面承包。</w:t>
      </w:r>
    </w:p>
    <w:p w14:paraId="66B1A925">
      <w:pPr>
        <w:widowControl/>
        <w:tabs>
          <w:tab w:val="left" w:pos="1212"/>
          <w:tab w:val="left" w:pos="3888"/>
        </w:tabs>
        <w:snapToGrid w:val="0"/>
        <w:spacing w:line="360" w:lineRule="auto"/>
        <w:ind w:firstLine="42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eastAsia="zh-CN"/>
        </w:rPr>
        <w:t>）</w:t>
      </w:r>
      <w:bookmarkStart w:id="29" w:name="_Hlk101289826"/>
      <w:r>
        <w:rPr>
          <w:rFonts w:hint="eastAsia" w:ascii="宋体" w:hAnsi="宋体" w:eastAsia="宋体" w:cs="宋体"/>
          <w:color w:val="auto"/>
          <w:kern w:val="0"/>
          <w:sz w:val="24"/>
          <w:szCs w:val="24"/>
          <w:highlight w:val="none"/>
          <w:lang w:val="en-US" w:eastAsia="zh-CN"/>
        </w:rPr>
        <w:t>如遇政府政策性调整，</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en-US" w:eastAsia="zh-CN"/>
        </w:rPr>
        <w:t>需要缩减派遣人员数量的，中标单位必须无条件服从配合，对于缩减部分人员，由中标单位统一落实其他岗位安置，或直接解除劳动关系</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原合同约定的中标价格，按照实际派遣的队员数量同步作调整。</w:t>
      </w:r>
    </w:p>
    <w:p w14:paraId="1BD5AD32">
      <w:pPr>
        <w:widowControl/>
        <w:tabs>
          <w:tab w:val="left" w:pos="1212"/>
          <w:tab w:val="left" w:pos="3888"/>
        </w:tabs>
        <w:snapToGrid w:val="0"/>
        <w:spacing w:line="360" w:lineRule="auto"/>
        <w:ind w:firstLine="42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rPr>
        <w:t>招标人保留在签约时微调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且不高于分散采购限额标准。</w:t>
      </w:r>
    </w:p>
    <w:bookmarkEnd w:id="29"/>
    <w:p w14:paraId="1E7BADEA">
      <w:pPr>
        <w:widowControl/>
        <w:tabs>
          <w:tab w:val="left" w:pos="1212"/>
          <w:tab w:val="left" w:pos="3888"/>
        </w:tabs>
        <w:snapToGrid w:val="0"/>
        <w:spacing w:line="360" w:lineRule="auto"/>
        <w:ind w:firstLine="422"/>
        <w:jc w:val="left"/>
        <w:rPr>
          <w:rFonts w:hint="eastAsia" w:ascii="宋体" w:hAnsi="宋体" w:eastAsia="宋体" w:cs="宋体"/>
          <w:b/>
          <w:bCs/>
          <w:color w:val="auto"/>
          <w:kern w:val="0"/>
          <w:sz w:val="24"/>
          <w:szCs w:val="24"/>
          <w:highlight w:val="none"/>
          <w:lang w:val="zh-CN"/>
        </w:rPr>
      </w:pPr>
      <w:r>
        <w:rPr>
          <w:rFonts w:hint="eastAsia" w:ascii="宋体" w:hAnsi="宋体" w:cs="宋体"/>
          <w:b/>
          <w:bCs/>
          <w:color w:val="auto"/>
          <w:kern w:val="0"/>
          <w:sz w:val="24"/>
          <w:szCs w:val="24"/>
          <w:highlight w:val="none"/>
          <w:lang w:val="en-US" w:eastAsia="zh-CN"/>
        </w:rPr>
        <w:t>7</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zh-CN"/>
        </w:rPr>
        <w:t>合同执行约束</w:t>
      </w:r>
    </w:p>
    <w:p w14:paraId="60BD06F7">
      <w:pPr>
        <w:widowControl/>
        <w:tabs>
          <w:tab w:val="left" w:pos="1212"/>
          <w:tab w:val="left" w:pos="3888"/>
        </w:tabs>
        <w:snapToGri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采购人可以不定期组织检查根据考核要求对中标人服务质量进行考核，中标人</w:t>
      </w:r>
      <w:r>
        <w:rPr>
          <w:rFonts w:hint="eastAsia" w:ascii="宋体" w:hAnsi="宋体" w:eastAsia="宋体" w:cs="宋体"/>
          <w:color w:val="auto"/>
          <w:kern w:val="0"/>
          <w:sz w:val="24"/>
          <w:szCs w:val="24"/>
          <w:highlight w:val="none"/>
          <w:lang w:val="zh-CN"/>
        </w:rPr>
        <w:t>须无条件接受</w:t>
      </w:r>
      <w:r>
        <w:rPr>
          <w:rFonts w:hint="eastAsia" w:ascii="宋体" w:hAnsi="宋体" w:eastAsia="宋体" w:cs="宋体"/>
          <w:color w:val="auto"/>
          <w:kern w:val="0"/>
          <w:sz w:val="24"/>
          <w:szCs w:val="24"/>
          <w:highlight w:val="none"/>
        </w:rPr>
        <w:t>采购人</w:t>
      </w:r>
      <w:r>
        <w:rPr>
          <w:rFonts w:hint="eastAsia" w:ascii="宋体" w:hAnsi="宋体" w:eastAsia="宋体" w:cs="宋体"/>
          <w:color w:val="auto"/>
          <w:kern w:val="0"/>
          <w:sz w:val="24"/>
          <w:szCs w:val="24"/>
          <w:highlight w:val="none"/>
          <w:lang w:val="zh-CN"/>
        </w:rPr>
        <w:t>的检查，采购人有权根据考核结果对</w:t>
      </w:r>
      <w:r>
        <w:rPr>
          <w:rFonts w:hint="eastAsia" w:ascii="宋体" w:hAnsi="宋体" w:eastAsia="宋体" w:cs="宋体"/>
          <w:color w:val="auto"/>
          <w:kern w:val="0"/>
          <w:sz w:val="24"/>
          <w:szCs w:val="24"/>
          <w:highlight w:val="none"/>
        </w:rPr>
        <w:t>中标人</w:t>
      </w:r>
      <w:r>
        <w:rPr>
          <w:rFonts w:hint="eastAsia" w:ascii="宋体" w:hAnsi="宋体" w:eastAsia="宋体" w:cs="宋体"/>
          <w:color w:val="auto"/>
          <w:kern w:val="0"/>
          <w:sz w:val="24"/>
          <w:szCs w:val="24"/>
          <w:highlight w:val="none"/>
          <w:lang w:val="zh-CN"/>
        </w:rPr>
        <w:t>进行处罚。具体</w:t>
      </w:r>
      <w:r>
        <w:rPr>
          <w:rFonts w:hint="eastAsia" w:ascii="宋体" w:hAnsi="宋体" w:eastAsia="宋体" w:cs="宋体"/>
          <w:color w:val="auto"/>
          <w:kern w:val="0"/>
          <w:sz w:val="24"/>
          <w:szCs w:val="24"/>
          <w:highlight w:val="none"/>
        </w:rPr>
        <w:t>考核</w:t>
      </w:r>
      <w:r>
        <w:rPr>
          <w:rFonts w:hint="eastAsia" w:ascii="宋体" w:hAnsi="宋体" w:eastAsia="宋体" w:cs="宋体"/>
          <w:color w:val="auto"/>
          <w:kern w:val="0"/>
          <w:sz w:val="24"/>
          <w:szCs w:val="24"/>
          <w:highlight w:val="none"/>
          <w:lang w:val="zh-CN"/>
        </w:rPr>
        <w:t>条例在中标后由</w:t>
      </w:r>
      <w:r>
        <w:rPr>
          <w:rFonts w:hint="eastAsia" w:ascii="宋体" w:hAnsi="宋体" w:eastAsia="宋体" w:cs="宋体"/>
          <w:color w:val="auto"/>
          <w:kern w:val="0"/>
          <w:sz w:val="24"/>
          <w:szCs w:val="24"/>
          <w:highlight w:val="none"/>
        </w:rPr>
        <w:t>双方</w:t>
      </w:r>
      <w:r>
        <w:rPr>
          <w:rFonts w:hint="eastAsia" w:ascii="宋体" w:hAnsi="宋体" w:eastAsia="宋体" w:cs="宋体"/>
          <w:color w:val="auto"/>
          <w:kern w:val="0"/>
          <w:sz w:val="24"/>
          <w:szCs w:val="24"/>
          <w:highlight w:val="none"/>
          <w:lang w:val="zh-CN"/>
        </w:rPr>
        <w:t>进行商谈确定。</w:t>
      </w:r>
    </w:p>
    <w:p w14:paraId="2211929F">
      <w:pPr>
        <w:widowControl/>
        <w:tabs>
          <w:tab w:val="left" w:pos="1212"/>
          <w:tab w:val="left" w:pos="3888"/>
        </w:tabs>
        <w:snapToGrid w:val="0"/>
        <w:spacing w:line="360" w:lineRule="auto"/>
        <w:ind w:firstLine="422"/>
        <w:jc w:val="left"/>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三</w:t>
      </w:r>
      <w:r>
        <w:rPr>
          <w:rFonts w:hint="eastAsia" w:ascii="宋体" w:hAnsi="宋体" w:eastAsia="宋体" w:cs="宋体"/>
          <w:b/>
          <w:bCs/>
          <w:color w:val="auto"/>
          <w:kern w:val="0"/>
          <w:sz w:val="24"/>
          <w:szCs w:val="24"/>
          <w:highlight w:val="none"/>
        </w:rPr>
        <w:t>、付款方式</w:t>
      </w:r>
      <w:r>
        <w:rPr>
          <w:rFonts w:hint="eastAsia" w:ascii="宋体" w:hAnsi="宋体" w:eastAsia="宋体" w:cs="宋体"/>
          <w:b/>
          <w:bCs/>
          <w:color w:val="auto"/>
          <w:kern w:val="0"/>
          <w:sz w:val="24"/>
          <w:szCs w:val="24"/>
          <w:highlight w:val="none"/>
          <w:lang w:eastAsia="zh-CN"/>
        </w:rPr>
        <w:t>及条件</w:t>
      </w:r>
    </w:p>
    <w:p w14:paraId="494BC174">
      <w:pPr>
        <w:widowControl/>
        <w:tabs>
          <w:tab w:val="left" w:pos="1212"/>
          <w:tab w:val="left" w:pos="3888"/>
        </w:tabs>
        <w:snapToGrid w:val="0"/>
        <w:spacing w:line="360" w:lineRule="auto"/>
        <w:ind w:firstLine="420"/>
        <w:jc w:val="left"/>
        <w:rPr>
          <w:rFonts w:hint="eastAsia" w:ascii="宋体" w:hAnsi="宋体" w:eastAsia="宋体" w:cs="宋体"/>
          <w:color w:val="auto"/>
          <w:kern w:val="0"/>
          <w:sz w:val="24"/>
          <w:szCs w:val="24"/>
          <w:highlight w:val="none"/>
          <w:lang w:eastAsia="zh-CN"/>
        </w:rPr>
      </w:pPr>
      <w:bookmarkStart w:id="30" w:name="_Hlk101371425"/>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）付款方式</w:t>
      </w:r>
    </w:p>
    <w:p w14:paraId="0208399F">
      <w:pPr>
        <w:widowControl/>
        <w:tabs>
          <w:tab w:val="left" w:pos="1212"/>
          <w:tab w:val="left" w:pos="3888"/>
        </w:tabs>
        <w:snapToGrid w:val="0"/>
        <w:spacing w:line="360" w:lineRule="auto"/>
        <w:ind w:firstLine="42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①合同签订后</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eastAsia="zh-CN"/>
        </w:rPr>
        <w:t>个工作日内，中标人须向采购人支付中标金额的1%作为履约保证金；履约保证金的交付方式：金融机构、担保机构出具的保函。</w:t>
      </w:r>
    </w:p>
    <w:p w14:paraId="69D9A890">
      <w:pPr>
        <w:widowControl/>
        <w:tabs>
          <w:tab w:val="left" w:pos="1212"/>
          <w:tab w:val="left" w:pos="3888"/>
        </w:tabs>
        <w:snapToGri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②</w:t>
      </w:r>
      <w:r>
        <w:rPr>
          <w:rFonts w:hint="eastAsia" w:ascii="宋体" w:hAnsi="宋体" w:eastAsia="宋体" w:cs="宋体"/>
          <w:color w:val="auto"/>
          <w:kern w:val="0"/>
          <w:sz w:val="24"/>
          <w:szCs w:val="24"/>
          <w:highlight w:val="none"/>
        </w:rPr>
        <w:t>合同生效且具备实施条件后</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个工作日内，采购人向中标人支付合同金额的</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%作为预付款。</w:t>
      </w:r>
    </w:p>
    <w:p w14:paraId="18B6E12D">
      <w:pPr>
        <w:widowControl/>
        <w:tabs>
          <w:tab w:val="left" w:pos="1212"/>
          <w:tab w:val="left" w:pos="3888"/>
        </w:tabs>
        <w:snapToGri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③</w:t>
      </w:r>
      <w:r>
        <w:rPr>
          <w:rFonts w:hint="eastAsia" w:ascii="宋体" w:hAnsi="宋体" w:eastAsia="宋体" w:cs="宋体"/>
          <w:color w:val="auto"/>
          <w:kern w:val="0"/>
          <w:sz w:val="24"/>
          <w:szCs w:val="24"/>
          <w:highlight w:val="none"/>
        </w:rPr>
        <w:t>合同款按每季度支付（在下季度的首月支付上一季度服务费用），服务期结束且权利义务清算完毕后，采购人无息退还剩余履约保证金。</w:t>
      </w:r>
      <w:bookmarkEnd w:id="30"/>
    </w:p>
    <w:p w14:paraId="7C696792">
      <w:pPr>
        <w:widowControl/>
        <w:tabs>
          <w:tab w:val="left" w:pos="1212"/>
          <w:tab w:val="left" w:pos="3888"/>
        </w:tabs>
        <w:snapToGrid w:val="0"/>
        <w:spacing w:line="360" w:lineRule="auto"/>
        <w:ind w:firstLine="420"/>
        <w:jc w:val="left"/>
        <w:rPr>
          <w:rFonts w:ascii="宋体" w:hAnsi="宋体" w:cs="宋体"/>
          <w:color w:val="auto"/>
          <w:kern w:val="0"/>
          <w:sz w:val="24"/>
          <w:highlight w:val="none"/>
        </w:rPr>
      </w:pPr>
      <w:r>
        <w:rPr>
          <w:rFonts w:ascii="宋体" w:hAnsi="宋体" w:eastAsia="宋体" w:cs="宋体"/>
          <w:color w:val="auto"/>
          <w:kern w:val="0"/>
          <w:sz w:val="24"/>
          <w:szCs w:val="24"/>
          <w:highlight w:val="none"/>
          <w:lang w:val="en-US" w:eastAsia="zh-CN" w:bidi="ar-SA"/>
        </w:rPr>
        <w:t>（2）</w:t>
      </w:r>
      <w:r>
        <w:rPr>
          <w:rFonts w:hint="eastAsia" w:ascii="宋体" w:hAnsi="宋体" w:cs="宋体"/>
          <w:color w:val="auto"/>
          <w:kern w:val="0"/>
          <w:sz w:val="24"/>
          <w:highlight w:val="none"/>
        </w:rPr>
        <w:t>付款条件</w:t>
      </w:r>
    </w:p>
    <w:p w14:paraId="45BDCB18">
      <w:pPr>
        <w:tabs>
          <w:tab w:val="left" w:pos="0"/>
        </w:tabs>
        <w:adjustRightInd/>
        <w:snapToGrid w:val="0"/>
        <w:spacing w:line="360" w:lineRule="auto"/>
        <w:ind w:firstLine="480" w:firstLineChars="200"/>
        <w:jc w:val="left"/>
        <w:outlineLvl w:val="1"/>
        <w:rPr>
          <w:rFonts w:ascii="宋体" w:hAnsi="宋体" w:cs="宋体"/>
          <w:color w:val="auto"/>
          <w:kern w:val="0"/>
          <w:sz w:val="24"/>
          <w:highlight w:val="none"/>
        </w:rPr>
      </w:pPr>
      <w:r>
        <w:rPr>
          <w:rFonts w:hint="eastAsia" w:ascii="宋体" w:hAnsi="宋体" w:cs="宋体"/>
          <w:color w:val="auto"/>
          <w:kern w:val="0"/>
          <w:sz w:val="24"/>
          <w:highlight w:val="none"/>
        </w:rPr>
        <w:t>①甲方在收到乙方开具的符合法律法规规定发票后，以转账支付的方式，支付给乙方服务费。乙方逾期开具发票或开具的发票不符合甲方要求的，甲方有权延迟付款时间，且该行为不视为违约。</w:t>
      </w:r>
    </w:p>
    <w:p w14:paraId="449C9A2A">
      <w:pPr>
        <w:tabs>
          <w:tab w:val="left" w:pos="0"/>
        </w:tabs>
        <w:adjustRightInd/>
        <w:snapToGrid w:val="0"/>
        <w:spacing w:line="360" w:lineRule="auto"/>
        <w:ind w:firstLine="480" w:firstLineChars="200"/>
        <w:jc w:val="left"/>
        <w:outlineLvl w:val="1"/>
        <w:rPr>
          <w:rFonts w:ascii="宋体" w:hAnsi="宋体" w:cs="宋体"/>
          <w:color w:val="auto"/>
          <w:kern w:val="0"/>
          <w:sz w:val="24"/>
          <w:highlight w:val="none"/>
        </w:rPr>
      </w:pPr>
      <w:r>
        <w:rPr>
          <w:rFonts w:hint="eastAsia" w:ascii="宋体" w:hAnsi="宋体" w:cs="宋体"/>
          <w:color w:val="auto"/>
          <w:kern w:val="0"/>
          <w:sz w:val="24"/>
          <w:highlight w:val="none"/>
        </w:rPr>
        <w:t>②在签订合同时，乙方明确表示无需预付款或者主动要求降低预付款比例的，甲方可不适用上述（1）第①项预付款的规定。</w:t>
      </w:r>
    </w:p>
    <w:p w14:paraId="4F66EBFC">
      <w:pPr>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3.</w:t>
      </w:r>
      <w:r>
        <w:rPr>
          <w:rFonts w:hint="eastAsia" w:asciiTheme="minorEastAsia" w:hAnsiTheme="minorEastAsia" w:eastAsiaTheme="minorEastAsia" w:cstheme="minorEastAsia"/>
          <w:b/>
          <w:bCs/>
          <w:color w:val="auto"/>
          <w:sz w:val="24"/>
          <w:szCs w:val="24"/>
          <w:highlight w:val="none"/>
        </w:rPr>
        <w:t>结算：</w:t>
      </w:r>
      <w:r>
        <w:rPr>
          <w:rFonts w:hint="eastAsia" w:ascii="宋体" w:hAnsi="宋体" w:cs="宋体"/>
          <w:b/>
          <w:snapToGrid w:val="0"/>
          <w:color w:val="auto"/>
          <w:kern w:val="0"/>
          <w:sz w:val="24"/>
          <w:highlight w:val="none"/>
          <w:lang w:val="en-US" w:eastAsia="zh-CN"/>
        </w:rPr>
        <w:t>特保人员实际用工数量如有增减，根据人员综合单价按实结算。</w:t>
      </w:r>
    </w:p>
    <w:p w14:paraId="46B6BF47">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highlight w:val="none"/>
          <w:lang w:eastAsia="zh-CN"/>
        </w:rPr>
        <w:t>四、</w:t>
      </w:r>
      <w:r>
        <w:rPr>
          <w:rFonts w:hint="eastAsia" w:ascii="宋体" w:hAnsi="宋体" w:eastAsia="宋体" w:cs="宋体"/>
          <w:b/>
          <w:bCs/>
          <w:color w:val="auto"/>
          <w:sz w:val="24"/>
          <w:highlight w:val="none"/>
        </w:rPr>
        <w:t>履行合同的时间、地点</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解决争议的方式</w:t>
      </w:r>
    </w:p>
    <w:p w14:paraId="595985A7">
      <w:pPr>
        <w:pStyle w:val="725"/>
        <w:adjustRightInd/>
        <w:snapToGrid/>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1、合同履行期限：</w:t>
      </w:r>
      <w:r>
        <w:rPr>
          <w:rFonts w:hint="eastAsia" w:ascii="宋体" w:hAnsi="宋体" w:eastAsia="宋体" w:cs="宋体"/>
          <w:color w:val="auto"/>
          <w:szCs w:val="24"/>
          <w:highlight w:val="none"/>
          <w:lang w:eastAsia="zh-CN"/>
        </w:rPr>
        <w:t>1年（具体以合同签订时间为准）</w:t>
      </w:r>
    </w:p>
    <w:p w14:paraId="469D6019">
      <w:pPr>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2、合同履行地点：采购人指定地点</w:t>
      </w:r>
    </w:p>
    <w:p w14:paraId="4D2733B7">
      <w:pPr>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3、解决争议的方式</w:t>
      </w:r>
    </w:p>
    <w:p w14:paraId="1C894BBE">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SA"/>
        </w:rPr>
        <w:t>因履行本合同发生争议的，应双方友好协调解决。无法协商解决的，任何一方均可向合同履行地人民法院提起诉讼。</w:t>
      </w:r>
    </w:p>
    <w:p w14:paraId="053591C8">
      <w:pPr>
        <w:adjustRightInd/>
        <w:spacing w:line="360" w:lineRule="auto"/>
        <w:ind w:firstLine="482" w:firstLineChars="200"/>
        <w:jc w:val="left"/>
        <w:outlineLvl w:val="2"/>
        <w:rPr>
          <w:rFonts w:ascii="宋体" w:hAnsi="宋体" w:cs="宋体"/>
          <w:b/>
          <w:bCs/>
          <w:color w:val="auto"/>
          <w:kern w:val="0"/>
          <w:sz w:val="24"/>
          <w:highlight w:val="none"/>
        </w:rPr>
      </w:pPr>
      <w:r>
        <w:rPr>
          <w:rFonts w:hint="eastAsia" w:ascii="宋体" w:hAnsi="宋体" w:cs="宋体"/>
          <w:b/>
          <w:bCs/>
          <w:color w:val="auto"/>
          <w:kern w:val="0"/>
          <w:sz w:val="24"/>
          <w:highlight w:val="none"/>
          <w:lang w:eastAsia="zh-CN"/>
        </w:rPr>
        <w:t>五</w:t>
      </w:r>
      <w:r>
        <w:rPr>
          <w:rFonts w:hint="eastAsia" w:ascii="宋体" w:hAnsi="宋体" w:cs="宋体"/>
          <w:b/>
          <w:bCs/>
          <w:color w:val="auto"/>
          <w:kern w:val="0"/>
          <w:sz w:val="24"/>
          <w:highlight w:val="none"/>
        </w:rPr>
        <w:t>、为落实政府采购政策需满足的要求</w:t>
      </w:r>
    </w:p>
    <w:tbl>
      <w:tblPr>
        <w:tblStyle w:val="63"/>
        <w:tblW w:w="7770" w:type="dxa"/>
        <w:tblInd w:w="6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4095"/>
        <w:gridCol w:w="2520"/>
      </w:tblGrid>
      <w:tr w14:paraId="792A0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1DD38166">
            <w:pPr>
              <w:snapToGrid w:val="0"/>
              <w:spacing w:line="360" w:lineRule="auto"/>
              <w:jc w:val="left"/>
              <w:rPr>
                <w:rFonts w:ascii="宋体" w:hAnsi="宋体" w:cs="宋体"/>
                <w:b/>
                <w:bCs/>
                <w:color w:val="auto"/>
                <w:sz w:val="24"/>
                <w:highlight w:val="none"/>
              </w:rPr>
            </w:pPr>
            <w:bookmarkStart w:id="31" w:name="_Hlk45005599"/>
            <w:r>
              <w:rPr>
                <w:rFonts w:hint="eastAsia" w:ascii="宋体" w:hAnsi="宋体" w:cs="宋体"/>
                <w:b/>
                <w:bCs/>
                <w:color w:val="auto"/>
                <w:sz w:val="24"/>
                <w:highlight w:val="none"/>
              </w:rPr>
              <w:t>序号</w:t>
            </w:r>
          </w:p>
        </w:tc>
        <w:tc>
          <w:tcPr>
            <w:tcW w:w="4095" w:type="dxa"/>
            <w:vAlign w:val="center"/>
          </w:tcPr>
          <w:p w14:paraId="3DCAAAE3">
            <w:pPr>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政策名称</w:t>
            </w:r>
          </w:p>
        </w:tc>
        <w:tc>
          <w:tcPr>
            <w:tcW w:w="2520" w:type="dxa"/>
            <w:vAlign w:val="center"/>
          </w:tcPr>
          <w:p w14:paraId="715F24F1">
            <w:pPr>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内容</w:t>
            </w:r>
          </w:p>
        </w:tc>
      </w:tr>
      <w:tr w14:paraId="53E7D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5E5D43F4">
            <w:pPr>
              <w:snapToGrid w:val="0"/>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1</w:t>
            </w:r>
          </w:p>
        </w:tc>
        <w:tc>
          <w:tcPr>
            <w:tcW w:w="4095" w:type="dxa"/>
            <w:vAlign w:val="center"/>
          </w:tcPr>
          <w:p w14:paraId="124985EB">
            <w:pPr>
              <w:snapToGrid w:val="0"/>
              <w:jc w:val="left"/>
              <w:rPr>
                <w:rFonts w:ascii="宋体" w:hAnsi="宋体" w:cs="宋体"/>
                <w:b/>
                <w:bCs/>
                <w:color w:val="auto"/>
                <w:sz w:val="24"/>
                <w:highlight w:val="none"/>
              </w:rPr>
            </w:pPr>
            <w:r>
              <w:rPr>
                <w:rFonts w:hint="eastAsia" w:ascii="宋体" w:hAnsi="宋体" w:cs="宋体"/>
                <w:color w:val="auto"/>
                <w:sz w:val="24"/>
                <w:highlight w:val="none"/>
              </w:rPr>
              <w:t>政府采购进口产品</w:t>
            </w:r>
          </w:p>
        </w:tc>
        <w:tc>
          <w:tcPr>
            <w:tcW w:w="2520" w:type="dxa"/>
          </w:tcPr>
          <w:p w14:paraId="7AF74314">
            <w:pPr>
              <w:snapToGrid w:val="0"/>
              <w:jc w:val="left"/>
              <w:rPr>
                <w:rFonts w:ascii="宋体" w:hAnsi="宋体" w:cs="宋体"/>
                <w:b/>
                <w:bCs/>
                <w:color w:val="auto"/>
                <w:sz w:val="24"/>
                <w:highlight w:val="none"/>
              </w:rPr>
            </w:pPr>
            <w:r>
              <w:rPr>
                <w:rFonts w:hint="eastAsia" w:ascii="宋体" w:hAnsi="宋体" w:cs="宋体"/>
                <w:color w:val="auto"/>
                <w:sz w:val="24"/>
                <w:highlight w:val="none"/>
              </w:rPr>
              <w:t>不适用</w:t>
            </w:r>
          </w:p>
        </w:tc>
      </w:tr>
      <w:tr w14:paraId="2A02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397091D6">
            <w:pPr>
              <w:snapToGrid w:val="0"/>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2</w:t>
            </w:r>
          </w:p>
        </w:tc>
        <w:tc>
          <w:tcPr>
            <w:tcW w:w="4095" w:type="dxa"/>
            <w:vAlign w:val="center"/>
          </w:tcPr>
          <w:p w14:paraId="2D4DD394">
            <w:pPr>
              <w:snapToGrid w:val="0"/>
              <w:jc w:val="left"/>
              <w:rPr>
                <w:rFonts w:ascii="宋体" w:hAnsi="宋体" w:cs="宋体"/>
                <w:b/>
                <w:bCs/>
                <w:color w:val="auto"/>
                <w:sz w:val="24"/>
                <w:highlight w:val="none"/>
              </w:rPr>
            </w:pPr>
            <w:r>
              <w:rPr>
                <w:rFonts w:hint="eastAsia" w:ascii="宋体" w:hAnsi="宋体" w:cs="宋体"/>
                <w:color w:val="auto"/>
                <w:sz w:val="24"/>
                <w:highlight w:val="none"/>
              </w:rPr>
              <w:t>政府强制采购节能产品</w:t>
            </w:r>
          </w:p>
        </w:tc>
        <w:tc>
          <w:tcPr>
            <w:tcW w:w="2520" w:type="dxa"/>
          </w:tcPr>
          <w:p w14:paraId="7A4084D5">
            <w:pPr>
              <w:snapToGrid w:val="0"/>
              <w:jc w:val="left"/>
              <w:rPr>
                <w:rFonts w:ascii="宋体" w:hAnsi="宋体" w:cs="宋体"/>
                <w:b/>
                <w:bCs/>
                <w:color w:val="auto"/>
                <w:sz w:val="24"/>
                <w:highlight w:val="none"/>
              </w:rPr>
            </w:pPr>
            <w:r>
              <w:rPr>
                <w:rFonts w:hint="eastAsia" w:ascii="宋体" w:hAnsi="宋体" w:cs="宋体"/>
                <w:color w:val="auto"/>
                <w:sz w:val="24"/>
                <w:highlight w:val="none"/>
              </w:rPr>
              <w:t>不适用</w:t>
            </w:r>
          </w:p>
        </w:tc>
      </w:tr>
      <w:tr w14:paraId="4F20E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07452F2F">
            <w:pPr>
              <w:snapToGrid w:val="0"/>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3</w:t>
            </w:r>
          </w:p>
        </w:tc>
        <w:tc>
          <w:tcPr>
            <w:tcW w:w="4095" w:type="dxa"/>
            <w:vAlign w:val="center"/>
          </w:tcPr>
          <w:p w14:paraId="1C856AEB">
            <w:pPr>
              <w:snapToGrid w:val="0"/>
              <w:jc w:val="left"/>
              <w:rPr>
                <w:rFonts w:ascii="宋体" w:hAnsi="宋体" w:cs="宋体"/>
                <w:b/>
                <w:bCs/>
                <w:color w:val="auto"/>
                <w:sz w:val="24"/>
                <w:highlight w:val="none"/>
              </w:rPr>
            </w:pPr>
            <w:r>
              <w:rPr>
                <w:rFonts w:hint="eastAsia" w:ascii="宋体" w:hAnsi="宋体" w:cs="宋体"/>
                <w:color w:val="auto"/>
                <w:sz w:val="24"/>
                <w:highlight w:val="none"/>
              </w:rPr>
              <w:t>政府优先采购节能、环保产品</w:t>
            </w:r>
          </w:p>
        </w:tc>
        <w:tc>
          <w:tcPr>
            <w:tcW w:w="2520" w:type="dxa"/>
          </w:tcPr>
          <w:p w14:paraId="64230A7D">
            <w:pPr>
              <w:snapToGrid w:val="0"/>
              <w:jc w:val="left"/>
              <w:rPr>
                <w:rFonts w:ascii="宋体" w:hAnsi="宋体" w:cs="宋体"/>
                <w:b/>
                <w:bCs/>
                <w:color w:val="auto"/>
                <w:sz w:val="24"/>
                <w:highlight w:val="none"/>
              </w:rPr>
            </w:pPr>
            <w:r>
              <w:rPr>
                <w:rFonts w:hint="eastAsia" w:ascii="宋体" w:hAnsi="宋体" w:cs="宋体"/>
                <w:color w:val="auto"/>
                <w:sz w:val="24"/>
                <w:highlight w:val="none"/>
              </w:rPr>
              <w:t>不适用</w:t>
            </w:r>
          </w:p>
        </w:tc>
      </w:tr>
      <w:tr w14:paraId="3156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12983BE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4095" w:type="dxa"/>
            <w:vAlign w:val="center"/>
          </w:tcPr>
          <w:p w14:paraId="789D4C8D">
            <w:pPr>
              <w:snapToGrid w:val="0"/>
              <w:jc w:val="left"/>
              <w:rPr>
                <w:rFonts w:ascii="宋体" w:hAnsi="宋体" w:cs="宋体"/>
                <w:color w:val="auto"/>
                <w:sz w:val="24"/>
                <w:highlight w:val="none"/>
              </w:rPr>
            </w:pPr>
            <w:r>
              <w:rPr>
                <w:rFonts w:hint="eastAsia" w:ascii="宋体" w:hAnsi="宋体" w:cs="宋体"/>
                <w:color w:val="auto"/>
                <w:sz w:val="24"/>
                <w:highlight w:val="none"/>
              </w:rPr>
              <w:t>政府采购支持科技创新</w:t>
            </w:r>
          </w:p>
        </w:tc>
        <w:tc>
          <w:tcPr>
            <w:tcW w:w="2520" w:type="dxa"/>
          </w:tcPr>
          <w:p w14:paraId="06010FE8">
            <w:pPr>
              <w:snapToGrid w:val="0"/>
              <w:jc w:val="left"/>
              <w:rPr>
                <w:rFonts w:ascii="宋体" w:hAnsi="宋体" w:cs="宋体"/>
                <w:color w:val="auto"/>
                <w:sz w:val="24"/>
                <w:highlight w:val="none"/>
              </w:rPr>
            </w:pPr>
            <w:r>
              <w:rPr>
                <w:rFonts w:hint="eastAsia" w:ascii="宋体" w:hAnsi="宋体" w:cs="宋体"/>
                <w:color w:val="auto"/>
                <w:sz w:val="24"/>
                <w:highlight w:val="none"/>
              </w:rPr>
              <w:t>不适用</w:t>
            </w:r>
          </w:p>
        </w:tc>
      </w:tr>
      <w:tr w14:paraId="294B3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27120BA4">
            <w:pPr>
              <w:snapToGrid w:val="0"/>
              <w:jc w:val="center"/>
              <w:rPr>
                <w:rFonts w:ascii="宋体" w:hAnsi="宋体" w:cs="宋体"/>
                <w:b/>
                <w:bCs/>
                <w:color w:val="auto"/>
                <w:sz w:val="24"/>
                <w:highlight w:val="none"/>
              </w:rPr>
            </w:pPr>
            <w:r>
              <w:rPr>
                <w:rFonts w:hint="eastAsia" w:ascii="宋体" w:hAnsi="宋体" w:cs="宋体"/>
                <w:color w:val="auto"/>
                <w:sz w:val="24"/>
                <w:highlight w:val="none"/>
              </w:rPr>
              <w:t>5</w:t>
            </w:r>
          </w:p>
        </w:tc>
        <w:tc>
          <w:tcPr>
            <w:tcW w:w="4095" w:type="dxa"/>
            <w:vAlign w:val="center"/>
          </w:tcPr>
          <w:p w14:paraId="0D20B1E7">
            <w:pPr>
              <w:snapToGrid w:val="0"/>
              <w:jc w:val="left"/>
              <w:rPr>
                <w:rFonts w:ascii="宋体" w:hAnsi="宋体" w:cs="宋体"/>
                <w:color w:val="auto"/>
                <w:sz w:val="24"/>
                <w:highlight w:val="none"/>
              </w:rPr>
            </w:pPr>
            <w:r>
              <w:rPr>
                <w:rFonts w:hint="eastAsia" w:ascii="宋体" w:hAnsi="宋体" w:cs="宋体"/>
                <w:color w:val="auto"/>
                <w:sz w:val="24"/>
                <w:highlight w:val="none"/>
              </w:rPr>
              <w:t>政府采购促进中小企业发展</w:t>
            </w:r>
          </w:p>
        </w:tc>
        <w:tc>
          <w:tcPr>
            <w:tcW w:w="2520" w:type="dxa"/>
            <w:vAlign w:val="center"/>
          </w:tcPr>
          <w:p w14:paraId="31719F8B">
            <w:pPr>
              <w:snapToGrid w:val="0"/>
              <w:jc w:val="left"/>
              <w:rPr>
                <w:rFonts w:ascii="宋体" w:hAnsi="宋体" w:cs="宋体"/>
                <w:b/>
                <w:bCs/>
                <w:color w:val="auto"/>
                <w:sz w:val="24"/>
                <w:highlight w:val="none"/>
              </w:rPr>
            </w:pPr>
            <w:r>
              <w:rPr>
                <w:rFonts w:ascii="宋体" w:hAnsi="宋体" w:cs="宋体"/>
                <w:b/>
                <w:bCs/>
                <w:color w:val="auto"/>
                <w:sz w:val="24"/>
                <w:highlight w:val="none"/>
              </w:rPr>
              <w:t>专门面向中小企业</w:t>
            </w:r>
          </w:p>
        </w:tc>
      </w:tr>
      <w:bookmarkEnd w:id="31"/>
    </w:tbl>
    <w:p w14:paraId="0122770F">
      <w:pPr>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注：</w:t>
      </w:r>
    </w:p>
    <w:p w14:paraId="10D8AF34">
      <w:pPr>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1.除采购文件标注的参考品牌外，欢迎其它能满足本项目技术需求且性能与所注品牌相当的产品参与。</w:t>
      </w:r>
    </w:p>
    <w:p w14:paraId="0B89CCBD">
      <w:pPr>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2.如有附图，仅作参考。</w:t>
      </w:r>
    </w:p>
    <w:p w14:paraId="47FA696E">
      <w:pPr>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3.招标文件中打▲内容为实质性要求，不允许有负偏离，否则将以涉及无效投标条款作无效投标。</w:t>
      </w:r>
    </w:p>
    <w:p w14:paraId="466E814C">
      <w:pPr>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4、中标供应商所提供的货物、服务须与投标承诺一致，不得以次充好、偷工减料，若在项目验收中发现有上述情况，将向有关部门举报，根据相关规定进行处理。</w:t>
      </w:r>
    </w:p>
    <w:p w14:paraId="70523D3B">
      <w:pPr>
        <w:rPr>
          <w:rFonts w:ascii="宋体" w:hAnsi="宋体" w:cs="宋体"/>
          <w:b/>
          <w:color w:val="auto"/>
          <w:sz w:val="36"/>
          <w:szCs w:val="36"/>
          <w:highlight w:val="none"/>
        </w:rPr>
      </w:pPr>
    </w:p>
    <w:p w14:paraId="23C50F01">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C50CE3A">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2" w:name="_Toc184314450"/>
      <w:bookmarkEnd w:id="32"/>
      <w:bookmarkStart w:id="33" w:name="_Toc184312113"/>
      <w:bookmarkEnd w:id="33"/>
      <w:bookmarkStart w:id="34" w:name="_Toc184314449"/>
      <w:bookmarkEnd w:id="34"/>
      <w:bookmarkStart w:id="35" w:name="_Toc184310337"/>
      <w:bookmarkEnd w:id="35"/>
      <w:bookmarkStart w:id="36" w:name="_Toc184312093"/>
      <w:bookmarkEnd w:id="36"/>
      <w:bookmarkStart w:id="37" w:name="_Toc184314433"/>
      <w:bookmarkEnd w:id="37"/>
      <w:bookmarkStart w:id="38" w:name="_Toc184310275"/>
      <w:bookmarkEnd w:id="38"/>
      <w:bookmarkStart w:id="39" w:name="_Toc184310282"/>
      <w:bookmarkEnd w:id="39"/>
      <w:bookmarkStart w:id="40" w:name="_Toc184308106"/>
      <w:bookmarkEnd w:id="40"/>
      <w:bookmarkStart w:id="41" w:name="_Toc184308054"/>
      <w:bookmarkEnd w:id="41"/>
      <w:bookmarkStart w:id="42" w:name="_Toc184314416"/>
      <w:bookmarkEnd w:id="42"/>
      <w:bookmarkStart w:id="43" w:name="_Toc184313241"/>
      <w:bookmarkEnd w:id="43"/>
      <w:bookmarkStart w:id="44" w:name="_Toc184310316"/>
      <w:bookmarkEnd w:id="44"/>
      <w:bookmarkStart w:id="45" w:name="_Toc184314426"/>
      <w:bookmarkEnd w:id="45"/>
      <w:bookmarkStart w:id="46" w:name="_Toc184314427"/>
      <w:bookmarkEnd w:id="46"/>
      <w:bookmarkStart w:id="47" w:name="_Toc184314411"/>
      <w:bookmarkEnd w:id="47"/>
      <w:bookmarkStart w:id="48" w:name="_Toc184310331"/>
      <w:bookmarkEnd w:id="48"/>
      <w:bookmarkStart w:id="49" w:name="_Toc184314461"/>
      <w:bookmarkEnd w:id="49"/>
      <w:bookmarkStart w:id="50" w:name="_Toc184308091"/>
      <w:bookmarkEnd w:id="50"/>
      <w:bookmarkStart w:id="51" w:name="_Toc184308069"/>
      <w:bookmarkEnd w:id="51"/>
      <w:bookmarkStart w:id="52" w:name="_Toc184312102"/>
      <w:bookmarkEnd w:id="52"/>
      <w:bookmarkStart w:id="53" w:name="_Toc184308047"/>
      <w:bookmarkEnd w:id="53"/>
      <w:bookmarkStart w:id="54" w:name="_Toc184313304"/>
      <w:bookmarkEnd w:id="54"/>
      <w:bookmarkStart w:id="55" w:name="_Toc184308038"/>
      <w:bookmarkEnd w:id="55"/>
      <w:bookmarkStart w:id="56" w:name="_Toc184308037"/>
      <w:bookmarkEnd w:id="56"/>
      <w:bookmarkStart w:id="57" w:name="_Toc184313306"/>
      <w:bookmarkEnd w:id="57"/>
      <w:bookmarkStart w:id="58" w:name="_Toc184310295"/>
      <w:bookmarkEnd w:id="58"/>
      <w:bookmarkStart w:id="59" w:name="_Toc184310290"/>
      <w:bookmarkEnd w:id="59"/>
      <w:bookmarkStart w:id="60" w:name="_Toc184308043"/>
      <w:bookmarkEnd w:id="60"/>
      <w:bookmarkStart w:id="61" w:name="_Toc184312137"/>
      <w:bookmarkEnd w:id="61"/>
      <w:bookmarkStart w:id="62" w:name="_Toc184314412"/>
      <w:bookmarkEnd w:id="62"/>
      <w:bookmarkStart w:id="63" w:name="_Toc184314473"/>
      <w:bookmarkEnd w:id="63"/>
      <w:bookmarkStart w:id="64" w:name="_Toc184312088"/>
      <w:bookmarkEnd w:id="64"/>
      <w:bookmarkStart w:id="65" w:name="_Toc184312076"/>
      <w:bookmarkEnd w:id="65"/>
      <w:bookmarkStart w:id="66" w:name="_Toc184312104"/>
      <w:bookmarkEnd w:id="66"/>
      <w:bookmarkStart w:id="67" w:name="_Toc184312097"/>
      <w:bookmarkEnd w:id="67"/>
      <w:bookmarkStart w:id="68" w:name="_Toc184310314"/>
      <w:bookmarkEnd w:id="68"/>
      <w:bookmarkStart w:id="69" w:name="_Toc184308055"/>
      <w:bookmarkEnd w:id="69"/>
      <w:bookmarkStart w:id="70" w:name="_Toc184313289"/>
      <w:bookmarkEnd w:id="70"/>
      <w:bookmarkStart w:id="71" w:name="_Toc184308041"/>
      <w:bookmarkEnd w:id="71"/>
      <w:bookmarkStart w:id="72" w:name="_Toc184313283"/>
      <w:bookmarkEnd w:id="72"/>
      <w:bookmarkStart w:id="73" w:name="_Toc184310327"/>
      <w:bookmarkEnd w:id="73"/>
      <w:bookmarkStart w:id="74" w:name="_Toc184310307"/>
      <w:bookmarkEnd w:id="74"/>
      <w:bookmarkStart w:id="75" w:name="_Toc184312115"/>
      <w:bookmarkEnd w:id="75"/>
      <w:bookmarkStart w:id="76" w:name="_Toc184312139"/>
      <w:bookmarkEnd w:id="76"/>
      <w:bookmarkStart w:id="77" w:name="_Toc184308061"/>
      <w:bookmarkEnd w:id="77"/>
      <w:bookmarkStart w:id="78" w:name="_Toc184310292"/>
      <w:bookmarkEnd w:id="78"/>
      <w:bookmarkStart w:id="79" w:name="_Toc184313240"/>
      <w:bookmarkEnd w:id="79"/>
      <w:bookmarkStart w:id="80" w:name="_Toc184308100"/>
      <w:bookmarkEnd w:id="80"/>
      <w:bookmarkStart w:id="81" w:name="_Toc184314453"/>
      <w:bookmarkEnd w:id="81"/>
      <w:bookmarkStart w:id="82" w:name="_Toc184308040"/>
      <w:bookmarkEnd w:id="82"/>
      <w:bookmarkStart w:id="83" w:name="_Toc184313271"/>
      <w:bookmarkEnd w:id="83"/>
      <w:bookmarkStart w:id="84" w:name="_Toc184308096"/>
      <w:bookmarkEnd w:id="84"/>
      <w:bookmarkStart w:id="85" w:name="_Toc184310310"/>
      <w:bookmarkEnd w:id="85"/>
      <w:bookmarkStart w:id="86" w:name="_Toc184313242"/>
      <w:bookmarkEnd w:id="86"/>
      <w:bookmarkStart w:id="87" w:name="_Toc184313279"/>
      <w:bookmarkEnd w:id="87"/>
      <w:bookmarkStart w:id="88" w:name="_Toc184313303"/>
      <w:bookmarkEnd w:id="88"/>
      <w:bookmarkStart w:id="89" w:name="_Toc184314451"/>
      <w:bookmarkEnd w:id="89"/>
      <w:bookmarkStart w:id="90" w:name="_Toc184313244"/>
      <w:bookmarkEnd w:id="90"/>
      <w:bookmarkStart w:id="91" w:name="_Toc184314441"/>
      <w:bookmarkEnd w:id="91"/>
      <w:bookmarkStart w:id="92" w:name="_Toc184312091"/>
      <w:bookmarkEnd w:id="92"/>
      <w:bookmarkStart w:id="93" w:name="_Toc184314440"/>
      <w:bookmarkEnd w:id="93"/>
      <w:bookmarkStart w:id="94" w:name="_Toc184314476"/>
      <w:bookmarkEnd w:id="94"/>
      <w:bookmarkStart w:id="95" w:name="_Toc184313261"/>
      <w:bookmarkEnd w:id="95"/>
      <w:bookmarkStart w:id="96" w:name="_Toc184313294"/>
      <w:bookmarkEnd w:id="96"/>
      <w:bookmarkStart w:id="97" w:name="_Toc184313267"/>
      <w:bookmarkEnd w:id="97"/>
      <w:bookmarkStart w:id="98" w:name="_Toc184313295"/>
      <w:bookmarkEnd w:id="98"/>
      <w:bookmarkStart w:id="99" w:name="_Toc184313253"/>
      <w:bookmarkEnd w:id="99"/>
      <w:bookmarkStart w:id="100" w:name="_Toc184310272"/>
      <w:bookmarkEnd w:id="100"/>
      <w:bookmarkStart w:id="101" w:name="_Toc184312131"/>
      <w:bookmarkEnd w:id="101"/>
      <w:bookmarkStart w:id="102" w:name="_Toc184312096"/>
      <w:bookmarkEnd w:id="102"/>
      <w:bookmarkStart w:id="103" w:name="_Toc184313296"/>
      <w:bookmarkEnd w:id="103"/>
      <w:bookmarkStart w:id="104" w:name="_Toc184310283"/>
      <w:bookmarkEnd w:id="104"/>
      <w:bookmarkStart w:id="105" w:name="_Toc184310300"/>
      <w:bookmarkEnd w:id="105"/>
      <w:bookmarkStart w:id="106" w:name="_Toc184314434"/>
      <w:bookmarkEnd w:id="106"/>
      <w:bookmarkStart w:id="107" w:name="_Toc184310276"/>
      <w:bookmarkEnd w:id="107"/>
      <w:bookmarkStart w:id="108" w:name="_Toc184313248"/>
      <w:bookmarkEnd w:id="108"/>
      <w:bookmarkStart w:id="109" w:name="_Toc184312130"/>
      <w:bookmarkEnd w:id="109"/>
      <w:bookmarkStart w:id="110" w:name="_Toc184310338"/>
      <w:bookmarkEnd w:id="110"/>
      <w:bookmarkStart w:id="111" w:name="_Toc184308085"/>
      <w:bookmarkEnd w:id="111"/>
      <w:bookmarkStart w:id="112" w:name="_Toc184308099"/>
      <w:bookmarkEnd w:id="112"/>
      <w:bookmarkStart w:id="113" w:name="_Toc184313260"/>
      <w:bookmarkEnd w:id="113"/>
      <w:bookmarkStart w:id="114" w:name="_Toc184314421"/>
      <w:bookmarkEnd w:id="114"/>
      <w:bookmarkStart w:id="115" w:name="_Toc184308049"/>
      <w:bookmarkEnd w:id="115"/>
      <w:bookmarkStart w:id="116" w:name="_Toc184313246"/>
      <w:bookmarkEnd w:id="116"/>
      <w:bookmarkStart w:id="117" w:name="_Toc184313238"/>
      <w:bookmarkEnd w:id="117"/>
      <w:bookmarkStart w:id="118" w:name="_Toc184314463"/>
      <w:bookmarkEnd w:id="118"/>
      <w:bookmarkStart w:id="119" w:name="_Toc184314455"/>
      <w:bookmarkEnd w:id="119"/>
      <w:bookmarkStart w:id="120" w:name="_Toc184313275"/>
      <w:bookmarkEnd w:id="120"/>
      <w:bookmarkStart w:id="121" w:name="_Toc184313243"/>
      <w:bookmarkEnd w:id="121"/>
      <w:bookmarkStart w:id="122" w:name="_Toc184308094"/>
      <w:bookmarkEnd w:id="122"/>
      <w:bookmarkStart w:id="123" w:name="_Toc184312071"/>
      <w:bookmarkEnd w:id="123"/>
      <w:bookmarkStart w:id="124" w:name="_Toc184308084"/>
      <w:bookmarkEnd w:id="124"/>
      <w:bookmarkStart w:id="125" w:name="_Toc184312094"/>
      <w:bookmarkEnd w:id="125"/>
      <w:bookmarkStart w:id="126" w:name="_Toc184314448"/>
      <w:bookmarkEnd w:id="126"/>
      <w:bookmarkStart w:id="127" w:name="_Toc184314432"/>
      <w:bookmarkEnd w:id="127"/>
      <w:bookmarkStart w:id="128" w:name="_Toc184313298"/>
      <w:bookmarkEnd w:id="128"/>
      <w:bookmarkStart w:id="129" w:name="_Toc184310329"/>
      <w:bookmarkEnd w:id="129"/>
      <w:bookmarkStart w:id="130" w:name="_Toc184314482"/>
      <w:bookmarkEnd w:id="130"/>
      <w:bookmarkStart w:id="131" w:name="_Toc184310319"/>
      <w:bookmarkEnd w:id="131"/>
      <w:bookmarkStart w:id="132" w:name="_Toc184312123"/>
      <w:bookmarkEnd w:id="132"/>
      <w:bookmarkStart w:id="133" w:name="_Toc184310315"/>
      <w:bookmarkEnd w:id="133"/>
      <w:bookmarkStart w:id="134" w:name="_Toc184310326"/>
      <w:bookmarkEnd w:id="134"/>
      <w:bookmarkStart w:id="135" w:name="_Toc184314431"/>
      <w:bookmarkEnd w:id="135"/>
      <w:bookmarkStart w:id="136" w:name="_Toc184308080"/>
      <w:bookmarkEnd w:id="136"/>
      <w:bookmarkStart w:id="137" w:name="_Toc184310302"/>
      <w:bookmarkEnd w:id="137"/>
      <w:bookmarkStart w:id="138" w:name="_Toc184308104"/>
      <w:bookmarkEnd w:id="138"/>
      <w:bookmarkStart w:id="139" w:name="_Toc184314417"/>
      <w:bookmarkEnd w:id="139"/>
      <w:bookmarkStart w:id="140" w:name="_Toc184314420"/>
      <w:bookmarkEnd w:id="140"/>
      <w:bookmarkStart w:id="141" w:name="_Toc184308060"/>
      <w:bookmarkEnd w:id="141"/>
      <w:bookmarkStart w:id="142" w:name="_Toc184313291"/>
      <w:bookmarkEnd w:id="142"/>
      <w:bookmarkStart w:id="143" w:name="_Toc184314477"/>
      <w:bookmarkEnd w:id="143"/>
      <w:bookmarkStart w:id="144" w:name="_Toc184313265"/>
      <w:bookmarkEnd w:id="144"/>
      <w:bookmarkStart w:id="145" w:name="_Toc184312103"/>
      <w:bookmarkEnd w:id="145"/>
      <w:bookmarkStart w:id="146" w:name="_Toc184308093"/>
      <w:bookmarkEnd w:id="146"/>
      <w:bookmarkStart w:id="147" w:name="_Toc184314465"/>
      <w:bookmarkEnd w:id="147"/>
      <w:bookmarkStart w:id="148" w:name="_Toc184313292"/>
      <w:bookmarkEnd w:id="148"/>
      <w:bookmarkStart w:id="149" w:name="_Toc184312110"/>
      <w:bookmarkEnd w:id="149"/>
      <w:bookmarkStart w:id="150" w:name="_Toc184308068"/>
      <w:bookmarkEnd w:id="150"/>
      <w:bookmarkStart w:id="151" w:name="_Toc184308078"/>
      <w:bookmarkEnd w:id="151"/>
      <w:bookmarkStart w:id="152" w:name="_Toc184310305"/>
      <w:bookmarkEnd w:id="152"/>
      <w:bookmarkStart w:id="153" w:name="_Toc184312086"/>
      <w:bookmarkEnd w:id="153"/>
      <w:bookmarkStart w:id="154" w:name="_Toc184314442"/>
      <w:bookmarkEnd w:id="154"/>
      <w:bookmarkStart w:id="155" w:name="_Toc184312117"/>
      <w:bookmarkEnd w:id="155"/>
      <w:bookmarkStart w:id="156" w:name="_Toc184308046"/>
      <w:bookmarkEnd w:id="156"/>
      <w:bookmarkStart w:id="157" w:name="_Toc184313284"/>
      <w:bookmarkEnd w:id="157"/>
      <w:bookmarkStart w:id="158" w:name="_Toc184310291"/>
      <w:bookmarkEnd w:id="158"/>
      <w:bookmarkStart w:id="159" w:name="_Toc184313305"/>
      <w:bookmarkEnd w:id="159"/>
      <w:bookmarkStart w:id="160" w:name="_Toc184313272"/>
      <w:bookmarkEnd w:id="160"/>
      <w:bookmarkStart w:id="161" w:name="_Toc184314418"/>
      <w:bookmarkEnd w:id="161"/>
      <w:bookmarkStart w:id="162" w:name="_Toc184310289"/>
      <w:bookmarkEnd w:id="162"/>
      <w:bookmarkStart w:id="163" w:name="_Toc184314454"/>
      <w:bookmarkEnd w:id="163"/>
      <w:bookmarkStart w:id="164" w:name="_Toc184312098"/>
      <w:bookmarkEnd w:id="164"/>
      <w:bookmarkStart w:id="165" w:name="_Toc184308088"/>
      <w:bookmarkEnd w:id="165"/>
      <w:bookmarkStart w:id="166" w:name="_Toc184310321"/>
      <w:bookmarkEnd w:id="166"/>
      <w:bookmarkStart w:id="167" w:name="_Toc184310313"/>
      <w:bookmarkEnd w:id="167"/>
      <w:bookmarkStart w:id="168" w:name="_Toc184312101"/>
      <w:bookmarkEnd w:id="168"/>
      <w:bookmarkStart w:id="169" w:name="_Toc184310301"/>
      <w:bookmarkEnd w:id="169"/>
      <w:bookmarkStart w:id="170" w:name="_Toc184312108"/>
      <w:bookmarkEnd w:id="170"/>
      <w:bookmarkStart w:id="171" w:name="_Toc184313278"/>
      <w:bookmarkEnd w:id="171"/>
      <w:bookmarkStart w:id="172" w:name="_Toc184308066"/>
      <w:bookmarkEnd w:id="172"/>
      <w:bookmarkStart w:id="173" w:name="_Toc184313269"/>
      <w:bookmarkEnd w:id="173"/>
      <w:bookmarkStart w:id="174" w:name="_Toc184314438"/>
      <w:bookmarkEnd w:id="174"/>
      <w:bookmarkStart w:id="175" w:name="_Toc184314444"/>
      <w:bookmarkEnd w:id="175"/>
      <w:bookmarkStart w:id="176" w:name="_Toc184314456"/>
      <w:bookmarkEnd w:id="176"/>
      <w:bookmarkStart w:id="177" w:name="_Toc184310303"/>
      <w:bookmarkEnd w:id="177"/>
      <w:bookmarkStart w:id="178" w:name="_Toc184313266"/>
      <w:bookmarkEnd w:id="178"/>
      <w:bookmarkStart w:id="179" w:name="_Toc184310273"/>
      <w:bookmarkEnd w:id="179"/>
      <w:bookmarkStart w:id="180" w:name="_Toc184314471"/>
      <w:bookmarkEnd w:id="180"/>
      <w:bookmarkStart w:id="181" w:name="_Toc184313249"/>
      <w:bookmarkEnd w:id="181"/>
      <w:bookmarkStart w:id="182" w:name="_Toc184314460"/>
      <w:bookmarkEnd w:id="182"/>
      <w:bookmarkStart w:id="183" w:name="_Toc184312079"/>
      <w:bookmarkEnd w:id="183"/>
      <w:bookmarkStart w:id="184" w:name="_Toc184310335"/>
      <w:bookmarkEnd w:id="184"/>
      <w:bookmarkStart w:id="185" w:name="_Toc184312085"/>
      <w:bookmarkEnd w:id="185"/>
      <w:bookmarkStart w:id="186" w:name="_Toc184308095"/>
      <w:bookmarkEnd w:id="186"/>
      <w:bookmarkStart w:id="187" w:name="_Toc184308092"/>
      <w:bookmarkEnd w:id="187"/>
      <w:bookmarkStart w:id="188" w:name="_Toc184312112"/>
      <w:bookmarkEnd w:id="188"/>
      <w:bookmarkStart w:id="189" w:name="_Toc184314462"/>
      <w:bookmarkEnd w:id="189"/>
      <w:bookmarkStart w:id="190" w:name="_Toc184310280"/>
      <w:bookmarkEnd w:id="190"/>
      <w:bookmarkStart w:id="191" w:name="_Toc184313257"/>
      <w:bookmarkEnd w:id="191"/>
      <w:bookmarkStart w:id="192" w:name="_Toc184310320"/>
      <w:bookmarkEnd w:id="192"/>
      <w:bookmarkStart w:id="193" w:name="_Toc184314424"/>
      <w:bookmarkEnd w:id="193"/>
      <w:bookmarkStart w:id="194" w:name="_Toc184313293"/>
      <w:bookmarkEnd w:id="194"/>
      <w:bookmarkStart w:id="195" w:name="_Toc184314437"/>
      <w:bookmarkEnd w:id="195"/>
      <w:bookmarkStart w:id="196" w:name="_Toc184312120"/>
      <w:bookmarkEnd w:id="196"/>
      <w:bookmarkStart w:id="197" w:name="_Toc184312126"/>
      <w:bookmarkEnd w:id="197"/>
      <w:bookmarkStart w:id="198" w:name="_Toc184310318"/>
      <w:bookmarkEnd w:id="198"/>
      <w:bookmarkStart w:id="199" w:name="_Toc184312129"/>
      <w:bookmarkEnd w:id="199"/>
      <w:bookmarkStart w:id="200" w:name="_Toc184312067"/>
      <w:bookmarkEnd w:id="200"/>
      <w:bookmarkStart w:id="201" w:name="_Toc184308076"/>
      <w:bookmarkEnd w:id="201"/>
      <w:bookmarkStart w:id="202" w:name="_Toc184313282"/>
      <w:bookmarkEnd w:id="202"/>
      <w:bookmarkStart w:id="203" w:name="_Toc184310342"/>
      <w:bookmarkEnd w:id="203"/>
      <w:bookmarkStart w:id="204" w:name="_Toc184312073"/>
      <w:bookmarkEnd w:id="204"/>
      <w:bookmarkStart w:id="205" w:name="_Toc184312099"/>
      <w:bookmarkEnd w:id="205"/>
      <w:bookmarkStart w:id="206" w:name="_Toc184314415"/>
      <w:bookmarkEnd w:id="206"/>
      <w:bookmarkStart w:id="207" w:name="_Toc184312125"/>
      <w:bookmarkEnd w:id="207"/>
      <w:bookmarkStart w:id="208" w:name="_Toc184312107"/>
      <w:bookmarkEnd w:id="208"/>
      <w:bookmarkStart w:id="209" w:name="_Toc184313251"/>
      <w:bookmarkEnd w:id="209"/>
      <w:bookmarkStart w:id="210" w:name="_Toc184310287"/>
      <w:bookmarkEnd w:id="210"/>
      <w:bookmarkStart w:id="211" w:name="_Toc184314459"/>
      <w:bookmarkEnd w:id="211"/>
      <w:bookmarkStart w:id="212" w:name="_Toc184314423"/>
      <w:bookmarkEnd w:id="212"/>
      <w:bookmarkStart w:id="213" w:name="_Toc184308081"/>
      <w:bookmarkEnd w:id="213"/>
      <w:bookmarkStart w:id="214" w:name="_Toc184308090"/>
      <w:bookmarkEnd w:id="214"/>
      <w:bookmarkStart w:id="215" w:name="_Toc184308098"/>
      <w:bookmarkEnd w:id="215"/>
      <w:bookmarkStart w:id="216" w:name="_Toc184313308"/>
      <w:bookmarkEnd w:id="216"/>
      <w:bookmarkStart w:id="217" w:name="_Toc184308058"/>
      <w:bookmarkEnd w:id="217"/>
      <w:bookmarkStart w:id="218" w:name="_Toc184308059"/>
      <w:bookmarkEnd w:id="218"/>
      <w:bookmarkStart w:id="219" w:name="_Toc184313263"/>
      <w:bookmarkEnd w:id="219"/>
      <w:bookmarkStart w:id="220" w:name="_Toc184313239"/>
      <w:bookmarkEnd w:id="220"/>
      <w:bookmarkStart w:id="221" w:name="_Toc184314469"/>
      <w:bookmarkEnd w:id="221"/>
      <w:bookmarkStart w:id="222" w:name="_Toc184308051"/>
      <w:bookmarkEnd w:id="222"/>
      <w:bookmarkStart w:id="223" w:name="_Toc184310277"/>
      <w:bookmarkEnd w:id="223"/>
      <w:bookmarkStart w:id="224" w:name="_Toc184312116"/>
      <w:bookmarkEnd w:id="224"/>
      <w:bookmarkStart w:id="225" w:name="_Toc184312089"/>
      <w:bookmarkEnd w:id="225"/>
      <w:bookmarkStart w:id="226" w:name="_Toc184312070"/>
      <w:bookmarkEnd w:id="226"/>
      <w:bookmarkStart w:id="227" w:name="_Toc184314445"/>
      <w:bookmarkEnd w:id="227"/>
      <w:bookmarkStart w:id="228" w:name="_Toc184308056"/>
      <w:bookmarkEnd w:id="228"/>
      <w:bookmarkStart w:id="229" w:name="_Toc184310333"/>
      <w:bookmarkEnd w:id="229"/>
      <w:bookmarkStart w:id="230" w:name="_Toc184313300"/>
      <w:bookmarkEnd w:id="230"/>
      <w:bookmarkStart w:id="231" w:name="_Toc184308067"/>
      <w:bookmarkEnd w:id="231"/>
      <w:bookmarkStart w:id="232" w:name="_Toc184310284"/>
      <w:bookmarkEnd w:id="232"/>
      <w:bookmarkStart w:id="233" w:name="_Toc184314436"/>
      <w:bookmarkEnd w:id="233"/>
      <w:bookmarkStart w:id="234" w:name="_Toc184314474"/>
      <w:bookmarkEnd w:id="234"/>
      <w:bookmarkStart w:id="235" w:name="_Toc184310281"/>
      <w:bookmarkEnd w:id="235"/>
      <w:bookmarkStart w:id="236" w:name="_Toc184310274"/>
      <w:bookmarkEnd w:id="236"/>
      <w:bookmarkStart w:id="237" w:name="_Toc184308042"/>
      <w:bookmarkEnd w:id="237"/>
      <w:bookmarkStart w:id="238" w:name="_Toc184312082"/>
      <w:bookmarkEnd w:id="238"/>
      <w:bookmarkStart w:id="239" w:name="_Toc184313274"/>
      <w:bookmarkEnd w:id="239"/>
      <w:bookmarkStart w:id="240" w:name="_Toc184310294"/>
      <w:bookmarkEnd w:id="240"/>
      <w:bookmarkStart w:id="241" w:name="_Toc184312075"/>
      <w:bookmarkEnd w:id="241"/>
      <w:bookmarkStart w:id="242" w:name="_Toc184314470"/>
      <w:bookmarkEnd w:id="242"/>
      <w:bookmarkStart w:id="243" w:name="_Toc184308107"/>
      <w:bookmarkEnd w:id="243"/>
      <w:bookmarkStart w:id="244" w:name="_Toc184313286"/>
      <w:bookmarkEnd w:id="244"/>
      <w:bookmarkStart w:id="245" w:name="_Toc184313252"/>
      <w:bookmarkEnd w:id="245"/>
      <w:bookmarkStart w:id="246" w:name="_Toc184312119"/>
      <w:bookmarkEnd w:id="246"/>
      <w:bookmarkStart w:id="247" w:name="_Toc184310299"/>
      <w:bookmarkEnd w:id="247"/>
      <w:bookmarkStart w:id="248" w:name="_Toc184314468"/>
      <w:bookmarkEnd w:id="248"/>
      <w:bookmarkStart w:id="249" w:name="_Toc184312121"/>
      <w:bookmarkEnd w:id="249"/>
      <w:bookmarkStart w:id="250" w:name="_Toc184312109"/>
      <w:bookmarkEnd w:id="250"/>
      <w:bookmarkStart w:id="251" w:name="_Toc184308103"/>
      <w:bookmarkEnd w:id="251"/>
      <w:bookmarkStart w:id="252" w:name="_Toc184313276"/>
      <w:bookmarkEnd w:id="252"/>
      <w:bookmarkStart w:id="253" w:name="_Toc184310341"/>
      <w:bookmarkEnd w:id="253"/>
      <w:bookmarkStart w:id="254" w:name="_Toc184310298"/>
      <w:bookmarkEnd w:id="254"/>
      <w:bookmarkStart w:id="255" w:name="_Toc184312111"/>
      <w:bookmarkEnd w:id="255"/>
      <w:bookmarkStart w:id="256" w:name="_Toc184310344"/>
      <w:bookmarkEnd w:id="256"/>
      <w:bookmarkStart w:id="257" w:name="_Toc184310330"/>
      <w:bookmarkEnd w:id="257"/>
      <w:bookmarkStart w:id="258" w:name="_Toc184308087"/>
      <w:bookmarkEnd w:id="258"/>
      <w:bookmarkStart w:id="259" w:name="_Toc184310312"/>
      <w:bookmarkEnd w:id="259"/>
      <w:bookmarkStart w:id="260" w:name="_Toc184314479"/>
      <w:bookmarkEnd w:id="260"/>
      <w:bookmarkStart w:id="261" w:name="_Toc184314478"/>
      <w:bookmarkEnd w:id="261"/>
      <w:bookmarkStart w:id="262" w:name="_Toc184313264"/>
      <w:bookmarkEnd w:id="262"/>
      <w:bookmarkStart w:id="263" w:name="_Toc184313277"/>
      <w:bookmarkEnd w:id="263"/>
      <w:bookmarkStart w:id="264" w:name="_Toc184314413"/>
      <w:bookmarkEnd w:id="264"/>
      <w:bookmarkStart w:id="265" w:name="_Toc184313247"/>
      <w:bookmarkEnd w:id="265"/>
      <w:bookmarkStart w:id="266" w:name="_Toc184313270"/>
      <w:bookmarkEnd w:id="266"/>
      <w:bookmarkStart w:id="267" w:name="_Toc184313288"/>
      <w:bookmarkEnd w:id="267"/>
      <w:bookmarkStart w:id="268" w:name="_Toc184312074"/>
      <w:bookmarkEnd w:id="268"/>
      <w:bookmarkStart w:id="269" w:name="_Toc184308065"/>
      <w:bookmarkEnd w:id="269"/>
      <w:bookmarkStart w:id="270" w:name="_Toc184308045"/>
      <w:bookmarkEnd w:id="270"/>
      <w:bookmarkStart w:id="271" w:name="_Toc184313258"/>
      <w:bookmarkEnd w:id="271"/>
      <w:bookmarkStart w:id="272" w:name="_Toc184308070"/>
      <w:bookmarkEnd w:id="272"/>
      <w:bookmarkStart w:id="273" w:name="_Toc184313262"/>
      <w:bookmarkEnd w:id="273"/>
      <w:bookmarkStart w:id="274" w:name="_Toc184308074"/>
      <w:bookmarkEnd w:id="274"/>
      <w:bookmarkStart w:id="275" w:name="_Toc184308039"/>
      <w:bookmarkEnd w:id="275"/>
      <w:bookmarkStart w:id="276" w:name="_Toc184313255"/>
      <w:bookmarkEnd w:id="276"/>
      <w:bookmarkStart w:id="277" w:name="_Toc184314447"/>
      <w:bookmarkEnd w:id="277"/>
      <w:bookmarkStart w:id="278" w:name="_Toc184313285"/>
      <w:bookmarkEnd w:id="278"/>
      <w:bookmarkStart w:id="279" w:name="_Toc184313280"/>
      <w:bookmarkEnd w:id="279"/>
      <w:bookmarkStart w:id="280" w:name="_Toc184308101"/>
      <w:bookmarkEnd w:id="280"/>
      <w:bookmarkStart w:id="281" w:name="_Toc184314419"/>
      <w:bookmarkEnd w:id="281"/>
      <w:bookmarkStart w:id="282" w:name="_Toc184312124"/>
      <w:bookmarkEnd w:id="282"/>
      <w:bookmarkStart w:id="283" w:name="_Toc184308082"/>
      <w:bookmarkEnd w:id="283"/>
      <w:bookmarkStart w:id="284" w:name="_Toc184314472"/>
      <w:bookmarkEnd w:id="284"/>
      <w:bookmarkStart w:id="285" w:name="_Toc184312068"/>
      <w:bookmarkEnd w:id="285"/>
      <w:bookmarkStart w:id="286" w:name="_Toc184308052"/>
      <w:bookmarkEnd w:id="286"/>
      <w:bookmarkStart w:id="287" w:name="_Toc184312092"/>
      <w:bookmarkEnd w:id="287"/>
      <w:bookmarkStart w:id="288" w:name="_Toc184313281"/>
      <w:bookmarkEnd w:id="288"/>
      <w:bookmarkStart w:id="289" w:name="_Toc184312134"/>
      <w:bookmarkEnd w:id="289"/>
      <w:bookmarkStart w:id="290" w:name="_Toc184313302"/>
      <w:bookmarkEnd w:id="290"/>
      <w:bookmarkStart w:id="291" w:name="_Toc184310296"/>
      <w:bookmarkEnd w:id="291"/>
      <w:bookmarkStart w:id="292" w:name="_Toc184310317"/>
      <w:bookmarkEnd w:id="292"/>
      <w:bookmarkStart w:id="293" w:name="_Toc184310285"/>
      <w:bookmarkEnd w:id="293"/>
      <w:bookmarkStart w:id="294" w:name="_Toc184313259"/>
      <w:bookmarkEnd w:id="294"/>
      <w:bookmarkStart w:id="295" w:name="_Toc184313268"/>
      <w:bookmarkEnd w:id="295"/>
      <w:bookmarkStart w:id="296" w:name="_Toc184312072"/>
      <w:bookmarkEnd w:id="296"/>
      <w:bookmarkStart w:id="297" w:name="_Toc184312114"/>
      <w:bookmarkEnd w:id="297"/>
      <w:bookmarkStart w:id="298" w:name="_Toc184313245"/>
      <w:bookmarkEnd w:id="298"/>
      <w:bookmarkStart w:id="299" w:name="_Toc184310328"/>
      <w:bookmarkEnd w:id="299"/>
      <w:bookmarkStart w:id="300" w:name="_Toc184314475"/>
      <w:bookmarkEnd w:id="300"/>
      <w:bookmarkStart w:id="301" w:name="_Toc184313307"/>
      <w:bookmarkEnd w:id="301"/>
      <w:bookmarkStart w:id="302" w:name="_Toc184312132"/>
      <w:bookmarkEnd w:id="302"/>
      <w:bookmarkStart w:id="303" w:name="_Toc184312105"/>
      <w:bookmarkEnd w:id="303"/>
      <w:bookmarkStart w:id="304" w:name="_Toc184308073"/>
      <w:bookmarkEnd w:id="304"/>
      <w:bookmarkStart w:id="305" w:name="_Toc184310306"/>
      <w:bookmarkEnd w:id="305"/>
      <w:bookmarkStart w:id="306" w:name="_Toc184310336"/>
      <w:bookmarkEnd w:id="306"/>
      <w:bookmarkStart w:id="307" w:name="_Toc184312083"/>
      <w:bookmarkEnd w:id="307"/>
      <w:bookmarkStart w:id="308" w:name="_Toc184308105"/>
      <w:bookmarkEnd w:id="308"/>
      <w:bookmarkStart w:id="309" w:name="_Toc184310332"/>
      <w:bookmarkEnd w:id="309"/>
      <w:bookmarkStart w:id="310" w:name="_Toc184312135"/>
      <w:bookmarkEnd w:id="310"/>
      <w:bookmarkStart w:id="311" w:name="_Toc184308075"/>
      <w:bookmarkEnd w:id="311"/>
      <w:bookmarkStart w:id="312" w:name="_Toc184312136"/>
      <w:bookmarkEnd w:id="312"/>
      <w:bookmarkStart w:id="313" w:name="_Toc184310322"/>
      <w:bookmarkEnd w:id="313"/>
      <w:bookmarkStart w:id="314" w:name="_Toc184312100"/>
      <w:bookmarkEnd w:id="314"/>
      <w:bookmarkStart w:id="315" w:name="_Toc184312138"/>
      <w:bookmarkEnd w:id="315"/>
      <w:bookmarkStart w:id="316" w:name="_Toc184314443"/>
      <w:bookmarkEnd w:id="316"/>
      <w:bookmarkStart w:id="317" w:name="_Toc184314452"/>
      <w:bookmarkEnd w:id="317"/>
      <w:bookmarkStart w:id="318" w:name="_Toc184314414"/>
      <w:bookmarkEnd w:id="318"/>
      <w:bookmarkStart w:id="319" w:name="_Toc184308044"/>
      <w:bookmarkEnd w:id="319"/>
      <w:bookmarkStart w:id="320" w:name="_Toc184310297"/>
      <w:bookmarkEnd w:id="320"/>
      <w:bookmarkStart w:id="321" w:name="_Toc184313250"/>
      <w:bookmarkEnd w:id="321"/>
      <w:bookmarkStart w:id="322" w:name="_Toc184313310"/>
      <w:bookmarkEnd w:id="322"/>
      <w:bookmarkStart w:id="323" w:name="_Toc184313297"/>
      <w:bookmarkEnd w:id="323"/>
      <w:bookmarkStart w:id="324" w:name="_Toc184308077"/>
      <w:bookmarkEnd w:id="324"/>
      <w:bookmarkStart w:id="325" w:name="_Toc184308048"/>
      <w:bookmarkEnd w:id="325"/>
      <w:bookmarkStart w:id="326" w:name="_Toc184312106"/>
      <w:bookmarkEnd w:id="326"/>
      <w:bookmarkStart w:id="327" w:name="_Toc184314435"/>
      <w:bookmarkEnd w:id="327"/>
      <w:bookmarkStart w:id="328" w:name="_Toc184314439"/>
      <w:bookmarkEnd w:id="328"/>
      <w:bookmarkStart w:id="329" w:name="_Toc184312069"/>
      <w:bookmarkEnd w:id="329"/>
      <w:bookmarkStart w:id="330" w:name="_Toc184310293"/>
      <w:bookmarkEnd w:id="330"/>
      <w:bookmarkStart w:id="331" w:name="_Toc184313309"/>
      <w:bookmarkEnd w:id="331"/>
      <w:bookmarkStart w:id="332" w:name="_Toc184308097"/>
      <w:bookmarkEnd w:id="332"/>
      <w:bookmarkStart w:id="333" w:name="_Toc184308089"/>
      <w:bookmarkEnd w:id="333"/>
      <w:bookmarkStart w:id="334" w:name="_Toc184314480"/>
      <w:bookmarkEnd w:id="334"/>
      <w:bookmarkStart w:id="335" w:name="_Toc184313256"/>
      <w:bookmarkEnd w:id="335"/>
      <w:bookmarkStart w:id="336" w:name="_Toc184308086"/>
      <w:bookmarkEnd w:id="336"/>
      <w:bookmarkStart w:id="337" w:name="_Toc184312078"/>
      <w:bookmarkEnd w:id="337"/>
      <w:bookmarkStart w:id="338" w:name="_Toc184313287"/>
      <w:bookmarkEnd w:id="338"/>
      <w:bookmarkStart w:id="339" w:name="_Toc184310286"/>
      <w:bookmarkEnd w:id="339"/>
      <w:bookmarkStart w:id="340" w:name="_Toc184312080"/>
      <w:bookmarkEnd w:id="340"/>
      <w:bookmarkStart w:id="341" w:name="_Toc184313290"/>
      <w:bookmarkEnd w:id="341"/>
      <w:bookmarkStart w:id="342" w:name="_Toc184308079"/>
      <w:bookmarkEnd w:id="342"/>
      <w:bookmarkStart w:id="343" w:name="_Toc184308036"/>
      <w:bookmarkEnd w:id="343"/>
      <w:bookmarkStart w:id="344" w:name="_Toc184308057"/>
      <w:bookmarkEnd w:id="344"/>
      <w:bookmarkStart w:id="345" w:name="_Toc184312095"/>
      <w:bookmarkEnd w:id="345"/>
      <w:bookmarkStart w:id="346" w:name="_Toc184314429"/>
      <w:bookmarkEnd w:id="346"/>
      <w:bookmarkStart w:id="347" w:name="_Toc184314410"/>
      <w:bookmarkEnd w:id="347"/>
      <w:bookmarkStart w:id="348" w:name="_Toc184308053"/>
      <w:bookmarkEnd w:id="348"/>
      <w:bookmarkStart w:id="349" w:name="_Toc184310309"/>
      <w:bookmarkEnd w:id="349"/>
      <w:bookmarkStart w:id="350" w:name="_Toc184312081"/>
      <w:bookmarkEnd w:id="350"/>
      <w:bookmarkStart w:id="351" w:name="_Toc184308083"/>
      <w:bookmarkEnd w:id="351"/>
      <w:bookmarkStart w:id="352" w:name="_Toc184308071"/>
      <w:bookmarkEnd w:id="352"/>
      <w:bookmarkStart w:id="353" w:name="_Toc184314464"/>
      <w:bookmarkEnd w:id="353"/>
      <w:bookmarkStart w:id="354" w:name="_Toc184310325"/>
      <w:bookmarkEnd w:id="354"/>
      <w:bookmarkStart w:id="355" w:name="_Toc184313299"/>
      <w:bookmarkEnd w:id="355"/>
      <w:bookmarkStart w:id="356" w:name="_Toc184314467"/>
      <w:bookmarkEnd w:id="356"/>
      <w:bookmarkStart w:id="357" w:name="_Toc184314457"/>
      <w:bookmarkEnd w:id="357"/>
      <w:bookmarkStart w:id="358" w:name="_Toc184312122"/>
      <w:bookmarkEnd w:id="358"/>
      <w:bookmarkStart w:id="359" w:name="_Toc184312128"/>
      <w:bookmarkEnd w:id="359"/>
      <w:bookmarkStart w:id="360" w:name="_Toc184312127"/>
      <w:bookmarkEnd w:id="360"/>
      <w:bookmarkStart w:id="361" w:name="_Toc184310288"/>
      <w:bookmarkEnd w:id="361"/>
      <w:bookmarkStart w:id="362" w:name="_Toc184314425"/>
      <w:bookmarkEnd w:id="362"/>
      <w:bookmarkStart w:id="363" w:name="_Toc184308102"/>
      <w:bookmarkEnd w:id="363"/>
      <w:bookmarkStart w:id="364" w:name="_Toc184308108"/>
      <w:bookmarkEnd w:id="364"/>
      <w:bookmarkStart w:id="365" w:name="_Toc184314481"/>
      <w:bookmarkEnd w:id="365"/>
      <w:bookmarkStart w:id="366" w:name="_Toc184308064"/>
      <w:bookmarkEnd w:id="366"/>
      <w:bookmarkStart w:id="367" w:name="_Toc184310340"/>
      <w:bookmarkEnd w:id="367"/>
      <w:bookmarkStart w:id="368" w:name="_Toc184313254"/>
      <w:bookmarkEnd w:id="368"/>
      <w:bookmarkStart w:id="369" w:name="_Toc184312084"/>
      <w:bookmarkEnd w:id="369"/>
      <w:bookmarkStart w:id="370" w:name="_Toc184308063"/>
      <w:bookmarkEnd w:id="370"/>
      <w:bookmarkStart w:id="371" w:name="_Toc184310324"/>
      <w:bookmarkEnd w:id="371"/>
      <w:bookmarkStart w:id="372" w:name="_Toc184310343"/>
      <w:bookmarkEnd w:id="372"/>
      <w:bookmarkStart w:id="373" w:name="_Toc184310311"/>
      <w:bookmarkEnd w:id="373"/>
      <w:bookmarkStart w:id="374" w:name="_Toc184310304"/>
      <w:bookmarkEnd w:id="374"/>
      <w:bookmarkStart w:id="375" w:name="_Toc184313273"/>
      <w:bookmarkEnd w:id="375"/>
      <w:bookmarkStart w:id="376" w:name="_Toc184314466"/>
      <w:bookmarkEnd w:id="376"/>
      <w:bookmarkStart w:id="377" w:name="_Toc184313301"/>
      <w:bookmarkEnd w:id="377"/>
      <w:bookmarkStart w:id="378" w:name="_Toc184312077"/>
      <w:bookmarkEnd w:id="378"/>
      <w:bookmarkStart w:id="379" w:name="_Toc184314422"/>
      <w:bookmarkEnd w:id="379"/>
      <w:bookmarkStart w:id="380" w:name="_Toc184310279"/>
      <w:bookmarkEnd w:id="380"/>
      <w:bookmarkStart w:id="381" w:name="_Toc184314446"/>
      <w:bookmarkEnd w:id="381"/>
      <w:bookmarkStart w:id="382" w:name="_Toc184310323"/>
      <w:bookmarkEnd w:id="382"/>
      <w:bookmarkStart w:id="383" w:name="_Toc184308050"/>
      <w:bookmarkEnd w:id="383"/>
      <w:bookmarkStart w:id="384" w:name="_Toc184314428"/>
      <w:bookmarkEnd w:id="384"/>
      <w:bookmarkStart w:id="385" w:name="_Toc184312133"/>
      <w:bookmarkEnd w:id="385"/>
      <w:bookmarkStart w:id="386" w:name="_Toc184308062"/>
      <w:bookmarkEnd w:id="386"/>
      <w:bookmarkStart w:id="387" w:name="_Toc184310278"/>
      <w:bookmarkEnd w:id="387"/>
      <w:bookmarkStart w:id="388" w:name="_Toc184314430"/>
      <w:bookmarkEnd w:id="388"/>
      <w:bookmarkStart w:id="389" w:name="_Toc184314458"/>
      <w:bookmarkEnd w:id="389"/>
      <w:bookmarkStart w:id="390" w:name="_Toc184310334"/>
      <w:bookmarkEnd w:id="390"/>
      <w:bookmarkStart w:id="391" w:name="_Toc184310308"/>
      <w:bookmarkEnd w:id="391"/>
      <w:bookmarkStart w:id="392" w:name="_Toc184312090"/>
      <w:bookmarkEnd w:id="392"/>
      <w:bookmarkStart w:id="393" w:name="_Toc184310339"/>
      <w:bookmarkEnd w:id="393"/>
      <w:bookmarkStart w:id="394" w:name="_Toc184312087"/>
      <w:bookmarkEnd w:id="394"/>
      <w:bookmarkStart w:id="395" w:name="_Toc184308072"/>
      <w:bookmarkEnd w:id="395"/>
      <w:bookmarkStart w:id="396" w:name="_Toc184312118"/>
      <w:bookmarkEnd w:id="396"/>
      <w:r>
        <w:rPr>
          <w:rFonts w:hint="eastAsia" w:ascii="宋体" w:hAnsi="宋体" w:cs="宋体"/>
          <w:b/>
          <w:color w:val="auto"/>
          <w:sz w:val="36"/>
          <w:szCs w:val="36"/>
          <w:highlight w:val="none"/>
        </w:rPr>
        <w:t>评标办法</w:t>
      </w:r>
    </w:p>
    <w:p w14:paraId="621E58A6">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10224" w:type="dxa"/>
        <w:tblInd w:w="-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6833"/>
        <w:gridCol w:w="696"/>
        <w:gridCol w:w="1018"/>
        <w:gridCol w:w="1072"/>
      </w:tblGrid>
      <w:tr w14:paraId="1F672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4A90D931">
            <w:pPr>
              <w:keepNext w:val="0"/>
              <w:keepLines w:val="0"/>
              <w:pageBreakBefore w:val="0"/>
              <w:kinsoku/>
              <w:wordWrap/>
              <w:overflowPunct/>
              <w:topLinePunct w:val="0"/>
              <w:autoSpaceDE/>
              <w:autoSpaceDN/>
              <w:bidi w:val="0"/>
              <w:snapToGrid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6833" w:type="dxa"/>
            <w:vAlign w:val="center"/>
          </w:tcPr>
          <w:p w14:paraId="454EFF70">
            <w:pPr>
              <w:keepNext w:val="0"/>
              <w:keepLines w:val="0"/>
              <w:pageBreakBefore w:val="0"/>
              <w:kinsoku/>
              <w:wordWrap/>
              <w:overflowPunct/>
              <w:topLinePunct w:val="0"/>
              <w:autoSpaceDE/>
              <w:autoSpaceDN/>
              <w:bidi w:val="0"/>
              <w:snapToGrid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评标标准</w:t>
            </w:r>
          </w:p>
        </w:tc>
        <w:tc>
          <w:tcPr>
            <w:tcW w:w="696" w:type="dxa"/>
            <w:vAlign w:val="center"/>
          </w:tcPr>
          <w:p w14:paraId="76AF5C46">
            <w:pPr>
              <w:keepNext w:val="0"/>
              <w:keepLines w:val="0"/>
              <w:pageBreakBefore w:val="0"/>
              <w:kinsoku/>
              <w:wordWrap/>
              <w:overflowPunct/>
              <w:topLinePunct w:val="0"/>
              <w:autoSpaceDE/>
              <w:autoSpaceDN/>
              <w:bidi w:val="0"/>
              <w:snapToGrid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权重</w:t>
            </w:r>
          </w:p>
        </w:tc>
        <w:tc>
          <w:tcPr>
            <w:tcW w:w="1018" w:type="dxa"/>
            <w:vAlign w:val="center"/>
          </w:tcPr>
          <w:p w14:paraId="6EC1A8DE">
            <w:pPr>
              <w:keepNext w:val="0"/>
              <w:keepLines w:val="0"/>
              <w:pageBreakBefore w:val="0"/>
              <w:kinsoku/>
              <w:wordWrap/>
              <w:overflowPunct/>
              <w:topLinePunct w:val="0"/>
              <w:autoSpaceDE/>
              <w:autoSpaceDN/>
              <w:bidi w:val="0"/>
              <w:snapToGrid w:val="0"/>
              <w:spacing w:line="240" w:lineRule="auto"/>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主观分/客观分属性</w:t>
            </w:r>
          </w:p>
        </w:tc>
        <w:tc>
          <w:tcPr>
            <w:tcW w:w="1072" w:type="dxa"/>
          </w:tcPr>
          <w:p w14:paraId="1339F9FD">
            <w:pPr>
              <w:keepNext w:val="0"/>
              <w:keepLines w:val="0"/>
              <w:pageBreakBefore w:val="0"/>
              <w:kinsoku/>
              <w:wordWrap/>
              <w:overflowPunct/>
              <w:topLinePunct w:val="0"/>
              <w:autoSpaceDE/>
              <w:autoSpaceDN/>
              <w:bidi w:val="0"/>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投标文件</w:t>
            </w:r>
            <w:r>
              <w:rPr>
                <w:rFonts w:hint="eastAsia" w:asciiTheme="minorEastAsia" w:hAnsiTheme="minorEastAsia" w:eastAsiaTheme="minorEastAsia" w:cstheme="minorEastAsia"/>
                <w:bCs/>
                <w:color w:val="auto"/>
                <w:sz w:val="20"/>
                <w:szCs w:val="20"/>
                <w:highlight w:val="none"/>
              </w:rPr>
              <w:t>中评标标准相应的商务技术资料目录*</w:t>
            </w:r>
          </w:p>
        </w:tc>
      </w:tr>
      <w:tr w14:paraId="3A738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01A3786A">
            <w:pPr>
              <w:keepNext w:val="0"/>
              <w:keepLines w:val="0"/>
              <w:pageBreakBefore w:val="0"/>
              <w:kinsoku/>
              <w:wordWrap/>
              <w:overflowPunct/>
              <w:topLinePunct w:val="0"/>
              <w:autoSpaceDE/>
              <w:autoSpaceDN/>
              <w:bidi w:val="0"/>
              <w:snapToGrid w:val="0"/>
              <w:spacing w:line="312"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6833" w:type="dxa"/>
            <w:vAlign w:val="center"/>
          </w:tcPr>
          <w:p w14:paraId="4407679A">
            <w:pPr>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【类似业绩】</w:t>
            </w:r>
          </w:p>
          <w:p w14:paraId="6A1819AC">
            <w:pPr>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供应商自20</w:t>
            </w:r>
            <w:r>
              <w:rPr>
                <w:rFonts w:hint="eastAsia" w:asciiTheme="minorEastAsia" w:hAnsiTheme="minorEastAsia" w:eastAsiaTheme="minorEastAsia" w:cstheme="minorEastAsia"/>
                <w:color w:val="auto"/>
                <w:sz w:val="24"/>
                <w:szCs w:val="24"/>
                <w:highlight w:val="none"/>
                <w:lang w:val="en-US" w:eastAsia="zh-CN"/>
              </w:rPr>
              <w:t>21</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1月1日</w:t>
            </w:r>
            <w:r>
              <w:rPr>
                <w:rFonts w:hint="eastAsia" w:asciiTheme="minorEastAsia" w:hAnsiTheme="minorEastAsia" w:eastAsiaTheme="minorEastAsia" w:cstheme="minorEastAsia"/>
                <w:color w:val="auto"/>
                <w:sz w:val="24"/>
                <w:szCs w:val="24"/>
                <w:highlight w:val="none"/>
              </w:rPr>
              <w:t>以来承担过类似</w:t>
            </w:r>
            <w:r>
              <w:rPr>
                <w:rFonts w:hint="eastAsia" w:asciiTheme="minorEastAsia" w:hAnsiTheme="minorEastAsia" w:eastAsiaTheme="minorEastAsia" w:cstheme="minorEastAsia"/>
                <w:i w:val="0"/>
                <w:iCs w:val="0"/>
                <w:strike w:val="0"/>
                <w:dstrike w:val="0"/>
                <w:color w:val="auto"/>
                <w:sz w:val="24"/>
                <w:szCs w:val="24"/>
                <w:highlight w:val="none"/>
                <w:lang w:val="en-US" w:eastAsia="zh-CN"/>
              </w:rPr>
              <w:t>本项目</w:t>
            </w:r>
            <w:r>
              <w:rPr>
                <w:rFonts w:hint="eastAsia" w:asciiTheme="minorEastAsia" w:hAnsiTheme="minorEastAsia" w:eastAsiaTheme="minorEastAsia" w:cstheme="minorEastAsia"/>
                <w:color w:val="auto"/>
                <w:sz w:val="24"/>
                <w:szCs w:val="24"/>
                <w:highlight w:val="none"/>
              </w:rPr>
              <w:t>的治安防控、特保或安保服务项目的，</w:t>
            </w:r>
            <w:r>
              <w:rPr>
                <w:rFonts w:hint="eastAsia" w:asciiTheme="minorEastAsia" w:hAnsiTheme="minorEastAsia" w:eastAsiaTheme="minorEastAsia" w:cstheme="minorEastAsia"/>
                <w:color w:val="auto"/>
                <w:sz w:val="24"/>
                <w:szCs w:val="24"/>
                <w:highlight w:val="none"/>
                <w:lang w:eastAsia="zh-CN"/>
              </w:rPr>
              <w:t>每个得</w:t>
            </w:r>
            <w:r>
              <w:rPr>
                <w:rFonts w:hint="eastAsia" w:asciiTheme="minorEastAsia" w:hAnsiTheme="minorEastAsia" w:eastAsiaTheme="minorEastAsia" w:cstheme="minorEastAsia"/>
                <w:color w:val="auto"/>
                <w:sz w:val="24"/>
                <w:szCs w:val="24"/>
                <w:highlight w:val="none"/>
                <w:lang w:val="en-US" w:eastAsia="zh-CN"/>
              </w:rPr>
              <w:t>0.5分</w:t>
            </w:r>
            <w:r>
              <w:rPr>
                <w:rFonts w:hint="eastAsia" w:asciiTheme="minorEastAsia" w:hAnsiTheme="minorEastAsia" w:eastAsiaTheme="minorEastAsia" w:cstheme="minorEastAsia"/>
                <w:color w:val="auto"/>
                <w:sz w:val="24"/>
                <w:szCs w:val="24"/>
                <w:highlight w:val="none"/>
              </w:rPr>
              <w:t>，最高1分。</w:t>
            </w:r>
          </w:p>
          <w:p w14:paraId="5B0E8B13">
            <w:pPr>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证明材料：</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提供对应项目</w:t>
            </w:r>
            <w:r>
              <w:rPr>
                <w:rFonts w:hint="eastAsia" w:asciiTheme="minorEastAsia" w:hAnsiTheme="minorEastAsia" w:eastAsiaTheme="minorEastAsia" w:cstheme="minorEastAsia"/>
                <w:color w:val="auto"/>
                <w:sz w:val="24"/>
                <w:szCs w:val="24"/>
                <w:highlight w:val="none"/>
                <w:lang w:val="en-US" w:eastAsia="zh-CN"/>
              </w:rPr>
              <w:t>合同和业主满意度评价表并</w:t>
            </w:r>
            <w:r>
              <w:rPr>
                <w:rFonts w:hint="eastAsia" w:asciiTheme="minorEastAsia" w:hAnsiTheme="minorEastAsia" w:eastAsiaTheme="minorEastAsia" w:cstheme="minorEastAsia"/>
                <w:color w:val="auto"/>
                <w:sz w:val="24"/>
                <w:szCs w:val="24"/>
                <w:highlight w:val="none"/>
              </w:rPr>
              <w:t>加盖供应</w:t>
            </w:r>
            <w:r>
              <w:rPr>
                <w:rFonts w:hint="eastAsia" w:asciiTheme="minorEastAsia" w:hAnsiTheme="minorEastAsia" w:eastAsiaTheme="minorEastAsia" w:cstheme="minorEastAsia"/>
                <w:color w:val="auto"/>
                <w:sz w:val="24"/>
                <w:szCs w:val="24"/>
                <w:highlight w:val="none"/>
                <w:lang w:eastAsia="zh-CN"/>
              </w:rPr>
              <w:t>商</w:t>
            </w:r>
            <w:r>
              <w:rPr>
                <w:rFonts w:hint="eastAsia" w:asciiTheme="minorEastAsia" w:hAnsiTheme="minorEastAsia" w:eastAsiaTheme="minorEastAsia" w:cstheme="minorEastAsia"/>
                <w:color w:val="auto"/>
                <w:sz w:val="24"/>
                <w:szCs w:val="24"/>
                <w:highlight w:val="none"/>
              </w:rPr>
              <w:t>公章，时间以合同签订时间为准。</w:t>
            </w:r>
          </w:p>
        </w:tc>
        <w:tc>
          <w:tcPr>
            <w:tcW w:w="696" w:type="dxa"/>
            <w:vAlign w:val="center"/>
          </w:tcPr>
          <w:p w14:paraId="20F2CF9B">
            <w:pPr>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0-1</w:t>
            </w:r>
          </w:p>
        </w:tc>
        <w:tc>
          <w:tcPr>
            <w:tcW w:w="1018" w:type="dxa"/>
            <w:vAlign w:val="center"/>
          </w:tcPr>
          <w:p w14:paraId="71F33C84">
            <w:pPr>
              <w:keepNext w:val="0"/>
              <w:keepLines w:val="0"/>
              <w:pageBreakBefore w:val="0"/>
              <w:kinsoku/>
              <w:wordWrap/>
              <w:overflowPunct/>
              <w:topLinePunct w:val="0"/>
              <w:autoSpaceDE/>
              <w:autoSpaceDN/>
              <w:bidi w:val="0"/>
              <w:snapToGrid w:val="0"/>
              <w:spacing w:line="312" w:lineRule="auto"/>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客观分</w:t>
            </w:r>
          </w:p>
        </w:tc>
        <w:tc>
          <w:tcPr>
            <w:tcW w:w="1072" w:type="dxa"/>
          </w:tcPr>
          <w:p w14:paraId="28C55677">
            <w:pPr>
              <w:keepNext w:val="0"/>
              <w:keepLines w:val="0"/>
              <w:pageBreakBefore w:val="0"/>
              <w:kinsoku/>
              <w:wordWrap/>
              <w:overflowPunct/>
              <w:topLinePunct w:val="0"/>
              <w:autoSpaceDE/>
              <w:autoSpaceDN/>
              <w:bidi w:val="0"/>
              <w:snapToGrid w:val="0"/>
              <w:spacing w:line="312" w:lineRule="auto"/>
              <w:jc w:val="center"/>
              <w:rPr>
                <w:rFonts w:hint="eastAsia" w:asciiTheme="minorEastAsia" w:hAnsiTheme="minorEastAsia" w:eastAsiaTheme="minorEastAsia" w:cstheme="minorEastAsia"/>
                <w:bCs/>
                <w:color w:val="auto"/>
                <w:sz w:val="24"/>
                <w:szCs w:val="24"/>
                <w:highlight w:val="none"/>
              </w:rPr>
            </w:pPr>
          </w:p>
        </w:tc>
      </w:tr>
      <w:tr w14:paraId="7780C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67132F0D">
            <w:pPr>
              <w:keepNext w:val="0"/>
              <w:keepLines w:val="0"/>
              <w:pageBreakBefore w:val="0"/>
              <w:kinsoku/>
              <w:wordWrap/>
              <w:overflowPunct/>
              <w:topLinePunct w:val="0"/>
              <w:autoSpaceDE/>
              <w:autoSpaceDN/>
              <w:bidi w:val="0"/>
              <w:snapToGrid w:val="0"/>
              <w:spacing w:line="312"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6833" w:type="dxa"/>
            <w:vAlign w:val="center"/>
          </w:tcPr>
          <w:p w14:paraId="7E4D9C35">
            <w:pPr>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【认证证书】</w:t>
            </w:r>
          </w:p>
          <w:p w14:paraId="565DF569">
            <w:pPr>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w:t>
            </w:r>
            <w:r>
              <w:rPr>
                <w:rFonts w:hint="eastAsia" w:asciiTheme="minorEastAsia" w:hAnsiTheme="minorEastAsia" w:eastAsiaTheme="minorEastAsia" w:cstheme="minorEastAsia"/>
                <w:color w:val="auto"/>
                <w:sz w:val="24"/>
                <w:szCs w:val="24"/>
                <w:highlight w:val="none"/>
                <w:lang w:val="en-US" w:eastAsia="zh-CN"/>
              </w:rPr>
              <w:t>具有</w:t>
            </w:r>
            <w:r>
              <w:rPr>
                <w:rFonts w:hint="eastAsia" w:asciiTheme="minorEastAsia" w:hAnsiTheme="minorEastAsia" w:eastAsiaTheme="minorEastAsia" w:cstheme="minorEastAsia"/>
                <w:color w:val="auto"/>
                <w:sz w:val="24"/>
                <w:szCs w:val="24"/>
                <w:highlight w:val="none"/>
              </w:rPr>
              <w:t>质量管理体系认证证书、</w:t>
            </w:r>
            <w:r>
              <w:rPr>
                <w:rFonts w:hint="eastAsia" w:ascii="宋体" w:hAnsi="宋体" w:eastAsia="宋体" w:cs="宋体"/>
                <w:bCs/>
                <w:color w:val="auto"/>
                <w:sz w:val="24"/>
                <w:szCs w:val="24"/>
                <w:highlight w:val="none"/>
              </w:rPr>
              <w:t>职业健康资格体系</w:t>
            </w:r>
            <w:r>
              <w:rPr>
                <w:rFonts w:hint="eastAsia" w:asciiTheme="minorEastAsia" w:hAnsiTheme="minorEastAsia" w:eastAsiaTheme="minorEastAsia" w:cstheme="minorEastAsia"/>
                <w:color w:val="auto"/>
                <w:sz w:val="24"/>
                <w:szCs w:val="24"/>
                <w:highlight w:val="none"/>
              </w:rPr>
              <w:t>认证证书，并在有效期内，</w:t>
            </w:r>
            <w:r>
              <w:rPr>
                <w:rFonts w:hint="eastAsia" w:ascii="宋体" w:hAnsi="宋体" w:eastAsia="宋体" w:cs="宋体"/>
                <w:bCs/>
                <w:color w:val="auto"/>
                <w:sz w:val="24"/>
                <w:szCs w:val="24"/>
                <w:highlight w:val="none"/>
                <w:lang w:val="en-US" w:eastAsia="zh-CN"/>
              </w:rPr>
              <w:t>有一项</w:t>
            </w:r>
            <w:r>
              <w:rPr>
                <w:rFonts w:hint="eastAsia" w:ascii="宋体" w:hAnsi="宋体" w:eastAsia="宋体" w:cs="宋体"/>
                <w:bCs/>
                <w:color w:val="auto"/>
                <w:sz w:val="24"/>
                <w:szCs w:val="24"/>
                <w:highlight w:val="none"/>
              </w:rPr>
              <w:t>得1分</w:t>
            </w:r>
            <w:r>
              <w:rPr>
                <w:rFonts w:hint="eastAsia" w:ascii="宋体" w:hAnsi="宋体" w:eastAsia="宋体" w:cs="宋体"/>
                <w:bCs/>
                <w:color w:val="auto"/>
                <w:sz w:val="24"/>
                <w:szCs w:val="24"/>
                <w:highlight w:val="none"/>
                <w:lang w:eastAsia="zh-CN"/>
              </w:rPr>
              <w:t>，最高得</w:t>
            </w:r>
            <w:r>
              <w:rPr>
                <w:rFonts w:hint="eastAsia" w:ascii="宋体" w:hAnsi="宋体" w:eastAsia="宋体" w:cs="宋体"/>
                <w:bCs/>
                <w:color w:val="auto"/>
                <w:sz w:val="24"/>
                <w:szCs w:val="24"/>
                <w:highlight w:val="none"/>
                <w:lang w:val="en-US" w:eastAsia="zh-CN"/>
              </w:rPr>
              <w:t>2分</w:t>
            </w:r>
            <w:r>
              <w:rPr>
                <w:rFonts w:hint="eastAsia" w:asciiTheme="minorEastAsia" w:hAnsiTheme="minorEastAsia" w:eastAsiaTheme="minorEastAsia" w:cstheme="minorEastAsia"/>
                <w:color w:val="auto"/>
                <w:sz w:val="24"/>
                <w:szCs w:val="24"/>
                <w:highlight w:val="none"/>
              </w:rPr>
              <w:t>。</w:t>
            </w:r>
          </w:p>
          <w:p w14:paraId="38F21D1A">
            <w:pPr>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证明材料：</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提供证书扫描件和国家认监委网站（www.cnca.gov.cn）查询的网页截图</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未在该网站上查询到有效状态的或未提供的不得分。</w:t>
            </w:r>
          </w:p>
        </w:tc>
        <w:tc>
          <w:tcPr>
            <w:tcW w:w="696" w:type="dxa"/>
            <w:vAlign w:val="center"/>
          </w:tcPr>
          <w:p w14:paraId="24A6C3D8">
            <w:pPr>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2</w:t>
            </w:r>
          </w:p>
        </w:tc>
        <w:tc>
          <w:tcPr>
            <w:tcW w:w="1018" w:type="dxa"/>
            <w:vAlign w:val="center"/>
          </w:tcPr>
          <w:p w14:paraId="7C06ADEB">
            <w:pPr>
              <w:keepNext w:val="0"/>
              <w:keepLines w:val="0"/>
              <w:pageBreakBefore w:val="0"/>
              <w:kinsoku/>
              <w:wordWrap/>
              <w:overflowPunct/>
              <w:topLinePunct w:val="0"/>
              <w:autoSpaceDE/>
              <w:autoSpaceDN/>
              <w:bidi w:val="0"/>
              <w:snapToGrid w:val="0"/>
              <w:spacing w:line="312" w:lineRule="auto"/>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客观分</w:t>
            </w:r>
          </w:p>
        </w:tc>
        <w:tc>
          <w:tcPr>
            <w:tcW w:w="1072" w:type="dxa"/>
          </w:tcPr>
          <w:p w14:paraId="5B313D43">
            <w:pPr>
              <w:keepNext w:val="0"/>
              <w:keepLines w:val="0"/>
              <w:pageBreakBefore w:val="0"/>
              <w:kinsoku/>
              <w:wordWrap/>
              <w:overflowPunct/>
              <w:topLinePunct w:val="0"/>
              <w:autoSpaceDE/>
              <w:autoSpaceDN/>
              <w:bidi w:val="0"/>
              <w:snapToGrid w:val="0"/>
              <w:spacing w:line="312" w:lineRule="auto"/>
              <w:jc w:val="center"/>
              <w:rPr>
                <w:rFonts w:hint="eastAsia" w:asciiTheme="minorEastAsia" w:hAnsiTheme="minorEastAsia" w:eastAsiaTheme="minorEastAsia" w:cstheme="minorEastAsia"/>
                <w:bCs/>
                <w:color w:val="auto"/>
                <w:sz w:val="24"/>
                <w:szCs w:val="24"/>
                <w:highlight w:val="none"/>
              </w:rPr>
            </w:pPr>
          </w:p>
        </w:tc>
      </w:tr>
      <w:tr w14:paraId="2AEB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24A8052C">
            <w:pPr>
              <w:keepNext w:val="0"/>
              <w:keepLines w:val="0"/>
              <w:pageBreakBefore w:val="0"/>
              <w:kinsoku/>
              <w:wordWrap/>
              <w:overflowPunct/>
              <w:topLinePunct w:val="0"/>
              <w:autoSpaceDE/>
              <w:autoSpaceDN/>
              <w:bidi w:val="0"/>
              <w:snapToGrid w:val="0"/>
              <w:spacing w:line="312"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6833" w:type="dxa"/>
            <w:vAlign w:val="center"/>
          </w:tcPr>
          <w:p w14:paraId="0F23EB9C">
            <w:pPr>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【项目负责人】</w:t>
            </w:r>
          </w:p>
          <w:p w14:paraId="21AD0B46">
            <w:pPr>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（1）具有高级职称得2分，中级职称得1分，初级职称得0.5分，本条满分2分</w:t>
            </w:r>
            <w:r>
              <w:rPr>
                <w:rFonts w:hint="eastAsia" w:asciiTheme="minorEastAsia" w:hAnsiTheme="minorEastAsia" w:eastAsiaTheme="minorEastAsia" w:cstheme="minorEastAsia"/>
                <w:color w:val="auto"/>
                <w:sz w:val="24"/>
                <w:szCs w:val="24"/>
                <w:highlight w:val="none"/>
                <w:lang w:eastAsia="zh-CN"/>
              </w:rPr>
              <w:t>。</w:t>
            </w:r>
          </w:p>
          <w:p w14:paraId="3A78F548">
            <w:pPr>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证明材料：提供职称证书和距投标截止时间2个月中任意一个月（如开标时间为7月，提供6月或7月的证明）的有效社保证明并加盖供应商公章；</w:t>
            </w:r>
          </w:p>
          <w:p w14:paraId="01844629">
            <w:pPr>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）具有一级保安员证书的得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分，具有二级保安员证书的得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分，本条满分</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分。</w:t>
            </w:r>
          </w:p>
          <w:p w14:paraId="235B6649">
            <w:pPr>
              <w:keepNext w:val="0"/>
              <w:keepLines w:val="0"/>
              <w:pageBreakBefore w:val="0"/>
              <w:kinsoku/>
              <w:wordWrap/>
              <w:overflowPunct/>
              <w:topLinePunct w:val="0"/>
              <w:autoSpaceDE/>
              <w:autoSpaceDN/>
              <w:bidi w:val="0"/>
              <w:adjustRightInd/>
              <w:spacing w:line="312" w:lineRule="auto"/>
              <w:jc w:val="left"/>
              <w:rPr>
                <w:rFonts w:hint="eastAsia"/>
                <w:color w:val="auto"/>
                <w:highlight w:val="none"/>
              </w:rPr>
            </w:pPr>
            <w:r>
              <w:rPr>
                <w:rFonts w:hint="eastAsia" w:asciiTheme="minorEastAsia" w:hAnsiTheme="minorEastAsia" w:eastAsiaTheme="minorEastAsia" w:cstheme="minorEastAsia"/>
                <w:color w:val="auto"/>
                <w:sz w:val="24"/>
                <w:szCs w:val="24"/>
                <w:highlight w:val="none"/>
                <w:lang w:val="en-US" w:eastAsia="zh-CN"/>
              </w:rPr>
              <w:t>证明材料：提供有效保安员证书复印件和距投标截止时间2个月中任意一个月（如开标时间为7月，提供6月或7月的证明）的有效社保证明并加盖供应商公章；以上提供的社保人员须为在职人员，中标后采购人有权核查真实性，如有离职人员，</w:t>
            </w:r>
            <w:r>
              <w:rPr>
                <w:rFonts w:hint="eastAsia" w:asciiTheme="minorEastAsia" w:hAnsiTheme="minorEastAsia" w:eastAsiaTheme="minorEastAsia" w:cstheme="minorEastAsia"/>
                <w:color w:val="auto"/>
                <w:sz w:val="24"/>
                <w:szCs w:val="24"/>
                <w:highlight w:val="none"/>
                <w:lang w:val="zh-CN" w:eastAsia="zh-CN"/>
              </w:rPr>
              <w:t>属于提供虚假材料谋取中标、成交，依照《中华人民共和国政府采购法》等国家有关规定追究相应责任。</w:t>
            </w:r>
          </w:p>
        </w:tc>
        <w:tc>
          <w:tcPr>
            <w:tcW w:w="696" w:type="dxa"/>
            <w:vAlign w:val="center"/>
          </w:tcPr>
          <w:p w14:paraId="539D2C33">
            <w:pPr>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4</w:t>
            </w:r>
          </w:p>
        </w:tc>
        <w:tc>
          <w:tcPr>
            <w:tcW w:w="1018" w:type="dxa"/>
            <w:vAlign w:val="center"/>
          </w:tcPr>
          <w:p w14:paraId="7AACF50A">
            <w:pPr>
              <w:keepNext w:val="0"/>
              <w:keepLines w:val="0"/>
              <w:pageBreakBefore w:val="0"/>
              <w:kinsoku/>
              <w:wordWrap/>
              <w:overflowPunct/>
              <w:topLinePunct w:val="0"/>
              <w:autoSpaceDE/>
              <w:autoSpaceDN/>
              <w:bidi w:val="0"/>
              <w:snapToGrid w:val="0"/>
              <w:spacing w:line="312" w:lineRule="auto"/>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客观分</w:t>
            </w:r>
          </w:p>
        </w:tc>
        <w:tc>
          <w:tcPr>
            <w:tcW w:w="1072" w:type="dxa"/>
          </w:tcPr>
          <w:p w14:paraId="5C337FE1">
            <w:pPr>
              <w:keepNext w:val="0"/>
              <w:keepLines w:val="0"/>
              <w:pageBreakBefore w:val="0"/>
              <w:kinsoku/>
              <w:wordWrap/>
              <w:overflowPunct/>
              <w:topLinePunct w:val="0"/>
              <w:autoSpaceDE/>
              <w:autoSpaceDN/>
              <w:bidi w:val="0"/>
              <w:snapToGrid w:val="0"/>
              <w:spacing w:line="312" w:lineRule="auto"/>
              <w:jc w:val="center"/>
              <w:rPr>
                <w:rFonts w:hint="eastAsia" w:asciiTheme="minorEastAsia" w:hAnsiTheme="minorEastAsia" w:eastAsiaTheme="minorEastAsia" w:cstheme="minorEastAsia"/>
                <w:bCs/>
                <w:color w:val="auto"/>
                <w:sz w:val="24"/>
                <w:szCs w:val="24"/>
                <w:highlight w:val="none"/>
              </w:rPr>
            </w:pPr>
          </w:p>
        </w:tc>
      </w:tr>
      <w:tr w14:paraId="0A23D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13413CEE">
            <w:pPr>
              <w:keepNext w:val="0"/>
              <w:keepLines w:val="0"/>
              <w:pageBreakBefore w:val="0"/>
              <w:kinsoku/>
              <w:wordWrap/>
              <w:overflowPunct/>
              <w:topLinePunct w:val="0"/>
              <w:autoSpaceDE/>
              <w:autoSpaceDN/>
              <w:bidi w:val="0"/>
              <w:snapToGrid w:val="0"/>
              <w:spacing w:line="312"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6833" w:type="dxa"/>
            <w:vAlign w:val="center"/>
          </w:tcPr>
          <w:p w14:paraId="47360462">
            <w:pPr>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【项目组人员】</w:t>
            </w:r>
          </w:p>
          <w:p w14:paraId="516F4A05">
            <w:pPr>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（1）拟派保安队长：</w:t>
            </w:r>
          </w:p>
          <w:p w14:paraId="6A066E29">
            <w:pPr>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①同时具有大专及以上学历、退伍军人、党员的得1分，本条满分1分。</w:t>
            </w:r>
          </w:p>
          <w:p w14:paraId="3A97197E">
            <w:pPr>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证明材料：提供学历证书、退伍证书、党支部证明（加盖党支部公章）扫描件和距投标截止时间2个月中任意一个月的有效社保证明并加盖供应商公章。</w:t>
            </w:r>
          </w:p>
          <w:p w14:paraId="195D8665">
            <w:pPr>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②具有二级及以上保安员证书的得1分，本条满分1分。</w:t>
            </w:r>
          </w:p>
          <w:p w14:paraId="15BDF2FB">
            <w:pPr>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证明材料：须提供有效保安员证书复印件和距投标截止时间2个月中任意一个月的有效社保证明并加盖供应商公章。</w:t>
            </w:r>
          </w:p>
          <w:p w14:paraId="5CE4410B">
            <w:pPr>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（2）本项目拟派特保项目组员中具有大专及以上学历的，每人加0.2分，最高得4分。</w:t>
            </w:r>
          </w:p>
          <w:p w14:paraId="29CB660F">
            <w:pPr>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证明材料：提供距投标截止时间2个月中任意一个月的社保证明和毕业证书扫描件，不提供不得分。</w:t>
            </w:r>
          </w:p>
          <w:p w14:paraId="2FBE1F40">
            <w:pPr>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（3）本项目拟派特保人员为退伍军人的，每人加0.2分，最高得5分。</w:t>
            </w:r>
          </w:p>
          <w:p w14:paraId="588A2A6E">
            <w:pPr>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证明材料：提供身份证和退伍证书和距投标截止时间2个月中任意一个月的社保证明，不提供不得分。以上提供的社保人员须为在职人员，中标后采购人有权核查真实性，如有离职人员，</w:t>
            </w:r>
            <w:r>
              <w:rPr>
                <w:rFonts w:hint="eastAsia" w:asciiTheme="minorEastAsia" w:hAnsiTheme="minorEastAsia" w:eastAsiaTheme="minorEastAsia" w:cstheme="minorEastAsia"/>
                <w:color w:val="auto"/>
                <w:sz w:val="24"/>
                <w:szCs w:val="24"/>
                <w:highlight w:val="none"/>
                <w:lang w:val="zh-CN" w:eastAsia="zh-CN"/>
              </w:rPr>
              <w:t>属于提供虚假材料谋取中标、成交，依照《中华人民共和国政府采购法》等国家有关规定追究相应责任。</w:t>
            </w:r>
          </w:p>
        </w:tc>
        <w:tc>
          <w:tcPr>
            <w:tcW w:w="696" w:type="dxa"/>
            <w:vAlign w:val="center"/>
          </w:tcPr>
          <w:p w14:paraId="45C2A387">
            <w:pPr>
              <w:keepNext w:val="0"/>
              <w:keepLines w:val="0"/>
              <w:pageBreakBefore w:val="0"/>
              <w:kinsoku/>
              <w:wordWrap/>
              <w:overflowPunct/>
              <w:topLinePunct w:val="0"/>
              <w:autoSpaceDE/>
              <w:autoSpaceDN/>
              <w:bidi w:val="0"/>
              <w:adjustRightInd/>
              <w:spacing w:line="312" w:lineRule="auto"/>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11</w:t>
            </w:r>
          </w:p>
        </w:tc>
        <w:tc>
          <w:tcPr>
            <w:tcW w:w="1018" w:type="dxa"/>
            <w:vAlign w:val="center"/>
          </w:tcPr>
          <w:p w14:paraId="3ED880A5">
            <w:pPr>
              <w:keepNext w:val="0"/>
              <w:keepLines w:val="0"/>
              <w:pageBreakBefore w:val="0"/>
              <w:kinsoku/>
              <w:wordWrap/>
              <w:overflowPunct/>
              <w:topLinePunct w:val="0"/>
              <w:autoSpaceDE/>
              <w:autoSpaceDN/>
              <w:bidi w:val="0"/>
              <w:snapToGrid w:val="0"/>
              <w:spacing w:line="312" w:lineRule="auto"/>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客观分</w:t>
            </w:r>
          </w:p>
        </w:tc>
        <w:tc>
          <w:tcPr>
            <w:tcW w:w="1072" w:type="dxa"/>
          </w:tcPr>
          <w:p w14:paraId="0244CE99">
            <w:pPr>
              <w:keepNext w:val="0"/>
              <w:keepLines w:val="0"/>
              <w:pageBreakBefore w:val="0"/>
              <w:kinsoku/>
              <w:wordWrap/>
              <w:overflowPunct/>
              <w:topLinePunct w:val="0"/>
              <w:autoSpaceDE/>
              <w:autoSpaceDN/>
              <w:bidi w:val="0"/>
              <w:snapToGrid w:val="0"/>
              <w:spacing w:line="312" w:lineRule="auto"/>
              <w:jc w:val="center"/>
              <w:rPr>
                <w:rFonts w:hint="eastAsia" w:asciiTheme="minorEastAsia" w:hAnsiTheme="minorEastAsia" w:eastAsiaTheme="minorEastAsia" w:cstheme="minorEastAsia"/>
                <w:bCs/>
                <w:color w:val="auto"/>
                <w:sz w:val="24"/>
                <w:szCs w:val="24"/>
                <w:highlight w:val="none"/>
              </w:rPr>
            </w:pPr>
          </w:p>
        </w:tc>
      </w:tr>
      <w:tr w14:paraId="2C7B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4623B166">
            <w:pPr>
              <w:keepNext w:val="0"/>
              <w:keepLines w:val="0"/>
              <w:pageBreakBefore w:val="0"/>
              <w:kinsoku/>
              <w:wordWrap/>
              <w:overflowPunct/>
              <w:topLinePunct w:val="0"/>
              <w:autoSpaceDE/>
              <w:autoSpaceDN/>
              <w:bidi w:val="0"/>
              <w:snapToGrid w:val="0"/>
              <w:spacing w:line="312"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6833" w:type="dxa"/>
            <w:vAlign w:val="center"/>
          </w:tcPr>
          <w:p w14:paraId="44134945">
            <w:pPr>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总服务方案</w:t>
            </w:r>
            <w:r>
              <w:rPr>
                <w:rFonts w:hint="eastAsia" w:asciiTheme="minorEastAsia" w:hAnsiTheme="minorEastAsia" w:eastAsiaTheme="minorEastAsia" w:cstheme="minorEastAsia"/>
                <w:b/>
                <w:bCs/>
                <w:color w:val="auto"/>
                <w:sz w:val="24"/>
                <w:szCs w:val="24"/>
                <w:highlight w:val="none"/>
              </w:rPr>
              <w:t>】</w:t>
            </w:r>
          </w:p>
          <w:p w14:paraId="18D831F8">
            <w:pPr>
              <w:keepNext w:val="0"/>
              <w:keepLines w:val="0"/>
              <w:pageBreakBefore w:val="0"/>
              <w:widowControl/>
              <w:suppressLineNumbers w:val="0"/>
              <w:kinsoku/>
              <w:wordWrap/>
              <w:overflowPunct/>
              <w:topLinePunct w:val="0"/>
              <w:autoSpaceDE/>
              <w:autoSpaceDN/>
              <w:bidi w:val="0"/>
              <w:spacing w:line="312" w:lineRule="auto"/>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针对本项目特保工作整体服务方案的响应情况，是否对本项目进行深入了解，提供的方案是否符合釆购人的实际情况，投标方案与采购需求的吻合程度进行评分。</w:t>
            </w:r>
            <w:r>
              <w:rPr>
                <w:rFonts w:hint="eastAsia" w:asciiTheme="minorEastAsia" w:hAnsiTheme="minorEastAsia" w:eastAsiaTheme="minorEastAsia" w:cstheme="minorEastAsia"/>
                <w:color w:val="auto"/>
                <w:sz w:val="24"/>
                <w:szCs w:val="24"/>
                <w:highlight w:val="none"/>
                <w:lang w:val="en-US" w:eastAsia="zh-CN"/>
              </w:rPr>
              <w:t>内容完整、全面可行性好，项目匹配性好、质量优</w:t>
            </w:r>
            <w:r>
              <w:rPr>
                <w:rFonts w:hint="eastAsia" w:asciiTheme="minorEastAsia" w:hAnsiTheme="minorEastAsia" w:eastAsiaTheme="minorEastAsia" w:cstheme="minorEastAsia"/>
                <w:color w:val="auto"/>
                <w:sz w:val="24"/>
                <w:szCs w:val="24"/>
                <w:highlight w:val="none"/>
              </w:rPr>
              <w:t>得5分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内容完整、全面可行性好、符合采购需求的得4分；内容、可行性一般，项目匹配性一般</w:t>
            </w:r>
            <w:r>
              <w:rPr>
                <w:rFonts w:hint="eastAsia" w:asciiTheme="minorEastAsia" w:hAnsiTheme="minorEastAsia" w:eastAsiaTheme="minorEastAsia" w:cstheme="minorEastAsia"/>
                <w:color w:val="auto"/>
                <w:sz w:val="24"/>
                <w:szCs w:val="24"/>
                <w:highlight w:val="none"/>
              </w:rPr>
              <w:t>的得3分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有瑕疵的得2分；有缺失</w:t>
            </w:r>
            <w:r>
              <w:rPr>
                <w:rFonts w:hint="eastAsia" w:asciiTheme="minorEastAsia" w:hAnsiTheme="minorEastAsia" w:eastAsiaTheme="minorEastAsia" w:cstheme="minorEastAsia"/>
                <w:color w:val="auto"/>
                <w:sz w:val="24"/>
                <w:szCs w:val="24"/>
                <w:highlight w:val="none"/>
              </w:rPr>
              <w:t>的得1分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不合理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或</w:t>
            </w:r>
            <w:r>
              <w:rPr>
                <w:rFonts w:hint="eastAsia" w:asciiTheme="minorEastAsia" w:hAnsiTheme="minorEastAsia" w:eastAsiaTheme="minorEastAsia" w:cstheme="minorEastAsia"/>
                <w:color w:val="auto"/>
                <w:sz w:val="24"/>
                <w:szCs w:val="24"/>
                <w:highlight w:val="none"/>
                <w:lang w:val="en-US" w:eastAsia="zh-CN"/>
              </w:rPr>
              <w:t>不提供</w:t>
            </w:r>
            <w:r>
              <w:rPr>
                <w:rFonts w:hint="eastAsia" w:asciiTheme="minorEastAsia" w:hAnsiTheme="minorEastAsia" w:eastAsiaTheme="minorEastAsia" w:cstheme="minorEastAsia"/>
                <w:color w:val="auto"/>
                <w:sz w:val="24"/>
                <w:szCs w:val="24"/>
                <w:highlight w:val="none"/>
              </w:rPr>
              <w:t>不得分。</w:t>
            </w:r>
          </w:p>
        </w:tc>
        <w:tc>
          <w:tcPr>
            <w:tcW w:w="696" w:type="dxa"/>
            <w:vAlign w:val="center"/>
          </w:tcPr>
          <w:p w14:paraId="5DA80996">
            <w:pPr>
              <w:keepNext w:val="0"/>
              <w:keepLines w:val="0"/>
              <w:pageBreakBefore w:val="0"/>
              <w:kinsoku/>
              <w:wordWrap/>
              <w:overflowPunct/>
              <w:topLinePunct w:val="0"/>
              <w:autoSpaceDE/>
              <w:autoSpaceDN/>
              <w:bidi w:val="0"/>
              <w:adjustRightInd/>
              <w:spacing w:line="312"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5</w:t>
            </w:r>
          </w:p>
        </w:tc>
        <w:tc>
          <w:tcPr>
            <w:tcW w:w="1018" w:type="dxa"/>
            <w:vAlign w:val="center"/>
          </w:tcPr>
          <w:p w14:paraId="0379B69E">
            <w:pPr>
              <w:keepNext w:val="0"/>
              <w:keepLines w:val="0"/>
              <w:pageBreakBefore w:val="0"/>
              <w:kinsoku/>
              <w:wordWrap/>
              <w:overflowPunct/>
              <w:topLinePunct w:val="0"/>
              <w:autoSpaceDE/>
              <w:autoSpaceDN/>
              <w:bidi w:val="0"/>
              <w:snapToGrid w:val="0"/>
              <w:spacing w:line="312" w:lineRule="auto"/>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主观分</w:t>
            </w:r>
          </w:p>
        </w:tc>
        <w:tc>
          <w:tcPr>
            <w:tcW w:w="1072" w:type="dxa"/>
          </w:tcPr>
          <w:p w14:paraId="013EDC76">
            <w:pPr>
              <w:keepNext w:val="0"/>
              <w:keepLines w:val="0"/>
              <w:pageBreakBefore w:val="0"/>
              <w:kinsoku/>
              <w:wordWrap/>
              <w:overflowPunct/>
              <w:topLinePunct w:val="0"/>
              <w:autoSpaceDE/>
              <w:autoSpaceDN/>
              <w:bidi w:val="0"/>
              <w:snapToGrid w:val="0"/>
              <w:spacing w:line="312" w:lineRule="auto"/>
              <w:jc w:val="center"/>
              <w:rPr>
                <w:rFonts w:hint="eastAsia" w:asciiTheme="minorEastAsia" w:hAnsiTheme="minorEastAsia" w:eastAsiaTheme="minorEastAsia" w:cstheme="minorEastAsia"/>
                <w:bCs/>
                <w:color w:val="auto"/>
                <w:sz w:val="24"/>
                <w:szCs w:val="24"/>
                <w:highlight w:val="none"/>
              </w:rPr>
            </w:pPr>
          </w:p>
        </w:tc>
      </w:tr>
      <w:tr w14:paraId="618F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6F17FBAD">
            <w:pPr>
              <w:keepNext w:val="0"/>
              <w:keepLines w:val="0"/>
              <w:pageBreakBefore w:val="0"/>
              <w:kinsoku/>
              <w:wordWrap/>
              <w:overflowPunct/>
              <w:topLinePunct w:val="0"/>
              <w:autoSpaceDE/>
              <w:autoSpaceDN/>
              <w:bidi w:val="0"/>
              <w:snapToGrid w:val="0"/>
              <w:spacing w:line="312"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6833" w:type="dxa"/>
            <w:vAlign w:val="center"/>
          </w:tcPr>
          <w:p w14:paraId="12EEBB34">
            <w:pPr>
              <w:keepNext w:val="0"/>
              <w:keepLines w:val="0"/>
              <w:pageBreakBefore w:val="0"/>
              <w:widowControl/>
              <w:suppressLineNumbers w:val="0"/>
              <w:kinsoku/>
              <w:wordWrap/>
              <w:overflowPunct/>
              <w:topLinePunct w:val="0"/>
              <w:autoSpaceDE/>
              <w:autoSpaceDN/>
              <w:bidi w:val="0"/>
              <w:spacing w:line="312" w:lineRule="auto"/>
              <w:jc w:val="left"/>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【职责规划】</w:t>
            </w:r>
          </w:p>
          <w:p w14:paraId="09C201B0">
            <w:pPr>
              <w:keepNext w:val="0"/>
              <w:keepLines w:val="0"/>
              <w:pageBreakBefore w:val="0"/>
              <w:widowControl/>
              <w:suppressLineNumbers w:val="0"/>
              <w:kinsoku/>
              <w:wordWrap/>
              <w:overflowPunct/>
              <w:topLinePunct w:val="0"/>
              <w:autoSpaceDE/>
              <w:autoSpaceDN/>
              <w:bidi w:val="0"/>
              <w:spacing w:line="312"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供应商针对本项目特保工作职责规划，根据内容完整性、合理性、周密性进行综合评审。供应商拟投入大、质量优且</w:t>
            </w:r>
            <w:r>
              <w:rPr>
                <w:rFonts w:hint="eastAsia" w:asciiTheme="minorEastAsia" w:hAnsiTheme="minorEastAsia" w:eastAsiaTheme="minorEastAsia" w:cstheme="minorEastAsia"/>
                <w:color w:val="auto"/>
                <w:sz w:val="24"/>
                <w:szCs w:val="24"/>
                <w:highlight w:val="none"/>
                <w:lang w:val="en-US" w:eastAsia="zh-CN"/>
              </w:rPr>
              <w:t>全面完善</w:t>
            </w:r>
            <w:r>
              <w:rPr>
                <w:rFonts w:hint="eastAsia" w:asciiTheme="minorEastAsia" w:hAnsiTheme="minorEastAsia" w:eastAsiaTheme="minorEastAsia" w:cstheme="minorEastAsia"/>
                <w:color w:val="auto"/>
                <w:sz w:val="24"/>
                <w:szCs w:val="24"/>
                <w:highlight w:val="none"/>
              </w:rPr>
              <w:t>得5分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投入及质量符合采购需求且</w:t>
            </w:r>
            <w:r>
              <w:rPr>
                <w:rFonts w:hint="eastAsia" w:asciiTheme="minorEastAsia" w:hAnsiTheme="minorEastAsia" w:eastAsiaTheme="minorEastAsia" w:cstheme="minorEastAsia"/>
                <w:color w:val="auto"/>
                <w:sz w:val="24"/>
                <w:szCs w:val="24"/>
                <w:highlight w:val="none"/>
              </w:rPr>
              <w:t>较完善的得</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质量及内容</w:t>
            </w:r>
            <w:r>
              <w:rPr>
                <w:rFonts w:hint="eastAsia" w:asciiTheme="minorEastAsia" w:hAnsiTheme="minorEastAsia" w:eastAsiaTheme="minorEastAsia" w:cstheme="minorEastAsia"/>
                <w:color w:val="auto"/>
                <w:sz w:val="24"/>
                <w:szCs w:val="24"/>
                <w:highlight w:val="none"/>
              </w:rPr>
              <w:t>一般的得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有瑕疵的得2分；有缺失</w:t>
            </w:r>
            <w:r>
              <w:rPr>
                <w:rFonts w:hint="eastAsia" w:asciiTheme="minorEastAsia" w:hAnsiTheme="minorEastAsia" w:eastAsiaTheme="minorEastAsia" w:cstheme="minorEastAsia"/>
                <w:color w:val="auto"/>
                <w:sz w:val="24"/>
                <w:szCs w:val="24"/>
                <w:highlight w:val="none"/>
              </w:rPr>
              <w:t>的得1分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不合理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或</w:t>
            </w:r>
            <w:r>
              <w:rPr>
                <w:rFonts w:hint="eastAsia" w:asciiTheme="minorEastAsia" w:hAnsiTheme="minorEastAsia" w:eastAsiaTheme="minorEastAsia" w:cstheme="minorEastAsia"/>
                <w:color w:val="auto"/>
                <w:sz w:val="24"/>
                <w:szCs w:val="24"/>
                <w:highlight w:val="none"/>
                <w:lang w:val="en-US" w:eastAsia="zh-CN"/>
              </w:rPr>
              <w:t>不提供</w:t>
            </w:r>
            <w:r>
              <w:rPr>
                <w:rFonts w:hint="eastAsia" w:asciiTheme="minorEastAsia" w:hAnsiTheme="minorEastAsia" w:eastAsiaTheme="minorEastAsia" w:cstheme="minorEastAsia"/>
                <w:color w:val="auto"/>
                <w:sz w:val="24"/>
                <w:szCs w:val="24"/>
                <w:highlight w:val="none"/>
              </w:rPr>
              <w:t>不得分。</w:t>
            </w:r>
          </w:p>
        </w:tc>
        <w:tc>
          <w:tcPr>
            <w:tcW w:w="696" w:type="dxa"/>
            <w:vAlign w:val="center"/>
          </w:tcPr>
          <w:p w14:paraId="0AFF86D9">
            <w:pPr>
              <w:keepNext w:val="0"/>
              <w:keepLines w:val="0"/>
              <w:pageBreakBefore w:val="0"/>
              <w:kinsoku/>
              <w:wordWrap/>
              <w:overflowPunct/>
              <w:topLinePunct w:val="0"/>
              <w:autoSpaceDE/>
              <w:autoSpaceDN/>
              <w:bidi w:val="0"/>
              <w:adjustRightInd/>
              <w:spacing w:line="312"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0-5</w:t>
            </w:r>
          </w:p>
        </w:tc>
        <w:tc>
          <w:tcPr>
            <w:tcW w:w="1018" w:type="dxa"/>
            <w:vAlign w:val="center"/>
          </w:tcPr>
          <w:p w14:paraId="590EB63A">
            <w:pPr>
              <w:keepNext w:val="0"/>
              <w:keepLines w:val="0"/>
              <w:pageBreakBefore w:val="0"/>
              <w:kinsoku/>
              <w:wordWrap/>
              <w:overflowPunct/>
              <w:topLinePunct w:val="0"/>
              <w:autoSpaceDE/>
              <w:autoSpaceDN/>
              <w:bidi w:val="0"/>
              <w:snapToGrid w:val="0"/>
              <w:spacing w:line="312" w:lineRule="auto"/>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主观分</w:t>
            </w:r>
          </w:p>
        </w:tc>
        <w:tc>
          <w:tcPr>
            <w:tcW w:w="1072" w:type="dxa"/>
          </w:tcPr>
          <w:p w14:paraId="158BD5CE">
            <w:pPr>
              <w:keepNext w:val="0"/>
              <w:keepLines w:val="0"/>
              <w:pageBreakBefore w:val="0"/>
              <w:kinsoku/>
              <w:wordWrap/>
              <w:overflowPunct/>
              <w:topLinePunct w:val="0"/>
              <w:autoSpaceDE/>
              <w:autoSpaceDN/>
              <w:bidi w:val="0"/>
              <w:snapToGrid w:val="0"/>
              <w:spacing w:line="312" w:lineRule="auto"/>
              <w:jc w:val="center"/>
              <w:rPr>
                <w:rFonts w:hint="eastAsia" w:asciiTheme="minorEastAsia" w:hAnsiTheme="minorEastAsia" w:eastAsiaTheme="minorEastAsia" w:cstheme="minorEastAsia"/>
                <w:bCs/>
                <w:color w:val="auto"/>
                <w:sz w:val="24"/>
                <w:szCs w:val="24"/>
                <w:highlight w:val="none"/>
              </w:rPr>
            </w:pPr>
          </w:p>
        </w:tc>
      </w:tr>
      <w:tr w14:paraId="7BDE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05" w:type="dxa"/>
            <w:vAlign w:val="center"/>
          </w:tcPr>
          <w:p w14:paraId="593C2F12">
            <w:pPr>
              <w:keepNext w:val="0"/>
              <w:keepLines w:val="0"/>
              <w:pageBreakBefore w:val="0"/>
              <w:kinsoku/>
              <w:wordWrap/>
              <w:overflowPunct/>
              <w:topLinePunct w:val="0"/>
              <w:autoSpaceDE/>
              <w:autoSpaceDN/>
              <w:bidi w:val="0"/>
              <w:snapToGrid w:val="0"/>
              <w:spacing w:line="312"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6833" w:type="dxa"/>
          </w:tcPr>
          <w:p w14:paraId="19220814">
            <w:pPr>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【岗位管理制度】</w:t>
            </w:r>
          </w:p>
          <w:p w14:paraId="4F14D65C">
            <w:pPr>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供应商针对本项目有完善的岗位管理制度，包括：</w:t>
            </w:r>
          </w:p>
          <w:p w14:paraId="5D1AC908">
            <w:pPr>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①巡防人员职责、交接班制度、例会制度等）；完整合理、可行性强得2分，内容部分合理得1分。未提供不得分。</w:t>
            </w:r>
          </w:p>
          <w:p w14:paraId="5AAE196C">
            <w:pPr>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②建立和完善档案管理制度等，体现标准化服务；完整合理、可行性强得2分，内容部分合理得1分。未提供不得分。</w:t>
            </w:r>
          </w:p>
          <w:p w14:paraId="6603D932">
            <w:pPr>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③建立考核机制；完整合理、可行性强得2分，内容部分合理得1分。未提供不得分。</w:t>
            </w:r>
          </w:p>
          <w:p w14:paraId="22876870">
            <w:pPr>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④建立激励机制；完整合理、可行性强得2分，内容部分合理得1分。未提供不得分。</w:t>
            </w:r>
          </w:p>
          <w:p w14:paraId="722A7785">
            <w:pPr>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⑤建立监督机制；完整合理、可行性强得2分，内容部分合理得1分。未提供不得分。</w:t>
            </w:r>
          </w:p>
          <w:p w14:paraId="2D067B32">
            <w:pPr>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⑥建立自我约束机制；完整合理、可行性强得2分，内容部分合理得1分。未提供不得分。</w:t>
            </w:r>
          </w:p>
          <w:p w14:paraId="57887074">
            <w:pPr>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⑦建立及时处理机制；完整合理、可行性强得2分，内容部分合理得1分。未提供不得分。</w:t>
            </w:r>
          </w:p>
          <w:p w14:paraId="1C1B932D">
            <w:pPr>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⑧建立管理指标承诺达到管理标准，完整合理、可行性强得2分，内容部分合理得1分。未提供不得分。</w:t>
            </w:r>
          </w:p>
        </w:tc>
        <w:tc>
          <w:tcPr>
            <w:tcW w:w="696" w:type="dxa"/>
            <w:vAlign w:val="center"/>
          </w:tcPr>
          <w:p w14:paraId="2E5914FB">
            <w:pPr>
              <w:keepNext w:val="0"/>
              <w:keepLines w:val="0"/>
              <w:pageBreakBefore w:val="0"/>
              <w:kinsoku/>
              <w:wordWrap/>
              <w:overflowPunct/>
              <w:topLinePunct w:val="0"/>
              <w:autoSpaceDE/>
              <w:autoSpaceDN/>
              <w:bidi w:val="0"/>
              <w:spacing w:line="312" w:lineRule="auto"/>
              <w:jc w:val="center"/>
              <w:outlineLvl w:val="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0-16</w:t>
            </w:r>
          </w:p>
        </w:tc>
        <w:tc>
          <w:tcPr>
            <w:tcW w:w="1018" w:type="dxa"/>
            <w:vAlign w:val="center"/>
          </w:tcPr>
          <w:p w14:paraId="5A55DB2D">
            <w:pPr>
              <w:keepNext w:val="0"/>
              <w:keepLines w:val="0"/>
              <w:pageBreakBefore w:val="0"/>
              <w:kinsoku/>
              <w:wordWrap/>
              <w:overflowPunct/>
              <w:topLinePunct w:val="0"/>
              <w:autoSpaceDE/>
              <w:autoSpaceDN/>
              <w:bidi w:val="0"/>
              <w:spacing w:line="312" w:lineRule="auto"/>
              <w:jc w:val="center"/>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主观分</w:t>
            </w:r>
          </w:p>
        </w:tc>
        <w:tc>
          <w:tcPr>
            <w:tcW w:w="1072" w:type="dxa"/>
            <w:vAlign w:val="center"/>
          </w:tcPr>
          <w:p w14:paraId="2F7A4C42">
            <w:pPr>
              <w:keepNext w:val="0"/>
              <w:keepLines w:val="0"/>
              <w:pageBreakBefore w:val="0"/>
              <w:kinsoku/>
              <w:wordWrap/>
              <w:overflowPunct/>
              <w:topLinePunct w:val="0"/>
              <w:autoSpaceDE/>
              <w:autoSpaceDN/>
              <w:bidi w:val="0"/>
              <w:spacing w:line="312" w:lineRule="auto"/>
              <w:jc w:val="center"/>
              <w:outlineLvl w:val="0"/>
              <w:rPr>
                <w:rFonts w:hint="eastAsia" w:asciiTheme="minorEastAsia" w:hAnsiTheme="minorEastAsia" w:eastAsiaTheme="minorEastAsia" w:cstheme="minorEastAsia"/>
                <w:color w:val="auto"/>
                <w:sz w:val="24"/>
                <w:szCs w:val="24"/>
                <w:highlight w:val="none"/>
              </w:rPr>
            </w:pPr>
          </w:p>
        </w:tc>
      </w:tr>
      <w:tr w14:paraId="6D09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05" w:type="dxa"/>
            <w:vAlign w:val="center"/>
          </w:tcPr>
          <w:p w14:paraId="08C2EDD6">
            <w:pPr>
              <w:keepNext w:val="0"/>
              <w:keepLines w:val="0"/>
              <w:pageBreakBefore w:val="0"/>
              <w:kinsoku/>
              <w:wordWrap/>
              <w:overflowPunct/>
              <w:topLinePunct w:val="0"/>
              <w:autoSpaceDE/>
              <w:autoSpaceDN/>
              <w:bidi w:val="0"/>
              <w:snapToGrid w:val="0"/>
              <w:spacing w:line="312"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6833" w:type="dxa"/>
            <w:vAlign w:val="top"/>
          </w:tcPr>
          <w:p w14:paraId="74EC4BD7">
            <w:pPr>
              <w:keepNext w:val="0"/>
              <w:keepLines w:val="0"/>
              <w:pageBreakBefore w:val="0"/>
              <w:widowControl/>
              <w:suppressLineNumbers w:val="0"/>
              <w:kinsoku/>
              <w:wordWrap/>
              <w:overflowPunct/>
              <w:topLinePunct w:val="0"/>
              <w:autoSpaceDE/>
              <w:autoSpaceDN/>
              <w:bidi w:val="0"/>
              <w:spacing w:line="312" w:lineRule="auto"/>
              <w:jc w:val="left"/>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【应急预案】</w:t>
            </w:r>
          </w:p>
          <w:p w14:paraId="1C266E8A">
            <w:pPr>
              <w:keepNext w:val="0"/>
              <w:keepLines w:val="0"/>
              <w:pageBreakBefore w:val="0"/>
              <w:widowControl/>
              <w:suppressLineNumbers w:val="0"/>
              <w:kinsoku/>
              <w:wordWrap/>
              <w:overflowPunct/>
              <w:topLinePunct w:val="0"/>
              <w:autoSpaceDE/>
              <w:autoSpaceDN/>
              <w:bidi w:val="0"/>
              <w:spacing w:line="312"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1.提供对发生灾害性天气及其他环境突发事件时的紧急预案。根据提供的方案内容进行综合评审。</w:t>
            </w:r>
            <w:r>
              <w:rPr>
                <w:rFonts w:hint="eastAsia" w:ascii="宋体" w:hAnsi="宋体" w:eastAsia="宋体" w:cs="宋体"/>
                <w:color w:val="auto"/>
                <w:kern w:val="0"/>
                <w:sz w:val="24"/>
                <w:szCs w:val="22"/>
                <w:highlight w:val="none"/>
                <w:lang w:val="en-US" w:eastAsia="en-US" w:bidi="ar-SA"/>
              </w:rPr>
              <w:t>方案合理、针对性强的得</w:t>
            </w:r>
            <w:r>
              <w:rPr>
                <w:rFonts w:hint="eastAsia" w:ascii="宋体" w:hAnsi="宋体" w:cs="宋体"/>
                <w:color w:val="auto"/>
                <w:kern w:val="0"/>
                <w:sz w:val="24"/>
                <w:szCs w:val="22"/>
                <w:highlight w:val="none"/>
                <w:lang w:val="en-US" w:eastAsia="zh-CN" w:bidi="ar-SA"/>
              </w:rPr>
              <w:t>4</w:t>
            </w:r>
            <w:r>
              <w:rPr>
                <w:rFonts w:hint="eastAsia" w:ascii="宋体" w:hAnsi="宋体" w:eastAsia="宋体" w:cs="宋体"/>
                <w:color w:val="auto"/>
                <w:kern w:val="0"/>
                <w:sz w:val="24"/>
                <w:szCs w:val="22"/>
                <w:highlight w:val="none"/>
                <w:lang w:val="en-US" w:eastAsia="en-US" w:bidi="ar-SA"/>
              </w:rPr>
              <w:t>分；方案一般，针对性一般的得</w:t>
            </w:r>
            <w:r>
              <w:rPr>
                <w:rFonts w:hint="eastAsia" w:ascii="宋体" w:hAnsi="宋体" w:cs="宋体"/>
                <w:color w:val="auto"/>
                <w:kern w:val="0"/>
                <w:sz w:val="24"/>
                <w:szCs w:val="22"/>
                <w:highlight w:val="none"/>
                <w:lang w:val="en-US" w:eastAsia="zh-CN" w:bidi="ar-SA"/>
              </w:rPr>
              <w:t>3</w:t>
            </w:r>
            <w:r>
              <w:rPr>
                <w:rFonts w:hint="eastAsia" w:ascii="宋体" w:hAnsi="宋体" w:eastAsia="宋体" w:cs="宋体"/>
                <w:color w:val="auto"/>
                <w:kern w:val="0"/>
                <w:sz w:val="24"/>
                <w:szCs w:val="22"/>
                <w:highlight w:val="none"/>
                <w:lang w:val="en-US" w:eastAsia="en-US" w:bidi="ar-SA"/>
              </w:rPr>
              <w:t>分；</w:t>
            </w:r>
            <w:r>
              <w:rPr>
                <w:rFonts w:hint="eastAsia" w:ascii="宋体" w:hAnsi="宋体" w:eastAsia="宋体" w:cs="宋体"/>
                <w:color w:val="auto"/>
                <w:kern w:val="0"/>
                <w:sz w:val="24"/>
                <w:szCs w:val="22"/>
                <w:highlight w:val="none"/>
                <w:lang w:val="en-US" w:eastAsia="zh-CN" w:bidi="ar-SA"/>
              </w:rPr>
              <w:t>方案内容存在欠缺，可行性、项目匹配性不足的得1</w:t>
            </w:r>
            <w:r>
              <w:rPr>
                <w:rFonts w:hint="eastAsia" w:ascii="宋体" w:hAnsi="宋体" w:cs="宋体"/>
                <w:color w:val="auto"/>
                <w:kern w:val="0"/>
                <w:sz w:val="24"/>
                <w:szCs w:val="22"/>
                <w:highlight w:val="none"/>
                <w:lang w:val="en-US" w:eastAsia="zh-CN" w:bidi="ar-SA"/>
              </w:rPr>
              <w:t>.5</w:t>
            </w:r>
            <w:r>
              <w:rPr>
                <w:rFonts w:hint="eastAsia" w:ascii="宋体" w:hAnsi="宋体" w:eastAsia="宋体" w:cs="宋体"/>
                <w:color w:val="auto"/>
                <w:kern w:val="0"/>
                <w:sz w:val="24"/>
                <w:szCs w:val="22"/>
                <w:highlight w:val="none"/>
                <w:lang w:val="en-US" w:eastAsia="zh-CN" w:bidi="ar-SA"/>
              </w:rPr>
              <w:t>分；未提供不得分。</w:t>
            </w:r>
          </w:p>
          <w:p w14:paraId="03369FBF">
            <w:pPr>
              <w:pStyle w:val="23"/>
              <w:rPr>
                <w:rFonts w:hint="eastAsia" w:ascii="宋体" w:hAnsi="宋体" w:eastAsia="宋体" w:cs="宋体"/>
                <w:color w:val="auto"/>
                <w:kern w:val="0"/>
                <w:sz w:val="24"/>
                <w:szCs w:val="22"/>
                <w:highlight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r>
              <w:rPr>
                <w:rFonts w:hint="eastAsia" w:ascii="宋体" w:hAnsi="宋体" w:eastAsia="宋体" w:cs="宋体"/>
                <w:color w:val="auto"/>
                <w:kern w:val="0"/>
                <w:sz w:val="24"/>
                <w:szCs w:val="22"/>
                <w:highlight w:val="none"/>
                <w:lang w:val="en-US" w:eastAsia="zh-CN" w:bidi="ar-SA"/>
              </w:rPr>
              <w:t>提供对服务区域内治安、消防等紧急预案。</w:t>
            </w:r>
            <w:r>
              <w:rPr>
                <w:rFonts w:hint="eastAsia" w:ascii="宋体" w:hAnsi="宋体" w:eastAsia="宋体" w:cs="宋体"/>
                <w:color w:val="auto"/>
                <w:kern w:val="0"/>
                <w:sz w:val="24"/>
                <w:szCs w:val="22"/>
                <w:highlight w:val="none"/>
                <w:lang w:val="en-US" w:eastAsia="en-US" w:bidi="ar-SA"/>
              </w:rPr>
              <w:t>方案合理、针对性强的得</w:t>
            </w:r>
            <w:r>
              <w:rPr>
                <w:rFonts w:hint="eastAsia" w:hAnsi="宋体" w:cs="宋体"/>
                <w:color w:val="auto"/>
                <w:kern w:val="0"/>
                <w:sz w:val="24"/>
                <w:szCs w:val="22"/>
                <w:highlight w:val="none"/>
                <w:lang w:val="en-US" w:eastAsia="zh-CN" w:bidi="ar-SA"/>
              </w:rPr>
              <w:t>4</w:t>
            </w:r>
            <w:r>
              <w:rPr>
                <w:rFonts w:hint="eastAsia" w:ascii="宋体" w:hAnsi="宋体" w:eastAsia="宋体" w:cs="宋体"/>
                <w:color w:val="auto"/>
                <w:kern w:val="0"/>
                <w:sz w:val="24"/>
                <w:szCs w:val="22"/>
                <w:highlight w:val="none"/>
                <w:lang w:val="en-US" w:eastAsia="en-US" w:bidi="ar-SA"/>
              </w:rPr>
              <w:t>分；方案一般，针对性一般的得</w:t>
            </w:r>
            <w:r>
              <w:rPr>
                <w:rFonts w:hint="eastAsia" w:hAnsi="宋体" w:cs="宋体"/>
                <w:color w:val="auto"/>
                <w:kern w:val="0"/>
                <w:sz w:val="24"/>
                <w:szCs w:val="22"/>
                <w:highlight w:val="none"/>
                <w:lang w:val="en-US" w:eastAsia="zh-CN" w:bidi="ar-SA"/>
              </w:rPr>
              <w:t>3</w:t>
            </w:r>
            <w:r>
              <w:rPr>
                <w:rFonts w:hint="eastAsia" w:ascii="宋体" w:hAnsi="宋体" w:eastAsia="宋体" w:cs="宋体"/>
                <w:color w:val="auto"/>
                <w:kern w:val="0"/>
                <w:sz w:val="24"/>
                <w:szCs w:val="22"/>
                <w:highlight w:val="none"/>
                <w:lang w:val="en-US" w:eastAsia="en-US" w:bidi="ar-SA"/>
              </w:rPr>
              <w:t>分；</w:t>
            </w:r>
            <w:r>
              <w:rPr>
                <w:rFonts w:hint="eastAsia" w:ascii="宋体" w:hAnsi="宋体" w:eastAsia="宋体" w:cs="宋体"/>
                <w:color w:val="auto"/>
                <w:kern w:val="0"/>
                <w:sz w:val="24"/>
                <w:szCs w:val="22"/>
                <w:highlight w:val="none"/>
                <w:lang w:val="en-US" w:eastAsia="zh-CN" w:bidi="ar-SA"/>
              </w:rPr>
              <w:t>方案内容存在欠缺，可行性、项目匹配性不足的得1</w:t>
            </w:r>
            <w:r>
              <w:rPr>
                <w:rFonts w:hint="eastAsia" w:hAnsi="宋体" w:cs="宋体"/>
                <w:color w:val="auto"/>
                <w:kern w:val="0"/>
                <w:sz w:val="24"/>
                <w:szCs w:val="22"/>
                <w:highlight w:val="none"/>
                <w:lang w:val="en-US" w:eastAsia="zh-CN" w:bidi="ar-SA"/>
              </w:rPr>
              <w:t>.5</w:t>
            </w:r>
            <w:r>
              <w:rPr>
                <w:rFonts w:hint="eastAsia" w:ascii="宋体" w:hAnsi="宋体" w:eastAsia="宋体" w:cs="宋体"/>
                <w:color w:val="auto"/>
                <w:kern w:val="0"/>
                <w:sz w:val="24"/>
                <w:szCs w:val="22"/>
                <w:highlight w:val="none"/>
                <w:lang w:val="en-US" w:eastAsia="zh-CN" w:bidi="ar-SA"/>
              </w:rPr>
              <w:t>分；未提供不得分。</w:t>
            </w:r>
          </w:p>
          <w:p w14:paraId="05D702B0">
            <w:pPr>
              <w:pStyle w:val="23"/>
              <w:rPr>
                <w:rFonts w:hint="default"/>
                <w:color w:val="auto"/>
                <w:highlight w:val="none"/>
                <w:lang w:val="en-US" w:eastAsia="zh-CN"/>
              </w:rPr>
            </w:pPr>
            <w:r>
              <w:rPr>
                <w:rFonts w:hint="eastAsia" w:ascii="宋体" w:hAnsi="宋体" w:eastAsia="宋体" w:cs="宋体"/>
                <w:color w:val="auto"/>
                <w:kern w:val="0"/>
                <w:sz w:val="24"/>
                <w:szCs w:val="22"/>
                <w:highlight w:val="none"/>
                <w:lang w:val="en-US" w:eastAsia="zh-CN" w:bidi="ar-SA"/>
              </w:rPr>
              <w:t>3.提供对服务区域内暴恐事件等的应急预案。方案合理、针对性强的得</w:t>
            </w:r>
            <w:r>
              <w:rPr>
                <w:rFonts w:hint="eastAsia" w:hAnsi="宋体" w:cs="宋体"/>
                <w:color w:val="auto"/>
                <w:kern w:val="0"/>
                <w:sz w:val="24"/>
                <w:szCs w:val="22"/>
                <w:highlight w:val="none"/>
                <w:lang w:val="en-US" w:eastAsia="zh-CN" w:bidi="ar-SA"/>
              </w:rPr>
              <w:t>4</w:t>
            </w:r>
            <w:r>
              <w:rPr>
                <w:rFonts w:hint="eastAsia" w:ascii="宋体" w:hAnsi="宋体" w:eastAsia="宋体" w:cs="宋体"/>
                <w:color w:val="auto"/>
                <w:kern w:val="0"/>
                <w:sz w:val="24"/>
                <w:szCs w:val="22"/>
                <w:highlight w:val="none"/>
                <w:lang w:val="en-US" w:eastAsia="zh-CN" w:bidi="ar-SA"/>
              </w:rPr>
              <w:t>分；方案一般，针对性一般的得</w:t>
            </w:r>
            <w:r>
              <w:rPr>
                <w:rFonts w:hint="eastAsia" w:hAnsi="宋体" w:cs="宋体"/>
                <w:color w:val="auto"/>
                <w:kern w:val="0"/>
                <w:sz w:val="24"/>
                <w:szCs w:val="22"/>
                <w:highlight w:val="none"/>
                <w:lang w:val="en-US" w:eastAsia="zh-CN" w:bidi="ar-SA"/>
              </w:rPr>
              <w:t>3</w:t>
            </w:r>
            <w:r>
              <w:rPr>
                <w:rFonts w:hint="eastAsia" w:ascii="宋体" w:hAnsi="宋体" w:eastAsia="宋体" w:cs="宋体"/>
                <w:color w:val="auto"/>
                <w:kern w:val="0"/>
                <w:sz w:val="24"/>
                <w:szCs w:val="22"/>
                <w:highlight w:val="none"/>
                <w:lang w:val="en-US" w:eastAsia="zh-CN" w:bidi="ar-SA"/>
              </w:rPr>
              <w:t>分；方案内容存在欠缺，可行性、项目匹配性不足的得</w:t>
            </w:r>
            <w:r>
              <w:rPr>
                <w:rFonts w:hint="eastAsia" w:hAnsi="宋体" w:cs="宋体"/>
                <w:color w:val="auto"/>
                <w:kern w:val="0"/>
                <w:sz w:val="24"/>
                <w:szCs w:val="22"/>
                <w:highlight w:val="none"/>
                <w:lang w:val="en-US" w:eastAsia="zh-CN" w:bidi="ar-SA"/>
              </w:rPr>
              <w:t>1.5</w:t>
            </w:r>
            <w:r>
              <w:rPr>
                <w:rFonts w:hint="eastAsia" w:ascii="宋体" w:hAnsi="宋体" w:eastAsia="宋体" w:cs="宋体"/>
                <w:color w:val="auto"/>
                <w:kern w:val="0"/>
                <w:sz w:val="24"/>
                <w:szCs w:val="22"/>
                <w:highlight w:val="none"/>
                <w:lang w:val="en-US" w:eastAsia="zh-CN" w:bidi="ar-SA"/>
              </w:rPr>
              <w:t>分；未提供不得分。</w:t>
            </w:r>
          </w:p>
        </w:tc>
        <w:tc>
          <w:tcPr>
            <w:tcW w:w="696" w:type="dxa"/>
            <w:vAlign w:val="center"/>
          </w:tcPr>
          <w:p w14:paraId="0D0FE382">
            <w:pPr>
              <w:keepNext w:val="0"/>
              <w:keepLines w:val="0"/>
              <w:pageBreakBefore w:val="0"/>
              <w:kinsoku/>
              <w:wordWrap/>
              <w:overflowPunct/>
              <w:topLinePunct w:val="0"/>
              <w:autoSpaceDE/>
              <w:autoSpaceDN/>
              <w:bidi w:val="0"/>
              <w:spacing w:line="312" w:lineRule="auto"/>
              <w:jc w:val="center"/>
              <w:outlineLvl w:val="0"/>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0-12</w:t>
            </w:r>
          </w:p>
        </w:tc>
        <w:tc>
          <w:tcPr>
            <w:tcW w:w="1018" w:type="dxa"/>
            <w:vAlign w:val="center"/>
          </w:tcPr>
          <w:p w14:paraId="6E76800D">
            <w:pPr>
              <w:keepNext w:val="0"/>
              <w:keepLines w:val="0"/>
              <w:pageBreakBefore w:val="0"/>
              <w:kinsoku/>
              <w:wordWrap/>
              <w:overflowPunct/>
              <w:topLinePunct w:val="0"/>
              <w:autoSpaceDE/>
              <w:autoSpaceDN/>
              <w:bidi w:val="0"/>
              <w:spacing w:line="312" w:lineRule="auto"/>
              <w:jc w:val="center"/>
              <w:outlineLvl w:val="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主观分</w:t>
            </w:r>
          </w:p>
        </w:tc>
        <w:tc>
          <w:tcPr>
            <w:tcW w:w="1072" w:type="dxa"/>
            <w:vAlign w:val="center"/>
          </w:tcPr>
          <w:p w14:paraId="7D575768">
            <w:pPr>
              <w:keepNext w:val="0"/>
              <w:keepLines w:val="0"/>
              <w:pageBreakBefore w:val="0"/>
              <w:kinsoku/>
              <w:wordWrap/>
              <w:overflowPunct/>
              <w:topLinePunct w:val="0"/>
              <w:autoSpaceDE/>
              <w:autoSpaceDN/>
              <w:bidi w:val="0"/>
              <w:spacing w:line="312" w:lineRule="auto"/>
              <w:jc w:val="center"/>
              <w:outlineLvl w:val="0"/>
              <w:rPr>
                <w:rFonts w:hint="eastAsia" w:asciiTheme="minorEastAsia" w:hAnsiTheme="minorEastAsia" w:eastAsiaTheme="minorEastAsia" w:cstheme="minorEastAsia"/>
                <w:color w:val="auto"/>
                <w:sz w:val="24"/>
                <w:szCs w:val="24"/>
                <w:highlight w:val="none"/>
              </w:rPr>
            </w:pPr>
          </w:p>
        </w:tc>
      </w:tr>
      <w:tr w14:paraId="2B209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605" w:type="dxa"/>
            <w:vAlign w:val="center"/>
          </w:tcPr>
          <w:p w14:paraId="44DA0139">
            <w:pPr>
              <w:keepNext w:val="0"/>
              <w:keepLines w:val="0"/>
              <w:pageBreakBefore w:val="0"/>
              <w:kinsoku/>
              <w:wordWrap/>
              <w:overflowPunct/>
              <w:topLinePunct w:val="0"/>
              <w:autoSpaceDE/>
              <w:autoSpaceDN/>
              <w:bidi w:val="0"/>
              <w:snapToGrid w:val="0"/>
              <w:spacing w:line="312"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6833" w:type="dxa"/>
          </w:tcPr>
          <w:p w14:paraId="28954084">
            <w:pPr>
              <w:keepNext w:val="0"/>
              <w:keepLines w:val="0"/>
              <w:pageBreakBefore w:val="0"/>
              <w:widowControl/>
              <w:suppressLineNumbers w:val="0"/>
              <w:kinsoku/>
              <w:wordWrap/>
              <w:overflowPunct/>
              <w:topLinePunct w:val="0"/>
              <w:autoSpaceDE/>
              <w:autoSpaceDN/>
              <w:bidi w:val="0"/>
              <w:spacing w:line="312" w:lineRule="auto"/>
              <w:jc w:val="left"/>
              <w:textAlignment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【预防方案】</w:t>
            </w:r>
          </w:p>
          <w:p w14:paraId="545DF237">
            <w:pPr>
              <w:keepNext w:val="0"/>
              <w:keepLines w:val="0"/>
              <w:pageBreakBefore w:val="0"/>
              <w:widowControl/>
              <w:suppressLineNumbers w:val="0"/>
              <w:kinsoku/>
              <w:wordWrap/>
              <w:overflowPunct/>
              <w:topLinePunct w:val="0"/>
              <w:autoSpaceDE/>
              <w:autoSpaceDN/>
              <w:bidi w:val="0"/>
              <w:spacing w:line="312" w:lineRule="auto"/>
              <w:jc w:val="left"/>
              <w:textAlignment w:val="center"/>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提供防止人员意外情况或重大过失的预防方案、人员替补力量及方案，根据方案的周密性、可行性等情况进行评审。方案合理、针对性强的得5分；方案一般，针对性一般的得3 分；方案内容存在欠缺，可行性、项目匹配性不足的得1分；未提供不得分。</w:t>
            </w:r>
          </w:p>
        </w:tc>
        <w:tc>
          <w:tcPr>
            <w:tcW w:w="696" w:type="dxa"/>
            <w:vAlign w:val="center"/>
          </w:tcPr>
          <w:p w14:paraId="03694115">
            <w:pPr>
              <w:keepNext w:val="0"/>
              <w:keepLines w:val="0"/>
              <w:pageBreakBefore w:val="0"/>
              <w:kinsoku/>
              <w:wordWrap/>
              <w:overflowPunct/>
              <w:topLinePunct w:val="0"/>
              <w:autoSpaceDE/>
              <w:autoSpaceDN/>
              <w:bidi w:val="0"/>
              <w:spacing w:line="312" w:lineRule="auto"/>
              <w:jc w:val="center"/>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0-5</w:t>
            </w:r>
          </w:p>
        </w:tc>
        <w:tc>
          <w:tcPr>
            <w:tcW w:w="1018" w:type="dxa"/>
            <w:vAlign w:val="center"/>
          </w:tcPr>
          <w:p w14:paraId="4352E94E">
            <w:pPr>
              <w:keepNext w:val="0"/>
              <w:keepLines w:val="0"/>
              <w:pageBreakBefore w:val="0"/>
              <w:kinsoku/>
              <w:wordWrap/>
              <w:overflowPunct/>
              <w:topLinePunct w:val="0"/>
              <w:autoSpaceDE/>
              <w:autoSpaceDN/>
              <w:bidi w:val="0"/>
              <w:spacing w:line="312" w:lineRule="auto"/>
              <w:jc w:val="center"/>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主观分</w:t>
            </w:r>
          </w:p>
        </w:tc>
        <w:tc>
          <w:tcPr>
            <w:tcW w:w="1072" w:type="dxa"/>
            <w:vAlign w:val="center"/>
          </w:tcPr>
          <w:p w14:paraId="630ED76C">
            <w:pPr>
              <w:keepNext w:val="0"/>
              <w:keepLines w:val="0"/>
              <w:pageBreakBefore w:val="0"/>
              <w:kinsoku/>
              <w:wordWrap/>
              <w:overflowPunct/>
              <w:topLinePunct w:val="0"/>
              <w:autoSpaceDE/>
              <w:autoSpaceDN/>
              <w:bidi w:val="0"/>
              <w:spacing w:line="312" w:lineRule="auto"/>
              <w:jc w:val="center"/>
              <w:outlineLvl w:val="0"/>
              <w:rPr>
                <w:rFonts w:hint="eastAsia" w:asciiTheme="minorEastAsia" w:hAnsiTheme="minorEastAsia" w:eastAsiaTheme="minorEastAsia" w:cstheme="minorEastAsia"/>
                <w:color w:val="auto"/>
                <w:sz w:val="24"/>
                <w:szCs w:val="24"/>
                <w:highlight w:val="none"/>
              </w:rPr>
            </w:pPr>
          </w:p>
        </w:tc>
      </w:tr>
      <w:tr w14:paraId="5DF1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 w:type="dxa"/>
            <w:vAlign w:val="center"/>
          </w:tcPr>
          <w:p w14:paraId="1B0ACFCA">
            <w:pPr>
              <w:keepNext w:val="0"/>
              <w:keepLines w:val="0"/>
              <w:pageBreakBefore w:val="0"/>
              <w:kinsoku/>
              <w:wordWrap/>
              <w:overflowPunct/>
              <w:topLinePunct w:val="0"/>
              <w:autoSpaceDE/>
              <w:autoSpaceDN/>
              <w:bidi w:val="0"/>
              <w:snapToGrid w:val="0"/>
              <w:spacing w:line="312"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6833" w:type="dxa"/>
          </w:tcPr>
          <w:p w14:paraId="257CF388">
            <w:pPr>
              <w:keepNext w:val="0"/>
              <w:keepLines w:val="0"/>
              <w:pageBreakBefore w:val="0"/>
              <w:widowControl/>
              <w:suppressLineNumbers w:val="0"/>
              <w:kinsoku/>
              <w:wordWrap/>
              <w:overflowPunct/>
              <w:topLinePunct w:val="0"/>
              <w:autoSpaceDE/>
              <w:autoSpaceDN/>
              <w:bidi w:val="0"/>
              <w:spacing w:line="312" w:lineRule="auto"/>
              <w:jc w:val="left"/>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【重难点分析】</w:t>
            </w:r>
          </w:p>
          <w:p w14:paraId="0D3B83FF">
            <w:pPr>
              <w:keepNext w:val="0"/>
              <w:keepLines w:val="0"/>
              <w:pageBreakBefore w:val="0"/>
              <w:widowControl/>
              <w:suppressLineNumbers w:val="0"/>
              <w:kinsoku/>
              <w:wordWrap/>
              <w:overflowPunct/>
              <w:topLinePunct w:val="0"/>
              <w:autoSpaceDE/>
              <w:autoSpaceDN/>
              <w:bidi w:val="0"/>
              <w:spacing w:line="312"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针对供应商对本项目采购需求的理解，对治安巡防工作存在的难点、要点问题分析进行综合评审。理解透彻、分析针对性强的得5分；理解一般，针对性一般的得3 分；理解存在欠缺，可行性、项目匹配性不足的得1分；未提供不得分。</w:t>
            </w:r>
          </w:p>
        </w:tc>
        <w:tc>
          <w:tcPr>
            <w:tcW w:w="696" w:type="dxa"/>
            <w:vAlign w:val="center"/>
          </w:tcPr>
          <w:p w14:paraId="58B7CC76">
            <w:pPr>
              <w:keepNext w:val="0"/>
              <w:keepLines w:val="0"/>
              <w:pageBreakBefore w:val="0"/>
              <w:kinsoku/>
              <w:wordWrap/>
              <w:overflowPunct/>
              <w:topLinePunct w:val="0"/>
              <w:autoSpaceDE/>
              <w:autoSpaceDN/>
              <w:bidi w:val="0"/>
              <w:spacing w:line="312" w:lineRule="auto"/>
              <w:jc w:val="center"/>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0-5</w:t>
            </w:r>
          </w:p>
        </w:tc>
        <w:tc>
          <w:tcPr>
            <w:tcW w:w="1018" w:type="dxa"/>
            <w:vAlign w:val="center"/>
          </w:tcPr>
          <w:p w14:paraId="41615CD6">
            <w:pPr>
              <w:keepNext w:val="0"/>
              <w:keepLines w:val="0"/>
              <w:pageBreakBefore w:val="0"/>
              <w:kinsoku/>
              <w:wordWrap/>
              <w:overflowPunct/>
              <w:topLinePunct w:val="0"/>
              <w:autoSpaceDE/>
              <w:autoSpaceDN/>
              <w:bidi w:val="0"/>
              <w:spacing w:line="312" w:lineRule="auto"/>
              <w:jc w:val="center"/>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主观分</w:t>
            </w:r>
          </w:p>
        </w:tc>
        <w:tc>
          <w:tcPr>
            <w:tcW w:w="1072" w:type="dxa"/>
            <w:vAlign w:val="center"/>
          </w:tcPr>
          <w:p w14:paraId="1DA91A89">
            <w:pPr>
              <w:keepNext w:val="0"/>
              <w:keepLines w:val="0"/>
              <w:pageBreakBefore w:val="0"/>
              <w:kinsoku/>
              <w:wordWrap/>
              <w:overflowPunct/>
              <w:topLinePunct w:val="0"/>
              <w:autoSpaceDE/>
              <w:autoSpaceDN/>
              <w:bidi w:val="0"/>
              <w:spacing w:line="312" w:lineRule="auto"/>
              <w:jc w:val="center"/>
              <w:outlineLvl w:val="0"/>
              <w:rPr>
                <w:rFonts w:hint="eastAsia" w:asciiTheme="minorEastAsia" w:hAnsiTheme="minorEastAsia" w:eastAsiaTheme="minorEastAsia" w:cstheme="minorEastAsia"/>
                <w:color w:val="auto"/>
                <w:sz w:val="24"/>
                <w:szCs w:val="24"/>
                <w:highlight w:val="none"/>
              </w:rPr>
            </w:pPr>
          </w:p>
        </w:tc>
      </w:tr>
      <w:tr w14:paraId="18322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05" w:type="dxa"/>
            <w:vAlign w:val="center"/>
          </w:tcPr>
          <w:p w14:paraId="3A24664B">
            <w:pPr>
              <w:keepNext w:val="0"/>
              <w:keepLines w:val="0"/>
              <w:pageBreakBefore w:val="0"/>
              <w:kinsoku/>
              <w:wordWrap/>
              <w:overflowPunct/>
              <w:topLinePunct w:val="0"/>
              <w:autoSpaceDE/>
              <w:autoSpaceDN/>
              <w:bidi w:val="0"/>
              <w:snapToGrid w:val="0"/>
              <w:spacing w:line="312"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w:t>
            </w:r>
          </w:p>
        </w:tc>
        <w:tc>
          <w:tcPr>
            <w:tcW w:w="6833" w:type="dxa"/>
          </w:tcPr>
          <w:p w14:paraId="6D5B0D65">
            <w:pPr>
              <w:keepNext w:val="0"/>
              <w:keepLines w:val="0"/>
              <w:pageBreakBefore w:val="0"/>
              <w:widowControl/>
              <w:suppressLineNumbers w:val="0"/>
              <w:kinsoku/>
              <w:wordWrap/>
              <w:overflowPunct/>
              <w:topLinePunct w:val="0"/>
              <w:autoSpaceDE/>
              <w:autoSpaceDN/>
              <w:bidi w:val="0"/>
              <w:spacing w:line="312" w:lineRule="auto"/>
              <w:jc w:val="left"/>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【投入设备】</w:t>
            </w:r>
          </w:p>
          <w:p w14:paraId="5A0B771F">
            <w:pPr>
              <w:keepNext w:val="0"/>
              <w:keepLines w:val="0"/>
              <w:pageBreakBefore w:val="0"/>
              <w:widowControl/>
              <w:suppressLineNumbers w:val="0"/>
              <w:kinsoku/>
              <w:wordWrap/>
              <w:overflowPunct/>
              <w:topLinePunct w:val="0"/>
              <w:autoSpaceDE/>
              <w:autoSpaceDN/>
              <w:bidi w:val="0"/>
              <w:spacing w:line="312"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供应商拟投入使用的服装、设备、工器具的储备情况进行综合评审:</w:t>
            </w:r>
          </w:p>
          <w:p w14:paraId="12A1A719">
            <w:pPr>
              <w:keepNext w:val="0"/>
              <w:keepLines w:val="0"/>
              <w:pageBreakBefore w:val="0"/>
              <w:widowControl/>
              <w:suppressLineNumbers w:val="0"/>
              <w:kinsoku/>
              <w:wordWrap/>
              <w:overflowPunct/>
              <w:topLinePunct w:val="0"/>
              <w:autoSpaceDE/>
              <w:autoSpaceDN/>
              <w:bidi w:val="0"/>
              <w:spacing w:line="312"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1.对特保人员的各季节服装、防暑防雨用品等配备情况。配备合理、针对性强的得5分；配备较合理得3分；合理性性存在较大欠缺的得1分；未提供不得分。</w:t>
            </w:r>
          </w:p>
          <w:p w14:paraId="76159017">
            <w:pPr>
              <w:keepNext w:val="0"/>
              <w:keepLines w:val="0"/>
              <w:pageBreakBefore w:val="0"/>
              <w:widowControl/>
              <w:suppressLineNumbers w:val="0"/>
              <w:kinsoku/>
              <w:wordWrap/>
              <w:overflowPunct/>
              <w:topLinePunct w:val="0"/>
              <w:autoSpaceDE/>
              <w:autoSpaceDN/>
              <w:bidi w:val="0"/>
              <w:spacing w:line="312"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2.对特保人员的通讯器材、特保装备、交通工具等配置情况。</w:t>
            </w:r>
          </w:p>
          <w:p w14:paraId="7A172CE4">
            <w:pPr>
              <w:keepNext w:val="0"/>
              <w:keepLines w:val="0"/>
              <w:pageBreakBefore w:val="0"/>
              <w:widowControl/>
              <w:suppressLineNumbers w:val="0"/>
              <w:kinsoku/>
              <w:wordWrap/>
              <w:overflowPunct/>
              <w:topLinePunct w:val="0"/>
              <w:autoSpaceDE/>
              <w:autoSpaceDN/>
              <w:bidi w:val="0"/>
              <w:spacing w:line="312"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配备合理、针对性强的得5分；配备较合理得3分；合理性性存在较大欠缺的得1分；未提供不得分。</w:t>
            </w:r>
          </w:p>
        </w:tc>
        <w:tc>
          <w:tcPr>
            <w:tcW w:w="696" w:type="dxa"/>
            <w:vAlign w:val="center"/>
          </w:tcPr>
          <w:p w14:paraId="4F7CC638">
            <w:pPr>
              <w:keepNext w:val="0"/>
              <w:keepLines w:val="0"/>
              <w:pageBreakBefore w:val="0"/>
              <w:kinsoku/>
              <w:wordWrap/>
              <w:overflowPunct/>
              <w:topLinePunct w:val="0"/>
              <w:autoSpaceDE/>
              <w:autoSpaceDN/>
              <w:bidi w:val="0"/>
              <w:spacing w:line="312" w:lineRule="auto"/>
              <w:jc w:val="center"/>
              <w:outlineLvl w:val="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0-10</w:t>
            </w:r>
          </w:p>
        </w:tc>
        <w:tc>
          <w:tcPr>
            <w:tcW w:w="1018" w:type="dxa"/>
            <w:vAlign w:val="center"/>
          </w:tcPr>
          <w:p w14:paraId="75C8D032">
            <w:pPr>
              <w:keepNext w:val="0"/>
              <w:keepLines w:val="0"/>
              <w:pageBreakBefore w:val="0"/>
              <w:kinsoku/>
              <w:wordWrap/>
              <w:overflowPunct/>
              <w:topLinePunct w:val="0"/>
              <w:autoSpaceDE/>
              <w:autoSpaceDN/>
              <w:bidi w:val="0"/>
              <w:spacing w:line="312" w:lineRule="auto"/>
              <w:jc w:val="center"/>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主观分</w:t>
            </w:r>
          </w:p>
        </w:tc>
        <w:tc>
          <w:tcPr>
            <w:tcW w:w="1072" w:type="dxa"/>
            <w:vAlign w:val="center"/>
          </w:tcPr>
          <w:p w14:paraId="1F343548">
            <w:pPr>
              <w:keepNext w:val="0"/>
              <w:keepLines w:val="0"/>
              <w:pageBreakBefore w:val="0"/>
              <w:kinsoku/>
              <w:wordWrap/>
              <w:overflowPunct/>
              <w:topLinePunct w:val="0"/>
              <w:autoSpaceDE/>
              <w:autoSpaceDN/>
              <w:bidi w:val="0"/>
              <w:spacing w:line="312" w:lineRule="auto"/>
              <w:jc w:val="center"/>
              <w:outlineLvl w:val="0"/>
              <w:rPr>
                <w:rFonts w:hint="eastAsia" w:asciiTheme="minorEastAsia" w:hAnsiTheme="minorEastAsia" w:eastAsiaTheme="minorEastAsia" w:cstheme="minorEastAsia"/>
                <w:color w:val="auto"/>
                <w:sz w:val="24"/>
                <w:szCs w:val="24"/>
                <w:highlight w:val="none"/>
              </w:rPr>
            </w:pPr>
          </w:p>
        </w:tc>
      </w:tr>
      <w:tr w14:paraId="2DBE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05" w:type="dxa"/>
            <w:vAlign w:val="center"/>
          </w:tcPr>
          <w:p w14:paraId="09D95B23">
            <w:pPr>
              <w:keepNext w:val="0"/>
              <w:keepLines w:val="0"/>
              <w:pageBreakBefore w:val="0"/>
              <w:kinsoku/>
              <w:wordWrap/>
              <w:overflowPunct/>
              <w:topLinePunct w:val="0"/>
              <w:autoSpaceDE/>
              <w:autoSpaceDN/>
              <w:bidi w:val="0"/>
              <w:snapToGrid w:val="0"/>
              <w:spacing w:line="312"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w:t>
            </w:r>
          </w:p>
        </w:tc>
        <w:tc>
          <w:tcPr>
            <w:tcW w:w="6833" w:type="dxa"/>
            <w:vAlign w:val="top"/>
          </w:tcPr>
          <w:p w14:paraId="76C0438B">
            <w:pPr>
              <w:keepNext w:val="0"/>
              <w:keepLines w:val="0"/>
              <w:pageBreakBefore w:val="0"/>
              <w:widowControl/>
              <w:suppressLineNumbers w:val="0"/>
              <w:kinsoku/>
              <w:wordWrap/>
              <w:overflowPunct/>
              <w:topLinePunct w:val="0"/>
              <w:autoSpaceDE/>
              <w:autoSpaceDN/>
              <w:bidi w:val="0"/>
              <w:spacing w:line="312" w:lineRule="auto"/>
              <w:jc w:val="left"/>
              <w:textAlignment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服务质量保证方案</w:t>
            </w:r>
            <w:r>
              <w:rPr>
                <w:rFonts w:hint="eastAsia" w:asciiTheme="minorEastAsia" w:hAnsiTheme="minorEastAsia" w:eastAsiaTheme="minorEastAsia" w:cstheme="minorEastAsia"/>
                <w:b/>
                <w:bCs/>
                <w:color w:val="auto"/>
                <w:sz w:val="24"/>
                <w:szCs w:val="24"/>
                <w:highlight w:val="none"/>
                <w:lang w:eastAsia="zh-CN"/>
              </w:rPr>
              <w:t>】</w:t>
            </w:r>
          </w:p>
          <w:p w14:paraId="28286675">
            <w:pPr>
              <w:keepNext w:val="0"/>
              <w:keepLines w:val="0"/>
              <w:pageBreakBefore w:val="0"/>
              <w:widowControl/>
              <w:suppressLineNumbers w:val="0"/>
              <w:kinsoku/>
              <w:wordWrap/>
              <w:overflowPunct/>
              <w:topLinePunct w:val="0"/>
              <w:autoSpaceDE/>
              <w:autoSpaceDN/>
              <w:bidi w:val="0"/>
              <w:spacing w:line="312"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color w:val="auto"/>
                <w:sz w:val="24"/>
                <w:szCs w:val="24"/>
                <w:highlight w:val="none"/>
                <w:lang w:val="en-US" w:eastAsia="zh-CN"/>
              </w:rPr>
              <w:t>供应商针对本项目提供服务质量保障方案。根据提供的方案内容进行</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综合评审</w:t>
            </w:r>
            <w:r>
              <w:rPr>
                <w:rFonts w:hint="eastAsia" w:asciiTheme="minorEastAsia" w:hAnsiTheme="minorEastAsia" w:eastAsiaTheme="minorEastAsia" w:cstheme="minorEastAsia"/>
                <w:b w:val="0"/>
                <w:bCs w:val="0"/>
                <w:color w:val="auto"/>
                <w:sz w:val="24"/>
                <w:szCs w:val="24"/>
                <w:highlight w:val="none"/>
                <w:lang w:val="en-US" w:eastAsia="zh-CN"/>
              </w:rPr>
              <w:t>。科学合理、可行性高的得5分；合理可行且符合采购需求的得4分；较合理且符合采购需求的得3分；有瑕疵的得2分；有缺失的得1分；不合理或不提供不得分</w:t>
            </w:r>
            <w:r>
              <w:rPr>
                <w:rFonts w:hint="eastAsia" w:asciiTheme="minorEastAsia" w:hAnsiTheme="minorEastAsia" w:eastAsiaTheme="minorEastAsia" w:cstheme="minorEastAsia"/>
                <w:color w:val="auto"/>
                <w:sz w:val="24"/>
                <w:szCs w:val="24"/>
                <w:highlight w:val="none"/>
                <w:lang w:eastAsia="zh-CN"/>
              </w:rPr>
              <w:t>。</w:t>
            </w:r>
          </w:p>
        </w:tc>
        <w:tc>
          <w:tcPr>
            <w:tcW w:w="696" w:type="dxa"/>
            <w:vAlign w:val="center"/>
          </w:tcPr>
          <w:p w14:paraId="10D67E0D">
            <w:pPr>
              <w:keepNext w:val="0"/>
              <w:keepLines w:val="0"/>
              <w:pageBreakBefore w:val="0"/>
              <w:kinsoku/>
              <w:wordWrap/>
              <w:overflowPunct/>
              <w:topLinePunct w:val="0"/>
              <w:autoSpaceDE/>
              <w:autoSpaceDN/>
              <w:bidi w:val="0"/>
              <w:spacing w:line="312" w:lineRule="auto"/>
              <w:jc w:val="center"/>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0-5</w:t>
            </w:r>
          </w:p>
        </w:tc>
        <w:tc>
          <w:tcPr>
            <w:tcW w:w="1018" w:type="dxa"/>
            <w:vAlign w:val="center"/>
          </w:tcPr>
          <w:p w14:paraId="5ADFEFA9">
            <w:pPr>
              <w:keepNext w:val="0"/>
              <w:keepLines w:val="0"/>
              <w:pageBreakBefore w:val="0"/>
              <w:kinsoku/>
              <w:wordWrap/>
              <w:overflowPunct/>
              <w:topLinePunct w:val="0"/>
              <w:autoSpaceDE/>
              <w:autoSpaceDN/>
              <w:bidi w:val="0"/>
              <w:spacing w:line="312" w:lineRule="auto"/>
              <w:jc w:val="center"/>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主观分</w:t>
            </w:r>
          </w:p>
        </w:tc>
        <w:tc>
          <w:tcPr>
            <w:tcW w:w="1072" w:type="dxa"/>
            <w:vAlign w:val="center"/>
          </w:tcPr>
          <w:p w14:paraId="398B6133">
            <w:pPr>
              <w:keepNext w:val="0"/>
              <w:keepLines w:val="0"/>
              <w:pageBreakBefore w:val="0"/>
              <w:kinsoku/>
              <w:wordWrap/>
              <w:overflowPunct/>
              <w:topLinePunct w:val="0"/>
              <w:autoSpaceDE/>
              <w:autoSpaceDN/>
              <w:bidi w:val="0"/>
              <w:spacing w:line="312" w:lineRule="auto"/>
              <w:jc w:val="center"/>
              <w:outlineLvl w:val="0"/>
              <w:rPr>
                <w:rFonts w:hint="eastAsia" w:asciiTheme="minorEastAsia" w:hAnsiTheme="minorEastAsia" w:eastAsiaTheme="minorEastAsia" w:cstheme="minorEastAsia"/>
                <w:color w:val="auto"/>
                <w:sz w:val="24"/>
                <w:szCs w:val="24"/>
                <w:highlight w:val="none"/>
              </w:rPr>
            </w:pPr>
          </w:p>
        </w:tc>
      </w:tr>
      <w:tr w14:paraId="7B1D2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605" w:type="dxa"/>
            <w:vAlign w:val="center"/>
          </w:tcPr>
          <w:p w14:paraId="433C184B">
            <w:pPr>
              <w:keepNext w:val="0"/>
              <w:keepLines w:val="0"/>
              <w:pageBreakBefore w:val="0"/>
              <w:kinsoku/>
              <w:wordWrap/>
              <w:overflowPunct/>
              <w:topLinePunct w:val="0"/>
              <w:autoSpaceDE/>
              <w:autoSpaceDN/>
              <w:bidi w:val="0"/>
              <w:snapToGrid w:val="0"/>
              <w:spacing w:line="312"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w:t>
            </w:r>
          </w:p>
        </w:tc>
        <w:tc>
          <w:tcPr>
            <w:tcW w:w="6833" w:type="dxa"/>
          </w:tcPr>
          <w:p w14:paraId="2EF7E652">
            <w:pPr>
              <w:keepNext w:val="0"/>
              <w:keepLines w:val="0"/>
              <w:pageBreakBefore w:val="0"/>
              <w:widowControl/>
              <w:suppressLineNumbers w:val="0"/>
              <w:kinsoku/>
              <w:wordWrap/>
              <w:overflowPunct/>
              <w:topLinePunct w:val="0"/>
              <w:autoSpaceDE/>
              <w:autoSpaceDN/>
              <w:bidi w:val="0"/>
              <w:spacing w:line="312" w:lineRule="auto"/>
              <w:jc w:val="left"/>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【培训方案】</w:t>
            </w:r>
          </w:p>
          <w:p w14:paraId="24B590B4">
            <w:pPr>
              <w:keepNext w:val="0"/>
              <w:keepLines w:val="0"/>
              <w:pageBreakBefore w:val="0"/>
              <w:widowControl/>
              <w:suppressLineNumbers w:val="0"/>
              <w:kinsoku/>
              <w:wordWrap/>
              <w:overflowPunct/>
              <w:topLinePunct w:val="0"/>
              <w:autoSpaceDE/>
              <w:autoSpaceDN/>
              <w:bidi w:val="0"/>
              <w:spacing w:line="312"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供应商针对本项目提供相应人员培训方案。根据提供的方案内容进行综合评审。</w:t>
            </w:r>
          </w:p>
          <w:p w14:paraId="13CF06A4">
            <w:pPr>
              <w:keepNext w:val="0"/>
              <w:keepLines w:val="0"/>
              <w:pageBreakBefore w:val="0"/>
              <w:widowControl/>
              <w:suppressLineNumbers w:val="0"/>
              <w:kinsoku/>
              <w:wordWrap/>
              <w:overflowPunct/>
              <w:topLinePunct w:val="0"/>
              <w:autoSpaceDE/>
              <w:autoSpaceDN/>
              <w:bidi w:val="0"/>
              <w:spacing w:line="312"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培训方案全面合理、可行性高的得5分；合理可行且符合采购需求的得4分；较合理且符合采购需求的得3分；有瑕疵的得2分；有缺失的得1分；不合理或不提供不得分。</w:t>
            </w:r>
          </w:p>
        </w:tc>
        <w:tc>
          <w:tcPr>
            <w:tcW w:w="696" w:type="dxa"/>
            <w:vAlign w:val="center"/>
          </w:tcPr>
          <w:p w14:paraId="484EAEBC">
            <w:pPr>
              <w:keepNext w:val="0"/>
              <w:keepLines w:val="0"/>
              <w:pageBreakBefore w:val="0"/>
              <w:kinsoku/>
              <w:wordWrap/>
              <w:overflowPunct/>
              <w:topLinePunct w:val="0"/>
              <w:autoSpaceDE/>
              <w:autoSpaceDN/>
              <w:bidi w:val="0"/>
              <w:spacing w:line="312" w:lineRule="auto"/>
              <w:jc w:val="center"/>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0-5</w:t>
            </w:r>
          </w:p>
        </w:tc>
        <w:tc>
          <w:tcPr>
            <w:tcW w:w="1018" w:type="dxa"/>
            <w:vAlign w:val="center"/>
          </w:tcPr>
          <w:p w14:paraId="358F27D1">
            <w:pPr>
              <w:keepNext w:val="0"/>
              <w:keepLines w:val="0"/>
              <w:pageBreakBefore w:val="0"/>
              <w:kinsoku/>
              <w:wordWrap/>
              <w:overflowPunct/>
              <w:topLinePunct w:val="0"/>
              <w:autoSpaceDE/>
              <w:autoSpaceDN/>
              <w:bidi w:val="0"/>
              <w:spacing w:line="312" w:lineRule="auto"/>
              <w:jc w:val="center"/>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主观分</w:t>
            </w:r>
          </w:p>
        </w:tc>
        <w:tc>
          <w:tcPr>
            <w:tcW w:w="1072" w:type="dxa"/>
            <w:vAlign w:val="center"/>
          </w:tcPr>
          <w:p w14:paraId="772AEF52">
            <w:pPr>
              <w:keepNext w:val="0"/>
              <w:keepLines w:val="0"/>
              <w:pageBreakBefore w:val="0"/>
              <w:kinsoku/>
              <w:wordWrap/>
              <w:overflowPunct/>
              <w:topLinePunct w:val="0"/>
              <w:autoSpaceDE/>
              <w:autoSpaceDN/>
              <w:bidi w:val="0"/>
              <w:spacing w:line="312" w:lineRule="auto"/>
              <w:jc w:val="center"/>
              <w:outlineLvl w:val="0"/>
              <w:rPr>
                <w:rFonts w:hint="eastAsia" w:asciiTheme="minorEastAsia" w:hAnsiTheme="minorEastAsia" w:eastAsiaTheme="minorEastAsia" w:cstheme="minorEastAsia"/>
                <w:color w:val="auto"/>
                <w:sz w:val="24"/>
                <w:szCs w:val="24"/>
                <w:highlight w:val="none"/>
              </w:rPr>
            </w:pPr>
          </w:p>
        </w:tc>
      </w:tr>
      <w:tr w14:paraId="4AF93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605" w:type="dxa"/>
            <w:vAlign w:val="center"/>
          </w:tcPr>
          <w:p w14:paraId="5003D720">
            <w:pPr>
              <w:keepNext w:val="0"/>
              <w:keepLines w:val="0"/>
              <w:pageBreakBefore w:val="0"/>
              <w:kinsoku/>
              <w:wordWrap/>
              <w:overflowPunct/>
              <w:topLinePunct w:val="0"/>
              <w:autoSpaceDE/>
              <w:autoSpaceDN/>
              <w:bidi w:val="0"/>
              <w:snapToGrid w:val="0"/>
              <w:spacing w:line="312"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w:t>
            </w:r>
          </w:p>
        </w:tc>
        <w:tc>
          <w:tcPr>
            <w:tcW w:w="6833" w:type="dxa"/>
          </w:tcPr>
          <w:p w14:paraId="6B24FBDE">
            <w:pPr>
              <w:keepNext w:val="0"/>
              <w:keepLines w:val="0"/>
              <w:pageBreakBefore w:val="0"/>
              <w:widowControl/>
              <w:suppressLineNumbers w:val="0"/>
              <w:kinsoku/>
              <w:wordWrap/>
              <w:overflowPunct/>
              <w:topLinePunct w:val="0"/>
              <w:autoSpaceDE/>
              <w:autoSpaceDN/>
              <w:bidi w:val="0"/>
              <w:spacing w:line="312" w:lineRule="auto"/>
              <w:jc w:val="left"/>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【合理化建议】</w:t>
            </w:r>
          </w:p>
          <w:p w14:paraId="3B11ECB1">
            <w:pPr>
              <w:keepNext w:val="0"/>
              <w:keepLines w:val="0"/>
              <w:pageBreakBefore w:val="0"/>
              <w:widowControl/>
              <w:suppressLineNumbers w:val="0"/>
              <w:kinsoku/>
              <w:wordWrap/>
              <w:overflowPunct/>
              <w:topLinePunct w:val="0"/>
              <w:autoSpaceDE/>
              <w:autoSpaceDN/>
              <w:bidi w:val="0"/>
              <w:spacing w:line="312"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针对本项目提供合理化建议。方案合理、针对性强的得4分；方案一般，针对性一般的得3分；方案内容存在欠缺的得2分；可行性、项目匹配性不足的得1分；未提供不得分。</w:t>
            </w:r>
          </w:p>
        </w:tc>
        <w:tc>
          <w:tcPr>
            <w:tcW w:w="696" w:type="dxa"/>
            <w:vAlign w:val="center"/>
          </w:tcPr>
          <w:p w14:paraId="606F7452">
            <w:pPr>
              <w:keepNext w:val="0"/>
              <w:keepLines w:val="0"/>
              <w:pageBreakBefore w:val="0"/>
              <w:kinsoku/>
              <w:wordWrap/>
              <w:overflowPunct/>
              <w:topLinePunct w:val="0"/>
              <w:autoSpaceDE/>
              <w:autoSpaceDN/>
              <w:bidi w:val="0"/>
              <w:spacing w:line="312" w:lineRule="auto"/>
              <w:jc w:val="center"/>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0-4</w:t>
            </w:r>
          </w:p>
        </w:tc>
        <w:tc>
          <w:tcPr>
            <w:tcW w:w="1018" w:type="dxa"/>
            <w:vAlign w:val="center"/>
          </w:tcPr>
          <w:p w14:paraId="22F53859">
            <w:pPr>
              <w:keepNext w:val="0"/>
              <w:keepLines w:val="0"/>
              <w:pageBreakBefore w:val="0"/>
              <w:kinsoku/>
              <w:wordWrap/>
              <w:overflowPunct/>
              <w:topLinePunct w:val="0"/>
              <w:autoSpaceDE/>
              <w:autoSpaceDN/>
              <w:bidi w:val="0"/>
              <w:spacing w:line="312" w:lineRule="auto"/>
              <w:jc w:val="center"/>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主观分</w:t>
            </w:r>
          </w:p>
        </w:tc>
        <w:tc>
          <w:tcPr>
            <w:tcW w:w="1072" w:type="dxa"/>
            <w:vAlign w:val="center"/>
          </w:tcPr>
          <w:p w14:paraId="47C6E44D">
            <w:pPr>
              <w:keepNext w:val="0"/>
              <w:keepLines w:val="0"/>
              <w:pageBreakBefore w:val="0"/>
              <w:kinsoku/>
              <w:wordWrap/>
              <w:overflowPunct/>
              <w:topLinePunct w:val="0"/>
              <w:autoSpaceDE/>
              <w:autoSpaceDN/>
              <w:bidi w:val="0"/>
              <w:spacing w:line="312" w:lineRule="auto"/>
              <w:jc w:val="center"/>
              <w:outlineLvl w:val="0"/>
              <w:rPr>
                <w:rFonts w:hint="eastAsia" w:asciiTheme="minorEastAsia" w:hAnsiTheme="minorEastAsia" w:eastAsiaTheme="minorEastAsia" w:cstheme="minorEastAsia"/>
                <w:color w:val="auto"/>
                <w:sz w:val="24"/>
                <w:szCs w:val="24"/>
                <w:highlight w:val="none"/>
              </w:rPr>
            </w:pPr>
          </w:p>
        </w:tc>
      </w:tr>
      <w:tr w14:paraId="1EA07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605" w:type="dxa"/>
            <w:vAlign w:val="center"/>
          </w:tcPr>
          <w:p w14:paraId="4730AB52">
            <w:pPr>
              <w:keepNext w:val="0"/>
              <w:keepLines w:val="0"/>
              <w:pageBreakBefore w:val="0"/>
              <w:kinsoku/>
              <w:wordWrap/>
              <w:overflowPunct/>
              <w:topLinePunct w:val="0"/>
              <w:autoSpaceDE/>
              <w:autoSpaceDN/>
              <w:bidi w:val="0"/>
              <w:snapToGrid w:val="0"/>
              <w:spacing w:line="312"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w:t>
            </w:r>
          </w:p>
        </w:tc>
        <w:tc>
          <w:tcPr>
            <w:tcW w:w="6833" w:type="dxa"/>
            <w:vAlign w:val="top"/>
          </w:tcPr>
          <w:p w14:paraId="484720FF">
            <w:pPr>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kern w:val="0"/>
                <w:sz w:val="24"/>
                <w:szCs w:val="24"/>
                <w:highlight w:val="none"/>
                <w:lang w:bidi="ar"/>
              </w:rPr>
              <w:t>1.</w:t>
            </w:r>
            <w:r>
              <w:rPr>
                <w:rFonts w:hint="eastAsia" w:asciiTheme="minorEastAsia" w:hAnsiTheme="minorEastAsia" w:eastAsiaTheme="minorEastAsia" w:cstheme="minorEastAsia"/>
                <w:b/>
                <w:bCs/>
                <w:color w:val="auto"/>
                <w:sz w:val="24"/>
                <w:szCs w:val="24"/>
                <w:highlight w:val="none"/>
                <w:lang w:val="zh-CN"/>
              </w:rPr>
              <w:t>投标价格的合理性</w:t>
            </w:r>
            <w:r>
              <w:rPr>
                <w:rFonts w:hint="eastAsia" w:asciiTheme="minorEastAsia" w:hAnsiTheme="minorEastAsia" w:eastAsiaTheme="minorEastAsia" w:cstheme="minorEastAsia"/>
                <w:b/>
                <w:bCs/>
                <w:color w:val="auto"/>
                <w:sz w:val="24"/>
                <w:szCs w:val="24"/>
                <w:highlight w:val="none"/>
              </w:rPr>
              <w:t>和有效性评价</w:t>
            </w:r>
          </w:p>
          <w:p w14:paraId="0A9C5C0B">
            <w:pPr>
              <w:pStyle w:val="484"/>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分析总报价及各个分项报价是否合理，报价范围是否完整，有否重大错漏项，</w:t>
            </w:r>
            <w:r>
              <w:rPr>
                <w:rFonts w:hint="eastAsia" w:asciiTheme="minorEastAsia" w:hAnsiTheme="minorEastAsia" w:eastAsiaTheme="minorEastAsia" w:cstheme="minorEastAsia"/>
                <w:color w:val="auto"/>
                <w:sz w:val="24"/>
                <w:szCs w:val="24"/>
                <w:highlight w:val="none"/>
              </w:rPr>
              <w:t>评审小组</w:t>
            </w:r>
            <w:r>
              <w:rPr>
                <w:rFonts w:hint="eastAsia" w:asciiTheme="minorEastAsia" w:hAnsiTheme="minorEastAsia" w:eastAsiaTheme="minorEastAsia" w:cstheme="minorEastAsia"/>
                <w:color w:val="auto"/>
                <w:sz w:val="24"/>
                <w:szCs w:val="24"/>
                <w:highlight w:val="none"/>
                <w:lang w:val="zh-CN"/>
              </w:rPr>
              <w:t>认为投标报价出现异常时，有权要求</w:t>
            </w:r>
            <w:r>
              <w:rPr>
                <w:rFonts w:hint="eastAsia" w:asciiTheme="minorEastAsia" w:hAnsiTheme="minorEastAsia" w:eastAsiaTheme="minorEastAsia" w:cstheme="minorEastAsia"/>
                <w:color w:val="auto"/>
                <w:sz w:val="24"/>
                <w:szCs w:val="24"/>
                <w:highlight w:val="none"/>
              </w:rPr>
              <w:t>供应商</w:t>
            </w:r>
            <w:r>
              <w:rPr>
                <w:rFonts w:hint="eastAsia" w:asciiTheme="minorEastAsia" w:hAnsiTheme="minorEastAsia" w:eastAsiaTheme="minorEastAsia" w:cstheme="minorEastAsia"/>
                <w:color w:val="auto"/>
                <w:sz w:val="24"/>
                <w:szCs w:val="24"/>
                <w:highlight w:val="none"/>
                <w:lang w:val="zh-CN"/>
              </w:rPr>
              <w:t>在</w:t>
            </w:r>
            <w:r>
              <w:rPr>
                <w:rFonts w:hint="eastAsia" w:asciiTheme="minorEastAsia" w:hAnsiTheme="minorEastAsia" w:eastAsiaTheme="minorEastAsia" w:cstheme="minorEastAsia"/>
                <w:color w:val="auto"/>
                <w:sz w:val="24"/>
                <w:szCs w:val="24"/>
                <w:highlight w:val="none"/>
              </w:rPr>
              <w:t>评审</w:t>
            </w:r>
            <w:r>
              <w:rPr>
                <w:rFonts w:hint="eastAsia" w:asciiTheme="minorEastAsia" w:hAnsiTheme="minorEastAsia" w:eastAsiaTheme="minorEastAsia" w:cstheme="minorEastAsia"/>
                <w:color w:val="auto"/>
                <w:sz w:val="24"/>
                <w:szCs w:val="24"/>
                <w:highlight w:val="none"/>
                <w:lang w:val="zh-CN"/>
              </w:rPr>
              <w:t>期间对投标报价的详细组成作出解释和澄清，并确认其投标报价是否有效。</w:t>
            </w:r>
          </w:p>
          <w:p w14:paraId="1F799F2D">
            <w:pPr>
              <w:pStyle w:val="484"/>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2.报价评审</w:t>
            </w:r>
          </w:p>
          <w:p w14:paraId="7E596D47">
            <w:pPr>
              <w:pStyle w:val="484"/>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各</w:t>
            </w:r>
            <w:r>
              <w:rPr>
                <w:rFonts w:hint="eastAsia" w:asciiTheme="minorEastAsia" w:hAnsiTheme="minorEastAsia" w:eastAsiaTheme="minorEastAsia" w:cstheme="minorEastAsia"/>
                <w:color w:val="auto"/>
                <w:sz w:val="24"/>
                <w:szCs w:val="24"/>
                <w:highlight w:val="none"/>
              </w:rPr>
              <w:t>供应商</w:t>
            </w:r>
            <w:r>
              <w:rPr>
                <w:rFonts w:hint="eastAsia" w:asciiTheme="minorEastAsia" w:hAnsiTheme="minorEastAsia" w:eastAsiaTheme="minorEastAsia" w:cstheme="minorEastAsia"/>
                <w:color w:val="auto"/>
                <w:sz w:val="24"/>
                <w:szCs w:val="24"/>
                <w:highlight w:val="none"/>
                <w:lang w:val="zh-CN"/>
              </w:rPr>
              <w:t>的报价分统一采用低价优先法计算，即满足</w:t>
            </w:r>
            <w:r>
              <w:rPr>
                <w:rFonts w:hint="eastAsia" w:asciiTheme="minorEastAsia" w:hAnsiTheme="minorEastAsia" w:eastAsiaTheme="minorEastAsia" w:cstheme="minorEastAsia"/>
                <w:color w:val="auto"/>
                <w:sz w:val="24"/>
                <w:szCs w:val="24"/>
                <w:highlight w:val="none"/>
              </w:rPr>
              <w:t>招标文件</w:t>
            </w:r>
            <w:r>
              <w:rPr>
                <w:rFonts w:hint="eastAsia" w:asciiTheme="minorEastAsia" w:hAnsiTheme="minorEastAsia" w:eastAsiaTheme="minorEastAsia" w:cstheme="minorEastAsia"/>
                <w:color w:val="auto"/>
                <w:sz w:val="24"/>
                <w:szCs w:val="24"/>
                <w:highlight w:val="none"/>
                <w:lang w:val="zh-CN"/>
              </w:rPr>
              <w:t>要求且</w:t>
            </w:r>
            <w:r>
              <w:rPr>
                <w:rFonts w:hint="eastAsia" w:asciiTheme="minorEastAsia" w:hAnsiTheme="minorEastAsia" w:eastAsiaTheme="minorEastAsia" w:cstheme="minorEastAsia"/>
                <w:color w:val="auto"/>
                <w:sz w:val="24"/>
                <w:szCs w:val="24"/>
                <w:highlight w:val="none"/>
              </w:rPr>
              <w:t>最终报价</w:t>
            </w:r>
            <w:r>
              <w:rPr>
                <w:rFonts w:hint="eastAsia" w:asciiTheme="minorEastAsia" w:hAnsiTheme="minorEastAsia" w:eastAsiaTheme="minorEastAsia" w:cstheme="minorEastAsia"/>
                <w:color w:val="auto"/>
                <w:sz w:val="24"/>
                <w:szCs w:val="24"/>
                <w:highlight w:val="none"/>
                <w:lang w:val="zh-CN"/>
              </w:rPr>
              <w:t>最低的投标报价为评标基准价，其价格分为满分</w:t>
            </w:r>
            <w:r>
              <w:rPr>
                <w:rFonts w:hint="eastAsia" w:asciiTheme="minorEastAsia" w:hAnsiTheme="minorEastAsia" w:eastAsiaTheme="minorEastAsia" w:cstheme="minorEastAsia"/>
                <w:b/>
                <w:bCs/>
                <w:color w:val="auto"/>
                <w:sz w:val="24"/>
                <w:szCs w:val="24"/>
                <w:highlight w:val="none"/>
                <w:u w:val="single"/>
              </w:rPr>
              <w:t>10</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val="zh-CN"/>
              </w:rPr>
              <w:t>。其他</w:t>
            </w:r>
            <w:r>
              <w:rPr>
                <w:rFonts w:hint="eastAsia" w:asciiTheme="minorEastAsia" w:hAnsiTheme="minorEastAsia" w:eastAsiaTheme="minorEastAsia" w:cstheme="minorEastAsia"/>
                <w:color w:val="auto"/>
                <w:sz w:val="24"/>
                <w:szCs w:val="24"/>
                <w:highlight w:val="none"/>
              </w:rPr>
              <w:t>供应商</w:t>
            </w:r>
            <w:r>
              <w:rPr>
                <w:rFonts w:hint="eastAsia" w:asciiTheme="minorEastAsia" w:hAnsiTheme="minorEastAsia" w:eastAsiaTheme="minorEastAsia" w:cstheme="minorEastAsia"/>
                <w:color w:val="auto"/>
                <w:sz w:val="24"/>
                <w:szCs w:val="24"/>
                <w:highlight w:val="none"/>
                <w:lang w:val="zh-CN"/>
              </w:rPr>
              <w:t>的报价分统一按照下列公式计算：报价分=（评标基准价/</w:t>
            </w:r>
            <w:r>
              <w:rPr>
                <w:rFonts w:hint="eastAsia" w:asciiTheme="minorEastAsia" w:hAnsiTheme="minorEastAsia" w:eastAsiaTheme="minorEastAsia" w:cstheme="minorEastAsia"/>
                <w:color w:val="auto"/>
                <w:sz w:val="24"/>
                <w:szCs w:val="24"/>
                <w:highlight w:val="none"/>
              </w:rPr>
              <w:t>各供应商有效的最终</w:t>
            </w:r>
            <w:r>
              <w:rPr>
                <w:rFonts w:hint="eastAsia" w:asciiTheme="minorEastAsia" w:hAnsiTheme="minorEastAsia" w:eastAsiaTheme="minorEastAsia" w:cstheme="minorEastAsia"/>
                <w:color w:val="auto"/>
                <w:sz w:val="24"/>
                <w:szCs w:val="24"/>
                <w:highlight w:val="none"/>
                <w:lang w:val="zh-CN"/>
              </w:rPr>
              <w:t>报价）×</w:t>
            </w:r>
            <w:r>
              <w:rPr>
                <w:rFonts w:hint="eastAsia" w:asciiTheme="minorEastAsia" w:hAnsiTheme="minorEastAsia" w:eastAsiaTheme="minorEastAsia" w:cstheme="minorEastAsia"/>
                <w:b/>
                <w:bCs/>
                <w:color w:val="auto"/>
                <w:sz w:val="24"/>
                <w:szCs w:val="24"/>
                <w:highlight w:val="none"/>
              </w:rPr>
              <w:t>10</w:t>
            </w:r>
            <w:r>
              <w:rPr>
                <w:rFonts w:hint="eastAsia" w:asciiTheme="minorEastAsia" w:hAnsiTheme="minorEastAsia" w:eastAsiaTheme="minorEastAsia" w:cstheme="minorEastAsia"/>
                <w:color w:val="auto"/>
                <w:sz w:val="24"/>
                <w:szCs w:val="24"/>
                <w:highlight w:val="none"/>
              </w:rPr>
              <w:t>。</w:t>
            </w:r>
          </w:p>
          <w:p w14:paraId="3DB2E933">
            <w:pPr>
              <w:keepNext w:val="0"/>
              <w:keepLines w:val="0"/>
              <w:pageBreakBefore w:val="0"/>
              <w:widowControl/>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3.针对本项目的价格政策规定：</w:t>
            </w:r>
            <w:r>
              <w:rPr>
                <w:rFonts w:hint="eastAsia" w:asciiTheme="minorEastAsia" w:hAnsiTheme="minorEastAsia" w:eastAsiaTheme="minorEastAsia" w:cstheme="minorEastAsia"/>
                <w:color w:val="auto"/>
                <w:sz w:val="24"/>
                <w:szCs w:val="24"/>
                <w:highlight w:val="none"/>
                <w:lang w:val="zh-CN"/>
              </w:rPr>
              <w:t>本项目</w:t>
            </w:r>
            <w:r>
              <w:rPr>
                <w:rFonts w:hint="eastAsia" w:asciiTheme="minorEastAsia" w:hAnsiTheme="minorEastAsia" w:eastAsiaTheme="minorEastAsia" w:cstheme="minorEastAsia"/>
                <w:b/>
                <w:bCs/>
                <w:color w:val="auto"/>
                <w:sz w:val="24"/>
                <w:szCs w:val="24"/>
                <w:highlight w:val="none"/>
                <w:u w:val="single"/>
                <w:lang w:val="zh-CN"/>
              </w:rPr>
              <w:t xml:space="preserve"> 不 </w:t>
            </w:r>
            <w:r>
              <w:rPr>
                <w:rFonts w:hint="eastAsia" w:asciiTheme="minorEastAsia" w:hAnsiTheme="minorEastAsia" w:eastAsiaTheme="minorEastAsia" w:cstheme="minorEastAsia"/>
                <w:color w:val="auto"/>
                <w:sz w:val="24"/>
                <w:szCs w:val="24"/>
                <w:highlight w:val="none"/>
                <w:lang w:val="zh-CN"/>
              </w:rPr>
              <w:t>执行价格评审优惠的扶持政策。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tc>
        <w:tc>
          <w:tcPr>
            <w:tcW w:w="696" w:type="dxa"/>
            <w:vAlign w:val="center"/>
          </w:tcPr>
          <w:p w14:paraId="17961A52">
            <w:pPr>
              <w:keepNext w:val="0"/>
              <w:keepLines w:val="0"/>
              <w:pageBreakBefore w:val="0"/>
              <w:kinsoku/>
              <w:wordWrap/>
              <w:overflowPunct/>
              <w:topLinePunct w:val="0"/>
              <w:autoSpaceDE/>
              <w:autoSpaceDN/>
              <w:bidi w:val="0"/>
              <w:spacing w:line="312" w:lineRule="auto"/>
              <w:jc w:val="center"/>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10</w:t>
            </w:r>
          </w:p>
        </w:tc>
        <w:tc>
          <w:tcPr>
            <w:tcW w:w="1018" w:type="dxa"/>
            <w:vAlign w:val="center"/>
          </w:tcPr>
          <w:p w14:paraId="0D7F4D59">
            <w:pPr>
              <w:keepNext w:val="0"/>
              <w:keepLines w:val="0"/>
              <w:pageBreakBefore w:val="0"/>
              <w:kinsoku/>
              <w:wordWrap/>
              <w:overflowPunct/>
              <w:topLinePunct w:val="0"/>
              <w:autoSpaceDE/>
              <w:autoSpaceDN/>
              <w:bidi w:val="0"/>
              <w:spacing w:line="312" w:lineRule="auto"/>
              <w:jc w:val="center"/>
              <w:outlineLvl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客观分</w:t>
            </w:r>
          </w:p>
        </w:tc>
        <w:tc>
          <w:tcPr>
            <w:tcW w:w="1072" w:type="dxa"/>
            <w:vAlign w:val="center"/>
          </w:tcPr>
          <w:p w14:paraId="0EFBA0D7">
            <w:pPr>
              <w:keepNext w:val="0"/>
              <w:keepLines w:val="0"/>
              <w:pageBreakBefore w:val="0"/>
              <w:kinsoku/>
              <w:wordWrap/>
              <w:overflowPunct/>
              <w:topLinePunct w:val="0"/>
              <w:autoSpaceDE/>
              <w:autoSpaceDN/>
              <w:bidi w:val="0"/>
              <w:spacing w:line="312" w:lineRule="auto"/>
              <w:jc w:val="center"/>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r>
    </w:tbl>
    <w:p w14:paraId="04708F5F">
      <w:pPr>
        <w:rPr>
          <w:color w:val="auto"/>
          <w:highlight w:val="none"/>
        </w:rPr>
      </w:pPr>
    </w:p>
    <w:p w14:paraId="263C2B45">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供应商编制投标文件（商务技术文件部分）时，建议按此目录（序号和内容）提供评标标准相应的商务技术资料。 </w:t>
      </w:r>
    </w:p>
    <w:p w14:paraId="24D6DC4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3D7D3A3">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综合评分法，是指投标文件满足招标文件全部实质性要求，且按照评审因素的量化指标评审得分最高的供应商为中标候选人的评标方法。</w:t>
      </w:r>
    </w:p>
    <w:p w14:paraId="0386B00C">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5391BB27">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15D07147">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534D04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评标委员会应当对符合资格的供应商的投标文件进行符合性审查，以确定其是否满足招标文件的实质性要求。不满足招标文件的实质性要求的，投标无效。</w:t>
      </w:r>
    </w:p>
    <w:p w14:paraId="49ECC1B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82526B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评标委员会各成员应当独立对每个供应商的商务和技术文件进行评价，并汇总商务技术得分情况。</w:t>
      </w:r>
    </w:p>
    <w:p w14:paraId="40683C48">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CB1F199">
      <w:pPr>
        <w:pStyle w:val="134"/>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561CC5C">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C0B978D">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1D61BD46">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4C12341F">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1E4334D">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《政府采购货物和服务招标投标管理办法》第五十一条第二款的规定经供应商确认后产生约束力。</w:t>
      </w:r>
    </w:p>
    <w:p w14:paraId="4509FB1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4CDD01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AB4A700">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62B2CA9D">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23B80D83">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571DAA10">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采取随机抽取方式确定，其他同品牌供应商不作为中标候选人。</w:t>
      </w:r>
    </w:p>
    <w:p w14:paraId="5CCF144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B31C49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0ACAF271">
      <w:pPr>
        <w:pStyle w:val="134"/>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39A1AFA1">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6D1427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4.2.1供应商不具备招标文件中规定的资格要求的（供应商未提供有效的资格文件的，视为供应商不具备招标文件中规定的资格要求）；</w:t>
      </w:r>
    </w:p>
    <w:p w14:paraId="68F4377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721E9B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4.2.3采购人拟采购的产品属于政府强制采购的节能产品品目清单范围的，供应商相应的投标产品未获得国家确定的认证机构出具的、处于有效期之内的节能产品认证证书的；</w:t>
      </w:r>
    </w:p>
    <w:p w14:paraId="56EFBB0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6F30F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666F6C5">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6F0588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548FF7F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7484048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4.2.9供应商对根据修正原则修正后的报价不确认的；</w:t>
      </w:r>
    </w:p>
    <w:p w14:paraId="0266ABA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4.2.10供应商提供虚假材料投标的；</w:t>
      </w:r>
    </w:p>
    <w:p w14:paraId="577FB8BA">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4.2.11供应商有恶意串通、妨碍其他供应商的竞争行为、损害采购人或者其他供应商的合法权益情形的；</w:t>
      </w:r>
    </w:p>
    <w:p w14:paraId="6D09E7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4.2.12供应商仅提交备份投标文件，未在电子交易平台传输递交投标文件的，投标无效；</w:t>
      </w:r>
    </w:p>
    <w:p w14:paraId="31F9F9CD">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3B8ED5C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34C0E39D">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A2A0D5C">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72A9AD8A">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3C897C69">
      <w:pPr>
        <w:pStyle w:val="26"/>
        <w:snapToGrid w:val="0"/>
        <w:spacing w:line="360" w:lineRule="auto"/>
        <w:rPr>
          <w:rFonts w:cs="宋体"/>
          <w:color w:val="auto"/>
          <w:highlight w:val="none"/>
        </w:rPr>
      </w:pPr>
      <w:r>
        <w:rPr>
          <w:rFonts w:hint="eastAsia" w:cs="宋体"/>
          <w:color w:val="auto"/>
          <w:highlight w:val="none"/>
        </w:rPr>
        <w:t>5.3供应商的报价均超过了采购预算，采购人不能支付的；</w:t>
      </w:r>
    </w:p>
    <w:p w14:paraId="6579B81C">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4241671A">
      <w:pPr>
        <w:pStyle w:val="26"/>
        <w:snapToGrid w:val="0"/>
        <w:spacing w:line="360" w:lineRule="auto"/>
        <w:rPr>
          <w:rFonts w:cs="宋体"/>
          <w:color w:val="auto"/>
          <w:highlight w:val="none"/>
        </w:rPr>
      </w:pPr>
      <w:r>
        <w:rPr>
          <w:rFonts w:hint="eastAsia" w:cs="宋体"/>
          <w:color w:val="auto"/>
          <w:highlight w:val="none"/>
        </w:rPr>
        <w:t>废标后，采购代理机构应当将废标理由通知所有供应商。</w:t>
      </w:r>
    </w:p>
    <w:p w14:paraId="1487DC6E">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F239F12">
      <w:pPr>
        <w:pStyle w:val="26"/>
        <w:snapToGrid w:val="0"/>
        <w:spacing w:line="360" w:lineRule="auto"/>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9CA2B4">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A8A96F3">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1D34AF74">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CA75A2D">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D618744">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6"/>
    <w:p w14:paraId="1F6C9C45">
      <w:pPr>
        <w:spacing w:line="360" w:lineRule="auto"/>
        <w:ind w:left="720" w:leftChars="343" w:firstLine="1084" w:firstLineChars="300"/>
        <w:outlineLvl w:val="0"/>
        <w:rPr>
          <w:rFonts w:ascii="宋体" w:hAnsi="宋体" w:cs="宋体"/>
          <w:b/>
          <w:color w:val="auto"/>
          <w:sz w:val="36"/>
          <w:szCs w:val="36"/>
          <w:highlight w:val="none"/>
        </w:rPr>
      </w:pPr>
      <w:bookmarkStart w:id="397" w:name="第五部分"/>
      <w:bookmarkStart w:id="398" w:name="_Toc86217003"/>
    </w:p>
    <w:p w14:paraId="6F104BB5">
      <w:pPr>
        <w:spacing w:line="360" w:lineRule="auto"/>
        <w:ind w:left="720" w:leftChars="343" w:firstLine="1084" w:firstLineChars="300"/>
        <w:outlineLvl w:val="0"/>
        <w:rPr>
          <w:rFonts w:ascii="宋体" w:hAnsi="宋体" w:cs="宋体"/>
          <w:b/>
          <w:color w:val="auto"/>
          <w:sz w:val="36"/>
          <w:szCs w:val="36"/>
          <w:highlight w:val="none"/>
        </w:rPr>
      </w:pPr>
    </w:p>
    <w:p w14:paraId="4A9A2D4F">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E663670">
      <w:pPr>
        <w:rPr>
          <w:rFonts w:ascii="宋体" w:hAnsi="宋体" w:cs="宋体"/>
          <w:color w:val="auto"/>
          <w:sz w:val="24"/>
          <w:highlight w:val="none"/>
        </w:rPr>
      </w:pPr>
    </w:p>
    <w:p w14:paraId="672FDDAC">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C9A4689">
      <w:pPr>
        <w:spacing w:line="480" w:lineRule="auto"/>
        <w:rPr>
          <w:rFonts w:ascii="宋体" w:hAnsi="宋体" w:cs="宋体"/>
          <w:b/>
          <w:color w:val="auto"/>
          <w:sz w:val="24"/>
          <w:highlight w:val="none"/>
        </w:rPr>
      </w:pPr>
    </w:p>
    <w:p w14:paraId="76D5C151">
      <w:pPr>
        <w:spacing w:line="480" w:lineRule="auto"/>
        <w:jc w:val="center"/>
        <w:rPr>
          <w:rFonts w:ascii="宋体" w:hAnsi="宋体" w:cs="宋体"/>
          <w:b/>
          <w:color w:val="auto"/>
          <w:sz w:val="24"/>
          <w:highlight w:val="none"/>
        </w:rPr>
      </w:pPr>
    </w:p>
    <w:p w14:paraId="474B4599">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4ED7074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1865EDE2">
      <w:pPr>
        <w:pStyle w:val="703"/>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7C883245">
      <w:pPr>
        <w:spacing w:before="120" w:line="22" w:lineRule="atLeast"/>
        <w:rPr>
          <w:rFonts w:ascii="宋体" w:hAnsi="宋体" w:cs="宋体"/>
          <w:color w:val="auto"/>
          <w:sz w:val="24"/>
          <w:highlight w:val="none"/>
        </w:rPr>
      </w:pPr>
    </w:p>
    <w:p w14:paraId="56F4DE3A">
      <w:pPr>
        <w:pStyle w:val="2"/>
        <w:rPr>
          <w:color w:val="auto"/>
          <w:highlight w:val="none"/>
        </w:rPr>
      </w:pPr>
    </w:p>
    <w:p w14:paraId="3D2D22ED">
      <w:pPr>
        <w:spacing w:before="120" w:line="22" w:lineRule="atLeast"/>
        <w:ind w:left="960"/>
        <w:rPr>
          <w:rFonts w:ascii="宋体" w:hAnsi="宋体" w:cs="宋体"/>
          <w:color w:val="auto"/>
          <w:sz w:val="32"/>
          <w:szCs w:val="32"/>
          <w:highlight w:val="none"/>
        </w:rPr>
      </w:pPr>
      <w:r>
        <w:rPr>
          <w:rFonts w:hint="eastAsia" w:ascii="宋体" w:hAnsi="宋体" w:cs="宋体"/>
          <w:color w:val="auto"/>
          <w:sz w:val="32"/>
          <w:szCs w:val="32"/>
          <w:highlight w:val="none"/>
        </w:rPr>
        <w:t>项目名称：</w:t>
      </w:r>
      <w:r>
        <w:rPr>
          <w:rFonts w:hint="eastAsia" w:ascii="宋体" w:hAnsi="宋体" w:cs="宋体"/>
          <w:color w:val="auto"/>
          <w:sz w:val="32"/>
          <w:szCs w:val="32"/>
          <w:highlight w:val="none"/>
          <w:u w:val="single"/>
          <w:lang w:eastAsia="zh-CN"/>
        </w:rPr>
        <w:t>新湾街道2025—2026年度治安巡逻防控第三方服务采购项目</w:t>
      </w:r>
      <w:r>
        <w:rPr>
          <w:rFonts w:hint="eastAsia" w:ascii="宋体" w:hAnsi="宋体" w:cs="宋体"/>
          <w:color w:val="auto"/>
          <w:sz w:val="32"/>
          <w:szCs w:val="32"/>
          <w:highlight w:val="none"/>
          <w:u w:val="single"/>
        </w:rPr>
        <w:t xml:space="preserve">   </w:t>
      </w:r>
    </w:p>
    <w:p w14:paraId="65F3A78C">
      <w:pPr>
        <w:pStyle w:val="600"/>
        <w:spacing w:before="120" w:line="22" w:lineRule="atLeast"/>
        <w:rPr>
          <w:rFonts w:ascii="宋体" w:hAnsi="宋体" w:eastAsia="宋体" w:cs="宋体"/>
          <w:color w:val="auto"/>
          <w:sz w:val="32"/>
          <w:szCs w:val="32"/>
          <w:highlight w:val="none"/>
        </w:rPr>
      </w:pPr>
    </w:p>
    <w:p w14:paraId="5932602A">
      <w:pPr>
        <w:pStyle w:val="600"/>
        <w:spacing w:before="120" w:line="22" w:lineRule="atLeast"/>
        <w:rPr>
          <w:rFonts w:ascii="宋体" w:hAnsi="宋体" w:eastAsia="宋体" w:cs="宋体"/>
          <w:color w:val="auto"/>
          <w:sz w:val="32"/>
          <w:szCs w:val="32"/>
          <w:highlight w:val="none"/>
        </w:rPr>
      </w:pPr>
    </w:p>
    <w:p w14:paraId="4CD061BC">
      <w:pPr>
        <w:rPr>
          <w:rFonts w:ascii="宋体" w:hAnsi="宋体" w:cs="宋体"/>
          <w:color w:val="auto"/>
          <w:sz w:val="32"/>
          <w:szCs w:val="32"/>
          <w:highlight w:val="none"/>
        </w:rPr>
      </w:pPr>
    </w:p>
    <w:p w14:paraId="7C6D65A2">
      <w:pPr>
        <w:spacing w:before="120" w:line="22" w:lineRule="atLeast"/>
        <w:ind w:left="960"/>
        <w:rPr>
          <w:rFonts w:ascii="宋体" w:hAnsi="宋体" w:cs="宋体"/>
          <w:color w:val="auto"/>
          <w:sz w:val="32"/>
          <w:szCs w:val="32"/>
          <w:highlight w:val="none"/>
          <w:u w:val="single"/>
        </w:rPr>
      </w:pPr>
      <w:r>
        <w:rPr>
          <w:rFonts w:hint="eastAsia" w:ascii="宋体" w:hAnsi="宋体" w:cs="宋体"/>
          <w:color w:val="auto"/>
          <w:sz w:val="32"/>
          <w:szCs w:val="32"/>
          <w:highlight w:val="none"/>
        </w:rPr>
        <w:t>甲方：</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single"/>
          <w:lang w:eastAsia="zh-CN"/>
        </w:rPr>
        <w:t>杭州市钱塘区人民政府新湾街道办事处</w:t>
      </w:r>
      <w:r>
        <w:rPr>
          <w:rFonts w:hint="eastAsia" w:ascii="宋体" w:hAnsi="宋体" w:cs="宋体"/>
          <w:color w:val="auto"/>
          <w:sz w:val="32"/>
          <w:szCs w:val="32"/>
          <w:highlight w:val="none"/>
          <w:u w:val="single"/>
        </w:rPr>
        <w:t xml:space="preserve">   </w:t>
      </w:r>
    </w:p>
    <w:p w14:paraId="3A9340F2">
      <w:pPr>
        <w:spacing w:before="120" w:line="22" w:lineRule="atLeast"/>
        <w:rPr>
          <w:rFonts w:ascii="宋体" w:hAnsi="宋体" w:cs="宋体"/>
          <w:color w:val="auto"/>
          <w:sz w:val="32"/>
          <w:szCs w:val="32"/>
          <w:highlight w:val="none"/>
        </w:rPr>
      </w:pPr>
    </w:p>
    <w:p w14:paraId="31147FEC">
      <w:pPr>
        <w:spacing w:before="120" w:line="22" w:lineRule="atLeast"/>
        <w:ind w:left="960"/>
        <w:rPr>
          <w:rFonts w:ascii="宋体" w:hAnsi="宋体" w:cs="宋体"/>
          <w:color w:val="auto"/>
          <w:sz w:val="32"/>
          <w:szCs w:val="32"/>
          <w:highlight w:val="none"/>
          <w:u w:val="single"/>
        </w:rPr>
      </w:pPr>
      <w:r>
        <w:rPr>
          <w:rFonts w:hint="eastAsia" w:ascii="宋体" w:hAnsi="宋体" w:cs="宋体"/>
          <w:color w:val="auto"/>
          <w:sz w:val="32"/>
          <w:szCs w:val="32"/>
          <w:highlight w:val="none"/>
        </w:rPr>
        <w:t>乙方：</w:t>
      </w:r>
      <w:r>
        <w:rPr>
          <w:rFonts w:hint="eastAsia" w:ascii="宋体" w:hAnsi="宋体" w:cs="宋体"/>
          <w:color w:val="auto"/>
          <w:sz w:val="32"/>
          <w:szCs w:val="32"/>
          <w:highlight w:val="none"/>
          <w:u w:val="single"/>
        </w:rPr>
        <w:t xml:space="preserve">                                     </w:t>
      </w:r>
    </w:p>
    <w:p w14:paraId="4B450ABE">
      <w:pPr>
        <w:spacing w:before="120" w:line="22" w:lineRule="atLeast"/>
        <w:rPr>
          <w:rFonts w:ascii="宋体" w:hAnsi="宋体" w:cs="宋体"/>
          <w:color w:val="auto"/>
          <w:sz w:val="32"/>
          <w:szCs w:val="32"/>
          <w:highlight w:val="none"/>
        </w:rPr>
      </w:pPr>
    </w:p>
    <w:p w14:paraId="3956DB65">
      <w:pPr>
        <w:spacing w:before="120" w:line="22" w:lineRule="atLeast"/>
        <w:ind w:firstLine="960" w:firstLineChars="300"/>
        <w:rPr>
          <w:rFonts w:ascii="宋体" w:hAnsi="宋体" w:cs="宋体"/>
          <w:color w:val="auto"/>
          <w:sz w:val="32"/>
          <w:szCs w:val="32"/>
          <w:highlight w:val="none"/>
          <w:u w:val="single"/>
        </w:rPr>
      </w:pPr>
      <w:r>
        <w:rPr>
          <w:rFonts w:hint="eastAsia" w:ascii="宋体" w:hAnsi="宋体" w:cs="宋体"/>
          <w:color w:val="auto"/>
          <w:sz w:val="32"/>
          <w:szCs w:val="32"/>
          <w:highlight w:val="none"/>
        </w:rPr>
        <w:t>签订地：</w:t>
      </w:r>
      <w:r>
        <w:rPr>
          <w:rFonts w:hint="eastAsia" w:ascii="宋体" w:hAnsi="宋体" w:cs="宋体"/>
          <w:color w:val="auto"/>
          <w:sz w:val="32"/>
          <w:szCs w:val="32"/>
          <w:highlight w:val="none"/>
          <w:u w:val="single"/>
        </w:rPr>
        <w:t xml:space="preserve">                                   </w:t>
      </w:r>
    </w:p>
    <w:p w14:paraId="15E2D082">
      <w:pPr>
        <w:spacing w:before="120" w:line="22" w:lineRule="atLeast"/>
        <w:rPr>
          <w:rFonts w:ascii="宋体" w:hAnsi="宋体" w:cs="宋体"/>
          <w:color w:val="auto"/>
          <w:sz w:val="32"/>
          <w:szCs w:val="32"/>
          <w:highlight w:val="none"/>
        </w:rPr>
      </w:pPr>
    </w:p>
    <w:p w14:paraId="1A710334">
      <w:pPr>
        <w:spacing w:before="120" w:line="22" w:lineRule="atLeast"/>
        <w:ind w:firstLine="960" w:firstLineChars="300"/>
        <w:rPr>
          <w:rFonts w:ascii="宋体" w:hAnsi="宋体" w:cs="宋体"/>
          <w:color w:val="auto"/>
          <w:sz w:val="32"/>
          <w:szCs w:val="32"/>
          <w:highlight w:val="none"/>
          <w:u w:val="single"/>
        </w:rPr>
      </w:pPr>
      <w:r>
        <w:rPr>
          <w:rFonts w:hint="eastAsia" w:ascii="宋体" w:hAnsi="宋体" w:cs="宋体"/>
          <w:color w:val="auto"/>
          <w:sz w:val="32"/>
          <w:szCs w:val="32"/>
          <w:highlight w:val="none"/>
        </w:rPr>
        <w:t>签订日期：</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日</w:t>
      </w:r>
    </w:p>
    <w:p w14:paraId="67D30C6A">
      <w:pPr>
        <w:widowControl/>
        <w:jc w:val="left"/>
        <w:rPr>
          <w:rFonts w:ascii="宋体" w:hAnsi="宋体" w:cs="宋体"/>
          <w:color w:val="auto"/>
          <w:kern w:val="0"/>
          <w:sz w:val="28"/>
          <w:szCs w:val="28"/>
          <w:highlight w:val="none"/>
        </w:rPr>
        <w:sectPr>
          <w:pgSz w:w="11907" w:h="16840"/>
          <w:pgMar w:top="1361" w:right="1474" w:bottom="1361" w:left="1474" w:header="851" w:footer="851" w:gutter="0"/>
          <w:pgBorders>
            <w:top w:val="none" w:sz="0" w:space="0"/>
            <w:left w:val="none" w:sz="0" w:space="0"/>
            <w:bottom w:val="none" w:sz="0" w:space="0"/>
            <w:right w:val="none" w:sz="0" w:space="0"/>
          </w:pgBorders>
          <w:cols w:space="720" w:num="1"/>
        </w:sectPr>
      </w:pPr>
    </w:p>
    <w:p w14:paraId="46476B51">
      <w:pPr>
        <w:spacing w:line="560" w:lineRule="exact"/>
        <w:ind w:firstLine="480" w:firstLineChars="200"/>
        <w:rPr>
          <w:rFonts w:ascii="宋体" w:hAnsi="宋体"/>
          <w:color w:val="auto"/>
          <w:sz w:val="24"/>
          <w:highlight w:val="none"/>
        </w:rPr>
      </w:pP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s="宋体"/>
          <w:color w:val="auto"/>
          <w:sz w:val="24"/>
          <w:highlight w:val="none"/>
          <w:u w:val="single"/>
          <w:lang w:eastAsia="zh-CN"/>
        </w:rPr>
        <w:t>杭州市钱塘区人民政府新湾街道办事处</w:t>
      </w:r>
      <w:r>
        <w:rPr>
          <w:rFonts w:ascii="宋体" w:hAnsi="宋体"/>
          <w:color w:val="auto"/>
          <w:sz w:val="24"/>
          <w:highlight w:val="none"/>
          <w:u w:val="single"/>
        </w:rPr>
        <w:t xml:space="preserve"> </w:t>
      </w:r>
      <w:r>
        <w:rPr>
          <w:rFonts w:hint="eastAsia" w:ascii="宋体" w:hAnsi="宋体"/>
          <w:color w:val="auto"/>
          <w:sz w:val="24"/>
          <w:highlight w:val="none"/>
        </w:rPr>
        <w:t>以</w:t>
      </w:r>
      <w:r>
        <w:rPr>
          <w:rFonts w:hint="eastAsia" w:ascii="宋体" w:hAnsi="宋体"/>
          <w:color w:val="auto"/>
          <w:sz w:val="24"/>
          <w:highlight w:val="none"/>
          <w:u w:val="single"/>
        </w:rPr>
        <w:t>公开招标方式</w:t>
      </w:r>
      <w:r>
        <w:rPr>
          <w:rFonts w:hint="eastAsia" w:ascii="宋体" w:hAnsi="宋体"/>
          <w:color w:val="auto"/>
          <w:sz w:val="24"/>
          <w:highlight w:val="none"/>
        </w:rPr>
        <w:t>对</w:t>
      </w:r>
      <w:r>
        <w:rPr>
          <w:rFonts w:hint="eastAsia" w:ascii="宋体" w:hAnsi="宋体" w:cs="宋体"/>
          <w:color w:val="auto"/>
          <w:sz w:val="24"/>
          <w:highlight w:val="none"/>
          <w:u w:val="single"/>
          <w:lang w:eastAsia="zh-CN"/>
        </w:rPr>
        <w:t>新湾街道2025—2026年度治安巡逻防控第三方服务采购项目</w:t>
      </w:r>
      <w:r>
        <w:rPr>
          <w:rFonts w:hint="eastAsia" w:ascii="宋体" w:hAnsi="宋体"/>
          <w:color w:val="auto"/>
          <w:sz w:val="24"/>
          <w:highlight w:val="none"/>
        </w:rPr>
        <w:t>进行了采购。经</w:t>
      </w:r>
      <w:r>
        <w:rPr>
          <w:rFonts w:ascii="宋体" w:hAnsi="宋体"/>
          <w:color w:val="auto"/>
          <w:sz w:val="24"/>
          <w:highlight w:val="none"/>
          <w:u w:val="single"/>
        </w:rPr>
        <w:t xml:space="preserve"> </w:t>
      </w:r>
      <w:r>
        <w:rPr>
          <w:rFonts w:hint="eastAsia" w:ascii="宋体" w:hAnsi="宋体"/>
          <w:color w:val="auto"/>
          <w:sz w:val="24"/>
          <w:highlight w:val="none"/>
          <w:u w:val="single"/>
        </w:rPr>
        <w:t>评标委员会</w:t>
      </w:r>
      <w:r>
        <w:rPr>
          <w:rFonts w:hint="eastAsia" w:ascii="宋体" w:hAnsi="宋体"/>
          <w:color w:val="auto"/>
          <w:sz w:val="24"/>
          <w:highlight w:val="none"/>
        </w:rPr>
        <w:t>评定，</w:t>
      </w:r>
      <w:r>
        <w:rPr>
          <w:rFonts w:ascii="宋体" w:hAnsi="宋体"/>
          <w:color w:val="auto"/>
          <w:sz w:val="24"/>
          <w:highlight w:val="none"/>
          <w:u w:val="single"/>
        </w:rPr>
        <w:t>（中标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中标供应商</w:t>
      </w:r>
      <w:r>
        <w:rPr>
          <w:rFonts w:hint="eastAsia" w:ascii="宋体" w:hAnsi="宋体"/>
          <w:color w:val="auto"/>
          <w:sz w:val="24"/>
          <w:highlight w:val="none"/>
        </w:rPr>
        <w:t>。现于</w:t>
      </w:r>
      <w:r>
        <w:rPr>
          <w:rFonts w:hint="eastAsia" w:ascii="宋体" w:hAnsi="宋体" w:cs="宋体"/>
          <w:color w:val="auto"/>
          <w:sz w:val="24"/>
          <w:highlight w:val="none"/>
        </w:rPr>
        <w:t>中标通知书</w:t>
      </w:r>
      <w:r>
        <w:rPr>
          <w:rFonts w:hint="eastAsia" w:ascii="宋体" w:hAnsi="宋体"/>
          <w:color w:val="auto"/>
          <w:sz w:val="24"/>
          <w:highlight w:val="none"/>
        </w:rPr>
        <w:t>发出之日起10个工作日内，按照采购文件确定的事项签订本合同。</w:t>
      </w:r>
    </w:p>
    <w:p w14:paraId="1053A649">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olor w:val="auto"/>
          <w:sz w:val="24"/>
          <w:highlight w:val="none"/>
          <w:u w:val="single"/>
          <w:lang w:eastAsia="zh-CN"/>
        </w:rPr>
        <w:t>杭州市钱塘区人民政府新湾街道办事处</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lang w:eastAsia="zh-CN"/>
        </w:rPr>
        <w:t>标</w:t>
      </w:r>
      <w:r>
        <w:rPr>
          <w:rFonts w:hint="eastAsia" w:ascii="宋体" w:hAnsi="宋体"/>
          <w:color w:val="auto"/>
          <w:sz w:val="24"/>
          <w:highlight w:val="none"/>
          <w:u w:val="single"/>
        </w:rPr>
        <w:t>或者成交</w:t>
      </w:r>
      <w:r>
        <w:rPr>
          <w:rFonts w:ascii="宋体" w:hAnsi="宋体"/>
          <w:color w:val="auto"/>
          <w:sz w:val="24"/>
          <w:highlight w:val="none"/>
          <w:u w:val="single"/>
        </w:rPr>
        <w:t>标供应商名称）</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6E8FF839">
      <w:pPr>
        <w:spacing w:line="560" w:lineRule="exact"/>
        <w:ind w:firstLine="482" w:firstLineChars="200"/>
        <w:outlineLvl w:val="0"/>
        <w:rPr>
          <w:rFonts w:ascii="宋体" w:hAnsi="宋体"/>
          <w:color w:val="auto"/>
          <w:sz w:val="24"/>
          <w:highlight w:val="none"/>
        </w:rPr>
      </w:pPr>
      <w:bookmarkStart w:id="399" w:name="_Toc15367"/>
      <w:bookmarkStart w:id="400" w:name="_Toc28855"/>
      <w:bookmarkStart w:id="401" w:name="_Toc19273"/>
      <w:bookmarkStart w:id="402" w:name="_Toc20421"/>
      <w:bookmarkStart w:id="403"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9"/>
      <w:bookmarkEnd w:id="400"/>
      <w:bookmarkEnd w:id="401"/>
      <w:bookmarkEnd w:id="402"/>
      <w:bookmarkEnd w:id="403"/>
    </w:p>
    <w:p w14:paraId="0AF3FB48">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939771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5B886C7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736C2E4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5786BC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6B8C29F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53F2BEC">
      <w:pPr>
        <w:spacing w:line="560" w:lineRule="exact"/>
        <w:ind w:firstLine="482" w:firstLineChars="200"/>
        <w:outlineLvl w:val="0"/>
        <w:rPr>
          <w:rFonts w:ascii="宋体" w:hAnsi="宋体"/>
          <w:b/>
          <w:color w:val="auto"/>
          <w:sz w:val="24"/>
          <w:highlight w:val="none"/>
        </w:rPr>
      </w:pPr>
      <w:bookmarkStart w:id="404" w:name="_Toc6311"/>
      <w:bookmarkStart w:id="405" w:name="_Toc22185"/>
      <w:bookmarkStart w:id="406" w:name="_Toc6773"/>
      <w:bookmarkStart w:id="407" w:name="_Toc18585"/>
      <w:bookmarkStart w:id="408"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404"/>
      <w:bookmarkEnd w:id="405"/>
      <w:bookmarkEnd w:id="406"/>
      <w:bookmarkEnd w:id="407"/>
      <w:bookmarkEnd w:id="408"/>
    </w:p>
    <w:p w14:paraId="4EEAF55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hint="eastAsia" w:ascii="宋体" w:hAnsi="宋体"/>
          <w:color w:val="auto"/>
          <w:sz w:val="24"/>
          <w:highlight w:val="none"/>
          <w:u w:val="single"/>
        </w:rPr>
        <w:t>详见附件采购需求</w:t>
      </w:r>
      <w:r>
        <w:rPr>
          <w:rFonts w:hint="eastAsia" w:ascii="宋体" w:hAnsi="宋体"/>
          <w:color w:val="auto"/>
          <w:sz w:val="24"/>
          <w:highlight w:val="none"/>
        </w:rPr>
        <w:t>；</w:t>
      </w:r>
    </w:p>
    <w:p w14:paraId="1736609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hint="eastAsia" w:ascii="宋体" w:hAnsi="宋体"/>
          <w:color w:val="auto"/>
          <w:sz w:val="24"/>
          <w:highlight w:val="none"/>
          <w:u w:val="single"/>
        </w:rPr>
        <w:t>详见附件采购需求</w:t>
      </w:r>
      <w:r>
        <w:rPr>
          <w:rFonts w:hint="eastAsia" w:ascii="宋体" w:hAnsi="宋体"/>
          <w:color w:val="auto"/>
          <w:sz w:val="24"/>
          <w:highlight w:val="none"/>
        </w:rPr>
        <w:t>；</w:t>
      </w:r>
    </w:p>
    <w:p w14:paraId="028BF64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hint="eastAsia" w:ascii="宋体" w:hAnsi="宋体"/>
          <w:color w:val="auto"/>
          <w:sz w:val="24"/>
          <w:highlight w:val="none"/>
          <w:u w:val="single"/>
        </w:rPr>
        <w:t>详见附件采购需求；</w:t>
      </w:r>
    </w:p>
    <w:p w14:paraId="51BCD543">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6877FF56">
      <w:pPr>
        <w:pStyle w:val="95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textAlignment w:val="auto"/>
        <w:rPr>
          <w:color w:val="auto"/>
          <w:highlight w:val="none"/>
        </w:rPr>
      </w:pPr>
      <w:r>
        <w:rPr>
          <w:rFonts w:hint="eastAsia"/>
          <w:color w:val="auto"/>
          <w:highlight w:val="none"/>
        </w:rPr>
        <w:t>1.2.5合同</w:t>
      </w:r>
      <w:r>
        <w:rPr>
          <w:rFonts w:hint="eastAsia"/>
          <w:color w:val="auto"/>
          <w:highlight w:val="none"/>
          <w:u w:val="single"/>
        </w:rPr>
        <w:t xml:space="preserve">  否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796CB4B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u w:val="single"/>
        </w:rPr>
      </w:pPr>
      <w:bookmarkStart w:id="409" w:name="_Toc21124"/>
      <w:bookmarkStart w:id="410" w:name="_Toc4929"/>
      <w:bookmarkStart w:id="411" w:name="_Toc13918"/>
      <w:bookmarkStart w:id="412" w:name="_Toc5635"/>
      <w:bookmarkStart w:id="413" w:name="_Toc1386"/>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2266745E">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47D83044">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31B3266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9"/>
      <w:bookmarkEnd w:id="410"/>
      <w:bookmarkEnd w:id="411"/>
      <w:bookmarkEnd w:id="412"/>
      <w:bookmarkEnd w:id="413"/>
    </w:p>
    <w:p w14:paraId="1098D51C">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1.3.1  </w:t>
      </w:r>
      <w:r>
        <w:rPr>
          <w:rFonts w:hint="eastAsia" w:ascii="宋体" w:hAnsi="宋体" w:cs="宋体"/>
          <w:color w:val="auto"/>
          <w:sz w:val="24"/>
          <w:highlight w:val="none"/>
        </w:rPr>
        <w:t>条款规定的计价方式计价。</w:t>
      </w:r>
    </w:p>
    <w:p w14:paraId="21ECBAE7">
      <w:pPr>
        <w:spacing w:line="560" w:lineRule="exact"/>
        <w:ind w:firstLine="480" w:firstLineChars="200"/>
        <w:rPr>
          <w:rFonts w:ascii="宋体" w:hAnsi="宋体" w:eastAsia="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r>
        <w:rPr>
          <w:rFonts w:hint="eastAsia" w:ascii="宋体" w:hAnsi="宋体"/>
          <w:color w:val="auto"/>
          <w:sz w:val="24"/>
          <w:highlight w:val="none"/>
          <w:lang w:val="en-US" w:eastAsia="zh-CN"/>
        </w:rPr>
        <w:t>其中特保人员综合单价为：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hint="eastAsia" w:ascii="宋体" w:hAnsi="宋体"/>
          <w:color w:val="auto"/>
          <w:sz w:val="24"/>
          <w:highlight w:val="none"/>
          <w:lang w:val="en-US" w:eastAsia="zh-CN"/>
        </w:rPr>
        <w:t>/人，</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综合单价应包含</w:t>
      </w:r>
      <w:r>
        <w:rPr>
          <w:rFonts w:hint="eastAsia" w:ascii="宋体" w:hAnsi="宋体" w:eastAsia="宋体"/>
          <w:color w:val="auto"/>
          <w:sz w:val="24"/>
          <w:highlight w:val="none"/>
          <w:lang w:val="en-US" w:eastAsia="zh-CN"/>
        </w:rPr>
        <w:t>派遣</w:t>
      </w:r>
      <w:r>
        <w:rPr>
          <w:rFonts w:hint="eastAsia" w:ascii="宋体" w:hAnsi="宋体" w:eastAsia="宋体"/>
          <w:color w:val="auto"/>
          <w:sz w:val="24"/>
          <w:highlight w:val="none"/>
        </w:rPr>
        <w:t>人员</w:t>
      </w:r>
      <w:r>
        <w:rPr>
          <w:rFonts w:hint="eastAsia" w:ascii="宋体" w:hAnsi="宋体" w:eastAsia="宋体"/>
          <w:color w:val="auto"/>
          <w:sz w:val="24"/>
          <w:highlight w:val="none"/>
          <w:lang w:val="en-US" w:eastAsia="zh-CN"/>
        </w:rPr>
        <w:t>管理费、</w:t>
      </w:r>
      <w:r>
        <w:rPr>
          <w:rFonts w:hint="eastAsia" w:ascii="宋体" w:hAnsi="宋体" w:eastAsia="宋体"/>
          <w:color w:val="auto"/>
          <w:sz w:val="24"/>
          <w:highlight w:val="none"/>
        </w:rPr>
        <w:t>社会保障</w:t>
      </w:r>
      <w:r>
        <w:rPr>
          <w:rFonts w:hint="eastAsia" w:ascii="宋体" w:hAnsi="宋体" w:eastAsia="宋体"/>
          <w:color w:val="auto"/>
          <w:sz w:val="24"/>
          <w:highlight w:val="none"/>
          <w:lang w:val="en-US" w:eastAsia="zh-CN"/>
        </w:rPr>
        <w:t>费</w:t>
      </w:r>
      <w:r>
        <w:rPr>
          <w:rFonts w:hint="eastAsia" w:ascii="宋体" w:hAnsi="宋体" w:eastAsia="宋体"/>
          <w:color w:val="auto"/>
          <w:sz w:val="24"/>
          <w:highlight w:val="none"/>
        </w:rPr>
        <w:t>、工资奖金、加班费、</w:t>
      </w:r>
      <w:r>
        <w:rPr>
          <w:rFonts w:hint="eastAsia" w:ascii="宋体" w:hAnsi="宋体" w:eastAsia="宋体"/>
          <w:color w:val="auto"/>
          <w:sz w:val="24"/>
          <w:highlight w:val="none"/>
          <w:lang w:val="en-US" w:eastAsia="zh-CN"/>
        </w:rPr>
        <w:t>高温补贴、伙食补贴、各类社会保险、</w:t>
      </w:r>
      <w:r>
        <w:rPr>
          <w:rFonts w:hint="eastAsia" w:ascii="宋体" w:hAnsi="宋体" w:eastAsia="宋体"/>
          <w:color w:val="auto"/>
          <w:sz w:val="24"/>
          <w:highlight w:val="none"/>
        </w:rPr>
        <w:t>以及国家法律法规规定的劳动者福利待遇</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企业税金利润</w:t>
      </w:r>
      <w:r>
        <w:rPr>
          <w:rFonts w:hint="eastAsia" w:ascii="宋体" w:hAnsi="宋体" w:eastAsia="宋体"/>
          <w:color w:val="auto"/>
          <w:sz w:val="24"/>
          <w:highlight w:val="none"/>
        </w:rPr>
        <w:t>等所有费用。</w:t>
      </w:r>
      <w:r>
        <w:rPr>
          <w:rFonts w:hint="eastAsia" w:ascii="宋体" w:hAnsi="宋体" w:eastAsia="宋体"/>
          <w:color w:val="auto"/>
          <w:sz w:val="24"/>
          <w:highlight w:val="none"/>
          <w:lang w:val="en-US" w:eastAsia="zh-CN"/>
        </w:rPr>
        <w:t>为保证特保人员的稳定性，实际发放给派遣人员个人的工资、奖金、福利、补贴，以及应购买的各类社会保险等原则上应参照新湾街道202</w:t>
      </w:r>
      <w:r>
        <w:rPr>
          <w:rFonts w:hint="eastAsia" w:ascii="宋体" w:hAnsi="宋体"/>
          <w:color w:val="auto"/>
          <w:sz w:val="24"/>
          <w:highlight w:val="none"/>
          <w:lang w:val="en-US" w:eastAsia="zh-CN"/>
        </w:rPr>
        <w:t>4</w:t>
      </w:r>
      <w:r>
        <w:rPr>
          <w:rFonts w:hint="eastAsia" w:ascii="宋体" w:hAnsi="宋体" w:eastAsia="宋体"/>
          <w:color w:val="auto"/>
          <w:sz w:val="24"/>
          <w:highlight w:val="none"/>
          <w:lang w:val="en-US" w:eastAsia="zh-CN"/>
        </w:rPr>
        <w:t>年编外人员标准，发放前须经甲方审核确认。其中派遣人员的</w:t>
      </w:r>
      <w:r>
        <w:rPr>
          <w:rFonts w:hint="eastAsia" w:ascii="宋体" w:hAnsi="宋体" w:eastAsia="宋体"/>
          <w:color w:val="auto"/>
          <w:sz w:val="24"/>
          <w:highlight w:val="none"/>
        </w:rPr>
        <w:t>伙食补贴</w:t>
      </w:r>
      <w:r>
        <w:rPr>
          <w:rFonts w:hint="eastAsia" w:ascii="宋体" w:hAnsi="宋体" w:eastAsia="宋体"/>
          <w:color w:val="auto"/>
          <w:sz w:val="24"/>
          <w:highlight w:val="none"/>
          <w:lang w:val="en-US" w:eastAsia="zh-CN"/>
        </w:rPr>
        <w:t>由</w:t>
      </w:r>
      <w:r>
        <w:rPr>
          <w:rFonts w:hint="eastAsia" w:ascii="宋体" w:hAnsi="宋体" w:eastAsia="宋体"/>
          <w:color w:val="auto"/>
          <w:sz w:val="24"/>
          <w:highlight w:val="none"/>
        </w:rPr>
        <w:t>中标人</w:t>
      </w:r>
      <w:r>
        <w:rPr>
          <w:rFonts w:hint="eastAsia" w:ascii="宋体" w:hAnsi="宋体" w:eastAsia="宋体"/>
          <w:color w:val="auto"/>
          <w:sz w:val="24"/>
          <w:highlight w:val="none"/>
          <w:lang w:val="en-US" w:eastAsia="zh-CN"/>
        </w:rPr>
        <w:t>按照</w:t>
      </w:r>
      <w:r>
        <w:rPr>
          <w:rFonts w:hint="eastAsia" w:ascii="宋体" w:hAnsi="宋体" w:eastAsia="宋体"/>
          <w:color w:val="auto"/>
          <w:sz w:val="24"/>
          <w:highlight w:val="none"/>
        </w:rPr>
        <w:t>650元/人/月，每月定期打入</w:t>
      </w:r>
      <w:r>
        <w:rPr>
          <w:rFonts w:hint="eastAsia" w:ascii="宋体" w:hAnsi="宋体" w:eastAsia="宋体"/>
          <w:color w:val="auto"/>
          <w:sz w:val="24"/>
          <w:highlight w:val="none"/>
          <w:lang w:val="en-US" w:eastAsia="zh-CN"/>
        </w:rPr>
        <w:t>甲方</w:t>
      </w:r>
      <w:r>
        <w:rPr>
          <w:rFonts w:hint="eastAsia" w:ascii="宋体" w:hAnsi="宋体" w:eastAsia="宋体"/>
          <w:color w:val="auto"/>
          <w:sz w:val="24"/>
          <w:highlight w:val="none"/>
        </w:rPr>
        <w:t>指定银行账户</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由甲方统一保障派遣人员的伙食</w:t>
      </w:r>
      <w:r>
        <w:rPr>
          <w:rFonts w:hint="eastAsia" w:ascii="宋体" w:hAnsi="宋体" w:eastAsia="宋体"/>
          <w:color w:val="auto"/>
          <w:sz w:val="24"/>
          <w:highlight w:val="none"/>
        </w:rPr>
        <w:t>。</w:t>
      </w:r>
    </w:p>
    <w:p w14:paraId="0966ABD6">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分项价格：</w:t>
      </w:r>
    </w:p>
    <w:tbl>
      <w:tblPr>
        <w:tblStyle w:val="63"/>
        <w:tblW w:w="9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2620"/>
        <w:gridCol w:w="1200"/>
        <w:gridCol w:w="2062"/>
        <w:gridCol w:w="1779"/>
        <w:gridCol w:w="987"/>
      </w:tblGrid>
      <w:tr w14:paraId="593B7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A2B8E8F">
            <w:pPr>
              <w:pStyle w:val="321"/>
              <w:spacing w:line="560" w:lineRule="exact"/>
              <w:ind w:left="0" w:leftChars="0" w:firstLine="241" w:firstLineChars="100"/>
              <w:jc w:val="both"/>
              <w:rPr>
                <w:rFonts w:hAnsi="宋体" w:eastAsia="宋体" w:cs="宋体"/>
                <w:b/>
                <w:bCs/>
                <w:color w:val="auto"/>
                <w:sz w:val="24"/>
                <w:szCs w:val="24"/>
                <w:highlight w:val="none"/>
              </w:rPr>
            </w:pPr>
            <w:bookmarkStart w:id="414" w:name="_Toc14993"/>
            <w:bookmarkStart w:id="415" w:name="_Toc30506"/>
            <w:bookmarkStart w:id="416" w:name="_Toc3654"/>
            <w:bookmarkStart w:id="417" w:name="_Toc30158"/>
            <w:bookmarkStart w:id="418" w:name="_Toc26916"/>
            <w:r>
              <w:rPr>
                <w:rFonts w:hint="eastAsia" w:hAnsi="宋体" w:eastAsia="宋体" w:cs="宋体"/>
                <w:b/>
                <w:bCs/>
                <w:color w:val="auto"/>
                <w:sz w:val="24"/>
                <w:szCs w:val="24"/>
                <w:highlight w:val="none"/>
              </w:rPr>
              <w:t>序号</w:t>
            </w:r>
          </w:p>
        </w:tc>
        <w:tc>
          <w:tcPr>
            <w:tcW w:w="2620" w:type="dxa"/>
            <w:vAlign w:val="center"/>
          </w:tcPr>
          <w:p w14:paraId="071C11A0">
            <w:pPr>
              <w:pStyle w:val="321"/>
              <w:spacing w:line="560" w:lineRule="exact"/>
              <w:ind w:left="0" w:leftChars="0" w:firstLine="0" w:firstLineChars="0"/>
              <w:jc w:val="center"/>
              <w:rPr>
                <w:rFonts w:hAnsi="宋体" w:eastAsia="宋体" w:cs="宋体"/>
                <w:b/>
                <w:bCs/>
                <w:color w:val="auto"/>
                <w:sz w:val="24"/>
                <w:szCs w:val="24"/>
                <w:highlight w:val="none"/>
              </w:rPr>
            </w:pPr>
            <w:r>
              <w:rPr>
                <w:rFonts w:hint="eastAsia" w:hAnsi="宋体" w:eastAsia="宋体" w:cs="宋体"/>
                <w:b/>
                <w:bCs/>
                <w:color w:val="auto"/>
                <w:sz w:val="24"/>
                <w:szCs w:val="24"/>
                <w:highlight w:val="none"/>
              </w:rPr>
              <w:t>分项名称</w:t>
            </w:r>
          </w:p>
        </w:tc>
        <w:tc>
          <w:tcPr>
            <w:tcW w:w="1200" w:type="dxa"/>
            <w:vAlign w:val="center"/>
          </w:tcPr>
          <w:p w14:paraId="119B5DAA">
            <w:pPr>
              <w:pStyle w:val="321"/>
              <w:spacing w:line="560" w:lineRule="exact"/>
              <w:ind w:left="0" w:leftChars="0" w:firstLine="0" w:firstLineChars="0"/>
              <w:jc w:val="center"/>
              <w:rPr>
                <w:rFonts w:hint="default" w:hAnsi="宋体" w:eastAsia="宋体" w:cs="宋体"/>
                <w:b/>
                <w:bCs/>
                <w:color w:val="auto"/>
                <w:sz w:val="24"/>
                <w:szCs w:val="24"/>
                <w:highlight w:val="none"/>
                <w:lang w:val="en-US" w:eastAsia="zh-CN"/>
              </w:rPr>
            </w:pPr>
            <w:r>
              <w:rPr>
                <w:rFonts w:hint="eastAsia" w:hAnsi="宋体" w:eastAsia="宋体" w:cs="宋体"/>
                <w:b/>
                <w:bCs/>
                <w:color w:val="auto"/>
                <w:sz w:val="24"/>
                <w:szCs w:val="24"/>
                <w:highlight w:val="none"/>
                <w:lang w:val="en-US" w:eastAsia="zh-CN"/>
              </w:rPr>
              <w:t>数量</w:t>
            </w:r>
          </w:p>
        </w:tc>
        <w:tc>
          <w:tcPr>
            <w:tcW w:w="2062" w:type="dxa"/>
            <w:vAlign w:val="center"/>
          </w:tcPr>
          <w:p w14:paraId="3F708362">
            <w:pPr>
              <w:pStyle w:val="321"/>
              <w:spacing w:line="560" w:lineRule="exact"/>
              <w:ind w:left="0" w:leftChars="0" w:firstLine="0" w:firstLineChars="0"/>
              <w:jc w:val="center"/>
              <w:rPr>
                <w:rFonts w:hAnsi="宋体" w:eastAsia="宋体" w:cs="宋体"/>
                <w:b/>
                <w:bCs/>
                <w:color w:val="auto"/>
                <w:sz w:val="24"/>
                <w:szCs w:val="24"/>
                <w:highlight w:val="none"/>
              </w:rPr>
            </w:pPr>
            <w:r>
              <w:rPr>
                <w:rFonts w:hint="eastAsia" w:hAnsi="宋体" w:eastAsia="宋体" w:cs="宋体"/>
                <w:b/>
                <w:bCs/>
                <w:color w:val="auto"/>
                <w:sz w:val="24"/>
                <w:szCs w:val="24"/>
                <w:highlight w:val="none"/>
                <w:lang w:val="en-US" w:eastAsia="zh-CN"/>
              </w:rPr>
              <w:t>综合单价（含税）</w:t>
            </w:r>
          </w:p>
        </w:tc>
        <w:tc>
          <w:tcPr>
            <w:tcW w:w="1779" w:type="dxa"/>
            <w:vAlign w:val="center"/>
          </w:tcPr>
          <w:p w14:paraId="5244B82F">
            <w:pPr>
              <w:pStyle w:val="321"/>
              <w:spacing w:line="560" w:lineRule="exact"/>
              <w:ind w:left="0" w:leftChars="0" w:firstLine="0" w:firstLineChars="0"/>
              <w:jc w:val="center"/>
              <w:rPr>
                <w:rFonts w:hint="eastAsia" w:hAnsi="宋体" w:eastAsia="宋体" w:cs="宋体"/>
                <w:b/>
                <w:bCs/>
                <w:color w:val="auto"/>
                <w:sz w:val="24"/>
                <w:szCs w:val="24"/>
                <w:highlight w:val="none"/>
                <w:lang w:val="en-US" w:eastAsia="zh-CN"/>
              </w:rPr>
            </w:pPr>
            <w:r>
              <w:rPr>
                <w:rFonts w:hint="eastAsia" w:hAnsi="宋体" w:eastAsia="宋体" w:cs="宋体"/>
                <w:b/>
                <w:bCs/>
                <w:color w:val="auto"/>
                <w:sz w:val="24"/>
                <w:szCs w:val="24"/>
                <w:highlight w:val="none"/>
                <w:lang w:val="en-US" w:eastAsia="zh-CN"/>
              </w:rPr>
              <w:t>小计</w:t>
            </w:r>
          </w:p>
        </w:tc>
        <w:tc>
          <w:tcPr>
            <w:tcW w:w="987" w:type="dxa"/>
            <w:vAlign w:val="center"/>
          </w:tcPr>
          <w:p w14:paraId="08EED29F">
            <w:pPr>
              <w:pStyle w:val="321"/>
              <w:spacing w:line="560" w:lineRule="exact"/>
              <w:ind w:left="0" w:leftChars="0" w:firstLine="0" w:firstLineChars="0"/>
              <w:jc w:val="left"/>
              <w:rPr>
                <w:rFonts w:hint="eastAsia" w:hAnsi="宋体" w:eastAsia="宋体" w:cs="宋体"/>
                <w:b/>
                <w:bCs/>
                <w:color w:val="auto"/>
                <w:sz w:val="24"/>
                <w:szCs w:val="24"/>
                <w:highlight w:val="none"/>
                <w:lang w:val="en-US" w:eastAsia="zh-CN"/>
              </w:rPr>
            </w:pPr>
            <w:r>
              <w:rPr>
                <w:rFonts w:hint="eastAsia" w:hAnsi="宋体" w:eastAsia="宋体" w:cs="宋体"/>
                <w:b/>
                <w:bCs/>
                <w:color w:val="auto"/>
                <w:sz w:val="24"/>
                <w:szCs w:val="24"/>
                <w:highlight w:val="none"/>
                <w:lang w:val="en-US" w:eastAsia="zh-CN"/>
              </w:rPr>
              <w:t>备注</w:t>
            </w:r>
          </w:p>
        </w:tc>
      </w:tr>
      <w:tr w14:paraId="4C05D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F927D7F">
            <w:pPr>
              <w:pStyle w:val="321"/>
              <w:spacing w:line="560" w:lineRule="exact"/>
              <w:jc w:val="both"/>
              <w:rPr>
                <w:rFonts w:hint="eastAsia" w:hAnsi="宋体" w:eastAsia="宋体" w:cs="宋体"/>
                <w:b/>
                <w:bCs/>
                <w:color w:val="auto"/>
                <w:sz w:val="24"/>
                <w:szCs w:val="24"/>
                <w:highlight w:val="none"/>
                <w:lang w:val="en-US" w:eastAsia="zh-CN"/>
              </w:rPr>
            </w:pPr>
            <w:r>
              <w:rPr>
                <w:rFonts w:hint="eastAsia" w:hAnsi="宋体" w:eastAsia="宋体" w:cs="宋体"/>
                <w:b/>
                <w:bCs/>
                <w:color w:val="auto"/>
                <w:sz w:val="24"/>
                <w:szCs w:val="24"/>
                <w:highlight w:val="none"/>
                <w:lang w:val="en-US" w:eastAsia="zh-CN"/>
              </w:rPr>
              <w:t>1</w:t>
            </w:r>
          </w:p>
        </w:tc>
        <w:tc>
          <w:tcPr>
            <w:tcW w:w="2620" w:type="dxa"/>
            <w:vAlign w:val="center"/>
          </w:tcPr>
          <w:p w14:paraId="625AF340">
            <w:pPr>
              <w:pStyle w:val="321"/>
              <w:spacing w:line="560" w:lineRule="exact"/>
              <w:ind w:left="0" w:leftChars="0" w:firstLine="0" w:firstLineChars="0"/>
              <w:jc w:val="left"/>
              <w:rPr>
                <w:rFonts w:hint="eastAsia" w:hAnsi="宋体" w:eastAsia="宋体" w:cs="宋体"/>
                <w:b/>
                <w:bCs/>
                <w:color w:val="auto"/>
                <w:sz w:val="24"/>
                <w:szCs w:val="24"/>
                <w:highlight w:val="none"/>
                <w:lang w:eastAsia="zh-CN"/>
              </w:rPr>
            </w:pPr>
            <w:r>
              <w:rPr>
                <w:rFonts w:hint="eastAsia" w:hAnsi="宋体" w:eastAsia="宋体" w:cs="宋体"/>
                <w:b/>
                <w:bCs/>
                <w:color w:val="auto"/>
                <w:sz w:val="24"/>
                <w:szCs w:val="24"/>
                <w:highlight w:val="none"/>
                <w:lang w:eastAsia="zh-CN"/>
              </w:rPr>
              <w:t>（</w:t>
            </w:r>
            <w:r>
              <w:rPr>
                <w:rFonts w:hint="eastAsia" w:hAnsi="宋体" w:eastAsia="宋体" w:cs="宋体"/>
                <w:b/>
                <w:bCs/>
                <w:color w:val="auto"/>
                <w:sz w:val="24"/>
                <w:szCs w:val="24"/>
                <w:highlight w:val="none"/>
                <w:lang w:val="en-US" w:eastAsia="zh-CN"/>
              </w:rPr>
              <w:t>如：特保人员</w:t>
            </w:r>
            <w:r>
              <w:rPr>
                <w:rFonts w:hint="eastAsia" w:hAnsi="宋体" w:eastAsia="宋体" w:cs="宋体"/>
                <w:b/>
                <w:bCs/>
                <w:color w:val="auto"/>
                <w:sz w:val="24"/>
                <w:szCs w:val="24"/>
                <w:highlight w:val="none"/>
                <w:lang w:eastAsia="zh-CN"/>
              </w:rPr>
              <w:t>）</w:t>
            </w:r>
          </w:p>
        </w:tc>
        <w:tc>
          <w:tcPr>
            <w:tcW w:w="1200" w:type="dxa"/>
            <w:vAlign w:val="center"/>
          </w:tcPr>
          <w:p w14:paraId="1C4188E3">
            <w:pPr>
              <w:pStyle w:val="321"/>
              <w:spacing w:line="560" w:lineRule="exact"/>
              <w:ind w:left="0" w:leftChars="0" w:firstLine="0" w:firstLineChars="0"/>
              <w:jc w:val="center"/>
              <w:rPr>
                <w:rFonts w:hint="default" w:hAnsi="宋体" w:eastAsia="宋体" w:cs="宋体"/>
                <w:b/>
                <w:bCs/>
                <w:color w:val="auto"/>
                <w:sz w:val="24"/>
                <w:szCs w:val="24"/>
                <w:highlight w:val="none"/>
                <w:lang w:val="en-US" w:eastAsia="zh-CN"/>
              </w:rPr>
            </w:pPr>
          </w:p>
        </w:tc>
        <w:tc>
          <w:tcPr>
            <w:tcW w:w="2062" w:type="dxa"/>
            <w:vAlign w:val="center"/>
          </w:tcPr>
          <w:p w14:paraId="49E2B692">
            <w:pPr>
              <w:pStyle w:val="321"/>
              <w:spacing w:line="560" w:lineRule="exact"/>
              <w:ind w:left="0" w:leftChars="0" w:firstLine="0" w:firstLineChars="0"/>
              <w:jc w:val="both"/>
              <w:rPr>
                <w:rFonts w:hint="default" w:hAnsi="宋体" w:cs="宋体" w:eastAsiaTheme="minorEastAsia"/>
                <w:b/>
                <w:bCs/>
                <w:color w:val="auto"/>
                <w:sz w:val="24"/>
                <w:szCs w:val="24"/>
                <w:highlight w:val="none"/>
                <w:lang w:val="en-US" w:eastAsia="zh-CN"/>
              </w:rPr>
            </w:pPr>
            <w:r>
              <w:rPr>
                <w:rFonts w:hint="eastAsia"/>
                <w:color w:val="auto"/>
                <w:highlight w:val="none"/>
                <w:u w:val="single"/>
              </w:rPr>
              <w:t xml:space="preserve"> </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b/>
                <w:bCs/>
                <w:color w:val="auto"/>
                <w:sz w:val="22"/>
                <w:szCs w:val="22"/>
                <w:highlight w:val="none"/>
              </w:rPr>
              <w:t>元/</w:t>
            </w:r>
            <w:r>
              <w:rPr>
                <w:rFonts w:hint="eastAsia" w:asciiTheme="minorEastAsia" w:hAnsiTheme="minorEastAsia" w:eastAsiaTheme="minorEastAsia" w:cstheme="minorEastAsia"/>
                <w:b/>
                <w:bCs/>
                <w:color w:val="auto"/>
                <w:sz w:val="22"/>
                <w:szCs w:val="22"/>
                <w:highlight w:val="none"/>
                <w:lang w:val="en-US" w:eastAsia="zh-CN"/>
              </w:rPr>
              <w:t>人/年</w:t>
            </w:r>
          </w:p>
        </w:tc>
        <w:tc>
          <w:tcPr>
            <w:tcW w:w="1779" w:type="dxa"/>
            <w:vAlign w:val="center"/>
          </w:tcPr>
          <w:p w14:paraId="5A0114DE">
            <w:pPr>
              <w:pStyle w:val="321"/>
              <w:spacing w:line="560" w:lineRule="exact"/>
              <w:jc w:val="center"/>
              <w:rPr>
                <w:rFonts w:hAnsi="宋体" w:eastAsia="宋体" w:cs="宋体"/>
                <w:b/>
                <w:bCs/>
                <w:color w:val="auto"/>
                <w:sz w:val="24"/>
                <w:szCs w:val="24"/>
                <w:highlight w:val="none"/>
              </w:rPr>
            </w:pPr>
          </w:p>
        </w:tc>
        <w:tc>
          <w:tcPr>
            <w:tcW w:w="987" w:type="dxa"/>
            <w:vAlign w:val="center"/>
          </w:tcPr>
          <w:p w14:paraId="009E73AD">
            <w:pPr>
              <w:pStyle w:val="321"/>
              <w:spacing w:line="560" w:lineRule="exact"/>
              <w:ind w:left="0" w:leftChars="0" w:firstLine="0" w:firstLineChars="0"/>
              <w:jc w:val="left"/>
              <w:rPr>
                <w:rFonts w:hint="default" w:hAnsi="宋体" w:eastAsia="宋体" w:cs="宋体"/>
                <w:b/>
                <w:bCs/>
                <w:color w:val="auto"/>
                <w:sz w:val="24"/>
                <w:szCs w:val="24"/>
                <w:highlight w:val="none"/>
                <w:lang w:val="en-US" w:eastAsia="zh-CN"/>
              </w:rPr>
            </w:pPr>
          </w:p>
        </w:tc>
      </w:tr>
      <w:tr w14:paraId="6EBA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A11A14">
            <w:pPr>
              <w:pStyle w:val="321"/>
              <w:spacing w:line="560" w:lineRule="exact"/>
              <w:jc w:val="both"/>
              <w:rPr>
                <w:rFonts w:hint="eastAsia" w:hAnsi="宋体" w:eastAsia="宋体" w:cs="宋体"/>
                <w:b/>
                <w:bCs/>
                <w:color w:val="auto"/>
                <w:sz w:val="24"/>
                <w:szCs w:val="24"/>
                <w:highlight w:val="none"/>
                <w:lang w:val="en-US" w:eastAsia="zh-CN"/>
              </w:rPr>
            </w:pPr>
            <w:r>
              <w:rPr>
                <w:rFonts w:hint="eastAsia" w:hAnsi="宋体" w:eastAsia="宋体" w:cs="宋体"/>
                <w:b/>
                <w:bCs/>
                <w:color w:val="auto"/>
                <w:sz w:val="24"/>
                <w:szCs w:val="24"/>
                <w:highlight w:val="none"/>
                <w:lang w:val="en-US" w:eastAsia="zh-CN"/>
              </w:rPr>
              <w:t>2</w:t>
            </w:r>
          </w:p>
        </w:tc>
        <w:tc>
          <w:tcPr>
            <w:tcW w:w="2620" w:type="dxa"/>
            <w:vAlign w:val="center"/>
          </w:tcPr>
          <w:p w14:paraId="2A4385D2">
            <w:pPr>
              <w:pStyle w:val="321"/>
              <w:spacing w:line="560" w:lineRule="exact"/>
              <w:ind w:left="0" w:leftChars="0" w:firstLine="0" w:firstLineChars="0"/>
              <w:jc w:val="left"/>
              <w:rPr>
                <w:rFonts w:hint="eastAsia" w:hAnsi="宋体" w:eastAsia="宋体" w:cs="宋体"/>
                <w:b/>
                <w:bCs/>
                <w:color w:val="auto"/>
                <w:sz w:val="24"/>
                <w:szCs w:val="24"/>
                <w:highlight w:val="none"/>
                <w:lang w:eastAsia="zh-CN"/>
              </w:rPr>
            </w:pPr>
          </w:p>
        </w:tc>
        <w:tc>
          <w:tcPr>
            <w:tcW w:w="1200" w:type="dxa"/>
            <w:vAlign w:val="center"/>
          </w:tcPr>
          <w:p w14:paraId="284FB65D">
            <w:pPr>
              <w:pStyle w:val="321"/>
              <w:spacing w:line="560" w:lineRule="exact"/>
              <w:jc w:val="center"/>
              <w:rPr>
                <w:rFonts w:hAnsi="宋体" w:eastAsia="宋体" w:cs="宋体"/>
                <w:b/>
                <w:bCs/>
                <w:color w:val="auto"/>
                <w:sz w:val="24"/>
                <w:szCs w:val="24"/>
                <w:highlight w:val="none"/>
              </w:rPr>
            </w:pPr>
          </w:p>
        </w:tc>
        <w:tc>
          <w:tcPr>
            <w:tcW w:w="2062" w:type="dxa"/>
            <w:vAlign w:val="center"/>
          </w:tcPr>
          <w:p w14:paraId="42C3B607">
            <w:pPr>
              <w:pStyle w:val="321"/>
              <w:spacing w:line="560" w:lineRule="exact"/>
              <w:jc w:val="center"/>
              <w:rPr>
                <w:rFonts w:hAnsi="宋体" w:eastAsia="宋体" w:cs="宋体"/>
                <w:b/>
                <w:bCs/>
                <w:color w:val="auto"/>
                <w:sz w:val="24"/>
                <w:szCs w:val="24"/>
                <w:highlight w:val="none"/>
              </w:rPr>
            </w:pPr>
          </w:p>
        </w:tc>
        <w:tc>
          <w:tcPr>
            <w:tcW w:w="1779" w:type="dxa"/>
            <w:vAlign w:val="center"/>
          </w:tcPr>
          <w:p w14:paraId="3D002275">
            <w:pPr>
              <w:pStyle w:val="321"/>
              <w:spacing w:line="560" w:lineRule="exact"/>
              <w:jc w:val="center"/>
              <w:rPr>
                <w:rFonts w:hAnsi="宋体" w:eastAsia="宋体" w:cs="宋体"/>
                <w:b/>
                <w:bCs/>
                <w:color w:val="auto"/>
                <w:sz w:val="24"/>
                <w:szCs w:val="24"/>
                <w:highlight w:val="none"/>
              </w:rPr>
            </w:pPr>
          </w:p>
        </w:tc>
        <w:tc>
          <w:tcPr>
            <w:tcW w:w="987" w:type="dxa"/>
            <w:vAlign w:val="center"/>
          </w:tcPr>
          <w:p w14:paraId="396FD78F">
            <w:pPr>
              <w:pStyle w:val="321"/>
              <w:spacing w:line="560" w:lineRule="exact"/>
              <w:jc w:val="center"/>
              <w:rPr>
                <w:rFonts w:hAnsi="宋体" w:eastAsia="宋体" w:cs="宋体"/>
                <w:b/>
                <w:bCs/>
                <w:color w:val="auto"/>
                <w:sz w:val="24"/>
                <w:szCs w:val="24"/>
                <w:highlight w:val="none"/>
              </w:rPr>
            </w:pPr>
          </w:p>
        </w:tc>
      </w:tr>
      <w:tr w14:paraId="2352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440D31F">
            <w:pPr>
              <w:pStyle w:val="321"/>
              <w:spacing w:line="560" w:lineRule="exact"/>
              <w:ind w:left="0" w:leftChars="0" w:firstLine="0" w:firstLineChars="0"/>
              <w:jc w:val="both"/>
              <w:rPr>
                <w:rFonts w:hint="default" w:hAnsi="宋体" w:eastAsia="宋体" w:cs="宋体"/>
                <w:b/>
                <w:bCs/>
                <w:color w:val="auto"/>
                <w:sz w:val="24"/>
                <w:szCs w:val="24"/>
                <w:highlight w:val="none"/>
                <w:lang w:val="en-US" w:eastAsia="zh-CN"/>
              </w:rPr>
            </w:pPr>
            <w:r>
              <w:rPr>
                <w:rFonts w:hint="eastAsia" w:hAnsi="宋体" w:eastAsia="宋体" w:cs="宋体"/>
                <w:b/>
                <w:bCs/>
                <w:color w:val="auto"/>
                <w:sz w:val="24"/>
                <w:szCs w:val="24"/>
                <w:highlight w:val="none"/>
                <w:lang w:val="en-US" w:eastAsia="zh-CN"/>
              </w:rPr>
              <w:t>......</w:t>
            </w:r>
          </w:p>
        </w:tc>
        <w:tc>
          <w:tcPr>
            <w:tcW w:w="2620" w:type="dxa"/>
            <w:vAlign w:val="center"/>
          </w:tcPr>
          <w:p w14:paraId="13512060">
            <w:pPr>
              <w:pStyle w:val="321"/>
              <w:spacing w:line="560" w:lineRule="exact"/>
              <w:jc w:val="center"/>
              <w:rPr>
                <w:rFonts w:hint="eastAsia" w:hAnsi="宋体" w:eastAsia="宋体" w:cs="宋体"/>
                <w:b/>
                <w:bCs/>
                <w:color w:val="auto"/>
                <w:sz w:val="24"/>
                <w:szCs w:val="24"/>
                <w:highlight w:val="none"/>
                <w:lang w:eastAsia="zh-CN"/>
              </w:rPr>
            </w:pPr>
            <w:r>
              <w:rPr>
                <w:rFonts w:hint="eastAsia" w:hAnsi="宋体" w:eastAsia="宋体" w:cs="宋体"/>
                <w:b/>
                <w:bCs/>
                <w:color w:val="auto"/>
                <w:sz w:val="24"/>
                <w:szCs w:val="24"/>
                <w:highlight w:val="none"/>
                <w:lang w:eastAsia="zh-CN"/>
              </w:rPr>
              <w:t>（</w:t>
            </w:r>
            <w:r>
              <w:rPr>
                <w:rFonts w:hint="eastAsia" w:hAnsi="宋体" w:eastAsia="宋体" w:cs="宋体"/>
                <w:b/>
                <w:bCs/>
                <w:color w:val="auto"/>
                <w:sz w:val="24"/>
                <w:szCs w:val="24"/>
                <w:highlight w:val="none"/>
                <w:lang w:val="en-US" w:eastAsia="zh-CN"/>
              </w:rPr>
              <w:t>可自行扩展</w:t>
            </w:r>
            <w:r>
              <w:rPr>
                <w:rFonts w:hint="eastAsia" w:hAnsi="宋体" w:eastAsia="宋体" w:cs="宋体"/>
                <w:b/>
                <w:bCs/>
                <w:color w:val="auto"/>
                <w:sz w:val="24"/>
                <w:szCs w:val="24"/>
                <w:highlight w:val="none"/>
                <w:lang w:eastAsia="zh-CN"/>
              </w:rPr>
              <w:t>）</w:t>
            </w:r>
          </w:p>
        </w:tc>
        <w:tc>
          <w:tcPr>
            <w:tcW w:w="1200" w:type="dxa"/>
            <w:vAlign w:val="center"/>
          </w:tcPr>
          <w:p w14:paraId="2FB78127">
            <w:pPr>
              <w:pStyle w:val="321"/>
              <w:spacing w:line="560" w:lineRule="exact"/>
              <w:jc w:val="center"/>
              <w:rPr>
                <w:rFonts w:hAnsi="宋体" w:eastAsia="宋体" w:cs="宋体"/>
                <w:b/>
                <w:bCs/>
                <w:color w:val="auto"/>
                <w:sz w:val="24"/>
                <w:szCs w:val="24"/>
                <w:highlight w:val="none"/>
              </w:rPr>
            </w:pPr>
          </w:p>
        </w:tc>
        <w:tc>
          <w:tcPr>
            <w:tcW w:w="2062" w:type="dxa"/>
            <w:vAlign w:val="center"/>
          </w:tcPr>
          <w:p w14:paraId="38342989">
            <w:pPr>
              <w:pStyle w:val="321"/>
              <w:spacing w:line="560" w:lineRule="exact"/>
              <w:jc w:val="center"/>
              <w:rPr>
                <w:rFonts w:hAnsi="宋体" w:eastAsia="宋体" w:cs="宋体"/>
                <w:b/>
                <w:bCs/>
                <w:color w:val="auto"/>
                <w:sz w:val="24"/>
                <w:szCs w:val="24"/>
                <w:highlight w:val="none"/>
              </w:rPr>
            </w:pPr>
          </w:p>
        </w:tc>
        <w:tc>
          <w:tcPr>
            <w:tcW w:w="1779" w:type="dxa"/>
            <w:vAlign w:val="center"/>
          </w:tcPr>
          <w:p w14:paraId="70788C40">
            <w:pPr>
              <w:pStyle w:val="321"/>
              <w:spacing w:line="560" w:lineRule="exact"/>
              <w:jc w:val="center"/>
              <w:rPr>
                <w:rFonts w:hAnsi="宋体" w:eastAsia="宋体" w:cs="宋体"/>
                <w:b/>
                <w:bCs/>
                <w:color w:val="auto"/>
                <w:sz w:val="24"/>
                <w:szCs w:val="24"/>
                <w:highlight w:val="none"/>
              </w:rPr>
            </w:pPr>
          </w:p>
        </w:tc>
        <w:tc>
          <w:tcPr>
            <w:tcW w:w="987" w:type="dxa"/>
            <w:vAlign w:val="center"/>
          </w:tcPr>
          <w:p w14:paraId="6C5E4EC2">
            <w:pPr>
              <w:pStyle w:val="321"/>
              <w:spacing w:line="560" w:lineRule="exact"/>
              <w:jc w:val="center"/>
              <w:rPr>
                <w:rFonts w:hAnsi="宋体" w:eastAsia="宋体" w:cs="宋体"/>
                <w:b/>
                <w:bCs/>
                <w:color w:val="auto"/>
                <w:sz w:val="24"/>
                <w:szCs w:val="24"/>
                <w:highlight w:val="none"/>
              </w:rPr>
            </w:pPr>
          </w:p>
        </w:tc>
      </w:tr>
      <w:tr w14:paraId="7C241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21" w:type="dxa"/>
            <w:gridSpan w:val="3"/>
            <w:vAlign w:val="center"/>
          </w:tcPr>
          <w:p w14:paraId="2DA749A8">
            <w:pPr>
              <w:pStyle w:val="321"/>
              <w:spacing w:line="560" w:lineRule="exact"/>
              <w:jc w:val="center"/>
              <w:rPr>
                <w:rFonts w:hAnsi="宋体" w:eastAsia="宋体" w:cs="宋体"/>
                <w:color w:val="auto"/>
                <w:sz w:val="24"/>
                <w:szCs w:val="24"/>
                <w:highlight w:val="none"/>
              </w:rPr>
            </w:pPr>
            <w:r>
              <w:rPr>
                <w:rFonts w:hint="eastAsia" w:hAnsi="宋体" w:eastAsia="宋体" w:cs="宋体"/>
                <w:color w:val="auto"/>
                <w:sz w:val="24"/>
                <w:szCs w:val="24"/>
                <w:highlight w:val="none"/>
                <w:lang w:val="en-US" w:eastAsia="zh-CN"/>
              </w:rPr>
              <w:t>合计</w:t>
            </w:r>
          </w:p>
        </w:tc>
        <w:tc>
          <w:tcPr>
            <w:tcW w:w="2062" w:type="dxa"/>
            <w:vAlign w:val="center"/>
          </w:tcPr>
          <w:p w14:paraId="1D31180F">
            <w:pPr>
              <w:pStyle w:val="321"/>
              <w:spacing w:line="560" w:lineRule="exact"/>
              <w:jc w:val="center"/>
              <w:rPr>
                <w:rFonts w:hAnsi="宋体" w:eastAsia="宋体" w:cs="宋体"/>
                <w:color w:val="auto"/>
                <w:sz w:val="24"/>
                <w:szCs w:val="24"/>
                <w:highlight w:val="none"/>
              </w:rPr>
            </w:pPr>
          </w:p>
        </w:tc>
        <w:tc>
          <w:tcPr>
            <w:tcW w:w="1779" w:type="dxa"/>
            <w:vAlign w:val="center"/>
          </w:tcPr>
          <w:p w14:paraId="424469B4">
            <w:pPr>
              <w:pStyle w:val="321"/>
              <w:spacing w:line="560" w:lineRule="exact"/>
              <w:jc w:val="center"/>
              <w:rPr>
                <w:rFonts w:hAnsi="宋体" w:eastAsia="宋体" w:cs="宋体"/>
                <w:color w:val="auto"/>
                <w:sz w:val="24"/>
                <w:szCs w:val="24"/>
                <w:highlight w:val="none"/>
              </w:rPr>
            </w:pPr>
          </w:p>
        </w:tc>
        <w:tc>
          <w:tcPr>
            <w:tcW w:w="987" w:type="dxa"/>
            <w:vAlign w:val="center"/>
          </w:tcPr>
          <w:p w14:paraId="615F1194">
            <w:pPr>
              <w:pStyle w:val="321"/>
              <w:spacing w:line="560" w:lineRule="exact"/>
              <w:jc w:val="center"/>
              <w:rPr>
                <w:rFonts w:hAnsi="宋体" w:eastAsia="宋体" w:cs="宋体"/>
                <w:color w:val="auto"/>
                <w:sz w:val="24"/>
                <w:szCs w:val="24"/>
                <w:highlight w:val="none"/>
              </w:rPr>
            </w:pPr>
          </w:p>
        </w:tc>
      </w:tr>
    </w:tbl>
    <w:p w14:paraId="29FB8C7F">
      <w:pPr>
        <w:spacing w:line="560" w:lineRule="exact"/>
        <w:ind w:firstLine="480" w:firstLineChars="200"/>
        <w:rPr>
          <w:rFonts w:ascii="宋体" w:hAnsi="宋体"/>
          <w:color w:val="auto"/>
          <w:sz w:val="24"/>
          <w:highlight w:val="none"/>
        </w:rPr>
      </w:pPr>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u w:val="single"/>
        </w:rPr>
        <w:t>/</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hint="eastAsia" w:ascii="宋体" w:hAnsi="宋体"/>
          <w:color w:val="auto"/>
          <w:sz w:val="24"/>
          <w:highlight w:val="none"/>
          <w:u w:val="singl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u w:val="single"/>
        </w:rPr>
        <w:t>/</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55427950">
      <w:pPr>
        <w:pStyle w:val="2"/>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  </w:t>
      </w:r>
      <w:r>
        <w:rPr>
          <w:rFonts w:hint="eastAsia" w:ascii="宋体" w:hAnsi="宋体" w:eastAsia="宋体" w:cs="宋体"/>
          <w:b w:val="0"/>
          <w:bCs w:val="0"/>
          <w:color w:val="auto"/>
          <w:sz w:val="24"/>
          <w:highlight w:val="none"/>
        </w:rPr>
        <w:t>。</w:t>
      </w:r>
    </w:p>
    <w:bookmarkEnd w:id="414"/>
    <w:bookmarkEnd w:id="415"/>
    <w:bookmarkEnd w:id="416"/>
    <w:bookmarkEnd w:id="417"/>
    <w:bookmarkEnd w:id="418"/>
    <w:p w14:paraId="02548612">
      <w:pPr>
        <w:pStyle w:val="959"/>
        <w:spacing w:before="0" w:beforeAutospacing="0" w:after="0" w:afterAutospacing="0" w:line="360" w:lineRule="auto"/>
        <w:ind w:firstLine="480"/>
        <w:rPr>
          <w:b/>
          <w:color w:val="auto"/>
          <w:highlight w:val="none"/>
        </w:rPr>
      </w:pPr>
      <w:bookmarkStart w:id="419" w:name="_Toc22618"/>
      <w:bookmarkStart w:id="420" w:name="_Toc1814"/>
      <w:bookmarkStart w:id="421" w:name="_Toc10340"/>
      <w:bookmarkStart w:id="422" w:name="_Toc11108"/>
      <w:bookmarkStart w:id="423" w:name="_Toc3625"/>
      <w:bookmarkStart w:id="424" w:name="_Toc8772"/>
      <w:bookmarkStart w:id="425" w:name="_Toc31421"/>
      <w:bookmarkStart w:id="426" w:name="_Toc4760"/>
      <w:r>
        <w:rPr>
          <w:rFonts w:hint="eastAsia"/>
          <w:b/>
          <w:color w:val="auto"/>
          <w:highlight w:val="none"/>
        </w:rPr>
        <w:t>1.4履约保证金</w:t>
      </w:r>
    </w:p>
    <w:p w14:paraId="1600F7CD">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是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76735DDB">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1 </w:t>
      </w:r>
      <w:r>
        <w:rPr>
          <w:rFonts w:hint="eastAsia" w:ascii="宋体" w:hAnsi="宋体" w:cs="宋体"/>
          <w:color w:val="auto"/>
          <w:kern w:val="0"/>
          <w:sz w:val="24"/>
          <w:highlight w:val="none"/>
        </w:rPr>
        <w:t>%；</w:t>
      </w:r>
    </w:p>
    <w:p w14:paraId="459917B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05438A7">
      <w:pPr>
        <w:pStyle w:val="2"/>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EDBE178">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58F8015B">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9"/>
      <w:bookmarkEnd w:id="420"/>
      <w:bookmarkEnd w:id="421"/>
      <w:r>
        <w:rPr>
          <w:rFonts w:hint="eastAsia" w:ascii="宋体" w:hAnsi="宋体" w:cs="宋体"/>
          <w:b/>
          <w:color w:val="auto"/>
          <w:sz w:val="24"/>
          <w:highlight w:val="none"/>
        </w:rPr>
        <w:t>预付款</w:t>
      </w:r>
    </w:p>
    <w:p w14:paraId="0D7EF23C">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是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65AD3754">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14:paraId="5894EE68">
      <w:pPr>
        <w:pStyle w:val="95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rPr>
        <w:t>；</w:t>
      </w:r>
    </w:p>
    <w:p w14:paraId="079AB49F">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b/>
          <w:i/>
          <w:color w:val="auto"/>
          <w:highlight w:val="none"/>
          <w:u w:val="single"/>
        </w:rPr>
        <w:t>合同专用条款</w:t>
      </w:r>
      <w:r>
        <w:rPr>
          <w:rFonts w:hint="eastAsia"/>
          <w:color w:val="auto"/>
          <w:highlight w:val="none"/>
        </w:rPr>
        <w:t>。</w:t>
      </w:r>
    </w:p>
    <w:p w14:paraId="2DDCD5E4">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72F4499C">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D26B6BD">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756DE46">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2"/>
      <w:bookmarkEnd w:id="423"/>
      <w:bookmarkEnd w:id="424"/>
      <w:bookmarkEnd w:id="425"/>
      <w:bookmarkEnd w:id="426"/>
    </w:p>
    <w:p w14:paraId="2E2193B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1FC0F80">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AC00F95">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673F687">
      <w:pPr>
        <w:spacing w:line="560" w:lineRule="exact"/>
        <w:ind w:firstLine="480" w:firstLineChars="200"/>
        <w:outlineLvl w:val="0"/>
        <w:rPr>
          <w:rFonts w:ascii="宋体" w:hAnsi="宋体"/>
          <w:bCs/>
          <w:color w:val="auto"/>
          <w:sz w:val="24"/>
          <w:highlight w:val="none"/>
        </w:rPr>
      </w:pPr>
      <w:bookmarkStart w:id="427" w:name="_Toc2375"/>
      <w:bookmarkStart w:id="428" w:name="_Toc24662"/>
      <w:bookmarkStart w:id="429" w:name="_Toc3079"/>
      <w:bookmarkStart w:id="430" w:name="_Toc5698"/>
      <w:bookmarkStart w:id="431"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2E327DD1">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526802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68B3CB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4F6C719">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7"/>
      <w:bookmarkEnd w:id="428"/>
      <w:bookmarkEnd w:id="429"/>
      <w:bookmarkEnd w:id="430"/>
      <w:bookmarkEnd w:id="431"/>
    </w:p>
    <w:p w14:paraId="4EAD80A9">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F69855C">
      <w:pPr>
        <w:pStyle w:val="2"/>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5</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0FFA955">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20</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54ED5204">
      <w:pPr>
        <w:spacing w:line="560" w:lineRule="exact"/>
        <w:ind w:firstLine="480" w:firstLineChars="200"/>
        <w:rPr>
          <w:rFonts w:ascii="宋体" w:hAnsi="宋体" w:cs="宋体"/>
          <w:color w:val="auto"/>
          <w:sz w:val="24"/>
          <w:highlight w:val="none"/>
        </w:rPr>
      </w:pPr>
      <w:bookmarkStart w:id="432" w:name="_Toc26807"/>
      <w:bookmarkStart w:id="433" w:name="_Toc18683"/>
      <w:bookmarkStart w:id="434" w:name="_Toc30329"/>
      <w:bookmarkStart w:id="435" w:name="_Toc32454"/>
      <w:bookmarkStart w:id="436"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9D526F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E367FA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3F4460F">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2"/>
    <w:bookmarkEnd w:id="433"/>
    <w:bookmarkEnd w:id="434"/>
    <w:bookmarkEnd w:id="435"/>
    <w:bookmarkEnd w:id="436"/>
    <w:p w14:paraId="5EAC2EB6">
      <w:pPr>
        <w:spacing w:line="560" w:lineRule="exact"/>
        <w:ind w:firstLine="482" w:firstLineChars="200"/>
        <w:outlineLvl w:val="0"/>
        <w:rPr>
          <w:rFonts w:ascii="宋体" w:hAnsi="宋体" w:cs="宋体"/>
          <w:b/>
          <w:color w:val="auto"/>
          <w:sz w:val="24"/>
          <w:highlight w:val="none"/>
        </w:rPr>
      </w:pPr>
      <w:bookmarkStart w:id="437" w:name="_Toc16021"/>
      <w:bookmarkStart w:id="438" w:name="_Toc15583"/>
      <w:bookmarkStart w:id="439" w:name="_Toc28375"/>
      <w:r>
        <w:rPr>
          <w:rFonts w:hint="eastAsia" w:ascii="宋体" w:hAnsi="宋体" w:cs="宋体"/>
          <w:b/>
          <w:color w:val="auto"/>
          <w:sz w:val="24"/>
          <w:highlight w:val="none"/>
        </w:rPr>
        <w:t>1.9合同争议的解决</w:t>
      </w:r>
      <w:bookmarkEnd w:id="437"/>
      <w:bookmarkEnd w:id="438"/>
      <w:bookmarkEnd w:id="439"/>
    </w:p>
    <w:p w14:paraId="44A7F868">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Cs/>
          <w:color w:val="auto"/>
          <w:sz w:val="24"/>
          <w:highlight w:val="none"/>
          <w:u w:val="single"/>
        </w:rPr>
        <w:t xml:space="preserve"> 1.9.2</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6108FB3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4DE4BB72">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4F654094">
      <w:pPr>
        <w:spacing w:line="560" w:lineRule="exact"/>
        <w:ind w:firstLine="482" w:firstLineChars="200"/>
        <w:outlineLvl w:val="0"/>
        <w:rPr>
          <w:rFonts w:ascii="宋体" w:hAnsi="宋体" w:cs="宋体"/>
          <w:b/>
          <w:color w:val="auto"/>
          <w:sz w:val="24"/>
          <w:highlight w:val="none"/>
        </w:rPr>
      </w:pPr>
      <w:bookmarkStart w:id="440" w:name="_Toc15322"/>
      <w:bookmarkStart w:id="441" w:name="_Toc7245"/>
      <w:bookmarkStart w:id="442" w:name="_Toc11173"/>
      <w:r>
        <w:rPr>
          <w:rFonts w:hint="eastAsia" w:ascii="宋体" w:hAnsi="宋体" w:cs="宋体"/>
          <w:b/>
          <w:color w:val="auto"/>
          <w:sz w:val="24"/>
          <w:highlight w:val="none"/>
        </w:rPr>
        <w:t>2.0 合同生效</w:t>
      </w:r>
      <w:bookmarkEnd w:id="440"/>
      <w:bookmarkEnd w:id="441"/>
      <w:bookmarkEnd w:id="442"/>
    </w:p>
    <w:p w14:paraId="011B45AD">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0A635420">
      <w:pPr>
        <w:autoSpaceDE w:val="0"/>
        <w:autoSpaceDN w:val="0"/>
        <w:spacing w:line="560" w:lineRule="exact"/>
        <w:rPr>
          <w:rFonts w:ascii="宋体" w:hAnsi="宋体"/>
          <w:color w:val="auto"/>
          <w:sz w:val="24"/>
          <w:highlight w:val="none"/>
          <w:lang w:val="zh-CN"/>
        </w:rPr>
      </w:pPr>
    </w:p>
    <w:p w14:paraId="7D3BA13C">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17CC65B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1B22EB3D">
      <w:pPr>
        <w:autoSpaceDE w:val="0"/>
        <w:autoSpaceDN w:val="0"/>
        <w:spacing w:line="560" w:lineRule="exact"/>
        <w:rPr>
          <w:rFonts w:ascii="宋体" w:hAnsi="宋体"/>
          <w:color w:val="auto"/>
          <w:sz w:val="24"/>
          <w:highlight w:val="none"/>
          <w:lang w:val="zh-CN"/>
        </w:rPr>
      </w:pPr>
    </w:p>
    <w:p w14:paraId="3A9D49F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769BEC3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4163CB5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6581E84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D5C9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7F194D7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5464EE5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2F592D7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5E1710C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7386EF04">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26072010">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3FC5B7C4">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27584BAE">
      <w:pPr>
        <w:widowControl/>
        <w:spacing w:line="560" w:lineRule="exact"/>
        <w:jc w:val="left"/>
        <w:rPr>
          <w:rFonts w:ascii="宋体" w:hAnsi="宋体"/>
          <w:b/>
          <w:color w:val="auto"/>
          <w:sz w:val="24"/>
          <w:highlight w:val="none"/>
        </w:rPr>
      </w:pPr>
    </w:p>
    <w:p w14:paraId="7F1C4B2E">
      <w:pPr>
        <w:widowControl/>
        <w:adjustRightInd/>
        <w:jc w:val="left"/>
        <w:rPr>
          <w:rFonts w:ascii="宋体" w:hAnsi="宋体"/>
          <w:b/>
          <w:color w:val="auto"/>
          <w:sz w:val="24"/>
          <w:highlight w:val="none"/>
        </w:rPr>
      </w:pPr>
      <w:r>
        <w:rPr>
          <w:rFonts w:ascii="宋体" w:hAnsi="宋体"/>
          <w:b/>
          <w:color w:val="auto"/>
          <w:highlight w:val="none"/>
        </w:rPr>
        <w:br w:type="page"/>
      </w:r>
    </w:p>
    <w:p w14:paraId="08A55522">
      <w:pPr>
        <w:pStyle w:val="703"/>
        <w:spacing w:line="560" w:lineRule="exact"/>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068F3CA">
      <w:pPr>
        <w:spacing w:line="560" w:lineRule="exact"/>
        <w:ind w:firstLine="482" w:firstLineChars="200"/>
        <w:outlineLvl w:val="0"/>
        <w:rPr>
          <w:rFonts w:ascii="宋体" w:hAnsi="宋体"/>
          <w:b/>
          <w:color w:val="auto"/>
          <w:sz w:val="24"/>
          <w:highlight w:val="none"/>
        </w:rPr>
      </w:pPr>
      <w:bookmarkStart w:id="443" w:name="_Toc14021"/>
      <w:bookmarkStart w:id="444" w:name="_Toc31297"/>
      <w:bookmarkStart w:id="445" w:name="_Toc19680"/>
      <w:bookmarkStart w:id="446" w:name="_Toc5228"/>
      <w:bookmarkStart w:id="447" w:name="_Toc25079"/>
      <w:r>
        <w:rPr>
          <w:rFonts w:ascii="宋体" w:hAnsi="宋体"/>
          <w:b/>
          <w:color w:val="auto"/>
          <w:sz w:val="24"/>
          <w:highlight w:val="none"/>
        </w:rPr>
        <w:t>2.1 定义</w:t>
      </w:r>
      <w:bookmarkEnd w:id="443"/>
      <w:bookmarkEnd w:id="444"/>
      <w:bookmarkEnd w:id="445"/>
      <w:bookmarkEnd w:id="446"/>
      <w:bookmarkEnd w:id="447"/>
    </w:p>
    <w:p w14:paraId="09FD3EBB">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35A88C5C">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6802A339">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51370AAB">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0D49BB76">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1768283C">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6A762D7">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2D4AB7D0">
      <w:pPr>
        <w:spacing w:line="560" w:lineRule="exact"/>
        <w:ind w:firstLine="482" w:firstLineChars="200"/>
        <w:outlineLvl w:val="0"/>
        <w:rPr>
          <w:rFonts w:ascii="宋体" w:hAnsi="宋体"/>
          <w:b/>
          <w:color w:val="auto"/>
          <w:sz w:val="24"/>
          <w:highlight w:val="none"/>
        </w:rPr>
      </w:pPr>
      <w:bookmarkStart w:id="448" w:name="_Toc3769"/>
      <w:bookmarkStart w:id="449" w:name="_Toc31402"/>
      <w:bookmarkStart w:id="450" w:name="_Toc16752"/>
      <w:bookmarkStart w:id="451" w:name="_Toc23289"/>
      <w:bookmarkStart w:id="452" w:name="_Toc19539"/>
      <w:r>
        <w:rPr>
          <w:rFonts w:ascii="宋体" w:hAnsi="宋体"/>
          <w:b/>
          <w:color w:val="auto"/>
          <w:sz w:val="24"/>
          <w:highlight w:val="none"/>
        </w:rPr>
        <w:t>2.2 技术规范</w:t>
      </w:r>
      <w:bookmarkEnd w:id="448"/>
      <w:bookmarkEnd w:id="449"/>
      <w:bookmarkEnd w:id="450"/>
      <w:bookmarkEnd w:id="451"/>
      <w:bookmarkEnd w:id="452"/>
    </w:p>
    <w:p w14:paraId="0E4FB73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19CA2166">
      <w:pPr>
        <w:spacing w:line="560" w:lineRule="exact"/>
        <w:ind w:firstLine="482" w:firstLineChars="200"/>
        <w:outlineLvl w:val="0"/>
        <w:rPr>
          <w:rFonts w:ascii="宋体" w:hAnsi="宋体"/>
          <w:b/>
          <w:color w:val="auto"/>
          <w:sz w:val="24"/>
          <w:highlight w:val="none"/>
        </w:rPr>
      </w:pPr>
      <w:bookmarkStart w:id="453" w:name="_Toc9161"/>
      <w:bookmarkStart w:id="454" w:name="_Toc27945"/>
      <w:bookmarkStart w:id="455" w:name="_Toc12412"/>
      <w:bookmarkStart w:id="456" w:name="_Toc13673"/>
      <w:bookmarkStart w:id="457" w:name="_Toc4133"/>
      <w:r>
        <w:rPr>
          <w:rFonts w:ascii="宋体" w:hAnsi="宋体"/>
          <w:b/>
          <w:color w:val="auto"/>
          <w:sz w:val="24"/>
          <w:highlight w:val="none"/>
        </w:rPr>
        <w:t>2.3 知识产权</w:t>
      </w:r>
      <w:bookmarkEnd w:id="453"/>
      <w:bookmarkEnd w:id="454"/>
      <w:bookmarkEnd w:id="455"/>
      <w:bookmarkEnd w:id="456"/>
      <w:bookmarkEnd w:id="457"/>
    </w:p>
    <w:p w14:paraId="7DD1E2F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08B269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6903696A">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C783699">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1C1890E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100909D0">
      <w:pPr>
        <w:spacing w:line="560" w:lineRule="exact"/>
        <w:ind w:firstLine="482" w:firstLineChars="200"/>
        <w:outlineLvl w:val="0"/>
        <w:rPr>
          <w:rFonts w:ascii="宋体" w:hAnsi="宋体"/>
          <w:b/>
          <w:color w:val="auto"/>
          <w:sz w:val="24"/>
          <w:highlight w:val="none"/>
        </w:rPr>
      </w:pPr>
      <w:bookmarkStart w:id="458" w:name="_Toc26555"/>
      <w:bookmarkStart w:id="459" w:name="_Toc31233"/>
      <w:bookmarkStart w:id="460" w:name="_Toc32670"/>
      <w:bookmarkStart w:id="461" w:name="_Toc22011"/>
      <w:bookmarkStart w:id="462" w:name="_Toc15447"/>
      <w:r>
        <w:rPr>
          <w:rFonts w:ascii="宋体" w:hAnsi="宋体"/>
          <w:b/>
          <w:color w:val="auto"/>
          <w:sz w:val="24"/>
          <w:highlight w:val="none"/>
        </w:rPr>
        <w:t>2.5 结算方式和付款条件</w:t>
      </w:r>
      <w:bookmarkEnd w:id="458"/>
      <w:bookmarkEnd w:id="459"/>
      <w:bookmarkEnd w:id="460"/>
      <w:bookmarkEnd w:id="461"/>
      <w:bookmarkEnd w:id="462"/>
    </w:p>
    <w:p w14:paraId="24B342A8">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53CB95A">
      <w:pPr>
        <w:spacing w:line="560" w:lineRule="exact"/>
        <w:ind w:firstLine="482" w:firstLineChars="200"/>
        <w:outlineLvl w:val="0"/>
        <w:rPr>
          <w:rFonts w:ascii="宋体" w:hAnsi="宋体"/>
          <w:b/>
          <w:color w:val="auto"/>
          <w:sz w:val="24"/>
          <w:highlight w:val="none"/>
        </w:rPr>
      </w:pPr>
      <w:bookmarkStart w:id="463" w:name="_Toc16163"/>
      <w:bookmarkStart w:id="464" w:name="_Toc30507"/>
      <w:bookmarkStart w:id="465" w:name="_Toc18990"/>
      <w:bookmarkStart w:id="466" w:name="_Toc13154"/>
      <w:bookmarkStart w:id="467" w:name="_Toc13467"/>
      <w:r>
        <w:rPr>
          <w:rFonts w:ascii="宋体" w:hAnsi="宋体"/>
          <w:b/>
          <w:color w:val="auto"/>
          <w:sz w:val="24"/>
          <w:highlight w:val="none"/>
        </w:rPr>
        <w:t>2.6 技术资料和保密义务</w:t>
      </w:r>
      <w:bookmarkEnd w:id="463"/>
      <w:bookmarkEnd w:id="464"/>
      <w:bookmarkEnd w:id="465"/>
      <w:bookmarkEnd w:id="466"/>
      <w:bookmarkEnd w:id="467"/>
    </w:p>
    <w:p w14:paraId="56A5C5C9">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62FCF2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349075E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15BB0871">
      <w:pPr>
        <w:spacing w:line="560" w:lineRule="exact"/>
        <w:ind w:firstLine="482" w:firstLineChars="200"/>
        <w:outlineLvl w:val="0"/>
        <w:rPr>
          <w:rFonts w:ascii="宋体" w:hAnsi="宋体"/>
          <w:b/>
          <w:color w:val="auto"/>
          <w:sz w:val="24"/>
          <w:highlight w:val="none"/>
        </w:rPr>
      </w:pPr>
      <w:bookmarkStart w:id="468"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8"/>
    </w:p>
    <w:p w14:paraId="77CA999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3273805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5A3698B7">
      <w:pPr>
        <w:spacing w:line="560" w:lineRule="exact"/>
        <w:ind w:firstLine="482" w:firstLineChars="200"/>
        <w:outlineLvl w:val="0"/>
        <w:rPr>
          <w:rFonts w:ascii="宋体" w:hAnsi="宋体"/>
          <w:b/>
          <w:color w:val="auto"/>
          <w:sz w:val="24"/>
          <w:highlight w:val="none"/>
        </w:rPr>
      </w:pPr>
      <w:bookmarkStart w:id="469"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9"/>
    </w:p>
    <w:p w14:paraId="3F39B6B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3F8BF247">
      <w:pPr>
        <w:spacing w:line="560" w:lineRule="exact"/>
        <w:ind w:firstLine="482" w:firstLineChars="200"/>
        <w:outlineLvl w:val="0"/>
        <w:rPr>
          <w:rFonts w:ascii="宋体" w:hAnsi="宋体"/>
          <w:b/>
          <w:color w:val="auto"/>
          <w:sz w:val="24"/>
          <w:highlight w:val="none"/>
        </w:rPr>
      </w:pPr>
      <w:bookmarkStart w:id="470"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0"/>
    </w:p>
    <w:p w14:paraId="72EB02ED">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E6C1BE8">
      <w:pPr>
        <w:spacing w:line="560" w:lineRule="exact"/>
        <w:ind w:firstLine="482" w:firstLineChars="200"/>
        <w:outlineLvl w:val="0"/>
        <w:rPr>
          <w:rFonts w:ascii="宋体" w:hAnsi="宋体"/>
          <w:b/>
          <w:color w:val="auto"/>
          <w:sz w:val="24"/>
          <w:highlight w:val="none"/>
        </w:rPr>
      </w:pPr>
      <w:bookmarkStart w:id="471" w:name="_Toc10663"/>
      <w:bookmarkStart w:id="472" w:name="_Toc42"/>
      <w:bookmarkStart w:id="473" w:name="_Toc21830"/>
      <w:bookmarkStart w:id="474" w:name="_Toc23368"/>
      <w:bookmarkStart w:id="475" w:name="_Toc26689"/>
      <w:r>
        <w:rPr>
          <w:rFonts w:ascii="宋体" w:hAnsi="宋体"/>
          <w:b/>
          <w:color w:val="auto"/>
          <w:sz w:val="24"/>
          <w:highlight w:val="none"/>
        </w:rPr>
        <w:t>2.10 合同转让和分包</w:t>
      </w:r>
      <w:bookmarkEnd w:id="471"/>
      <w:bookmarkEnd w:id="472"/>
      <w:bookmarkEnd w:id="473"/>
      <w:bookmarkEnd w:id="474"/>
      <w:bookmarkEnd w:id="475"/>
    </w:p>
    <w:p w14:paraId="1979CB1B">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6F183DC6">
      <w:pPr>
        <w:spacing w:line="560" w:lineRule="exact"/>
        <w:ind w:firstLine="482" w:firstLineChars="200"/>
        <w:outlineLvl w:val="0"/>
        <w:rPr>
          <w:rFonts w:ascii="宋体" w:hAnsi="宋体"/>
          <w:b/>
          <w:color w:val="auto"/>
          <w:sz w:val="24"/>
          <w:highlight w:val="none"/>
        </w:rPr>
      </w:pPr>
      <w:bookmarkStart w:id="476" w:name="_Toc26633"/>
      <w:bookmarkStart w:id="477" w:name="_Toc32494"/>
      <w:bookmarkStart w:id="478" w:name="_Toc4720"/>
      <w:bookmarkStart w:id="479" w:name="_Toc25571"/>
      <w:bookmarkStart w:id="480" w:name="_Toc14371"/>
      <w:r>
        <w:rPr>
          <w:rFonts w:ascii="宋体" w:hAnsi="宋体"/>
          <w:b/>
          <w:color w:val="auto"/>
          <w:sz w:val="24"/>
          <w:highlight w:val="none"/>
        </w:rPr>
        <w:t>2.11 不可抗力</w:t>
      </w:r>
      <w:bookmarkEnd w:id="476"/>
      <w:bookmarkEnd w:id="477"/>
      <w:bookmarkEnd w:id="478"/>
      <w:bookmarkEnd w:id="479"/>
      <w:bookmarkEnd w:id="480"/>
    </w:p>
    <w:p w14:paraId="04B52DE7">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205609C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5F1F81C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66910F3E">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1B72D7C1">
      <w:pPr>
        <w:spacing w:line="560" w:lineRule="exact"/>
        <w:ind w:firstLine="482" w:firstLineChars="200"/>
        <w:outlineLvl w:val="0"/>
        <w:rPr>
          <w:rFonts w:ascii="宋体" w:hAnsi="宋体"/>
          <w:b/>
          <w:color w:val="auto"/>
          <w:sz w:val="24"/>
          <w:highlight w:val="none"/>
        </w:rPr>
      </w:pPr>
      <w:bookmarkStart w:id="481" w:name="_Toc23854"/>
      <w:bookmarkStart w:id="482" w:name="_Toc14115"/>
      <w:bookmarkStart w:id="483" w:name="_Toc24465"/>
      <w:bookmarkStart w:id="484" w:name="_Toc25783"/>
      <w:bookmarkStart w:id="485" w:name="_Toc3638"/>
      <w:r>
        <w:rPr>
          <w:rFonts w:ascii="宋体" w:hAnsi="宋体"/>
          <w:b/>
          <w:color w:val="auto"/>
          <w:sz w:val="24"/>
          <w:highlight w:val="none"/>
        </w:rPr>
        <w:t>2.12 税费</w:t>
      </w:r>
      <w:bookmarkEnd w:id="481"/>
      <w:bookmarkEnd w:id="482"/>
      <w:bookmarkEnd w:id="483"/>
      <w:bookmarkEnd w:id="484"/>
      <w:bookmarkEnd w:id="485"/>
    </w:p>
    <w:p w14:paraId="4ECFB02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44243E66">
      <w:pPr>
        <w:spacing w:line="560" w:lineRule="exact"/>
        <w:ind w:firstLine="482" w:firstLineChars="200"/>
        <w:outlineLvl w:val="0"/>
        <w:rPr>
          <w:rFonts w:ascii="宋体" w:hAnsi="宋体"/>
          <w:b/>
          <w:color w:val="auto"/>
          <w:sz w:val="24"/>
          <w:highlight w:val="none"/>
        </w:rPr>
      </w:pPr>
      <w:bookmarkStart w:id="486" w:name="_Toc30105"/>
      <w:bookmarkStart w:id="487" w:name="_Toc25525"/>
      <w:bookmarkStart w:id="488" w:name="_Toc14814"/>
      <w:bookmarkStart w:id="489" w:name="_Toc7315"/>
      <w:bookmarkStart w:id="490" w:name="_Toc26883"/>
      <w:r>
        <w:rPr>
          <w:rFonts w:ascii="宋体" w:hAnsi="宋体"/>
          <w:b/>
          <w:color w:val="auto"/>
          <w:sz w:val="24"/>
          <w:highlight w:val="none"/>
        </w:rPr>
        <w:t>2.13 乙方破产</w:t>
      </w:r>
      <w:bookmarkEnd w:id="486"/>
      <w:bookmarkEnd w:id="487"/>
      <w:bookmarkEnd w:id="488"/>
      <w:bookmarkEnd w:id="489"/>
      <w:bookmarkEnd w:id="490"/>
    </w:p>
    <w:p w14:paraId="48DC140A">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495EC16E">
      <w:pPr>
        <w:spacing w:line="560" w:lineRule="exact"/>
        <w:ind w:firstLine="482" w:firstLineChars="200"/>
        <w:outlineLvl w:val="0"/>
        <w:rPr>
          <w:rFonts w:ascii="宋体" w:hAnsi="宋体"/>
          <w:b/>
          <w:color w:val="auto"/>
          <w:sz w:val="24"/>
          <w:highlight w:val="none"/>
        </w:rPr>
      </w:pPr>
      <w:bookmarkStart w:id="491" w:name="_Toc23323"/>
      <w:bookmarkStart w:id="492" w:name="_Toc1123"/>
      <w:bookmarkStart w:id="493" w:name="_Toc2016"/>
      <w:r>
        <w:rPr>
          <w:rFonts w:ascii="宋体" w:hAnsi="宋体"/>
          <w:b/>
          <w:color w:val="auto"/>
          <w:sz w:val="24"/>
          <w:highlight w:val="none"/>
        </w:rPr>
        <w:t>2.14 合同中止、终止</w:t>
      </w:r>
      <w:bookmarkEnd w:id="491"/>
      <w:bookmarkEnd w:id="492"/>
      <w:bookmarkEnd w:id="493"/>
    </w:p>
    <w:p w14:paraId="10E46CE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6BAD55A9">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69D6578">
      <w:pPr>
        <w:spacing w:line="560" w:lineRule="exact"/>
        <w:ind w:firstLine="482" w:firstLineChars="200"/>
        <w:outlineLvl w:val="0"/>
        <w:rPr>
          <w:rFonts w:ascii="宋体" w:hAnsi="宋体"/>
          <w:b/>
          <w:color w:val="auto"/>
          <w:sz w:val="24"/>
          <w:highlight w:val="none"/>
        </w:rPr>
      </w:pPr>
      <w:bookmarkStart w:id="494" w:name="_Toc17363"/>
      <w:bookmarkStart w:id="495" w:name="_Toc14525"/>
      <w:bookmarkStart w:id="496" w:name="_Toc1969"/>
      <w:r>
        <w:rPr>
          <w:rFonts w:ascii="宋体" w:hAnsi="宋体"/>
          <w:b/>
          <w:color w:val="auto"/>
          <w:sz w:val="24"/>
          <w:highlight w:val="none"/>
        </w:rPr>
        <w:t>2.15 检验和验收</w:t>
      </w:r>
      <w:bookmarkEnd w:id="494"/>
      <w:bookmarkEnd w:id="495"/>
      <w:bookmarkEnd w:id="496"/>
    </w:p>
    <w:p w14:paraId="6180D2C7">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7EC90699">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1D2611F">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390D8CE6">
      <w:pPr>
        <w:spacing w:line="560" w:lineRule="exact"/>
        <w:ind w:firstLine="482" w:firstLineChars="200"/>
        <w:outlineLvl w:val="0"/>
        <w:rPr>
          <w:rFonts w:ascii="宋体" w:hAnsi="宋体"/>
          <w:b/>
          <w:color w:val="auto"/>
          <w:sz w:val="24"/>
          <w:highlight w:val="none"/>
        </w:rPr>
      </w:pPr>
      <w:bookmarkStart w:id="497" w:name="_Toc12666"/>
      <w:bookmarkStart w:id="498" w:name="_Toc25198"/>
      <w:bookmarkStart w:id="499" w:name="_Toc2308"/>
      <w:bookmarkStart w:id="500" w:name="_Toc31892"/>
      <w:bookmarkStart w:id="501" w:name="_Toc9808"/>
      <w:r>
        <w:rPr>
          <w:rFonts w:ascii="宋体" w:hAnsi="宋体"/>
          <w:b/>
          <w:color w:val="auto"/>
          <w:sz w:val="24"/>
          <w:highlight w:val="none"/>
        </w:rPr>
        <w:t>2.16 通知和送达</w:t>
      </w:r>
      <w:bookmarkEnd w:id="497"/>
      <w:bookmarkEnd w:id="498"/>
      <w:bookmarkEnd w:id="499"/>
      <w:bookmarkEnd w:id="500"/>
      <w:bookmarkEnd w:id="501"/>
    </w:p>
    <w:p w14:paraId="79F22033">
      <w:pPr>
        <w:spacing w:line="560" w:lineRule="exact"/>
        <w:ind w:firstLine="480" w:firstLineChars="200"/>
        <w:rPr>
          <w:rFonts w:ascii="宋体" w:hAnsi="宋体"/>
          <w:color w:val="auto"/>
          <w:sz w:val="24"/>
          <w:highlight w:val="none"/>
        </w:rPr>
      </w:pPr>
      <w:bookmarkStart w:id="502" w:name="_Toc27674"/>
      <w:bookmarkStart w:id="503"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61EE0841">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2"/>
      <w:bookmarkEnd w:id="503"/>
    </w:p>
    <w:p w14:paraId="0A4834FB">
      <w:pPr>
        <w:spacing w:line="560" w:lineRule="exact"/>
        <w:ind w:firstLine="482" w:firstLineChars="200"/>
        <w:outlineLvl w:val="0"/>
        <w:rPr>
          <w:rFonts w:ascii="宋体" w:hAnsi="宋体"/>
          <w:b/>
          <w:color w:val="auto"/>
          <w:sz w:val="24"/>
          <w:highlight w:val="none"/>
        </w:rPr>
      </w:pPr>
      <w:bookmarkStart w:id="504" w:name="_Toc28906"/>
      <w:bookmarkStart w:id="505" w:name="_Toc20808"/>
      <w:bookmarkStart w:id="506" w:name="_Toc12254"/>
      <w:bookmarkStart w:id="507" w:name="_Toc27644"/>
      <w:bookmarkStart w:id="508"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4"/>
      <w:bookmarkEnd w:id="505"/>
      <w:bookmarkEnd w:id="506"/>
      <w:bookmarkEnd w:id="507"/>
      <w:bookmarkEnd w:id="508"/>
    </w:p>
    <w:p w14:paraId="5360C6D1">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6C0F7C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04C38737">
      <w:pPr>
        <w:spacing w:line="560" w:lineRule="exact"/>
        <w:ind w:firstLine="482" w:firstLineChars="200"/>
        <w:outlineLvl w:val="0"/>
        <w:rPr>
          <w:rFonts w:ascii="宋体" w:hAnsi="宋体" w:cs="宋体"/>
          <w:b/>
          <w:color w:val="auto"/>
          <w:sz w:val="24"/>
          <w:highlight w:val="none"/>
        </w:rPr>
      </w:pPr>
      <w:bookmarkStart w:id="509" w:name="_Toc4355"/>
      <w:bookmarkStart w:id="510" w:name="_Toc18540"/>
      <w:bookmarkStart w:id="511" w:name="_Toc30599"/>
      <w:r>
        <w:rPr>
          <w:rFonts w:hint="eastAsia" w:ascii="宋体" w:hAnsi="宋体" w:cs="宋体"/>
          <w:b/>
          <w:color w:val="auto"/>
          <w:sz w:val="24"/>
          <w:highlight w:val="none"/>
        </w:rPr>
        <w:t>2.18 计量单位</w:t>
      </w:r>
      <w:bookmarkEnd w:id="509"/>
      <w:bookmarkEnd w:id="510"/>
      <w:bookmarkEnd w:id="511"/>
    </w:p>
    <w:p w14:paraId="63D5C57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21C6DD65">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5F1B9CE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46F1F840">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2" w:name="_Toc331685784"/>
      <w:r>
        <w:rPr>
          <w:rFonts w:hint="eastAsia" w:ascii="宋体" w:hAnsi="宋体" w:cs="宋体"/>
          <w:b/>
          <w:color w:val="auto"/>
          <w:sz w:val="24"/>
          <w:highlight w:val="none"/>
        </w:rPr>
        <w:t xml:space="preserve"> </w:t>
      </w:r>
      <w:bookmarkEnd w:id="512"/>
      <w:r>
        <w:rPr>
          <w:rFonts w:hint="eastAsia" w:ascii="宋体" w:hAnsi="宋体" w:cs="宋体"/>
          <w:b/>
          <w:color w:val="auto"/>
          <w:sz w:val="24"/>
          <w:highlight w:val="none"/>
        </w:rPr>
        <w:t>第三部分  合同专用条款</w:t>
      </w:r>
    </w:p>
    <w:p w14:paraId="01E3B94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275" w:type="pct"/>
        <w:tblInd w:w="-50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418"/>
        <w:gridCol w:w="8210"/>
      </w:tblGrid>
      <w:tr w14:paraId="7ED40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24" w:type="pct"/>
            <w:tcBorders>
              <w:left w:val="single" w:color="auto" w:sz="4" w:space="0"/>
            </w:tcBorders>
            <w:vAlign w:val="center"/>
          </w:tcPr>
          <w:p w14:paraId="64ADBEF9">
            <w:pPr>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条款号</w:t>
            </w:r>
          </w:p>
        </w:tc>
        <w:tc>
          <w:tcPr>
            <w:tcW w:w="4190" w:type="pct"/>
            <w:vAlign w:val="center"/>
          </w:tcPr>
          <w:p w14:paraId="3E77376F">
            <w:pPr>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约定内容</w:t>
            </w:r>
          </w:p>
        </w:tc>
      </w:tr>
      <w:tr w14:paraId="44A4E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24" w:type="pct"/>
            <w:tcBorders>
              <w:left w:val="single" w:color="auto" w:sz="4" w:space="0"/>
            </w:tcBorders>
            <w:vAlign w:val="center"/>
          </w:tcPr>
          <w:p w14:paraId="55819DE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1.4.2</w:t>
            </w:r>
          </w:p>
        </w:tc>
        <w:tc>
          <w:tcPr>
            <w:tcW w:w="4190" w:type="pct"/>
            <w:vAlign w:val="center"/>
          </w:tcPr>
          <w:p w14:paraId="636D6104">
            <w:pPr>
              <w:adjustRightInd/>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合同签订后5个工作日内，乙方向甲方支付合同总金额1%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即：¥</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元</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的履约保证金（保函形式），服务期结束且权利义务清算完毕后，履约保证金10个工作日内无息退还。</w:t>
            </w:r>
          </w:p>
        </w:tc>
      </w:tr>
      <w:tr w14:paraId="46C1C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24" w:type="pct"/>
            <w:tcBorders>
              <w:left w:val="single" w:color="auto" w:sz="4" w:space="0"/>
            </w:tcBorders>
            <w:vAlign w:val="center"/>
          </w:tcPr>
          <w:p w14:paraId="0934714A">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1.5.1</w:t>
            </w:r>
          </w:p>
        </w:tc>
        <w:tc>
          <w:tcPr>
            <w:tcW w:w="4190" w:type="pct"/>
            <w:vAlign w:val="center"/>
          </w:tcPr>
          <w:p w14:paraId="68D94557">
            <w:pPr>
              <w:adjustRightInd/>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合同生效且具备实施条件后</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个工作日内，</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向</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支付合同金额的20%作为预付款</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即：¥</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元</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p>
        </w:tc>
      </w:tr>
      <w:tr w14:paraId="5F1F8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24" w:type="pct"/>
            <w:tcBorders>
              <w:left w:val="single" w:color="auto" w:sz="4" w:space="0"/>
            </w:tcBorders>
            <w:vAlign w:val="center"/>
          </w:tcPr>
          <w:p w14:paraId="4AC64C75">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1.5.2</w:t>
            </w:r>
          </w:p>
        </w:tc>
        <w:tc>
          <w:tcPr>
            <w:tcW w:w="4190" w:type="pct"/>
            <w:vAlign w:val="center"/>
          </w:tcPr>
          <w:p w14:paraId="779BF9B4">
            <w:pPr>
              <w:adjustRightInd/>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r>
      <w:tr w14:paraId="18912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24" w:type="pct"/>
            <w:tcBorders>
              <w:left w:val="single" w:color="auto" w:sz="4" w:space="0"/>
            </w:tcBorders>
            <w:vAlign w:val="center"/>
          </w:tcPr>
          <w:p w14:paraId="732E9DCB">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w:t>
            </w:r>
          </w:p>
        </w:tc>
        <w:tc>
          <w:tcPr>
            <w:tcW w:w="4190" w:type="pct"/>
            <w:vAlign w:val="center"/>
          </w:tcPr>
          <w:p w14:paraId="3CFAFBBC">
            <w:pPr>
              <w:adjustRightInd/>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r>
      <w:tr w14:paraId="6F43E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24" w:type="pct"/>
            <w:tcBorders>
              <w:left w:val="single" w:color="auto" w:sz="4" w:space="0"/>
            </w:tcBorders>
            <w:vAlign w:val="center"/>
          </w:tcPr>
          <w:p w14:paraId="364033EA">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1.6.2</w:t>
            </w:r>
          </w:p>
        </w:tc>
        <w:tc>
          <w:tcPr>
            <w:tcW w:w="4190" w:type="pct"/>
            <w:vAlign w:val="center"/>
          </w:tcPr>
          <w:p w14:paraId="321AF632">
            <w:pPr>
              <w:widowControl/>
              <w:tabs>
                <w:tab w:val="left" w:pos="1212"/>
                <w:tab w:val="left" w:pos="3888"/>
              </w:tabs>
              <w:snapToGrid w:val="0"/>
              <w:spacing w:line="360" w:lineRule="auto"/>
              <w:ind w:firstLine="42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lang w:eastAsia="zh-CN"/>
              </w:rPr>
              <w:t>）付款方式</w:t>
            </w:r>
          </w:p>
          <w:p w14:paraId="2EAA7F8E">
            <w:pPr>
              <w:widowControl/>
              <w:tabs>
                <w:tab w:val="left" w:pos="1212"/>
                <w:tab w:val="left" w:pos="3888"/>
              </w:tabs>
              <w:snapToGrid w:val="0"/>
              <w:spacing w:line="360" w:lineRule="auto"/>
              <w:ind w:firstLine="42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①合同签订后</w:t>
            </w:r>
            <w:r>
              <w:rPr>
                <w:rFonts w:hint="eastAsia" w:asciiTheme="minorEastAsia" w:hAnsiTheme="minorEastAsia" w:eastAsiaTheme="minorEastAsia" w:cstheme="minorEastAsia"/>
                <w:color w:val="auto"/>
                <w:kern w:val="0"/>
                <w:sz w:val="24"/>
                <w:szCs w:val="24"/>
                <w:highlight w:val="none"/>
                <w:lang w:val="en-US" w:eastAsia="zh-CN"/>
              </w:rPr>
              <w:t>7</w:t>
            </w:r>
            <w:r>
              <w:rPr>
                <w:rFonts w:hint="eastAsia" w:asciiTheme="minorEastAsia" w:hAnsiTheme="minorEastAsia" w:eastAsiaTheme="minorEastAsia" w:cstheme="minorEastAsia"/>
                <w:color w:val="auto"/>
                <w:kern w:val="0"/>
                <w:sz w:val="24"/>
                <w:szCs w:val="24"/>
                <w:highlight w:val="none"/>
                <w:lang w:eastAsia="zh-CN"/>
              </w:rPr>
              <w:t>个工作日内，</w:t>
            </w:r>
            <w:r>
              <w:rPr>
                <w:rFonts w:hint="eastAsia" w:asciiTheme="minorEastAsia" w:hAnsiTheme="minorEastAsia" w:eastAsiaTheme="minorEastAsia" w:cstheme="minorEastAsia"/>
                <w:color w:val="auto"/>
                <w:kern w:val="0"/>
                <w:sz w:val="24"/>
                <w:szCs w:val="24"/>
                <w:highlight w:val="none"/>
                <w:lang w:val="en-US" w:eastAsia="zh-CN"/>
              </w:rPr>
              <w:t>乙方</w:t>
            </w:r>
            <w:r>
              <w:rPr>
                <w:rFonts w:hint="eastAsia" w:asciiTheme="minorEastAsia" w:hAnsiTheme="minorEastAsia" w:eastAsiaTheme="minorEastAsia" w:cstheme="minorEastAsia"/>
                <w:color w:val="auto"/>
                <w:kern w:val="0"/>
                <w:sz w:val="24"/>
                <w:szCs w:val="24"/>
                <w:highlight w:val="none"/>
                <w:lang w:eastAsia="zh-CN"/>
              </w:rPr>
              <w:t>须向</w:t>
            </w:r>
            <w:r>
              <w:rPr>
                <w:rFonts w:hint="eastAsia" w:asciiTheme="minorEastAsia" w:hAnsiTheme="minorEastAsia" w:eastAsiaTheme="minorEastAsia" w:cstheme="minorEastAsia"/>
                <w:color w:val="auto"/>
                <w:kern w:val="0"/>
                <w:sz w:val="24"/>
                <w:szCs w:val="24"/>
                <w:highlight w:val="none"/>
                <w:lang w:val="en-US" w:eastAsia="zh-CN"/>
              </w:rPr>
              <w:t>甲方</w:t>
            </w:r>
            <w:r>
              <w:rPr>
                <w:rFonts w:hint="eastAsia" w:asciiTheme="minorEastAsia" w:hAnsiTheme="minorEastAsia" w:eastAsiaTheme="minorEastAsia" w:cstheme="minorEastAsia"/>
                <w:color w:val="auto"/>
                <w:kern w:val="0"/>
                <w:sz w:val="24"/>
                <w:szCs w:val="24"/>
                <w:highlight w:val="none"/>
                <w:lang w:eastAsia="zh-CN"/>
              </w:rPr>
              <w:t>支付中标金额的1%作为履约保证金；履约保证金的交付方式：金融机构、担保机构出具的保函。</w:t>
            </w:r>
          </w:p>
          <w:p w14:paraId="24B59F52">
            <w:pPr>
              <w:widowControl/>
              <w:tabs>
                <w:tab w:val="left" w:pos="1212"/>
                <w:tab w:val="left" w:pos="3888"/>
              </w:tabs>
              <w:snapToGrid w:val="0"/>
              <w:spacing w:line="360" w:lineRule="auto"/>
              <w:ind w:firstLine="42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②</w:t>
            </w:r>
            <w:r>
              <w:rPr>
                <w:rFonts w:hint="eastAsia" w:asciiTheme="minorEastAsia" w:hAnsiTheme="minorEastAsia" w:eastAsiaTheme="minorEastAsia" w:cstheme="minorEastAsia"/>
                <w:color w:val="auto"/>
                <w:kern w:val="0"/>
                <w:sz w:val="24"/>
                <w:szCs w:val="24"/>
                <w:highlight w:val="none"/>
              </w:rPr>
              <w:t>合同生效且具备实施条件后</w:t>
            </w:r>
            <w:r>
              <w:rPr>
                <w:rFonts w:hint="eastAsia" w:asciiTheme="minorEastAsia" w:hAnsiTheme="minorEastAsia" w:eastAsiaTheme="minorEastAsia" w:cstheme="minorEastAsia"/>
                <w:color w:val="auto"/>
                <w:kern w:val="0"/>
                <w:sz w:val="24"/>
                <w:szCs w:val="24"/>
                <w:highlight w:val="none"/>
                <w:lang w:val="en-US" w:eastAsia="zh-CN"/>
              </w:rPr>
              <w:t>7</w:t>
            </w:r>
            <w:r>
              <w:rPr>
                <w:rFonts w:hint="eastAsia" w:asciiTheme="minorEastAsia" w:hAnsiTheme="minorEastAsia" w:eastAsiaTheme="minorEastAsia" w:cstheme="minorEastAsia"/>
                <w:color w:val="auto"/>
                <w:kern w:val="0"/>
                <w:sz w:val="24"/>
                <w:szCs w:val="24"/>
                <w:highlight w:val="none"/>
              </w:rPr>
              <w:t>个工作日内，</w:t>
            </w:r>
            <w:r>
              <w:rPr>
                <w:rFonts w:hint="eastAsia" w:asciiTheme="minorEastAsia" w:hAnsiTheme="minorEastAsia" w:eastAsiaTheme="minorEastAsia" w:cstheme="minorEastAsia"/>
                <w:color w:val="auto"/>
                <w:kern w:val="0"/>
                <w:sz w:val="24"/>
                <w:szCs w:val="24"/>
                <w:highlight w:val="none"/>
                <w:lang w:val="en-US" w:eastAsia="zh-CN"/>
              </w:rPr>
              <w:t>甲方</w:t>
            </w:r>
            <w:r>
              <w:rPr>
                <w:rFonts w:hint="eastAsia" w:asciiTheme="minorEastAsia" w:hAnsiTheme="minorEastAsia" w:eastAsiaTheme="minorEastAsia" w:cstheme="minorEastAsia"/>
                <w:color w:val="auto"/>
                <w:kern w:val="0"/>
                <w:sz w:val="24"/>
                <w:szCs w:val="24"/>
                <w:highlight w:val="none"/>
              </w:rPr>
              <w:t>向</w:t>
            </w:r>
            <w:r>
              <w:rPr>
                <w:rFonts w:hint="eastAsia" w:asciiTheme="minorEastAsia" w:hAnsiTheme="minorEastAsia" w:eastAsiaTheme="minorEastAsia" w:cstheme="minorEastAsia"/>
                <w:color w:val="auto"/>
                <w:kern w:val="0"/>
                <w:sz w:val="24"/>
                <w:szCs w:val="24"/>
                <w:highlight w:val="none"/>
                <w:lang w:val="en-US" w:eastAsia="zh-CN"/>
              </w:rPr>
              <w:t>乙方</w:t>
            </w:r>
            <w:r>
              <w:rPr>
                <w:rFonts w:hint="eastAsia" w:asciiTheme="minorEastAsia" w:hAnsiTheme="minorEastAsia" w:eastAsiaTheme="minorEastAsia" w:cstheme="minorEastAsia"/>
                <w:color w:val="auto"/>
                <w:kern w:val="0"/>
                <w:sz w:val="24"/>
                <w:szCs w:val="24"/>
                <w:highlight w:val="none"/>
              </w:rPr>
              <w:t>支付合同金额的</w:t>
            </w:r>
            <w:r>
              <w:rPr>
                <w:rFonts w:hint="eastAsia" w:asciiTheme="minorEastAsia" w:hAnsiTheme="minorEastAsia" w:eastAsiaTheme="minorEastAsia" w:cstheme="minorEastAsia"/>
                <w:color w:val="auto"/>
                <w:kern w:val="0"/>
                <w:sz w:val="24"/>
                <w:szCs w:val="24"/>
                <w:highlight w:val="none"/>
                <w:lang w:val="en-US" w:eastAsia="zh-CN"/>
              </w:rPr>
              <w:t>20</w:t>
            </w:r>
            <w:r>
              <w:rPr>
                <w:rFonts w:hint="eastAsia" w:asciiTheme="minorEastAsia" w:hAnsiTheme="minorEastAsia" w:eastAsiaTheme="minorEastAsia" w:cstheme="minorEastAsia"/>
                <w:color w:val="auto"/>
                <w:kern w:val="0"/>
                <w:sz w:val="24"/>
                <w:szCs w:val="24"/>
                <w:highlight w:val="none"/>
              </w:rPr>
              <w:t>%作为预付款</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即：¥</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元</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w:t>
            </w:r>
          </w:p>
          <w:p w14:paraId="135FAE52">
            <w:pPr>
              <w:widowControl/>
              <w:tabs>
                <w:tab w:val="left" w:pos="1212"/>
                <w:tab w:val="left" w:pos="3888"/>
              </w:tabs>
              <w:snapToGrid w:val="0"/>
              <w:spacing w:line="360" w:lineRule="auto"/>
              <w:ind w:firstLine="42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③</w:t>
            </w:r>
            <w:r>
              <w:rPr>
                <w:rFonts w:hint="eastAsia" w:asciiTheme="minorEastAsia" w:hAnsiTheme="minorEastAsia" w:eastAsiaTheme="minorEastAsia" w:cstheme="minorEastAsia"/>
                <w:color w:val="auto"/>
                <w:kern w:val="0"/>
                <w:sz w:val="24"/>
                <w:szCs w:val="24"/>
                <w:highlight w:val="none"/>
              </w:rPr>
              <w:t>合同款按每季度支付（在下季度的首月支付上一季度服务费用），服务期结束且权利义务清算完毕后，</w:t>
            </w:r>
            <w:r>
              <w:rPr>
                <w:rFonts w:hint="eastAsia" w:asciiTheme="minorEastAsia" w:hAnsiTheme="minorEastAsia" w:eastAsiaTheme="minorEastAsia" w:cstheme="minorEastAsia"/>
                <w:color w:val="auto"/>
                <w:kern w:val="0"/>
                <w:sz w:val="24"/>
                <w:szCs w:val="24"/>
                <w:highlight w:val="none"/>
                <w:lang w:val="en-US" w:eastAsia="zh-CN"/>
              </w:rPr>
              <w:t>甲方</w:t>
            </w:r>
            <w:r>
              <w:rPr>
                <w:rFonts w:hint="eastAsia" w:asciiTheme="minorEastAsia" w:hAnsiTheme="minorEastAsia" w:eastAsiaTheme="minorEastAsia" w:cstheme="minorEastAsia"/>
                <w:color w:val="auto"/>
                <w:kern w:val="0"/>
                <w:sz w:val="24"/>
                <w:szCs w:val="24"/>
                <w:highlight w:val="none"/>
              </w:rPr>
              <w:t>无息退还剩余履约保证金。</w:t>
            </w:r>
          </w:p>
          <w:p w14:paraId="56987922">
            <w:pPr>
              <w:widowControl/>
              <w:tabs>
                <w:tab w:val="left" w:pos="1212"/>
                <w:tab w:val="left" w:pos="3888"/>
              </w:tabs>
              <w:snapToGrid w:val="0"/>
              <w:spacing w:line="360" w:lineRule="auto"/>
              <w:ind w:firstLine="42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SA"/>
              </w:rPr>
              <w:t>（2）</w:t>
            </w:r>
            <w:r>
              <w:rPr>
                <w:rFonts w:hint="eastAsia" w:asciiTheme="minorEastAsia" w:hAnsiTheme="minorEastAsia" w:eastAsiaTheme="minorEastAsia" w:cstheme="minorEastAsia"/>
                <w:color w:val="auto"/>
                <w:kern w:val="0"/>
                <w:sz w:val="24"/>
                <w:szCs w:val="24"/>
                <w:highlight w:val="none"/>
              </w:rPr>
              <w:t>付款条件</w:t>
            </w:r>
          </w:p>
          <w:p w14:paraId="530D2A96">
            <w:pPr>
              <w:tabs>
                <w:tab w:val="left" w:pos="0"/>
              </w:tabs>
              <w:adjustRightInd/>
              <w:snapToGrid w:val="0"/>
              <w:spacing w:line="360" w:lineRule="auto"/>
              <w:ind w:firstLine="480" w:firstLineChars="200"/>
              <w:jc w:val="left"/>
              <w:outlineLvl w:val="1"/>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①甲方在收到乙方开具的符合法律法规规定发票后，以转账支付的方式，支付给乙方服务费。乙方逾期开具发票或开具的发票不符合甲方要求的，甲方有权延迟付款时间，且该行为不视为违约。</w:t>
            </w:r>
          </w:p>
          <w:p w14:paraId="2F59A4FF">
            <w:pPr>
              <w:tabs>
                <w:tab w:val="left" w:pos="0"/>
              </w:tabs>
              <w:adjustRightInd/>
              <w:snapToGrid w:val="0"/>
              <w:spacing w:line="360" w:lineRule="auto"/>
              <w:ind w:firstLine="480" w:firstLineChars="200"/>
              <w:jc w:val="left"/>
              <w:outlineLvl w:val="1"/>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②在签订合同时，乙方明确表示无需预付款或者主动要求降低预付款比例的，甲方可不适用上述（1）第①项预付款的规定。</w:t>
            </w:r>
          </w:p>
          <w:p w14:paraId="779CA124">
            <w:pPr>
              <w:pStyle w:val="81"/>
              <w:rPr>
                <w:rFonts w:hint="default" w:asciiTheme="minorEastAsia" w:hAnsiTheme="minorEastAsia" w:eastAsiaTheme="minorEastAsia" w:cstheme="minorEastAsia"/>
                <w:color w:val="auto"/>
                <w:kern w:val="0"/>
                <w:sz w:val="24"/>
                <w:szCs w:val="24"/>
                <w:highlight w:val="none"/>
                <w:u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乙方收款账号信息：</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none"/>
                <w:lang w:val="en-US" w:eastAsia="zh-CN"/>
              </w:rPr>
              <w:t>。</w:t>
            </w:r>
          </w:p>
        </w:tc>
      </w:tr>
      <w:tr w14:paraId="6BDF6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24" w:type="pct"/>
            <w:tcBorders>
              <w:left w:val="single" w:color="auto" w:sz="4" w:space="0"/>
            </w:tcBorders>
            <w:vAlign w:val="center"/>
          </w:tcPr>
          <w:p w14:paraId="0CE41F6A">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1.7.1</w:t>
            </w:r>
          </w:p>
        </w:tc>
        <w:tc>
          <w:tcPr>
            <w:tcW w:w="4190" w:type="pct"/>
            <w:vAlign w:val="center"/>
          </w:tcPr>
          <w:p w14:paraId="3996A93B">
            <w:pPr>
              <w:pStyle w:val="134"/>
              <w:adjustRightInd/>
              <w:spacing w:before="0"/>
              <w:ind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合同履约期限：</w:t>
            </w:r>
            <w:r>
              <w:rPr>
                <w:rFonts w:hint="eastAsia" w:asciiTheme="minorEastAsia" w:hAnsiTheme="minorEastAsia" w:eastAsiaTheme="minorEastAsia" w:cstheme="minorEastAsia"/>
                <w:color w:val="auto"/>
                <w:sz w:val="24"/>
                <w:szCs w:val="24"/>
                <w:highlight w:val="none"/>
                <w:lang w:eastAsia="zh-CN"/>
              </w:rPr>
              <w:t>1年（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日至</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日</w:t>
            </w:r>
            <w:r>
              <w:rPr>
                <w:rFonts w:hint="eastAsia" w:asciiTheme="minorEastAsia" w:hAnsiTheme="minorEastAsia" w:eastAsiaTheme="minorEastAsia" w:cstheme="minorEastAsia"/>
                <w:color w:val="auto"/>
                <w:sz w:val="24"/>
                <w:szCs w:val="24"/>
                <w:highlight w:val="none"/>
                <w:lang w:eastAsia="zh-CN"/>
              </w:rPr>
              <w:t>）</w:t>
            </w:r>
          </w:p>
        </w:tc>
      </w:tr>
      <w:tr w14:paraId="16C96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24" w:type="pct"/>
            <w:tcBorders>
              <w:left w:val="single" w:color="auto" w:sz="4" w:space="0"/>
            </w:tcBorders>
            <w:vAlign w:val="center"/>
          </w:tcPr>
          <w:p w14:paraId="47A1B88C">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1.7.2</w:t>
            </w:r>
          </w:p>
        </w:tc>
        <w:tc>
          <w:tcPr>
            <w:tcW w:w="4190" w:type="pct"/>
            <w:vAlign w:val="center"/>
          </w:tcPr>
          <w:p w14:paraId="6F3C9FD4">
            <w:pPr>
              <w:adjustRightInd/>
              <w:snapToGrid w:val="0"/>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杭州市钱塘区人民政府新湾街道办事处</w:t>
            </w:r>
          </w:p>
        </w:tc>
      </w:tr>
      <w:tr w14:paraId="15ABB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24" w:type="pct"/>
            <w:tcBorders>
              <w:left w:val="single" w:color="auto" w:sz="4" w:space="0"/>
            </w:tcBorders>
            <w:vAlign w:val="center"/>
          </w:tcPr>
          <w:p w14:paraId="7AD0681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1.7.3</w:t>
            </w:r>
          </w:p>
        </w:tc>
        <w:tc>
          <w:tcPr>
            <w:tcW w:w="4190" w:type="pct"/>
            <w:vAlign w:val="center"/>
          </w:tcPr>
          <w:p w14:paraId="5A7568FF">
            <w:pPr>
              <w:adjustRightInd/>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现场交付</w:t>
            </w:r>
          </w:p>
        </w:tc>
      </w:tr>
      <w:tr w14:paraId="19E23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24" w:type="pct"/>
            <w:tcBorders>
              <w:left w:val="single" w:color="auto" w:sz="4" w:space="0"/>
            </w:tcBorders>
            <w:vAlign w:val="center"/>
          </w:tcPr>
          <w:p w14:paraId="23C5594E">
            <w:pPr>
              <w:adjustRightInd/>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1.8.7</w:t>
            </w:r>
          </w:p>
        </w:tc>
        <w:tc>
          <w:tcPr>
            <w:tcW w:w="4190" w:type="pct"/>
            <w:vAlign w:val="center"/>
          </w:tcPr>
          <w:p w14:paraId="6368C98A">
            <w:pPr>
              <w:pStyle w:val="134"/>
              <w:adjustRightInd/>
              <w:spacing w:before="0"/>
              <w:ind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（1）甲方无正当理由拒收接受服务的，甲方向乙方偿付合同款项百分之五作为违约金。</w:t>
            </w:r>
          </w:p>
          <w:p w14:paraId="55B5C1F9">
            <w:pPr>
              <w:pStyle w:val="134"/>
              <w:adjustRightInd/>
              <w:spacing w:before="0"/>
              <w:ind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（2）甲方无故逾期验收和办理款项支付手续的,甲方应按逾期付款总额每日万分之五向乙方支付违约金。</w:t>
            </w:r>
          </w:p>
          <w:p w14:paraId="67437DFE">
            <w:pPr>
              <w:pStyle w:val="134"/>
              <w:adjustRightInd/>
              <w:spacing w:before="0"/>
              <w:ind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乙方未能如期提供服务的，每日向甲方支付合同款项的千分之六作为违约金。乙方超过约定日期10个工作日仍不能提供服务的，甲方有权单方解除本合同。乙方因未能如期提供服务或因其他违约行为导致甲方解除合同的，乙方应向甲方支付合同总值的百分之五作为违约金；如造成甲方损失超过违约金的，超出部分由乙方继续承担赔偿责任。</w:t>
            </w:r>
          </w:p>
          <w:p w14:paraId="016190F9">
            <w:pPr>
              <w:pStyle w:val="134"/>
              <w:adjustRightInd/>
              <w:spacing w:before="0"/>
              <w:ind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（4）乙方在服务期内，执行本项目过程中必须接受甲方和有关部门的检查和监督。甲方发现乙方有违反合同约定的，有权单方终止合同。</w:t>
            </w:r>
          </w:p>
          <w:p w14:paraId="645DEEF6">
            <w:pPr>
              <w:pStyle w:val="134"/>
              <w:adjustRightInd/>
              <w:spacing w:before="0"/>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乙方如不配合对甲方的技术交底、咨询、服务或不配合甲方与相关政府部门的咨询、服务、沟通工作，其主要责任规划人员不能如约到位时（如主要责任规划人因故不能到位，可另行指定委托代理人，并书面经甲方确认），每缺席一次，乙方应承担违约金人民币2000元，但甲方应该提前二个工作日通知乙方每次进行咨询、服务、沟通的具体地点和时间，给予乙方必要的准备时间。</w:t>
            </w:r>
          </w:p>
          <w:p w14:paraId="4ED76047">
            <w:pPr>
              <w:adjustRightInd/>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甲方有权要求乙方更换不能胜任本项目规划工作的人员，乙方应当在收到甲方更换评估负责人员通知书后2个工作日内将符合甲方要求的评估负责人更换到位。否则，每延误一天，甲方有权要求乙方承担违约金人民币3000元，直至人员更换到位。</w:t>
            </w:r>
          </w:p>
        </w:tc>
      </w:tr>
      <w:tr w14:paraId="1BDEF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24" w:type="pct"/>
            <w:tcBorders>
              <w:left w:val="single" w:color="auto" w:sz="4" w:space="0"/>
            </w:tcBorders>
            <w:vAlign w:val="center"/>
          </w:tcPr>
          <w:p w14:paraId="0DCEEB7A">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1.9.2</w:t>
            </w:r>
          </w:p>
        </w:tc>
        <w:tc>
          <w:tcPr>
            <w:tcW w:w="4190" w:type="pct"/>
            <w:vAlign w:val="center"/>
          </w:tcPr>
          <w:p w14:paraId="461A5AD0">
            <w:pPr>
              <w:adjustRightInd/>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因履行本合同发生争议的，应双方友好协调解决。无法协商解决的，任何一方均可向合同履行地人民法院提起诉讼。</w:t>
            </w:r>
          </w:p>
        </w:tc>
      </w:tr>
      <w:tr w14:paraId="382DA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24" w:type="pct"/>
            <w:tcBorders>
              <w:left w:val="single" w:color="auto" w:sz="4" w:space="0"/>
            </w:tcBorders>
            <w:vAlign w:val="center"/>
          </w:tcPr>
          <w:p w14:paraId="0969AF21">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2.3.2</w:t>
            </w:r>
          </w:p>
        </w:tc>
        <w:tc>
          <w:tcPr>
            <w:tcW w:w="4190" w:type="pct"/>
            <w:vAlign w:val="center"/>
          </w:tcPr>
          <w:p w14:paraId="626AEA2D">
            <w:pPr>
              <w:adjustRightInd/>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r>
      <w:tr w14:paraId="2E5C2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24" w:type="pct"/>
            <w:tcBorders>
              <w:left w:val="single" w:color="auto" w:sz="4" w:space="0"/>
            </w:tcBorders>
            <w:vAlign w:val="center"/>
          </w:tcPr>
          <w:p w14:paraId="132A210F">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4190" w:type="pct"/>
            <w:vAlign w:val="center"/>
          </w:tcPr>
          <w:p w14:paraId="74A79189">
            <w:pPr>
              <w:pStyle w:val="134"/>
              <w:tabs>
                <w:tab w:val="left" w:pos="0"/>
              </w:tabs>
              <w:adjustRightInd/>
              <w:snapToGrid w:val="0"/>
              <w:spacing w:before="0"/>
              <w:ind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（1）结算：</w:t>
            </w:r>
            <w:r>
              <w:rPr>
                <w:rFonts w:hint="eastAsia" w:ascii="宋体" w:hAnsi="宋体" w:cs="宋体"/>
                <w:b/>
                <w:snapToGrid w:val="0"/>
                <w:color w:val="auto"/>
                <w:kern w:val="0"/>
                <w:sz w:val="24"/>
                <w:highlight w:val="none"/>
                <w:lang w:val="en-US" w:eastAsia="zh-CN"/>
              </w:rPr>
              <w:t>特保人员实际用工数量如有增减，根据人员综合单价按实结算。</w:t>
            </w:r>
          </w:p>
          <w:p w14:paraId="205B6114">
            <w:pPr>
              <w:pStyle w:val="83"/>
              <w:adjustRightInd/>
              <w:snapToGrid w:val="0"/>
              <w:spacing w:line="360" w:lineRule="auto"/>
              <w:ind w:firstLine="0" w:firstLineChars="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（2）付款条件</w:t>
            </w:r>
          </w:p>
          <w:p w14:paraId="5261BC96">
            <w:pPr>
              <w:tabs>
                <w:tab w:val="left" w:pos="0"/>
              </w:tabs>
              <w:adjustRightInd/>
              <w:snapToGrid w:val="0"/>
              <w:spacing w:line="360" w:lineRule="auto"/>
              <w:jc w:val="left"/>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①甲方在收到乙方开具的符合法律法规规定发票后，以转账支付的方式，支付给乙方服务费。乙方逾期开具发票或开具的发票不符合甲方要求的，甲方有权延迟付款时间，且该行为不视为违约</w:t>
            </w:r>
            <w:r>
              <w:rPr>
                <w:rFonts w:hint="eastAsia" w:asciiTheme="minorEastAsia" w:hAnsiTheme="minorEastAsia" w:eastAsiaTheme="minorEastAsia" w:cstheme="minorEastAsia"/>
                <w:bCs/>
                <w:color w:val="auto"/>
                <w:sz w:val="24"/>
                <w:szCs w:val="24"/>
                <w:highlight w:val="none"/>
              </w:rPr>
              <w:t>。</w:t>
            </w:r>
          </w:p>
        </w:tc>
      </w:tr>
      <w:tr w14:paraId="57753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24" w:type="pct"/>
            <w:tcBorders>
              <w:left w:val="single" w:color="auto" w:sz="4" w:space="0"/>
            </w:tcBorders>
            <w:vAlign w:val="center"/>
          </w:tcPr>
          <w:p w14:paraId="1091495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2.11.3</w:t>
            </w:r>
          </w:p>
        </w:tc>
        <w:tc>
          <w:tcPr>
            <w:tcW w:w="4190" w:type="pct"/>
            <w:vAlign w:val="center"/>
          </w:tcPr>
          <w:p w14:paraId="708F6488">
            <w:pPr>
              <w:adjustRightInd/>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不可抗力发生后5日内以书面形式变更合同</w:t>
            </w:r>
          </w:p>
        </w:tc>
      </w:tr>
      <w:tr w14:paraId="7559C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24" w:type="pct"/>
            <w:tcBorders>
              <w:left w:val="single" w:color="auto" w:sz="4" w:space="0"/>
            </w:tcBorders>
          </w:tcPr>
          <w:p w14:paraId="4DE2318A">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2.11.4</w:t>
            </w:r>
          </w:p>
        </w:tc>
        <w:tc>
          <w:tcPr>
            <w:tcW w:w="4190" w:type="pct"/>
          </w:tcPr>
          <w:p w14:paraId="44E6406F">
            <w:pPr>
              <w:adjustRightInd/>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不可抗力发生后1日内以书面形式通知对方当事人；不可抗力发生后15日内将有关部门出具的证明文件送达对方当事人。</w:t>
            </w:r>
          </w:p>
        </w:tc>
      </w:tr>
      <w:tr w14:paraId="447A3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24" w:type="pct"/>
            <w:tcBorders>
              <w:left w:val="single" w:color="auto" w:sz="4" w:space="0"/>
            </w:tcBorders>
            <w:vAlign w:val="center"/>
          </w:tcPr>
          <w:p w14:paraId="5470C732">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2.15.1</w:t>
            </w:r>
          </w:p>
        </w:tc>
        <w:tc>
          <w:tcPr>
            <w:tcW w:w="4190" w:type="pct"/>
            <w:vAlign w:val="center"/>
          </w:tcPr>
          <w:p w14:paraId="2C0EC772">
            <w:pPr>
              <w:adjustRightInd/>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满足验收条件之日起10日内组织验收。</w:t>
            </w:r>
          </w:p>
        </w:tc>
      </w:tr>
      <w:tr w14:paraId="39C38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24" w:type="pct"/>
            <w:tcBorders>
              <w:left w:val="single" w:color="auto" w:sz="4" w:space="0"/>
            </w:tcBorders>
            <w:vAlign w:val="center"/>
          </w:tcPr>
          <w:p w14:paraId="7F68A2CC">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2.15.3</w:t>
            </w:r>
          </w:p>
        </w:tc>
        <w:tc>
          <w:tcPr>
            <w:tcW w:w="4190" w:type="pct"/>
            <w:vAlign w:val="center"/>
          </w:tcPr>
          <w:p w14:paraId="43BA65F0">
            <w:pPr>
              <w:adjustRightInd/>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按照《杭州市政府采购履约验收暂行办法》（杭财采监[2019]10号）规定组织对乙方履约的验收。验收方成员应当在验收书上签字，并承担相应的法律责任。如果发现与合同中要求不符，乙方须承担由此发生的一切损失和费用，并接受相应的处理。</w:t>
            </w:r>
          </w:p>
        </w:tc>
      </w:tr>
      <w:tr w14:paraId="0634B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24" w:type="pct"/>
            <w:tcBorders>
              <w:left w:val="single" w:color="auto" w:sz="4" w:space="0"/>
            </w:tcBorders>
          </w:tcPr>
          <w:p w14:paraId="4702BDD7">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2.19</w:t>
            </w:r>
          </w:p>
        </w:tc>
        <w:tc>
          <w:tcPr>
            <w:tcW w:w="4190" w:type="pct"/>
          </w:tcPr>
          <w:p w14:paraId="65634C04">
            <w:pPr>
              <w:adjustRightInd/>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合同份数按甲方执肆份，乙方执叁份规定，每份均具有同等法律效力。</w:t>
            </w:r>
          </w:p>
        </w:tc>
      </w:tr>
      <w:tr w14:paraId="4E49D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24" w:type="pct"/>
            <w:tcBorders>
              <w:left w:val="single" w:color="auto" w:sz="4" w:space="0"/>
            </w:tcBorders>
          </w:tcPr>
          <w:p w14:paraId="217BDAA1">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2.20</w:t>
            </w:r>
          </w:p>
        </w:tc>
        <w:tc>
          <w:tcPr>
            <w:tcW w:w="4190" w:type="pct"/>
          </w:tcPr>
          <w:p w14:paraId="5C7B8217">
            <w:pPr>
              <w:adjustRightInd/>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补充条款：</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tc>
      </w:tr>
    </w:tbl>
    <w:p w14:paraId="162ABA80">
      <w:pPr>
        <w:spacing w:line="360" w:lineRule="auto"/>
        <w:ind w:left="-420" w:leftChars="-200" w:right="-420" w:rightChars="-200" w:firstLine="480" w:firstLineChars="200"/>
        <w:rPr>
          <w:rFonts w:ascii="宋体" w:hAnsi="宋体" w:cs="宋体"/>
          <w:color w:val="auto"/>
          <w:sz w:val="24"/>
          <w:highlight w:val="none"/>
        </w:rPr>
      </w:pPr>
    </w:p>
    <w:p w14:paraId="2CDA7545">
      <w:pPr>
        <w:spacing w:line="360" w:lineRule="auto"/>
        <w:ind w:left="-420" w:leftChars="-200" w:right="-420" w:rightChars="-200" w:firstLine="480" w:firstLineChars="200"/>
        <w:jc w:val="center"/>
        <w:outlineLvl w:val="0"/>
        <w:rPr>
          <w:rFonts w:ascii="宋体" w:hAnsi="宋体" w:cs="宋体"/>
          <w:color w:val="auto"/>
          <w:sz w:val="24"/>
          <w:highlight w:val="none"/>
        </w:rPr>
      </w:pPr>
    </w:p>
    <w:p w14:paraId="377E6D0B">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7BF1BB70">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301CF480">
      <w:pPr>
        <w:spacing w:line="360" w:lineRule="auto"/>
        <w:jc w:val="center"/>
        <w:outlineLvl w:val="0"/>
        <w:rPr>
          <w:rFonts w:ascii="宋体" w:hAnsi="宋体" w:cs="宋体"/>
          <w:b/>
          <w:color w:val="auto"/>
          <w:kern w:val="0"/>
          <w:sz w:val="36"/>
          <w:szCs w:val="36"/>
          <w:highlight w:val="none"/>
        </w:rPr>
      </w:pPr>
    </w:p>
    <w:p w14:paraId="3D3070D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49A9D8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0750C3B">
      <w:pPr>
        <w:spacing w:line="360" w:lineRule="auto"/>
        <w:jc w:val="center"/>
        <w:outlineLvl w:val="0"/>
        <w:rPr>
          <w:rFonts w:ascii="宋体" w:hAnsi="宋体" w:cs="宋体"/>
          <w:b/>
          <w:color w:val="auto"/>
          <w:kern w:val="0"/>
          <w:sz w:val="36"/>
          <w:szCs w:val="36"/>
          <w:highlight w:val="none"/>
        </w:rPr>
      </w:pPr>
    </w:p>
    <w:p w14:paraId="20BE4B4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645151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B31720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8E79DD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FA5819B">
      <w:pPr>
        <w:snapToGrid w:val="0"/>
        <w:spacing w:line="360" w:lineRule="auto"/>
        <w:ind w:firstLine="480" w:firstLineChars="200"/>
        <w:rPr>
          <w:rFonts w:ascii="宋体" w:hAnsi="宋体" w:cs="宋体"/>
          <w:color w:val="auto"/>
          <w:sz w:val="24"/>
          <w:highlight w:val="none"/>
        </w:rPr>
      </w:pPr>
    </w:p>
    <w:p w14:paraId="1812B1C9">
      <w:pPr>
        <w:spacing w:line="360" w:lineRule="auto"/>
        <w:ind w:firstLine="480" w:firstLineChars="200"/>
        <w:rPr>
          <w:rFonts w:ascii="宋体" w:hAnsi="宋体" w:cs="宋体"/>
          <w:color w:val="auto"/>
          <w:sz w:val="24"/>
          <w:highlight w:val="none"/>
        </w:rPr>
      </w:pPr>
    </w:p>
    <w:p w14:paraId="748C76F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2BB1FE2E">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杭州市钱塘区人民政府新湾街道办事处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浙江勋达工程咨询有限公司</w:t>
      </w:r>
      <w:r>
        <w:rPr>
          <w:rFonts w:hint="eastAsia" w:ascii="宋体" w:hAnsi="宋体" w:cs="宋体"/>
          <w:color w:val="auto"/>
          <w:sz w:val="24"/>
          <w:highlight w:val="none"/>
        </w:rPr>
        <w:t>：</w:t>
      </w:r>
    </w:p>
    <w:p w14:paraId="41024C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新湾街道2025—2026年度治安巡逻防控第三方服务采购项目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QTCG-GK-2025-101</w:t>
      </w:r>
      <w:r>
        <w:rPr>
          <w:rFonts w:hint="eastAsia" w:ascii="宋体" w:hAnsi="宋体" w:cs="宋体"/>
          <w:color w:val="auto"/>
          <w:sz w:val="24"/>
          <w:highlight w:val="none"/>
        </w:rPr>
        <w:t>】政府采购活动，郑重承诺：</w:t>
      </w:r>
    </w:p>
    <w:p w14:paraId="18E1B06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CBB433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CBA70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76CA6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28161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E37AD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C4EEBC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0BBB91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8AC5B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8CB5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F74E9F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0FC98CC3">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1BAF7CE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F5E9EE5">
      <w:pPr>
        <w:snapToGrid w:val="0"/>
        <w:spacing w:line="360" w:lineRule="auto"/>
        <w:ind w:right="480"/>
        <w:jc w:val="center"/>
        <w:rPr>
          <w:rFonts w:ascii="宋体" w:hAnsi="宋体" w:cs="宋体"/>
          <w:b/>
          <w:color w:val="auto"/>
          <w:kern w:val="0"/>
          <w:sz w:val="32"/>
          <w:szCs w:val="32"/>
          <w:highlight w:val="none"/>
        </w:rPr>
      </w:pPr>
    </w:p>
    <w:p w14:paraId="5D3F863D">
      <w:pPr>
        <w:snapToGrid w:val="0"/>
        <w:spacing w:line="360" w:lineRule="auto"/>
        <w:ind w:right="480"/>
        <w:jc w:val="center"/>
        <w:rPr>
          <w:rFonts w:ascii="宋体" w:hAnsi="宋体" w:cs="宋体"/>
          <w:b/>
          <w:color w:val="auto"/>
          <w:kern w:val="0"/>
          <w:sz w:val="32"/>
          <w:szCs w:val="32"/>
          <w:highlight w:val="none"/>
        </w:rPr>
      </w:pPr>
    </w:p>
    <w:p w14:paraId="35EB8111">
      <w:pPr>
        <w:snapToGrid w:val="0"/>
        <w:spacing w:line="360" w:lineRule="auto"/>
        <w:ind w:right="480"/>
        <w:jc w:val="center"/>
        <w:rPr>
          <w:rFonts w:ascii="宋体" w:hAnsi="宋体" w:cs="宋体"/>
          <w:b/>
          <w:color w:val="auto"/>
          <w:kern w:val="0"/>
          <w:sz w:val="32"/>
          <w:szCs w:val="32"/>
          <w:highlight w:val="none"/>
        </w:rPr>
      </w:pPr>
    </w:p>
    <w:p w14:paraId="5198A8F0">
      <w:pPr>
        <w:rPr>
          <w:rFonts w:ascii="宋体" w:hAnsi="宋体" w:cs="宋体"/>
          <w:color w:val="auto"/>
          <w:highlight w:val="none"/>
        </w:rPr>
      </w:pPr>
    </w:p>
    <w:p w14:paraId="02B492BC">
      <w:pPr>
        <w:snapToGrid w:val="0"/>
        <w:spacing w:line="360" w:lineRule="auto"/>
        <w:ind w:right="480"/>
        <w:jc w:val="center"/>
        <w:rPr>
          <w:rFonts w:ascii="宋体" w:hAnsi="宋体" w:cs="宋体"/>
          <w:b/>
          <w:color w:val="auto"/>
          <w:kern w:val="0"/>
          <w:sz w:val="32"/>
          <w:szCs w:val="32"/>
          <w:highlight w:val="none"/>
        </w:rPr>
      </w:pPr>
    </w:p>
    <w:p w14:paraId="4682A359">
      <w:pPr>
        <w:snapToGrid w:val="0"/>
        <w:spacing w:line="360" w:lineRule="auto"/>
        <w:ind w:right="480"/>
        <w:jc w:val="center"/>
        <w:rPr>
          <w:rFonts w:ascii="宋体" w:hAnsi="宋体" w:cs="宋体"/>
          <w:b/>
          <w:color w:val="auto"/>
          <w:kern w:val="0"/>
          <w:sz w:val="32"/>
          <w:szCs w:val="32"/>
          <w:highlight w:val="none"/>
        </w:rPr>
      </w:pPr>
    </w:p>
    <w:p w14:paraId="47ED9315">
      <w:pPr>
        <w:snapToGrid w:val="0"/>
        <w:spacing w:line="360" w:lineRule="auto"/>
        <w:ind w:right="480"/>
        <w:jc w:val="center"/>
        <w:rPr>
          <w:rFonts w:ascii="宋体" w:hAnsi="宋体" w:cs="宋体"/>
          <w:b/>
          <w:color w:val="auto"/>
          <w:kern w:val="0"/>
          <w:sz w:val="32"/>
          <w:szCs w:val="32"/>
          <w:highlight w:val="none"/>
        </w:rPr>
      </w:pPr>
    </w:p>
    <w:p w14:paraId="28D76CB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0A211FD">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2F997B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[以联合体形式投标的，提供联合协议（附件5）；本项目不接受联合体投标或者供应商不以联合体形式投标的，则不需要提供）]</w:t>
      </w:r>
    </w:p>
    <w:p w14:paraId="4BEDD4B9">
      <w:pPr>
        <w:snapToGrid w:val="0"/>
        <w:spacing w:line="360" w:lineRule="auto"/>
        <w:ind w:right="480"/>
        <w:jc w:val="center"/>
        <w:rPr>
          <w:rFonts w:ascii="宋体" w:hAnsi="宋体" w:cs="宋体"/>
          <w:b/>
          <w:color w:val="auto"/>
          <w:kern w:val="0"/>
          <w:sz w:val="32"/>
          <w:szCs w:val="32"/>
          <w:highlight w:val="none"/>
        </w:rPr>
      </w:pPr>
    </w:p>
    <w:p w14:paraId="6BD73103">
      <w:pPr>
        <w:snapToGrid w:val="0"/>
        <w:spacing w:line="360" w:lineRule="auto"/>
        <w:ind w:right="480"/>
        <w:jc w:val="center"/>
        <w:rPr>
          <w:rFonts w:ascii="宋体" w:hAnsi="宋体" w:cs="宋体"/>
          <w:b/>
          <w:color w:val="auto"/>
          <w:kern w:val="0"/>
          <w:sz w:val="32"/>
          <w:szCs w:val="32"/>
          <w:highlight w:val="none"/>
        </w:rPr>
      </w:pPr>
    </w:p>
    <w:p w14:paraId="1C0B9AD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2FB2E59">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1F018CB">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B61EDB2">
      <w:pPr>
        <w:widowControl/>
        <w:spacing w:line="360" w:lineRule="auto"/>
        <w:ind w:firstLine="480"/>
        <w:jc w:val="left"/>
        <w:rPr>
          <w:rFonts w:ascii="宋体" w:hAnsi="宋体" w:cs="宋体"/>
          <w:color w:val="auto"/>
          <w:sz w:val="24"/>
          <w:highlight w:val="none"/>
        </w:rPr>
      </w:pPr>
    </w:p>
    <w:p w14:paraId="41F096B0">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4E655C0">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57DD1B1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2080722">
      <w:pPr>
        <w:widowControl/>
        <w:spacing w:line="360" w:lineRule="auto"/>
        <w:ind w:left="150"/>
        <w:jc w:val="center"/>
        <w:rPr>
          <w:rFonts w:ascii="宋体" w:hAnsi="宋体" w:cs="宋体"/>
          <w:b/>
          <w:color w:val="auto"/>
          <w:kern w:val="0"/>
          <w:sz w:val="32"/>
          <w:szCs w:val="32"/>
          <w:highlight w:val="none"/>
        </w:rPr>
      </w:pPr>
    </w:p>
    <w:p w14:paraId="123CE741">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747A41E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292A4B1">
      <w:pPr>
        <w:rPr>
          <w:rFonts w:ascii="宋体" w:hAnsi="宋体" w:cs="宋体"/>
          <w:color w:val="auto"/>
          <w:highlight w:val="none"/>
        </w:rPr>
      </w:pPr>
    </w:p>
    <w:p w14:paraId="2DC9E54E">
      <w:pPr>
        <w:snapToGrid w:val="0"/>
        <w:spacing w:line="360" w:lineRule="auto"/>
        <w:ind w:right="480"/>
        <w:jc w:val="center"/>
        <w:rPr>
          <w:rFonts w:ascii="宋体" w:hAnsi="宋体" w:cs="宋体"/>
          <w:b/>
          <w:color w:val="auto"/>
          <w:kern w:val="0"/>
          <w:sz w:val="32"/>
          <w:szCs w:val="32"/>
          <w:highlight w:val="none"/>
        </w:rPr>
      </w:pPr>
    </w:p>
    <w:p w14:paraId="412A2DF3">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7BA59CC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82BA85A">
      <w:pPr>
        <w:spacing w:line="360" w:lineRule="auto"/>
        <w:jc w:val="center"/>
        <w:outlineLvl w:val="0"/>
        <w:rPr>
          <w:rFonts w:ascii="宋体" w:hAnsi="宋体" w:cs="宋体"/>
          <w:b/>
          <w:color w:val="auto"/>
          <w:kern w:val="0"/>
          <w:sz w:val="24"/>
          <w:highlight w:val="none"/>
        </w:rPr>
      </w:pPr>
    </w:p>
    <w:p w14:paraId="01FE4E83">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6ADC6B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9548E7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AB600F8">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4F83D0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55949ED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5E6F86F">
      <w:pPr>
        <w:snapToGrid w:val="0"/>
        <w:spacing w:line="360" w:lineRule="auto"/>
        <w:jc w:val="center"/>
        <w:rPr>
          <w:rFonts w:ascii="宋体" w:hAnsi="宋体" w:cs="宋体"/>
          <w:b/>
          <w:color w:val="auto"/>
          <w:kern w:val="0"/>
          <w:sz w:val="32"/>
          <w:szCs w:val="32"/>
          <w:highlight w:val="none"/>
          <w:lang w:val="zh-CN"/>
        </w:rPr>
      </w:pPr>
    </w:p>
    <w:p w14:paraId="24167429">
      <w:pPr>
        <w:snapToGrid w:val="0"/>
        <w:spacing w:line="360" w:lineRule="auto"/>
        <w:jc w:val="center"/>
        <w:rPr>
          <w:rFonts w:ascii="宋体" w:hAnsi="宋体" w:cs="宋体"/>
          <w:b/>
          <w:color w:val="auto"/>
          <w:kern w:val="0"/>
          <w:sz w:val="32"/>
          <w:szCs w:val="32"/>
          <w:highlight w:val="none"/>
          <w:lang w:val="zh-CN"/>
        </w:rPr>
      </w:pPr>
    </w:p>
    <w:p w14:paraId="43AACDAC">
      <w:pPr>
        <w:snapToGrid w:val="0"/>
        <w:spacing w:line="360" w:lineRule="auto"/>
        <w:jc w:val="center"/>
        <w:rPr>
          <w:rFonts w:ascii="宋体" w:hAnsi="宋体" w:cs="宋体"/>
          <w:b/>
          <w:color w:val="auto"/>
          <w:kern w:val="0"/>
          <w:sz w:val="32"/>
          <w:szCs w:val="32"/>
          <w:highlight w:val="none"/>
          <w:lang w:val="zh-CN"/>
        </w:rPr>
      </w:pPr>
    </w:p>
    <w:p w14:paraId="518CFE54">
      <w:pPr>
        <w:snapToGrid w:val="0"/>
        <w:spacing w:line="360" w:lineRule="auto"/>
        <w:jc w:val="center"/>
        <w:rPr>
          <w:rFonts w:ascii="宋体" w:hAnsi="宋体" w:cs="宋体"/>
          <w:b/>
          <w:color w:val="auto"/>
          <w:kern w:val="0"/>
          <w:sz w:val="32"/>
          <w:szCs w:val="32"/>
          <w:highlight w:val="none"/>
          <w:lang w:val="zh-CN"/>
        </w:rPr>
      </w:pPr>
    </w:p>
    <w:p w14:paraId="124C8EB6">
      <w:pPr>
        <w:snapToGrid w:val="0"/>
        <w:spacing w:line="360" w:lineRule="auto"/>
        <w:jc w:val="center"/>
        <w:rPr>
          <w:rFonts w:ascii="宋体" w:hAnsi="宋体" w:cs="宋体"/>
          <w:b/>
          <w:color w:val="auto"/>
          <w:kern w:val="0"/>
          <w:sz w:val="32"/>
          <w:szCs w:val="32"/>
          <w:highlight w:val="none"/>
          <w:lang w:val="zh-CN"/>
        </w:rPr>
      </w:pPr>
    </w:p>
    <w:p w14:paraId="1BB1D2A7">
      <w:pPr>
        <w:snapToGrid w:val="0"/>
        <w:spacing w:line="360" w:lineRule="auto"/>
        <w:jc w:val="center"/>
        <w:rPr>
          <w:rFonts w:ascii="宋体" w:hAnsi="宋体" w:cs="宋体"/>
          <w:b/>
          <w:color w:val="auto"/>
          <w:kern w:val="0"/>
          <w:sz w:val="32"/>
          <w:szCs w:val="32"/>
          <w:highlight w:val="none"/>
          <w:lang w:val="zh-CN"/>
        </w:rPr>
      </w:pPr>
    </w:p>
    <w:p w14:paraId="364F58E3">
      <w:pPr>
        <w:snapToGrid w:val="0"/>
        <w:spacing w:line="360" w:lineRule="auto"/>
        <w:jc w:val="center"/>
        <w:rPr>
          <w:rFonts w:ascii="宋体" w:hAnsi="宋体" w:cs="宋体"/>
          <w:b/>
          <w:color w:val="auto"/>
          <w:kern w:val="0"/>
          <w:sz w:val="32"/>
          <w:szCs w:val="32"/>
          <w:highlight w:val="none"/>
          <w:lang w:val="zh-CN"/>
        </w:rPr>
      </w:pPr>
    </w:p>
    <w:p w14:paraId="3B77B37D">
      <w:pPr>
        <w:snapToGrid w:val="0"/>
        <w:spacing w:line="360" w:lineRule="auto"/>
        <w:jc w:val="center"/>
        <w:rPr>
          <w:rFonts w:ascii="宋体" w:hAnsi="宋体" w:cs="宋体"/>
          <w:b/>
          <w:color w:val="auto"/>
          <w:kern w:val="0"/>
          <w:sz w:val="32"/>
          <w:szCs w:val="32"/>
          <w:highlight w:val="none"/>
          <w:lang w:val="zh-CN"/>
        </w:rPr>
      </w:pPr>
    </w:p>
    <w:p w14:paraId="37E2D0AE">
      <w:pPr>
        <w:snapToGrid w:val="0"/>
        <w:spacing w:line="360" w:lineRule="auto"/>
        <w:jc w:val="center"/>
        <w:rPr>
          <w:rFonts w:ascii="宋体" w:hAnsi="宋体" w:cs="宋体"/>
          <w:b/>
          <w:color w:val="auto"/>
          <w:kern w:val="0"/>
          <w:sz w:val="32"/>
          <w:szCs w:val="32"/>
          <w:highlight w:val="none"/>
          <w:lang w:val="zh-CN"/>
        </w:rPr>
      </w:pPr>
    </w:p>
    <w:p w14:paraId="59EFBDD4">
      <w:pPr>
        <w:snapToGrid w:val="0"/>
        <w:spacing w:line="360" w:lineRule="auto"/>
        <w:jc w:val="center"/>
        <w:rPr>
          <w:rFonts w:ascii="宋体" w:hAnsi="宋体" w:cs="宋体"/>
          <w:b/>
          <w:color w:val="auto"/>
          <w:kern w:val="0"/>
          <w:sz w:val="32"/>
          <w:szCs w:val="32"/>
          <w:highlight w:val="none"/>
          <w:lang w:val="zh-CN"/>
        </w:rPr>
      </w:pPr>
    </w:p>
    <w:p w14:paraId="47FFAC30">
      <w:pPr>
        <w:snapToGrid w:val="0"/>
        <w:spacing w:line="360" w:lineRule="auto"/>
        <w:jc w:val="center"/>
        <w:rPr>
          <w:rFonts w:ascii="宋体" w:hAnsi="宋体" w:cs="宋体"/>
          <w:b/>
          <w:color w:val="auto"/>
          <w:kern w:val="0"/>
          <w:sz w:val="32"/>
          <w:szCs w:val="32"/>
          <w:highlight w:val="none"/>
          <w:lang w:val="zh-CN"/>
        </w:rPr>
      </w:pPr>
    </w:p>
    <w:p w14:paraId="65060114">
      <w:pPr>
        <w:snapToGrid w:val="0"/>
        <w:spacing w:line="360" w:lineRule="auto"/>
        <w:jc w:val="center"/>
        <w:rPr>
          <w:rFonts w:ascii="宋体" w:hAnsi="宋体" w:cs="宋体"/>
          <w:b/>
          <w:color w:val="auto"/>
          <w:kern w:val="0"/>
          <w:sz w:val="32"/>
          <w:szCs w:val="32"/>
          <w:highlight w:val="none"/>
          <w:lang w:val="zh-CN"/>
        </w:rPr>
      </w:pPr>
    </w:p>
    <w:p w14:paraId="71EC59FE">
      <w:pPr>
        <w:rPr>
          <w:rFonts w:ascii="宋体" w:hAnsi="宋体" w:cs="宋体"/>
          <w:b/>
          <w:color w:val="auto"/>
          <w:kern w:val="0"/>
          <w:sz w:val="32"/>
          <w:szCs w:val="32"/>
          <w:highlight w:val="none"/>
          <w:lang w:val="zh-CN"/>
        </w:rPr>
      </w:pPr>
    </w:p>
    <w:p w14:paraId="69E4364F">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EB880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27CF3A84">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杭州市钱塘区人民政府新湾街道办事处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浙江勋达工程咨询有限公司</w:t>
      </w:r>
      <w:r>
        <w:rPr>
          <w:rFonts w:hint="eastAsia" w:ascii="宋体" w:hAnsi="宋体" w:cs="宋体"/>
          <w:color w:val="auto"/>
          <w:sz w:val="24"/>
          <w:highlight w:val="none"/>
        </w:rPr>
        <w:t>：</w:t>
      </w:r>
    </w:p>
    <w:p w14:paraId="7E3DA84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新湾街道2025—2026年度治安巡逻防控第三方服务采购项目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QTCG-GK-2025-101</w:t>
      </w:r>
      <w:r>
        <w:rPr>
          <w:rFonts w:hint="eastAsia" w:ascii="宋体" w:hAnsi="宋体" w:cs="宋体"/>
          <w:color w:val="auto"/>
          <w:sz w:val="24"/>
          <w:highlight w:val="none"/>
        </w:rPr>
        <w:t>】招标的有关活动，并对此项目进行投标。为此：</w:t>
      </w:r>
    </w:p>
    <w:p w14:paraId="6FF918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EF548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D616B5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6BC2F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2DC881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3" w:name="_Hlk101257010"/>
      <w:r>
        <w:rPr>
          <w:rFonts w:hint="eastAsia" w:ascii="宋体" w:hAnsi="宋体" w:cs="宋体"/>
          <w:color w:val="auto"/>
          <w:sz w:val="24"/>
          <w:highlight w:val="none"/>
        </w:rPr>
        <w:t>（如果有)</w:t>
      </w:r>
      <w:bookmarkEnd w:id="513"/>
      <w:r>
        <w:rPr>
          <w:rFonts w:hint="eastAsia" w:ascii="宋体" w:hAnsi="宋体" w:cs="宋体"/>
          <w:snapToGrid w:val="0"/>
          <w:color w:val="auto"/>
          <w:kern w:val="28"/>
          <w:sz w:val="24"/>
          <w:szCs w:val="20"/>
          <w:highlight w:val="none"/>
        </w:rPr>
        <w:t>；</w:t>
      </w:r>
    </w:p>
    <w:p w14:paraId="3FC7658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D0E6B2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4A0C132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191E1A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2BF2CD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C778A8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587F524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66DB1C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7D247E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D947BA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1AE388C">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95FF0E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13A437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3EE7D0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4A3B0B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468DF7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51D8BA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6CFE6A5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9D7D5F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4B2229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9BF7F2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DFDC9BA">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64053C2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9A6D874">
      <w:pPr>
        <w:snapToGrid w:val="0"/>
        <w:spacing w:line="360" w:lineRule="auto"/>
        <w:ind w:left="420" w:leftChars="200" w:firstLine="4200" w:firstLineChars="1750"/>
        <w:rPr>
          <w:rFonts w:ascii="宋体" w:hAnsi="宋体" w:cs="宋体"/>
          <w:color w:val="auto"/>
          <w:kern w:val="0"/>
          <w:sz w:val="24"/>
          <w:highlight w:val="none"/>
          <w:u w:val="single"/>
        </w:rPr>
      </w:pPr>
    </w:p>
    <w:p w14:paraId="5E1AA5F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6299327">
      <w:pPr>
        <w:snapToGrid w:val="0"/>
        <w:spacing w:line="360" w:lineRule="auto"/>
        <w:jc w:val="center"/>
        <w:rPr>
          <w:rFonts w:ascii="宋体" w:hAnsi="宋体" w:cs="宋体"/>
          <w:b/>
          <w:color w:val="auto"/>
          <w:kern w:val="0"/>
          <w:sz w:val="32"/>
          <w:szCs w:val="32"/>
          <w:highlight w:val="none"/>
        </w:rPr>
      </w:pPr>
    </w:p>
    <w:p w14:paraId="4274434D">
      <w:pPr>
        <w:snapToGrid w:val="0"/>
        <w:spacing w:line="360" w:lineRule="auto"/>
        <w:rPr>
          <w:rFonts w:ascii="宋体" w:hAnsi="宋体" w:cs="宋体"/>
          <w:color w:val="auto"/>
          <w:sz w:val="24"/>
          <w:highlight w:val="none"/>
        </w:rPr>
      </w:pPr>
    </w:p>
    <w:p w14:paraId="65E714EF">
      <w:pPr>
        <w:jc w:val="center"/>
        <w:rPr>
          <w:rFonts w:ascii="宋体" w:hAnsi="宋体" w:cs="宋体"/>
          <w:b/>
          <w:color w:val="auto"/>
          <w:kern w:val="0"/>
          <w:sz w:val="32"/>
          <w:szCs w:val="32"/>
          <w:highlight w:val="none"/>
        </w:rPr>
      </w:pPr>
    </w:p>
    <w:p w14:paraId="75EE8A0F">
      <w:pPr>
        <w:jc w:val="center"/>
        <w:rPr>
          <w:rFonts w:ascii="宋体" w:hAnsi="宋体" w:cs="宋体"/>
          <w:b/>
          <w:color w:val="auto"/>
          <w:kern w:val="0"/>
          <w:sz w:val="32"/>
          <w:szCs w:val="32"/>
          <w:highlight w:val="none"/>
        </w:rPr>
      </w:pPr>
    </w:p>
    <w:p w14:paraId="6A003D30">
      <w:pPr>
        <w:jc w:val="center"/>
        <w:rPr>
          <w:rFonts w:ascii="宋体" w:hAnsi="宋体" w:cs="宋体"/>
          <w:b/>
          <w:color w:val="auto"/>
          <w:kern w:val="0"/>
          <w:sz w:val="32"/>
          <w:szCs w:val="32"/>
          <w:highlight w:val="none"/>
        </w:rPr>
      </w:pPr>
    </w:p>
    <w:p w14:paraId="2A0960D5">
      <w:pPr>
        <w:jc w:val="center"/>
        <w:rPr>
          <w:rFonts w:ascii="宋体" w:hAnsi="宋体" w:cs="宋体"/>
          <w:b/>
          <w:color w:val="auto"/>
          <w:kern w:val="0"/>
          <w:sz w:val="32"/>
          <w:szCs w:val="32"/>
          <w:highlight w:val="none"/>
        </w:rPr>
      </w:pPr>
    </w:p>
    <w:p w14:paraId="6C5524E8">
      <w:pPr>
        <w:jc w:val="center"/>
        <w:rPr>
          <w:rFonts w:ascii="宋体" w:hAnsi="宋体" w:cs="宋体"/>
          <w:b/>
          <w:color w:val="auto"/>
          <w:kern w:val="0"/>
          <w:sz w:val="32"/>
          <w:szCs w:val="32"/>
          <w:highlight w:val="none"/>
        </w:rPr>
      </w:pPr>
    </w:p>
    <w:p w14:paraId="2B7399F9">
      <w:pPr>
        <w:jc w:val="center"/>
        <w:rPr>
          <w:rFonts w:ascii="宋体" w:hAnsi="宋体" w:cs="宋体"/>
          <w:b/>
          <w:color w:val="auto"/>
          <w:kern w:val="0"/>
          <w:sz w:val="32"/>
          <w:szCs w:val="32"/>
          <w:highlight w:val="none"/>
        </w:rPr>
      </w:pPr>
    </w:p>
    <w:p w14:paraId="2C2FCE9A">
      <w:pPr>
        <w:jc w:val="center"/>
        <w:rPr>
          <w:rFonts w:ascii="宋体" w:hAnsi="宋体" w:cs="宋体"/>
          <w:b/>
          <w:color w:val="auto"/>
          <w:kern w:val="0"/>
          <w:sz w:val="32"/>
          <w:szCs w:val="32"/>
          <w:highlight w:val="none"/>
        </w:rPr>
      </w:pPr>
    </w:p>
    <w:p w14:paraId="7D283660">
      <w:pPr>
        <w:jc w:val="center"/>
        <w:rPr>
          <w:rFonts w:ascii="宋体" w:hAnsi="宋体" w:cs="宋体"/>
          <w:b/>
          <w:color w:val="auto"/>
          <w:kern w:val="0"/>
          <w:sz w:val="32"/>
          <w:szCs w:val="32"/>
          <w:highlight w:val="none"/>
        </w:rPr>
      </w:pPr>
    </w:p>
    <w:p w14:paraId="428ECC35">
      <w:pPr>
        <w:jc w:val="center"/>
        <w:rPr>
          <w:rFonts w:ascii="宋体" w:hAnsi="宋体" w:cs="宋体"/>
          <w:b/>
          <w:color w:val="auto"/>
          <w:kern w:val="0"/>
          <w:sz w:val="32"/>
          <w:szCs w:val="32"/>
          <w:highlight w:val="none"/>
        </w:rPr>
      </w:pPr>
    </w:p>
    <w:p w14:paraId="44615477">
      <w:pPr>
        <w:jc w:val="center"/>
        <w:rPr>
          <w:rFonts w:ascii="宋体" w:hAnsi="宋体" w:cs="宋体"/>
          <w:b/>
          <w:color w:val="auto"/>
          <w:kern w:val="0"/>
          <w:sz w:val="32"/>
          <w:szCs w:val="32"/>
          <w:highlight w:val="none"/>
        </w:rPr>
      </w:pPr>
    </w:p>
    <w:p w14:paraId="0FD1F7B5">
      <w:pPr>
        <w:jc w:val="center"/>
        <w:rPr>
          <w:rFonts w:ascii="宋体" w:hAnsi="宋体" w:cs="宋体"/>
          <w:b/>
          <w:color w:val="auto"/>
          <w:kern w:val="0"/>
          <w:sz w:val="32"/>
          <w:szCs w:val="32"/>
          <w:highlight w:val="none"/>
        </w:rPr>
      </w:pPr>
    </w:p>
    <w:p w14:paraId="4B5FCE65">
      <w:pPr>
        <w:jc w:val="center"/>
        <w:rPr>
          <w:rFonts w:ascii="宋体" w:hAnsi="宋体" w:cs="宋体"/>
          <w:b/>
          <w:color w:val="auto"/>
          <w:kern w:val="0"/>
          <w:sz w:val="32"/>
          <w:szCs w:val="32"/>
          <w:highlight w:val="none"/>
        </w:rPr>
      </w:pPr>
    </w:p>
    <w:p w14:paraId="7CB99DD6">
      <w:pPr>
        <w:jc w:val="center"/>
        <w:rPr>
          <w:rFonts w:ascii="宋体" w:hAnsi="宋体" w:cs="宋体"/>
          <w:b/>
          <w:color w:val="auto"/>
          <w:kern w:val="0"/>
          <w:sz w:val="32"/>
          <w:szCs w:val="32"/>
          <w:highlight w:val="none"/>
        </w:rPr>
      </w:pPr>
    </w:p>
    <w:p w14:paraId="5F3DC271">
      <w:pPr>
        <w:jc w:val="center"/>
        <w:rPr>
          <w:rFonts w:ascii="宋体" w:hAnsi="宋体" w:cs="宋体"/>
          <w:b/>
          <w:color w:val="auto"/>
          <w:kern w:val="0"/>
          <w:sz w:val="32"/>
          <w:szCs w:val="32"/>
          <w:highlight w:val="none"/>
        </w:rPr>
      </w:pPr>
    </w:p>
    <w:p w14:paraId="7AA0C5D6">
      <w:pPr>
        <w:jc w:val="center"/>
        <w:rPr>
          <w:rFonts w:ascii="宋体" w:hAnsi="宋体" w:cs="宋体"/>
          <w:b/>
          <w:color w:val="auto"/>
          <w:kern w:val="0"/>
          <w:sz w:val="32"/>
          <w:szCs w:val="32"/>
          <w:highlight w:val="none"/>
        </w:rPr>
      </w:pPr>
    </w:p>
    <w:p w14:paraId="190A8C49">
      <w:pPr>
        <w:jc w:val="center"/>
        <w:rPr>
          <w:rFonts w:ascii="宋体" w:hAnsi="宋体" w:cs="宋体"/>
          <w:b/>
          <w:color w:val="auto"/>
          <w:kern w:val="0"/>
          <w:sz w:val="32"/>
          <w:szCs w:val="32"/>
          <w:highlight w:val="none"/>
        </w:rPr>
      </w:pPr>
    </w:p>
    <w:p w14:paraId="091662FE">
      <w:pPr>
        <w:jc w:val="center"/>
        <w:rPr>
          <w:rFonts w:ascii="宋体" w:hAnsi="宋体" w:cs="宋体"/>
          <w:b/>
          <w:color w:val="auto"/>
          <w:kern w:val="0"/>
          <w:sz w:val="32"/>
          <w:szCs w:val="32"/>
          <w:highlight w:val="none"/>
        </w:rPr>
      </w:pPr>
    </w:p>
    <w:p w14:paraId="45344DCC">
      <w:pPr>
        <w:jc w:val="center"/>
        <w:rPr>
          <w:rFonts w:ascii="宋体" w:hAnsi="宋体" w:cs="宋体"/>
          <w:b/>
          <w:color w:val="auto"/>
          <w:kern w:val="0"/>
          <w:sz w:val="32"/>
          <w:szCs w:val="32"/>
          <w:highlight w:val="none"/>
        </w:rPr>
      </w:pPr>
    </w:p>
    <w:p w14:paraId="7C4AA036">
      <w:pPr>
        <w:jc w:val="center"/>
        <w:rPr>
          <w:rFonts w:ascii="宋体" w:hAnsi="宋体" w:cs="宋体"/>
          <w:b/>
          <w:color w:val="auto"/>
          <w:kern w:val="0"/>
          <w:sz w:val="32"/>
          <w:szCs w:val="32"/>
          <w:highlight w:val="none"/>
        </w:rPr>
      </w:pPr>
    </w:p>
    <w:p w14:paraId="0B6667CB">
      <w:pPr>
        <w:jc w:val="center"/>
        <w:rPr>
          <w:rFonts w:ascii="宋体" w:hAnsi="宋体" w:cs="宋体"/>
          <w:b/>
          <w:color w:val="auto"/>
          <w:kern w:val="0"/>
          <w:sz w:val="32"/>
          <w:szCs w:val="32"/>
          <w:highlight w:val="none"/>
        </w:rPr>
      </w:pPr>
    </w:p>
    <w:p w14:paraId="41584083">
      <w:pPr>
        <w:pStyle w:val="2"/>
        <w:rPr>
          <w:color w:val="auto"/>
          <w:highlight w:val="none"/>
          <w:lang w:val="en-US"/>
        </w:rPr>
      </w:pPr>
    </w:p>
    <w:p w14:paraId="0550252F">
      <w:pPr>
        <w:jc w:val="center"/>
        <w:rPr>
          <w:rFonts w:ascii="宋体" w:hAnsi="宋体" w:cs="宋体"/>
          <w:b/>
          <w:color w:val="auto"/>
          <w:kern w:val="0"/>
          <w:sz w:val="32"/>
          <w:szCs w:val="32"/>
          <w:highlight w:val="none"/>
        </w:rPr>
      </w:pPr>
    </w:p>
    <w:p w14:paraId="6D1556BD">
      <w:pPr>
        <w:jc w:val="center"/>
        <w:rPr>
          <w:rFonts w:ascii="宋体" w:hAnsi="宋体" w:cs="宋体"/>
          <w:b/>
          <w:color w:val="auto"/>
          <w:kern w:val="0"/>
          <w:sz w:val="32"/>
          <w:szCs w:val="32"/>
          <w:highlight w:val="none"/>
        </w:rPr>
      </w:pPr>
    </w:p>
    <w:p w14:paraId="21BF467C">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5D34DA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4B1AAC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F1E155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杭州市钱塘区人民政府新湾街道办事处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浙江勋达工程咨询有限公司</w:t>
      </w:r>
      <w:r>
        <w:rPr>
          <w:rFonts w:hint="eastAsia" w:ascii="宋体" w:hAnsi="宋体" w:cs="宋体"/>
          <w:color w:val="auto"/>
          <w:kern w:val="0"/>
          <w:sz w:val="24"/>
          <w:highlight w:val="none"/>
          <w:lang w:val="zh-CN"/>
        </w:rPr>
        <w:t>：</w:t>
      </w:r>
    </w:p>
    <w:p w14:paraId="257A3E6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新湾街道2025—2026年度治安巡逻防控第三方服务采购项目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QTCG-GK-2025-101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C0C5B9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CDA5A9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22F9E0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1125401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CBB5372">
      <w:pPr>
        <w:snapToGrid w:val="0"/>
        <w:spacing w:line="360" w:lineRule="auto"/>
        <w:rPr>
          <w:rFonts w:ascii="宋体" w:hAnsi="宋体" w:cs="宋体"/>
          <w:color w:val="auto"/>
          <w:sz w:val="24"/>
          <w:highlight w:val="none"/>
        </w:rPr>
      </w:pPr>
    </w:p>
    <w:p w14:paraId="47B1ED0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B224A0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杭州市钱塘区人民政府新湾街道办事处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浙江勋达工程咨询有限公司</w:t>
      </w:r>
      <w:r>
        <w:rPr>
          <w:rFonts w:hint="eastAsia" w:ascii="宋体" w:hAnsi="宋体" w:cs="宋体"/>
          <w:color w:val="auto"/>
          <w:kern w:val="0"/>
          <w:sz w:val="24"/>
          <w:highlight w:val="none"/>
          <w:lang w:val="zh-CN"/>
        </w:rPr>
        <w:t>：</w:t>
      </w:r>
    </w:p>
    <w:p w14:paraId="6694D7D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新湾街道2025—2026年度治安巡逻防控第三方服务采购项目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QTCG-GK-2025-101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7E61E1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3068FC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A3D58CE">
      <w:pPr>
        <w:jc w:val="center"/>
        <w:rPr>
          <w:rFonts w:ascii="宋体" w:hAnsi="宋体" w:cs="宋体"/>
          <w:b/>
          <w:color w:val="auto"/>
          <w:kern w:val="0"/>
          <w:sz w:val="32"/>
          <w:szCs w:val="32"/>
          <w:highlight w:val="none"/>
        </w:rPr>
      </w:pPr>
    </w:p>
    <w:p w14:paraId="23F7D685">
      <w:pPr>
        <w:rPr>
          <w:rFonts w:ascii="宋体" w:hAnsi="宋体" w:cs="宋体"/>
          <w:color w:val="auto"/>
          <w:highlight w:val="none"/>
        </w:rPr>
      </w:pPr>
    </w:p>
    <w:p w14:paraId="6595A3D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E3C43B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800EA0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7638C9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A1BFB0C">
      <w:pPr>
        <w:autoSpaceDE w:val="0"/>
        <w:autoSpaceDN w:val="0"/>
        <w:spacing w:line="360" w:lineRule="auto"/>
        <w:jc w:val="center"/>
        <w:rPr>
          <w:rFonts w:ascii="宋体" w:hAnsi="宋体" w:cs="宋体"/>
          <w:b/>
          <w:color w:val="auto"/>
          <w:kern w:val="0"/>
          <w:sz w:val="32"/>
          <w:szCs w:val="32"/>
          <w:highlight w:val="none"/>
          <w:lang w:val="zh-CN"/>
        </w:rPr>
      </w:pPr>
    </w:p>
    <w:p w14:paraId="583B31B3">
      <w:pPr>
        <w:autoSpaceDE w:val="0"/>
        <w:autoSpaceDN w:val="0"/>
        <w:spacing w:line="360" w:lineRule="auto"/>
        <w:jc w:val="center"/>
        <w:rPr>
          <w:rFonts w:ascii="宋体" w:hAnsi="宋体" w:cs="宋体"/>
          <w:b/>
          <w:color w:val="auto"/>
          <w:kern w:val="0"/>
          <w:sz w:val="32"/>
          <w:szCs w:val="32"/>
          <w:highlight w:val="none"/>
          <w:lang w:val="zh-CN"/>
        </w:rPr>
      </w:pPr>
    </w:p>
    <w:p w14:paraId="45CD6D31">
      <w:pPr>
        <w:autoSpaceDE w:val="0"/>
        <w:autoSpaceDN w:val="0"/>
        <w:spacing w:line="360" w:lineRule="auto"/>
        <w:jc w:val="center"/>
        <w:rPr>
          <w:rFonts w:ascii="宋体" w:hAnsi="宋体" w:cs="宋体"/>
          <w:b/>
          <w:color w:val="auto"/>
          <w:kern w:val="0"/>
          <w:sz w:val="32"/>
          <w:szCs w:val="32"/>
          <w:highlight w:val="none"/>
          <w:lang w:val="zh-CN"/>
        </w:rPr>
      </w:pPr>
    </w:p>
    <w:p w14:paraId="583161A0">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的身份证明（适用于法定代表人、单位负责人或者自然人本人代表供应商参加投标）</w:t>
      </w:r>
    </w:p>
    <w:p w14:paraId="2232A415">
      <w:pPr>
        <w:pStyle w:val="152"/>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2056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3D8DD2A">
            <w:pPr>
              <w:pStyle w:val="152"/>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0E00FFE">
            <w:pPr>
              <w:pStyle w:val="152"/>
              <w:adjustRightInd w:val="0"/>
              <w:spacing w:line="360" w:lineRule="auto"/>
              <w:rPr>
                <w:rFonts w:hAnsi="宋体" w:cs="宋体"/>
                <w:bCs/>
                <w:color w:val="auto"/>
                <w:sz w:val="24"/>
                <w:highlight w:val="none"/>
              </w:rPr>
            </w:pPr>
          </w:p>
        </w:tc>
      </w:tr>
    </w:tbl>
    <w:p w14:paraId="3B5373C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EFB062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115B9F06">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8176B83">
      <w:pPr>
        <w:jc w:val="center"/>
        <w:rPr>
          <w:rFonts w:ascii="宋体" w:hAnsi="宋体" w:cs="宋体"/>
          <w:b/>
          <w:color w:val="auto"/>
          <w:kern w:val="0"/>
          <w:sz w:val="32"/>
          <w:szCs w:val="32"/>
          <w:highlight w:val="none"/>
        </w:rPr>
      </w:pPr>
    </w:p>
    <w:p w14:paraId="2A0AD8B9">
      <w:pPr>
        <w:jc w:val="center"/>
        <w:rPr>
          <w:rFonts w:ascii="宋体" w:hAnsi="宋体" w:cs="宋体"/>
          <w:b/>
          <w:color w:val="auto"/>
          <w:kern w:val="0"/>
          <w:sz w:val="32"/>
          <w:szCs w:val="32"/>
          <w:highlight w:val="none"/>
        </w:rPr>
      </w:pPr>
    </w:p>
    <w:p w14:paraId="06736D41">
      <w:pPr>
        <w:jc w:val="center"/>
        <w:rPr>
          <w:rFonts w:ascii="宋体" w:hAnsi="宋体" w:cs="宋体"/>
          <w:b/>
          <w:color w:val="auto"/>
          <w:kern w:val="0"/>
          <w:sz w:val="32"/>
          <w:szCs w:val="32"/>
          <w:highlight w:val="none"/>
        </w:rPr>
      </w:pPr>
    </w:p>
    <w:p w14:paraId="5E206357">
      <w:pPr>
        <w:jc w:val="center"/>
        <w:rPr>
          <w:rFonts w:ascii="宋体" w:hAnsi="宋体" w:cs="宋体"/>
          <w:b/>
          <w:color w:val="auto"/>
          <w:kern w:val="0"/>
          <w:sz w:val="32"/>
          <w:szCs w:val="32"/>
          <w:highlight w:val="none"/>
        </w:rPr>
      </w:pPr>
    </w:p>
    <w:p w14:paraId="38FB7C3C">
      <w:pPr>
        <w:jc w:val="center"/>
        <w:rPr>
          <w:rFonts w:ascii="宋体" w:hAnsi="宋体" w:cs="宋体"/>
          <w:b/>
          <w:color w:val="auto"/>
          <w:kern w:val="0"/>
          <w:sz w:val="32"/>
          <w:szCs w:val="32"/>
          <w:highlight w:val="none"/>
        </w:rPr>
      </w:pPr>
    </w:p>
    <w:p w14:paraId="08623CBC">
      <w:pPr>
        <w:jc w:val="center"/>
        <w:rPr>
          <w:rFonts w:ascii="宋体" w:hAnsi="宋体" w:cs="宋体"/>
          <w:b/>
          <w:color w:val="auto"/>
          <w:kern w:val="0"/>
          <w:sz w:val="32"/>
          <w:szCs w:val="32"/>
          <w:highlight w:val="none"/>
        </w:rPr>
      </w:pPr>
    </w:p>
    <w:p w14:paraId="2EF3283C">
      <w:pPr>
        <w:jc w:val="center"/>
        <w:rPr>
          <w:rFonts w:ascii="宋体" w:hAnsi="宋体" w:cs="宋体"/>
          <w:b/>
          <w:color w:val="auto"/>
          <w:kern w:val="0"/>
          <w:sz w:val="32"/>
          <w:szCs w:val="32"/>
          <w:highlight w:val="none"/>
        </w:rPr>
      </w:pPr>
    </w:p>
    <w:p w14:paraId="28C1486B">
      <w:pPr>
        <w:jc w:val="center"/>
        <w:rPr>
          <w:rFonts w:ascii="宋体" w:hAnsi="宋体" w:cs="宋体"/>
          <w:b/>
          <w:color w:val="auto"/>
          <w:kern w:val="0"/>
          <w:sz w:val="32"/>
          <w:szCs w:val="32"/>
          <w:highlight w:val="none"/>
        </w:rPr>
      </w:pPr>
    </w:p>
    <w:p w14:paraId="332D5C99">
      <w:pPr>
        <w:jc w:val="center"/>
        <w:rPr>
          <w:rFonts w:ascii="宋体" w:hAnsi="宋体" w:cs="宋体"/>
          <w:b/>
          <w:color w:val="auto"/>
          <w:kern w:val="0"/>
          <w:sz w:val="32"/>
          <w:szCs w:val="32"/>
          <w:highlight w:val="none"/>
        </w:rPr>
      </w:pPr>
    </w:p>
    <w:p w14:paraId="16DCDEA9">
      <w:pPr>
        <w:jc w:val="center"/>
        <w:rPr>
          <w:rFonts w:ascii="宋体" w:hAnsi="宋体" w:cs="宋体"/>
          <w:b/>
          <w:color w:val="auto"/>
          <w:kern w:val="0"/>
          <w:sz w:val="32"/>
          <w:szCs w:val="32"/>
          <w:highlight w:val="none"/>
        </w:rPr>
      </w:pPr>
    </w:p>
    <w:p w14:paraId="61C0371F">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ED5DE1E">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E2B928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；采购人不同意分包或者供应商中标后不以分包方式履行合同的，则不需要提供。</w:t>
      </w:r>
      <w:r>
        <w:rPr>
          <w:rFonts w:hint="eastAsia" w:ascii="宋体" w:hAnsi="宋体" w:cs="宋体"/>
          <w:color w:val="auto"/>
          <w:sz w:val="24"/>
          <w:highlight w:val="none"/>
        </w:rPr>
        <w:t>]</w:t>
      </w:r>
    </w:p>
    <w:p w14:paraId="0AC154B7">
      <w:pPr>
        <w:snapToGrid w:val="0"/>
        <w:spacing w:line="360" w:lineRule="auto"/>
        <w:rPr>
          <w:rFonts w:ascii="宋体" w:hAnsi="宋体" w:cs="宋体"/>
          <w:color w:val="auto"/>
          <w:kern w:val="0"/>
          <w:sz w:val="24"/>
          <w:highlight w:val="none"/>
        </w:rPr>
      </w:pPr>
    </w:p>
    <w:p w14:paraId="089DEFB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3BC56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D29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CF9939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79FA80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13EEB7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633172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091011E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8E1E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A47E38">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76C298AD">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BEA8368">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7B4A57E7">
            <w:pPr>
              <w:rPr>
                <w:rFonts w:ascii="宋体" w:hAnsi="宋体" w:cs="宋体"/>
                <w:color w:val="auto"/>
                <w:sz w:val="24"/>
                <w:highlight w:val="none"/>
              </w:rPr>
            </w:pPr>
          </w:p>
          <w:p w14:paraId="56B9DFED">
            <w:pPr>
              <w:rPr>
                <w:rFonts w:ascii="宋体" w:hAnsi="宋体" w:cs="宋体"/>
                <w:color w:val="auto"/>
                <w:sz w:val="24"/>
                <w:highlight w:val="none"/>
              </w:rPr>
            </w:pPr>
            <w:r>
              <w:rPr>
                <w:rFonts w:hint="eastAsia" w:ascii="宋体" w:hAnsi="宋体" w:cs="宋体"/>
                <w:color w:val="auto"/>
                <w:sz w:val="24"/>
                <w:highlight w:val="none"/>
              </w:rPr>
              <w:t>见投标文件</w:t>
            </w:r>
          </w:p>
          <w:p w14:paraId="125F4A9B">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DA3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1B031A">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1066949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054434B">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71A632C8">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B3A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EC22DF">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494D106D">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EA254A0">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14A24BAA">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A33893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6D87D0B">
      <w:pPr>
        <w:jc w:val="center"/>
        <w:rPr>
          <w:rFonts w:ascii="宋体" w:hAnsi="宋体" w:cs="宋体"/>
          <w:b/>
          <w:color w:val="auto"/>
          <w:kern w:val="0"/>
          <w:sz w:val="32"/>
          <w:szCs w:val="32"/>
          <w:highlight w:val="none"/>
        </w:rPr>
      </w:pPr>
    </w:p>
    <w:p w14:paraId="46C68C1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2D1D068">
      <w:pPr>
        <w:jc w:val="center"/>
        <w:rPr>
          <w:rFonts w:ascii="宋体" w:hAnsi="宋体" w:cs="宋体"/>
          <w:b/>
          <w:color w:val="auto"/>
          <w:kern w:val="0"/>
          <w:sz w:val="32"/>
          <w:szCs w:val="32"/>
          <w:highlight w:val="none"/>
        </w:rPr>
      </w:pPr>
    </w:p>
    <w:p w14:paraId="10261F44">
      <w:pPr>
        <w:jc w:val="center"/>
        <w:rPr>
          <w:rFonts w:ascii="宋体" w:hAnsi="宋体" w:cs="宋体"/>
          <w:b/>
          <w:color w:val="auto"/>
          <w:kern w:val="0"/>
          <w:sz w:val="32"/>
          <w:szCs w:val="32"/>
          <w:highlight w:val="none"/>
        </w:rPr>
      </w:pPr>
    </w:p>
    <w:p w14:paraId="5EDC3D3A">
      <w:pPr>
        <w:jc w:val="center"/>
        <w:rPr>
          <w:rFonts w:ascii="宋体" w:hAnsi="宋体" w:cs="宋体"/>
          <w:b/>
          <w:color w:val="auto"/>
          <w:kern w:val="0"/>
          <w:sz w:val="32"/>
          <w:szCs w:val="32"/>
          <w:highlight w:val="none"/>
        </w:rPr>
      </w:pPr>
    </w:p>
    <w:p w14:paraId="44E8155A">
      <w:pPr>
        <w:jc w:val="center"/>
        <w:rPr>
          <w:rFonts w:ascii="宋体" w:hAnsi="宋体" w:cs="宋体"/>
          <w:b/>
          <w:color w:val="auto"/>
          <w:kern w:val="0"/>
          <w:sz w:val="32"/>
          <w:szCs w:val="32"/>
          <w:highlight w:val="none"/>
        </w:rPr>
      </w:pPr>
    </w:p>
    <w:p w14:paraId="2593859E">
      <w:pPr>
        <w:jc w:val="center"/>
        <w:rPr>
          <w:rFonts w:ascii="宋体" w:hAnsi="宋体" w:cs="宋体"/>
          <w:b/>
          <w:color w:val="auto"/>
          <w:kern w:val="0"/>
          <w:sz w:val="32"/>
          <w:szCs w:val="32"/>
          <w:highlight w:val="none"/>
        </w:rPr>
      </w:pPr>
    </w:p>
    <w:p w14:paraId="09D186E1">
      <w:pPr>
        <w:jc w:val="center"/>
        <w:rPr>
          <w:rFonts w:ascii="宋体" w:hAnsi="宋体" w:cs="宋体"/>
          <w:b/>
          <w:color w:val="auto"/>
          <w:kern w:val="0"/>
          <w:sz w:val="32"/>
          <w:szCs w:val="32"/>
          <w:highlight w:val="none"/>
        </w:rPr>
      </w:pPr>
    </w:p>
    <w:p w14:paraId="38511AF4">
      <w:pPr>
        <w:jc w:val="center"/>
        <w:rPr>
          <w:rFonts w:ascii="宋体" w:hAnsi="宋体" w:cs="宋体"/>
          <w:b/>
          <w:color w:val="auto"/>
          <w:kern w:val="0"/>
          <w:sz w:val="32"/>
          <w:szCs w:val="32"/>
          <w:highlight w:val="none"/>
        </w:rPr>
      </w:pPr>
    </w:p>
    <w:p w14:paraId="2957E54B">
      <w:pPr>
        <w:jc w:val="center"/>
        <w:rPr>
          <w:rFonts w:ascii="宋体" w:hAnsi="宋体" w:cs="宋体"/>
          <w:b/>
          <w:color w:val="auto"/>
          <w:kern w:val="0"/>
          <w:sz w:val="32"/>
          <w:szCs w:val="32"/>
          <w:highlight w:val="none"/>
        </w:rPr>
      </w:pPr>
    </w:p>
    <w:p w14:paraId="65A2916A">
      <w:pPr>
        <w:jc w:val="center"/>
        <w:rPr>
          <w:rFonts w:ascii="宋体" w:hAnsi="宋体" w:cs="宋体"/>
          <w:b/>
          <w:color w:val="auto"/>
          <w:kern w:val="0"/>
          <w:sz w:val="32"/>
          <w:szCs w:val="32"/>
          <w:highlight w:val="none"/>
        </w:rPr>
      </w:pPr>
    </w:p>
    <w:p w14:paraId="6331848A">
      <w:pPr>
        <w:jc w:val="center"/>
        <w:rPr>
          <w:rFonts w:ascii="宋体" w:hAnsi="宋体" w:cs="宋体"/>
          <w:b/>
          <w:color w:val="auto"/>
          <w:kern w:val="0"/>
          <w:sz w:val="32"/>
          <w:szCs w:val="32"/>
          <w:highlight w:val="none"/>
        </w:rPr>
      </w:pPr>
    </w:p>
    <w:p w14:paraId="5D502867">
      <w:pPr>
        <w:jc w:val="center"/>
        <w:rPr>
          <w:rFonts w:ascii="宋体" w:hAnsi="宋体" w:cs="宋体"/>
          <w:b/>
          <w:color w:val="auto"/>
          <w:kern w:val="0"/>
          <w:sz w:val="32"/>
          <w:szCs w:val="32"/>
          <w:highlight w:val="none"/>
        </w:rPr>
      </w:pPr>
    </w:p>
    <w:p w14:paraId="67F61450">
      <w:pPr>
        <w:jc w:val="center"/>
        <w:rPr>
          <w:rFonts w:ascii="宋体" w:hAnsi="宋体" w:cs="宋体"/>
          <w:b/>
          <w:color w:val="auto"/>
          <w:kern w:val="0"/>
          <w:sz w:val="32"/>
          <w:szCs w:val="32"/>
          <w:highlight w:val="none"/>
        </w:rPr>
      </w:pPr>
    </w:p>
    <w:p w14:paraId="54ABD2F7">
      <w:pPr>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BF6DCD3">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794799D">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7E7FED9D">
      <w:pPr>
        <w:jc w:val="center"/>
        <w:rPr>
          <w:rFonts w:ascii="宋体" w:hAnsi="宋体" w:cs="宋体"/>
          <w:b/>
          <w:color w:val="auto"/>
          <w:kern w:val="0"/>
          <w:sz w:val="32"/>
          <w:szCs w:val="32"/>
          <w:highlight w:val="none"/>
        </w:rPr>
      </w:pPr>
    </w:p>
    <w:p w14:paraId="0FBF1E25">
      <w:pPr>
        <w:jc w:val="center"/>
        <w:rPr>
          <w:rFonts w:ascii="宋体" w:hAnsi="宋体" w:cs="宋体"/>
          <w:b/>
          <w:color w:val="auto"/>
          <w:kern w:val="0"/>
          <w:sz w:val="32"/>
          <w:szCs w:val="32"/>
          <w:highlight w:val="none"/>
        </w:rPr>
      </w:pPr>
    </w:p>
    <w:p w14:paraId="60A93A53">
      <w:pPr>
        <w:jc w:val="center"/>
        <w:rPr>
          <w:rFonts w:ascii="宋体" w:hAnsi="宋体" w:cs="宋体"/>
          <w:b/>
          <w:color w:val="auto"/>
          <w:kern w:val="0"/>
          <w:sz w:val="32"/>
          <w:szCs w:val="32"/>
          <w:highlight w:val="none"/>
        </w:rPr>
      </w:pPr>
    </w:p>
    <w:p w14:paraId="3D9B96CB">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六、投标标的清单（本项目不适应）</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2510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9A877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ECB642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2A70538">
            <w:pPr>
              <w:spacing w:line="360" w:lineRule="auto"/>
              <w:jc w:val="center"/>
              <w:rPr>
                <w:rFonts w:ascii="宋体" w:hAnsi="宋体" w:cs="宋体"/>
                <w:b/>
                <w:color w:val="auto"/>
                <w:sz w:val="24"/>
                <w:highlight w:val="none"/>
              </w:rPr>
            </w:pPr>
          </w:p>
          <w:p w14:paraId="5BD5BAA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F4B104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A81F7D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652F8F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75FCD94">
            <w:pPr>
              <w:spacing w:line="360" w:lineRule="auto"/>
              <w:jc w:val="center"/>
              <w:rPr>
                <w:rFonts w:ascii="宋体" w:hAnsi="宋体" w:cs="宋体"/>
                <w:b/>
                <w:color w:val="auto"/>
                <w:sz w:val="24"/>
                <w:highlight w:val="none"/>
              </w:rPr>
            </w:pPr>
          </w:p>
          <w:p w14:paraId="625AEF5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1E8F016">
            <w:pPr>
              <w:spacing w:line="360" w:lineRule="auto"/>
              <w:jc w:val="center"/>
              <w:rPr>
                <w:rFonts w:ascii="宋体" w:hAnsi="宋体" w:cs="宋体"/>
                <w:b/>
                <w:color w:val="auto"/>
                <w:sz w:val="24"/>
                <w:highlight w:val="none"/>
              </w:rPr>
            </w:pPr>
          </w:p>
        </w:tc>
      </w:tr>
      <w:tr w14:paraId="7B5B7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4EF2E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3D1377F">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618B2E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4DA84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6CC536F">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99BAEFF">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4A054F8">
            <w:pPr>
              <w:spacing w:line="360" w:lineRule="auto"/>
              <w:jc w:val="center"/>
              <w:rPr>
                <w:rFonts w:ascii="宋体" w:hAnsi="宋体" w:cs="宋体"/>
                <w:color w:val="auto"/>
                <w:sz w:val="24"/>
                <w:highlight w:val="none"/>
              </w:rPr>
            </w:pPr>
          </w:p>
        </w:tc>
      </w:tr>
      <w:tr w14:paraId="4458D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38FCE9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328005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56F17F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77830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341D166">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FAE0E3A">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E0FBCDC">
            <w:pPr>
              <w:spacing w:line="360" w:lineRule="auto"/>
              <w:jc w:val="center"/>
              <w:rPr>
                <w:rFonts w:ascii="宋体" w:hAnsi="宋体" w:cs="宋体"/>
                <w:color w:val="auto"/>
                <w:sz w:val="24"/>
                <w:highlight w:val="none"/>
              </w:rPr>
            </w:pPr>
          </w:p>
        </w:tc>
      </w:tr>
      <w:tr w14:paraId="1BE5F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BFA65A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FAB5C49">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E4A814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627DD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063CA32">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AAF6FCC">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FDC3367">
            <w:pPr>
              <w:spacing w:line="360" w:lineRule="auto"/>
              <w:jc w:val="center"/>
              <w:rPr>
                <w:rFonts w:ascii="宋体" w:hAnsi="宋体" w:cs="宋体"/>
                <w:color w:val="auto"/>
                <w:sz w:val="24"/>
                <w:highlight w:val="none"/>
              </w:rPr>
            </w:pPr>
          </w:p>
        </w:tc>
      </w:tr>
    </w:tbl>
    <w:p w14:paraId="0B8114D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354F4C">
      <w:pPr>
        <w:jc w:val="center"/>
        <w:rPr>
          <w:rFonts w:ascii="宋体" w:hAnsi="宋体" w:cs="宋体"/>
          <w:b/>
          <w:color w:val="auto"/>
          <w:kern w:val="0"/>
          <w:sz w:val="32"/>
          <w:szCs w:val="32"/>
          <w:highlight w:val="none"/>
        </w:rPr>
      </w:pPr>
    </w:p>
    <w:p w14:paraId="4F9E4FE7">
      <w:pPr>
        <w:jc w:val="center"/>
        <w:rPr>
          <w:rFonts w:ascii="宋体" w:hAnsi="宋体" w:cs="宋体"/>
          <w:b/>
          <w:color w:val="auto"/>
          <w:kern w:val="0"/>
          <w:sz w:val="32"/>
          <w:szCs w:val="32"/>
          <w:highlight w:val="none"/>
        </w:rPr>
      </w:pPr>
    </w:p>
    <w:p w14:paraId="6F5626D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555C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1E0040">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7847860A">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309AB7A2">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0625720">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12F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CD088A">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F57D8D0">
            <w:pPr>
              <w:jc w:val="center"/>
              <w:rPr>
                <w:rFonts w:ascii="宋体" w:hAnsi="宋体" w:cs="宋体"/>
                <w:b/>
                <w:color w:val="auto"/>
                <w:kern w:val="0"/>
                <w:sz w:val="32"/>
                <w:szCs w:val="32"/>
                <w:highlight w:val="none"/>
              </w:rPr>
            </w:pPr>
          </w:p>
        </w:tc>
        <w:tc>
          <w:tcPr>
            <w:tcW w:w="3546" w:type="dxa"/>
          </w:tcPr>
          <w:p w14:paraId="22E96D1B">
            <w:pPr>
              <w:jc w:val="center"/>
              <w:rPr>
                <w:rFonts w:ascii="宋体" w:hAnsi="宋体" w:cs="宋体"/>
                <w:b/>
                <w:color w:val="auto"/>
                <w:kern w:val="0"/>
                <w:sz w:val="32"/>
                <w:szCs w:val="32"/>
                <w:highlight w:val="none"/>
              </w:rPr>
            </w:pPr>
          </w:p>
        </w:tc>
        <w:tc>
          <w:tcPr>
            <w:tcW w:w="1276" w:type="dxa"/>
          </w:tcPr>
          <w:p w14:paraId="4ADEF82F">
            <w:pPr>
              <w:jc w:val="center"/>
              <w:rPr>
                <w:rFonts w:ascii="宋体" w:hAnsi="宋体" w:cs="宋体"/>
                <w:b/>
                <w:color w:val="auto"/>
                <w:kern w:val="0"/>
                <w:sz w:val="32"/>
                <w:szCs w:val="32"/>
                <w:highlight w:val="none"/>
              </w:rPr>
            </w:pPr>
          </w:p>
        </w:tc>
      </w:tr>
      <w:tr w14:paraId="0DB33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965899">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C8C54EC">
            <w:pPr>
              <w:jc w:val="center"/>
              <w:rPr>
                <w:rFonts w:ascii="宋体" w:hAnsi="宋体" w:cs="宋体"/>
                <w:b/>
                <w:color w:val="auto"/>
                <w:kern w:val="0"/>
                <w:sz w:val="32"/>
                <w:szCs w:val="32"/>
                <w:highlight w:val="none"/>
              </w:rPr>
            </w:pPr>
          </w:p>
        </w:tc>
        <w:tc>
          <w:tcPr>
            <w:tcW w:w="3546" w:type="dxa"/>
          </w:tcPr>
          <w:p w14:paraId="40D5101C">
            <w:pPr>
              <w:jc w:val="center"/>
              <w:rPr>
                <w:rFonts w:ascii="宋体" w:hAnsi="宋体" w:cs="宋体"/>
                <w:b/>
                <w:color w:val="auto"/>
                <w:kern w:val="0"/>
                <w:sz w:val="32"/>
                <w:szCs w:val="32"/>
                <w:highlight w:val="none"/>
              </w:rPr>
            </w:pPr>
          </w:p>
        </w:tc>
        <w:tc>
          <w:tcPr>
            <w:tcW w:w="1276" w:type="dxa"/>
          </w:tcPr>
          <w:p w14:paraId="3BB1001E">
            <w:pPr>
              <w:jc w:val="center"/>
              <w:rPr>
                <w:rFonts w:ascii="宋体" w:hAnsi="宋体" w:cs="宋体"/>
                <w:b/>
                <w:color w:val="auto"/>
                <w:kern w:val="0"/>
                <w:sz w:val="32"/>
                <w:szCs w:val="32"/>
                <w:highlight w:val="none"/>
              </w:rPr>
            </w:pPr>
          </w:p>
        </w:tc>
      </w:tr>
      <w:tr w14:paraId="40258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E61F59F">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1438227E">
            <w:pPr>
              <w:jc w:val="center"/>
              <w:rPr>
                <w:rFonts w:ascii="宋体" w:hAnsi="宋体" w:cs="宋体"/>
                <w:b/>
                <w:color w:val="auto"/>
                <w:kern w:val="0"/>
                <w:sz w:val="32"/>
                <w:szCs w:val="32"/>
                <w:highlight w:val="none"/>
              </w:rPr>
            </w:pPr>
          </w:p>
        </w:tc>
        <w:tc>
          <w:tcPr>
            <w:tcW w:w="3546" w:type="dxa"/>
          </w:tcPr>
          <w:p w14:paraId="51925297">
            <w:pPr>
              <w:jc w:val="center"/>
              <w:rPr>
                <w:rFonts w:ascii="宋体" w:hAnsi="宋体" w:cs="宋体"/>
                <w:b/>
                <w:color w:val="auto"/>
                <w:kern w:val="0"/>
                <w:sz w:val="32"/>
                <w:szCs w:val="32"/>
                <w:highlight w:val="none"/>
              </w:rPr>
            </w:pPr>
          </w:p>
        </w:tc>
        <w:tc>
          <w:tcPr>
            <w:tcW w:w="1276" w:type="dxa"/>
          </w:tcPr>
          <w:p w14:paraId="06C738CA">
            <w:pPr>
              <w:jc w:val="center"/>
              <w:rPr>
                <w:rFonts w:ascii="宋体" w:hAnsi="宋体" w:cs="宋体"/>
                <w:b/>
                <w:color w:val="auto"/>
                <w:kern w:val="0"/>
                <w:sz w:val="32"/>
                <w:szCs w:val="32"/>
                <w:highlight w:val="none"/>
              </w:rPr>
            </w:pPr>
          </w:p>
        </w:tc>
      </w:tr>
    </w:tbl>
    <w:p w14:paraId="2140A685">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供应商保证：除商务技术偏离表列出的偏离外，供应商响应招标文件的全部要求</w:t>
      </w:r>
    </w:p>
    <w:p w14:paraId="18F32B41">
      <w:pPr>
        <w:jc w:val="center"/>
        <w:rPr>
          <w:rFonts w:ascii="宋体" w:hAnsi="宋体" w:cs="宋体"/>
          <w:b/>
          <w:color w:val="auto"/>
          <w:kern w:val="0"/>
          <w:sz w:val="32"/>
          <w:szCs w:val="32"/>
          <w:highlight w:val="none"/>
        </w:rPr>
      </w:pPr>
    </w:p>
    <w:p w14:paraId="327B2BA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E61A2B6">
      <w:pPr>
        <w:ind w:firstLine="1911" w:firstLineChars="595"/>
        <w:rPr>
          <w:rFonts w:ascii="宋体" w:hAnsi="宋体" w:cs="宋体"/>
          <w:b/>
          <w:bCs/>
          <w:color w:val="auto"/>
          <w:sz w:val="32"/>
          <w:szCs w:val="32"/>
          <w:highlight w:val="none"/>
        </w:rPr>
      </w:pPr>
    </w:p>
    <w:p w14:paraId="1FD4AA73">
      <w:pPr>
        <w:ind w:firstLine="1911" w:firstLineChars="595"/>
        <w:rPr>
          <w:rFonts w:ascii="宋体" w:hAnsi="宋体" w:cs="宋体"/>
          <w:b/>
          <w:bCs/>
          <w:color w:val="auto"/>
          <w:sz w:val="32"/>
          <w:szCs w:val="32"/>
          <w:highlight w:val="none"/>
        </w:rPr>
      </w:pPr>
    </w:p>
    <w:p w14:paraId="6101BFFD">
      <w:pPr>
        <w:ind w:firstLine="1911" w:firstLineChars="595"/>
        <w:rPr>
          <w:rFonts w:ascii="宋体" w:hAnsi="宋体" w:cs="宋体"/>
          <w:b/>
          <w:bCs/>
          <w:color w:val="auto"/>
          <w:sz w:val="32"/>
          <w:szCs w:val="32"/>
          <w:highlight w:val="none"/>
        </w:rPr>
      </w:pPr>
    </w:p>
    <w:p w14:paraId="70E6D0FE">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B1FBEDD">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3EF4F48">
      <w:pPr>
        <w:snapToGrid w:val="0"/>
        <w:spacing w:line="360" w:lineRule="auto"/>
        <w:rPr>
          <w:rFonts w:ascii="宋体" w:hAnsi="宋体" w:cs="宋体"/>
          <w:color w:val="auto"/>
          <w:sz w:val="24"/>
          <w:highlight w:val="none"/>
        </w:rPr>
      </w:pPr>
    </w:p>
    <w:p w14:paraId="33E530E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杭州市钱塘区人民政府新湾街道办事处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浙江勋达工程咨询有限公司</w:t>
      </w:r>
      <w:r>
        <w:rPr>
          <w:rFonts w:hint="eastAsia" w:ascii="宋体" w:hAnsi="宋体" w:cs="宋体"/>
          <w:color w:val="auto"/>
          <w:kern w:val="0"/>
          <w:sz w:val="24"/>
          <w:highlight w:val="none"/>
          <w:lang w:val="zh-CN"/>
        </w:rPr>
        <w:t>：</w:t>
      </w:r>
    </w:p>
    <w:p w14:paraId="7356F4A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D4D6DC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DDA8B6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2C4AEA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7371E3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311545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373C4DE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CDC09E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DEEF459">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997A06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6D652C7">
      <w:pPr>
        <w:autoSpaceDE w:val="0"/>
        <w:autoSpaceDN w:val="0"/>
        <w:spacing w:line="360" w:lineRule="auto"/>
        <w:ind w:left="2"/>
        <w:jc w:val="left"/>
        <w:rPr>
          <w:rFonts w:ascii="宋体" w:hAnsi="宋体" w:cs="宋体"/>
          <w:color w:val="auto"/>
          <w:kern w:val="0"/>
          <w:sz w:val="24"/>
          <w:highlight w:val="none"/>
          <w:lang w:val="zh-CN"/>
        </w:rPr>
      </w:pPr>
    </w:p>
    <w:p w14:paraId="3E9C1C63">
      <w:pPr>
        <w:autoSpaceDE w:val="0"/>
        <w:autoSpaceDN w:val="0"/>
        <w:spacing w:line="360" w:lineRule="auto"/>
        <w:ind w:left="2"/>
        <w:jc w:val="left"/>
        <w:rPr>
          <w:rFonts w:ascii="宋体" w:hAnsi="宋体" w:cs="宋体"/>
          <w:color w:val="auto"/>
          <w:kern w:val="0"/>
          <w:sz w:val="24"/>
          <w:highlight w:val="none"/>
          <w:lang w:val="zh-CN"/>
        </w:rPr>
      </w:pPr>
    </w:p>
    <w:p w14:paraId="540F10A6">
      <w:pPr>
        <w:autoSpaceDE w:val="0"/>
        <w:autoSpaceDN w:val="0"/>
        <w:spacing w:line="360" w:lineRule="auto"/>
        <w:ind w:left="2"/>
        <w:jc w:val="left"/>
        <w:rPr>
          <w:rFonts w:ascii="宋体" w:hAnsi="宋体" w:cs="宋体"/>
          <w:color w:val="auto"/>
          <w:kern w:val="0"/>
          <w:sz w:val="24"/>
          <w:highlight w:val="none"/>
          <w:lang w:val="zh-CN"/>
        </w:rPr>
      </w:pPr>
    </w:p>
    <w:p w14:paraId="72ED4FB8">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6610A1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154639D">
      <w:pPr>
        <w:spacing w:line="360" w:lineRule="auto"/>
        <w:jc w:val="center"/>
        <w:rPr>
          <w:rFonts w:ascii="宋体" w:hAnsi="宋体" w:cs="宋体"/>
          <w:b/>
          <w:bCs/>
          <w:color w:val="auto"/>
          <w:sz w:val="24"/>
          <w:highlight w:val="none"/>
        </w:rPr>
      </w:pPr>
    </w:p>
    <w:p w14:paraId="5B85528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5CCA418">
      <w:pPr>
        <w:spacing w:line="360" w:lineRule="auto"/>
        <w:jc w:val="center"/>
        <w:rPr>
          <w:rFonts w:ascii="宋体" w:hAnsi="宋体" w:cs="宋体"/>
          <w:b/>
          <w:bCs/>
          <w:color w:val="auto"/>
          <w:sz w:val="24"/>
          <w:highlight w:val="none"/>
        </w:rPr>
      </w:pPr>
    </w:p>
    <w:p w14:paraId="4E6FAF86">
      <w:pPr>
        <w:spacing w:line="360" w:lineRule="auto"/>
        <w:ind w:right="420"/>
        <w:rPr>
          <w:rFonts w:ascii="宋体" w:hAnsi="宋体" w:cs="宋体"/>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color w:val="auto"/>
          <w:sz w:val="24"/>
          <w:highlight w:val="none"/>
        </w:rPr>
        <w:t>附：政府采购活动现场确认声明书</w:t>
      </w:r>
    </w:p>
    <w:p w14:paraId="6F2CD8A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9BB608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68E8BA0">
      <w:pPr>
        <w:spacing w:line="360" w:lineRule="auto"/>
        <w:jc w:val="center"/>
        <w:outlineLvl w:val="0"/>
        <w:rPr>
          <w:rFonts w:ascii="宋体" w:hAnsi="宋体" w:cs="宋体"/>
          <w:b/>
          <w:color w:val="auto"/>
          <w:kern w:val="0"/>
          <w:sz w:val="36"/>
          <w:szCs w:val="36"/>
          <w:highlight w:val="none"/>
        </w:rPr>
      </w:pPr>
    </w:p>
    <w:p w14:paraId="58A7853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74557C4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39C6243">
      <w:pPr>
        <w:snapToGrid w:val="0"/>
        <w:spacing w:line="360" w:lineRule="auto"/>
        <w:ind w:right="480"/>
        <w:jc w:val="center"/>
        <w:rPr>
          <w:rFonts w:ascii="宋体" w:hAnsi="宋体" w:cs="宋体"/>
          <w:b/>
          <w:color w:val="auto"/>
          <w:kern w:val="0"/>
          <w:sz w:val="32"/>
          <w:szCs w:val="32"/>
          <w:highlight w:val="none"/>
        </w:rPr>
      </w:pPr>
    </w:p>
    <w:p w14:paraId="20C719CB">
      <w:pPr>
        <w:snapToGrid w:val="0"/>
        <w:spacing w:line="360" w:lineRule="auto"/>
        <w:ind w:right="480"/>
        <w:jc w:val="center"/>
        <w:rPr>
          <w:rFonts w:ascii="宋体" w:hAnsi="宋体" w:cs="宋体"/>
          <w:b/>
          <w:color w:val="auto"/>
          <w:kern w:val="0"/>
          <w:sz w:val="32"/>
          <w:szCs w:val="32"/>
          <w:highlight w:val="none"/>
        </w:rPr>
      </w:pPr>
    </w:p>
    <w:p w14:paraId="772BDE06">
      <w:pPr>
        <w:snapToGrid w:val="0"/>
        <w:spacing w:line="360" w:lineRule="auto"/>
        <w:ind w:right="480"/>
        <w:jc w:val="center"/>
        <w:rPr>
          <w:rFonts w:ascii="宋体" w:hAnsi="宋体" w:cs="宋体"/>
          <w:b/>
          <w:color w:val="auto"/>
          <w:kern w:val="0"/>
          <w:sz w:val="32"/>
          <w:szCs w:val="32"/>
          <w:highlight w:val="none"/>
        </w:rPr>
      </w:pPr>
    </w:p>
    <w:p w14:paraId="662C54D5">
      <w:pPr>
        <w:snapToGrid w:val="0"/>
        <w:spacing w:line="360" w:lineRule="auto"/>
        <w:ind w:right="480"/>
        <w:jc w:val="center"/>
        <w:rPr>
          <w:rFonts w:ascii="宋体" w:hAnsi="宋体" w:cs="宋体"/>
          <w:b/>
          <w:color w:val="auto"/>
          <w:kern w:val="0"/>
          <w:sz w:val="32"/>
          <w:szCs w:val="32"/>
          <w:highlight w:val="none"/>
        </w:rPr>
      </w:pPr>
    </w:p>
    <w:p w14:paraId="6025F244">
      <w:pPr>
        <w:snapToGrid w:val="0"/>
        <w:spacing w:line="360" w:lineRule="auto"/>
        <w:ind w:right="480"/>
        <w:jc w:val="center"/>
        <w:rPr>
          <w:rFonts w:ascii="宋体" w:hAnsi="宋体" w:cs="宋体"/>
          <w:b/>
          <w:color w:val="auto"/>
          <w:kern w:val="0"/>
          <w:sz w:val="32"/>
          <w:szCs w:val="32"/>
          <w:highlight w:val="none"/>
        </w:rPr>
      </w:pPr>
    </w:p>
    <w:p w14:paraId="32440ADB">
      <w:pPr>
        <w:snapToGrid w:val="0"/>
        <w:spacing w:line="360" w:lineRule="auto"/>
        <w:ind w:right="480"/>
        <w:jc w:val="center"/>
        <w:rPr>
          <w:rFonts w:ascii="宋体" w:hAnsi="宋体" w:cs="宋体"/>
          <w:b/>
          <w:color w:val="auto"/>
          <w:kern w:val="0"/>
          <w:sz w:val="32"/>
          <w:szCs w:val="32"/>
          <w:highlight w:val="none"/>
        </w:rPr>
      </w:pPr>
    </w:p>
    <w:p w14:paraId="277AC56E">
      <w:pPr>
        <w:snapToGrid w:val="0"/>
        <w:spacing w:line="360" w:lineRule="auto"/>
        <w:ind w:right="480"/>
        <w:jc w:val="center"/>
        <w:rPr>
          <w:rFonts w:ascii="宋体" w:hAnsi="宋体" w:cs="宋体"/>
          <w:b/>
          <w:color w:val="auto"/>
          <w:kern w:val="0"/>
          <w:sz w:val="32"/>
          <w:szCs w:val="32"/>
          <w:highlight w:val="none"/>
        </w:rPr>
      </w:pPr>
    </w:p>
    <w:p w14:paraId="798D5BC2">
      <w:pPr>
        <w:snapToGrid w:val="0"/>
        <w:spacing w:line="360" w:lineRule="auto"/>
        <w:ind w:right="480"/>
        <w:jc w:val="center"/>
        <w:rPr>
          <w:rFonts w:ascii="宋体" w:hAnsi="宋体" w:cs="宋体"/>
          <w:b/>
          <w:color w:val="auto"/>
          <w:kern w:val="0"/>
          <w:sz w:val="32"/>
          <w:szCs w:val="32"/>
          <w:highlight w:val="none"/>
        </w:rPr>
      </w:pPr>
    </w:p>
    <w:p w14:paraId="31C2D629">
      <w:pPr>
        <w:snapToGrid w:val="0"/>
        <w:spacing w:line="360" w:lineRule="auto"/>
        <w:ind w:right="480"/>
        <w:jc w:val="center"/>
        <w:rPr>
          <w:rFonts w:ascii="宋体" w:hAnsi="宋体" w:cs="宋体"/>
          <w:b/>
          <w:color w:val="auto"/>
          <w:kern w:val="0"/>
          <w:sz w:val="32"/>
          <w:szCs w:val="32"/>
          <w:highlight w:val="none"/>
        </w:rPr>
      </w:pPr>
    </w:p>
    <w:p w14:paraId="0DA1CA90">
      <w:pPr>
        <w:snapToGrid w:val="0"/>
        <w:spacing w:line="360" w:lineRule="auto"/>
        <w:ind w:right="480"/>
        <w:jc w:val="center"/>
        <w:rPr>
          <w:rFonts w:ascii="宋体" w:hAnsi="宋体" w:cs="宋体"/>
          <w:b/>
          <w:color w:val="auto"/>
          <w:kern w:val="0"/>
          <w:sz w:val="32"/>
          <w:szCs w:val="32"/>
          <w:highlight w:val="none"/>
        </w:rPr>
      </w:pPr>
    </w:p>
    <w:p w14:paraId="1C02E00C">
      <w:pPr>
        <w:snapToGrid w:val="0"/>
        <w:spacing w:line="360" w:lineRule="auto"/>
        <w:ind w:right="480"/>
        <w:jc w:val="center"/>
        <w:rPr>
          <w:rFonts w:ascii="宋体" w:hAnsi="宋体" w:cs="宋体"/>
          <w:b/>
          <w:color w:val="auto"/>
          <w:kern w:val="0"/>
          <w:sz w:val="32"/>
          <w:szCs w:val="32"/>
          <w:highlight w:val="none"/>
        </w:rPr>
      </w:pPr>
    </w:p>
    <w:p w14:paraId="4A8B455B">
      <w:pPr>
        <w:snapToGrid w:val="0"/>
        <w:spacing w:line="360" w:lineRule="auto"/>
        <w:ind w:right="480"/>
        <w:jc w:val="center"/>
        <w:rPr>
          <w:rFonts w:ascii="宋体" w:hAnsi="宋体" w:cs="宋体"/>
          <w:b/>
          <w:color w:val="auto"/>
          <w:kern w:val="0"/>
          <w:sz w:val="32"/>
          <w:szCs w:val="32"/>
          <w:highlight w:val="none"/>
        </w:rPr>
      </w:pPr>
    </w:p>
    <w:p w14:paraId="5D5BD167">
      <w:pPr>
        <w:snapToGrid w:val="0"/>
        <w:spacing w:line="360" w:lineRule="auto"/>
        <w:ind w:right="480"/>
        <w:jc w:val="center"/>
        <w:rPr>
          <w:rFonts w:ascii="宋体" w:hAnsi="宋体" w:cs="宋体"/>
          <w:b/>
          <w:color w:val="auto"/>
          <w:kern w:val="0"/>
          <w:sz w:val="32"/>
          <w:szCs w:val="32"/>
          <w:highlight w:val="none"/>
        </w:rPr>
      </w:pPr>
    </w:p>
    <w:p w14:paraId="4890E526">
      <w:pPr>
        <w:snapToGrid w:val="0"/>
        <w:spacing w:line="360" w:lineRule="auto"/>
        <w:ind w:right="480"/>
        <w:jc w:val="center"/>
        <w:rPr>
          <w:rFonts w:ascii="宋体" w:hAnsi="宋体" w:cs="宋体"/>
          <w:b/>
          <w:color w:val="auto"/>
          <w:kern w:val="0"/>
          <w:sz w:val="32"/>
          <w:szCs w:val="32"/>
          <w:highlight w:val="none"/>
        </w:rPr>
      </w:pPr>
    </w:p>
    <w:p w14:paraId="37C72FEA">
      <w:pPr>
        <w:snapToGrid w:val="0"/>
        <w:spacing w:line="360" w:lineRule="auto"/>
        <w:ind w:right="480"/>
        <w:jc w:val="center"/>
        <w:rPr>
          <w:rFonts w:ascii="宋体" w:hAnsi="宋体" w:cs="宋体"/>
          <w:b/>
          <w:color w:val="auto"/>
          <w:kern w:val="0"/>
          <w:sz w:val="32"/>
          <w:szCs w:val="32"/>
          <w:highlight w:val="none"/>
        </w:rPr>
      </w:pPr>
    </w:p>
    <w:p w14:paraId="49C411FC">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04AA4AE">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5F0056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杭州市钱塘区人民政府新湾街道办事处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浙江勋达工程咨询有限公司</w:t>
      </w:r>
      <w:r>
        <w:rPr>
          <w:rFonts w:hint="eastAsia" w:ascii="宋体" w:hAnsi="宋体" w:cs="宋体"/>
          <w:color w:val="auto"/>
          <w:kern w:val="0"/>
          <w:sz w:val="24"/>
          <w:highlight w:val="none"/>
          <w:lang w:val="zh-CN"/>
        </w:rPr>
        <w:t>：</w:t>
      </w:r>
    </w:p>
    <w:p w14:paraId="7CE872EE">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新湾街道2025—2026年度治安巡逻防控第三方服务采购项目</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 xml:space="preserve"> QTCG-GK-2025-101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38BDA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3400"/>
        <w:gridCol w:w="2105"/>
        <w:gridCol w:w="2950"/>
      </w:tblGrid>
      <w:tr w14:paraId="7225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139" w:type="dxa"/>
            <w:vAlign w:val="center"/>
          </w:tcPr>
          <w:p w14:paraId="7F984620">
            <w:pPr>
              <w:rPr>
                <w:rFonts w:ascii="宋体" w:hAnsi="宋体" w:cs="宋体"/>
                <w:b/>
                <w:bCs/>
                <w:color w:val="auto"/>
                <w:sz w:val="24"/>
                <w:highlight w:val="none"/>
              </w:rPr>
            </w:pPr>
            <w:r>
              <w:rPr>
                <w:rFonts w:hint="eastAsia" w:ascii="宋体" w:hAnsi="宋体" w:cs="宋体"/>
                <w:b/>
                <w:bCs/>
                <w:color w:val="auto"/>
                <w:kern w:val="0"/>
                <w:sz w:val="24"/>
                <w:highlight w:val="none"/>
              </w:rPr>
              <w:t xml:space="preserve"> </w:t>
            </w:r>
            <w:r>
              <w:rPr>
                <w:rFonts w:hint="eastAsia" w:ascii="宋体" w:hAnsi="宋体" w:cs="宋体"/>
                <w:b/>
                <w:bCs/>
                <w:color w:val="auto"/>
                <w:sz w:val="24"/>
                <w:highlight w:val="none"/>
              </w:rPr>
              <w:t>序号</w:t>
            </w:r>
          </w:p>
        </w:tc>
        <w:tc>
          <w:tcPr>
            <w:tcW w:w="3400" w:type="dxa"/>
            <w:vAlign w:val="center"/>
          </w:tcPr>
          <w:p w14:paraId="1C2162AF">
            <w:pPr>
              <w:jc w:val="center"/>
              <w:rPr>
                <w:rFonts w:ascii="宋体" w:hAnsi="宋体" w:cs="宋体"/>
                <w:b/>
                <w:bCs/>
                <w:color w:val="auto"/>
                <w:sz w:val="24"/>
                <w:highlight w:val="none"/>
              </w:rPr>
            </w:pPr>
            <w:r>
              <w:rPr>
                <w:rFonts w:hint="eastAsia" w:ascii="宋体" w:hAnsi="宋体" w:cs="宋体"/>
                <w:b/>
                <w:bCs/>
                <w:color w:val="auto"/>
                <w:sz w:val="24"/>
                <w:highlight w:val="none"/>
              </w:rPr>
              <w:t>内容</w:t>
            </w:r>
          </w:p>
        </w:tc>
        <w:tc>
          <w:tcPr>
            <w:tcW w:w="2105" w:type="dxa"/>
            <w:vAlign w:val="center"/>
          </w:tcPr>
          <w:p w14:paraId="778DB341">
            <w:pP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数量</w:t>
            </w:r>
          </w:p>
        </w:tc>
        <w:tc>
          <w:tcPr>
            <w:tcW w:w="2950" w:type="dxa"/>
            <w:vAlign w:val="center"/>
          </w:tcPr>
          <w:p w14:paraId="4190522E">
            <w:pP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小计（元）</w:t>
            </w:r>
          </w:p>
        </w:tc>
      </w:tr>
      <w:tr w14:paraId="3E90E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139" w:type="dxa"/>
            <w:vAlign w:val="center"/>
          </w:tcPr>
          <w:p w14:paraId="314EE4B8">
            <w:pPr>
              <w:jc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3400" w:type="dxa"/>
            <w:vAlign w:val="center"/>
          </w:tcPr>
          <w:p w14:paraId="62A59B1B">
            <w:pPr>
              <w:jc w:val="center"/>
              <w:rPr>
                <w:rFonts w:ascii="宋体" w:hAnsi="宋体" w:cs="宋体"/>
                <w:b/>
                <w:color w:val="auto"/>
                <w:kern w:val="0"/>
                <w:sz w:val="24"/>
                <w:highlight w:val="none"/>
              </w:rPr>
            </w:pPr>
            <w:r>
              <w:rPr>
                <w:rFonts w:hint="eastAsia" w:ascii="宋体" w:hAnsi="宋体" w:cs="宋体"/>
                <w:color w:val="auto"/>
                <w:sz w:val="24"/>
                <w:highlight w:val="none"/>
                <w:lang w:eastAsia="zh-CN"/>
              </w:rPr>
              <w:t>新湾街道2025—2026年度治安巡逻防控第三方服务采购项目</w:t>
            </w:r>
          </w:p>
        </w:tc>
        <w:tc>
          <w:tcPr>
            <w:tcW w:w="2105" w:type="dxa"/>
            <w:vAlign w:val="center"/>
          </w:tcPr>
          <w:p w14:paraId="0F815F7A">
            <w:pPr>
              <w:adjustRightInd/>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1项</w:t>
            </w:r>
          </w:p>
        </w:tc>
        <w:tc>
          <w:tcPr>
            <w:tcW w:w="2950" w:type="dxa"/>
            <w:vAlign w:val="center"/>
          </w:tcPr>
          <w:p w14:paraId="06874645">
            <w:pPr>
              <w:jc w:val="center"/>
              <w:rPr>
                <w:rFonts w:ascii="宋体" w:hAnsi="宋体" w:cs="宋体"/>
                <w:color w:val="auto"/>
                <w:sz w:val="24"/>
                <w:highlight w:val="none"/>
              </w:rPr>
            </w:pPr>
          </w:p>
        </w:tc>
      </w:tr>
      <w:tr w14:paraId="217C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139" w:type="dxa"/>
          </w:tcPr>
          <w:p w14:paraId="3D8636F6">
            <w:pPr>
              <w:jc w:val="center"/>
              <w:rPr>
                <w:rFonts w:ascii="宋体" w:hAnsi="宋体" w:cs="宋体"/>
                <w:color w:val="auto"/>
                <w:sz w:val="24"/>
                <w:highlight w:val="none"/>
              </w:rPr>
            </w:pPr>
          </w:p>
          <w:p w14:paraId="4833902D">
            <w:pPr>
              <w:jc w:val="center"/>
              <w:rPr>
                <w:rFonts w:ascii="宋体" w:hAnsi="宋体" w:cs="宋体"/>
                <w:color w:val="auto"/>
                <w:sz w:val="24"/>
                <w:highlight w:val="none"/>
              </w:rPr>
            </w:pPr>
            <w:r>
              <w:rPr>
                <w:rFonts w:hint="eastAsia" w:ascii="宋体" w:hAnsi="宋体" w:cs="宋体"/>
                <w:color w:val="auto"/>
                <w:sz w:val="24"/>
                <w:highlight w:val="none"/>
              </w:rPr>
              <w:t>4</w:t>
            </w:r>
          </w:p>
        </w:tc>
        <w:tc>
          <w:tcPr>
            <w:tcW w:w="5505" w:type="dxa"/>
            <w:gridSpan w:val="2"/>
            <w:vAlign w:val="center"/>
          </w:tcPr>
          <w:p w14:paraId="45E44205">
            <w:pPr>
              <w:jc w:val="center"/>
              <w:rPr>
                <w:rFonts w:ascii="宋体" w:hAnsi="宋体" w:cs="宋体"/>
                <w:color w:val="auto"/>
                <w:sz w:val="24"/>
                <w:highlight w:val="none"/>
                <w:lang w:val="en-GB"/>
              </w:rPr>
            </w:pPr>
            <w:r>
              <w:rPr>
                <w:rFonts w:hint="eastAsia" w:ascii="宋体" w:hAnsi="宋体" w:cs="宋体"/>
                <w:b/>
                <w:bCs/>
                <w:color w:val="auto"/>
                <w:kern w:val="0"/>
                <w:sz w:val="24"/>
                <w:highlight w:val="none"/>
                <w:lang w:bidi="ar"/>
              </w:rPr>
              <w:t>投标总报价（合计）</w:t>
            </w:r>
          </w:p>
        </w:tc>
        <w:tc>
          <w:tcPr>
            <w:tcW w:w="2950" w:type="dxa"/>
            <w:vAlign w:val="center"/>
          </w:tcPr>
          <w:p w14:paraId="6D4CF05C">
            <w:pPr>
              <w:rPr>
                <w:rFonts w:ascii="宋体" w:hAnsi="宋体" w:cs="宋体"/>
                <w:color w:val="auto"/>
                <w:sz w:val="24"/>
                <w:highlight w:val="none"/>
                <w:lang w:val="en-GB"/>
              </w:rPr>
            </w:pPr>
            <w:r>
              <w:rPr>
                <w:rFonts w:hint="eastAsia" w:ascii="宋体" w:hAnsi="宋体" w:cs="宋体"/>
                <w:b/>
                <w:bCs/>
                <w:color w:val="auto"/>
                <w:kern w:val="0"/>
                <w:sz w:val="24"/>
                <w:highlight w:val="none"/>
                <w:u w:val="single"/>
                <w:lang w:bidi="ar"/>
              </w:rPr>
              <w:t xml:space="preserve">  （按此价格唱标） </w:t>
            </w:r>
            <w:r>
              <w:rPr>
                <w:rFonts w:hint="eastAsia" w:ascii="宋体" w:hAnsi="宋体" w:cs="宋体"/>
                <w:b/>
                <w:bCs/>
                <w:color w:val="auto"/>
                <w:kern w:val="0"/>
                <w:sz w:val="24"/>
                <w:highlight w:val="none"/>
                <w:lang w:bidi="ar"/>
              </w:rPr>
              <w:t>元</w:t>
            </w:r>
          </w:p>
        </w:tc>
      </w:tr>
      <w:tr w14:paraId="2A20E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594" w:type="dxa"/>
            <w:gridSpan w:val="4"/>
            <w:vAlign w:val="center"/>
          </w:tcPr>
          <w:p w14:paraId="3D811146">
            <w:pPr>
              <w:widowControl/>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项目负责人：       联系电话：</w:t>
            </w:r>
          </w:p>
        </w:tc>
      </w:tr>
      <w:tr w14:paraId="184E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594" w:type="dxa"/>
            <w:gridSpan w:val="4"/>
            <w:vAlign w:val="center"/>
          </w:tcPr>
          <w:p w14:paraId="3DC64805">
            <w:pPr>
              <w:widowControl/>
              <w:jc w:val="left"/>
              <w:textAlignment w:val="center"/>
              <w:rPr>
                <w:rFonts w:hint="eastAsia" w:ascii="宋体" w:hAnsi="宋体" w:cs="宋体"/>
                <w:color w:val="auto"/>
                <w:spacing w:val="-6"/>
                <w:sz w:val="24"/>
                <w:highlight w:val="none"/>
                <w:lang w:eastAsia="zh-CN"/>
              </w:rPr>
            </w:pPr>
            <w:r>
              <w:rPr>
                <w:rFonts w:hint="eastAsia" w:ascii="宋体" w:hAnsi="宋体" w:cs="宋体"/>
                <w:b/>
                <w:bCs/>
                <w:color w:val="auto"/>
                <w:kern w:val="0"/>
                <w:sz w:val="24"/>
                <w:highlight w:val="none"/>
                <w:lang w:bidi="ar"/>
              </w:rPr>
              <w:t>合同履约期限：</w:t>
            </w:r>
            <w:r>
              <w:rPr>
                <w:rFonts w:hint="eastAsia" w:ascii="宋体" w:hAnsi="宋体" w:cs="宋体"/>
                <w:color w:val="auto"/>
                <w:spacing w:val="-6"/>
                <w:sz w:val="24"/>
                <w:highlight w:val="none"/>
                <w:lang w:eastAsia="zh-CN"/>
              </w:rPr>
              <w:t>1年（具体以合同签订时间为准）；</w:t>
            </w:r>
          </w:p>
          <w:p w14:paraId="09CD00D8">
            <w:pPr>
              <w:pStyle w:val="81"/>
              <w:ind w:left="0" w:leftChars="0" w:firstLine="0" w:firstLineChars="0"/>
              <w:rPr>
                <w:rFonts w:hint="eastAsia" w:eastAsia="宋体"/>
                <w:color w:val="auto"/>
                <w:highlight w:val="none"/>
                <w:lang w:val="en-US" w:eastAsia="zh-CN"/>
              </w:rPr>
            </w:pPr>
            <w:r>
              <w:rPr>
                <w:rFonts w:hint="eastAsia" w:ascii="宋体" w:hAnsi="宋体" w:cs="宋体"/>
                <w:b/>
                <w:bCs/>
                <w:color w:val="auto"/>
                <w:kern w:val="0"/>
                <w:sz w:val="24"/>
                <w:highlight w:val="none"/>
                <w:lang w:bidi="ar"/>
              </w:rPr>
              <w:t>投标报价明细详见附件：</w:t>
            </w:r>
            <w:r>
              <w:rPr>
                <w:rFonts w:hint="eastAsia" w:ascii="宋体" w:hAnsi="宋体" w:cs="宋体"/>
                <w:color w:val="auto"/>
                <w:kern w:val="0"/>
                <w:sz w:val="24"/>
                <w:highlight w:val="none"/>
                <w:lang w:bidi="ar"/>
              </w:rPr>
              <w:t>投标报价明细表</w:t>
            </w:r>
            <w:r>
              <w:rPr>
                <w:rFonts w:hint="eastAsia" w:ascii="宋体" w:hAnsi="宋体" w:cs="宋体"/>
                <w:color w:val="auto"/>
                <w:kern w:val="0"/>
                <w:sz w:val="24"/>
                <w:highlight w:val="none"/>
                <w:lang w:eastAsia="zh-CN" w:bidi="ar"/>
              </w:rPr>
              <w:t>。</w:t>
            </w:r>
          </w:p>
        </w:tc>
      </w:tr>
    </w:tbl>
    <w:p w14:paraId="2A0A2AD3">
      <w:pPr>
        <w:snapToGrid w:val="0"/>
        <w:spacing w:line="360" w:lineRule="auto"/>
        <w:rPr>
          <w:rFonts w:hint="eastAsia" w:ascii="宋体" w:hAnsi="宋体" w:eastAsia="宋体" w:cs="宋体"/>
          <w:b w:val="0"/>
          <w:color w:val="auto"/>
          <w:kern w:val="0"/>
          <w:sz w:val="24"/>
          <w:szCs w:val="24"/>
          <w:highlight w:val="none"/>
          <w:lang w:val="zh-CN"/>
        </w:rPr>
      </w:pPr>
      <w:r>
        <w:rPr>
          <w:rFonts w:hint="eastAsia" w:ascii="宋体" w:hAnsi="宋体" w:cs="宋体"/>
          <w:b/>
          <w:color w:val="auto"/>
          <w:kern w:val="0"/>
          <w:sz w:val="24"/>
          <w:highlight w:val="none"/>
          <w:lang w:val="zh-CN"/>
        </w:rPr>
        <w:t>注：</w:t>
      </w: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bCs w:val="0"/>
          <w:color w:val="auto"/>
          <w:kern w:val="0"/>
          <w:sz w:val="24"/>
          <w:highlight w:val="none"/>
          <w:lang w:val="zh-CN"/>
        </w:rPr>
        <w:t>采购人将以合同形式有偿取得货物或服务，不接受供应商给予的赠品、回扣或者与采购无关的其他商品、服务，不得出现“0元”“免费赠送”等形式的无偿报价，</w:t>
      </w:r>
      <w:r>
        <w:rPr>
          <w:rFonts w:hint="eastAsia" w:ascii="宋体" w:hAnsi="宋体" w:cs="宋体"/>
          <w:b/>
          <w:bCs w:val="0"/>
          <w:color w:val="auto"/>
          <w:kern w:val="0"/>
          <w:sz w:val="24"/>
          <w:highlight w:val="none"/>
        </w:rPr>
        <w:t>否则视为</w:t>
      </w:r>
      <w:r>
        <w:rPr>
          <w:rFonts w:hint="eastAsia" w:ascii="宋体" w:hAnsi="宋体" w:cs="宋体"/>
          <w:b/>
          <w:bCs w:val="0"/>
          <w:color w:val="auto"/>
          <w:sz w:val="24"/>
          <w:highlight w:val="none"/>
        </w:rPr>
        <w:t>投标文件含有采购人不能接受的附加条件，投标无效</w:t>
      </w:r>
      <w:r>
        <w:rPr>
          <w:rFonts w:hint="eastAsia" w:ascii="宋体" w:hAnsi="宋体" w:cs="宋体"/>
          <w:b/>
          <w:bCs w:val="0"/>
          <w:color w:val="auto"/>
          <w:kern w:val="0"/>
          <w:sz w:val="24"/>
          <w:highlight w:val="none"/>
          <w:lang w:val="zh-CN"/>
        </w:rPr>
        <w:t>；采购内容未包含在《开标一览表（报价表）》名称栏中，供应商不能作出合理解释的，</w:t>
      </w:r>
      <w:r>
        <w:rPr>
          <w:rFonts w:hint="eastAsia" w:ascii="宋体" w:hAnsi="宋体" w:cs="宋体"/>
          <w:b/>
          <w:bCs w:val="0"/>
          <w:color w:val="auto"/>
          <w:kern w:val="0"/>
          <w:sz w:val="24"/>
          <w:highlight w:val="none"/>
        </w:rPr>
        <w:t>视为</w:t>
      </w:r>
      <w:r>
        <w:rPr>
          <w:rFonts w:hint="eastAsia" w:ascii="宋体" w:hAnsi="宋体" w:cs="宋体"/>
          <w:b/>
          <w:bCs w:val="0"/>
          <w:color w:val="auto"/>
          <w:sz w:val="24"/>
          <w:highlight w:val="none"/>
        </w:rPr>
        <w:t>投标文件含有采购人不能接受的附加条件的，投标无效。</w:t>
      </w: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r>
        <w:rPr>
          <w:rFonts w:hint="eastAsia" w:ascii="宋体" w:hAnsi="宋体" w:eastAsia="宋体" w:cs="宋体"/>
          <w:b w:val="0"/>
          <w:color w:val="auto"/>
          <w:kern w:val="0"/>
          <w:sz w:val="24"/>
          <w:szCs w:val="24"/>
          <w:highlight w:val="none"/>
          <w:lang w:val="zh-CN"/>
        </w:rPr>
        <w:t>特别说明：▲供应商报价低于项目预算50%的，应当在报价文件中详细阐述不影响产品质量或者诚信履约的具体原因，未做阐述说明的，投标无效。</w:t>
      </w:r>
    </w:p>
    <w:p w14:paraId="4A1B31D2">
      <w:pPr>
        <w:pStyle w:val="694"/>
        <w:tabs>
          <w:tab w:val="clear" w:pos="720"/>
        </w:tabs>
        <w:snapToGrid w:val="0"/>
        <w:spacing w:before="120" w:after="120"/>
        <w:ind w:firstLine="0"/>
        <w:jc w:val="both"/>
        <w:outlineLvl w:val="9"/>
        <w:rPr>
          <w:rFonts w:ascii="宋体" w:hAnsi="宋体" w:cs="宋体"/>
          <w:color w:val="auto"/>
          <w:sz w:val="32"/>
          <w:szCs w:val="32"/>
          <w:highlight w:val="none"/>
        </w:rPr>
      </w:pPr>
      <w:r>
        <w:rPr>
          <w:rFonts w:hint="eastAsia" w:ascii="宋体" w:hAnsi="宋体" w:cs="宋体"/>
          <w:color w:val="auto"/>
          <w:sz w:val="32"/>
          <w:szCs w:val="32"/>
          <w:highlight w:val="none"/>
          <w:lang w:val="en-US" w:eastAsia="zh-CN"/>
        </w:rPr>
        <w:t>开标一览表</w:t>
      </w:r>
      <w:r>
        <w:rPr>
          <w:rFonts w:hint="eastAsia" w:ascii="宋体" w:hAnsi="宋体" w:cs="宋体"/>
          <w:color w:val="auto"/>
          <w:sz w:val="32"/>
          <w:szCs w:val="32"/>
          <w:highlight w:val="none"/>
        </w:rPr>
        <w:t>附表：      投标报价明细清单</w:t>
      </w:r>
    </w:p>
    <w:p w14:paraId="7DEEFB4C">
      <w:pPr>
        <w:pStyle w:val="3"/>
        <w:spacing w:before="120" w:after="120" w:line="240" w:lineRule="auto"/>
        <w:ind w:left="431" w:hanging="431"/>
        <w:jc w:val="right"/>
        <w:rPr>
          <w:rFonts w:ascii="宋体" w:hAnsi="宋体" w:cs="宋体"/>
          <w:b w:val="0"/>
          <w:bCs w:val="0"/>
          <w:color w:val="auto"/>
          <w:kern w:val="2"/>
          <w:sz w:val="32"/>
          <w:szCs w:val="32"/>
          <w:highlight w:val="none"/>
        </w:rPr>
      </w:pPr>
      <w:r>
        <w:rPr>
          <w:rFonts w:hint="eastAsia" w:ascii="宋体" w:hAnsi="宋体" w:cs="宋体"/>
          <w:b w:val="0"/>
          <w:bCs w:val="0"/>
          <w:color w:val="auto"/>
          <w:kern w:val="2"/>
          <w:sz w:val="32"/>
          <w:szCs w:val="32"/>
          <w:highlight w:val="none"/>
        </w:rPr>
        <w:t>单位：元</w:t>
      </w:r>
    </w:p>
    <w:tbl>
      <w:tblPr>
        <w:tblStyle w:val="63"/>
        <w:tblW w:w="9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2620"/>
        <w:gridCol w:w="1200"/>
        <w:gridCol w:w="2062"/>
        <w:gridCol w:w="1779"/>
        <w:gridCol w:w="987"/>
      </w:tblGrid>
      <w:tr w14:paraId="3D8D8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0F42E86">
            <w:pPr>
              <w:pStyle w:val="321"/>
              <w:spacing w:line="560" w:lineRule="exact"/>
              <w:ind w:left="0" w:leftChars="0" w:firstLine="241" w:firstLineChars="100"/>
              <w:jc w:val="both"/>
              <w:rPr>
                <w:rFonts w:hAnsi="宋体" w:eastAsia="宋体" w:cs="宋体"/>
                <w:b/>
                <w:bCs/>
                <w:color w:val="auto"/>
                <w:sz w:val="24"/>
                <w:szCs w:val="24"/>
                <w:highlight w:val="none"/>
              </w:rPr>
            </w:pPr>
            <w:r>
              <w:rPr>
                <w:rFonts w:hint="eastAsia" w:hAnsi="宋体" w:eastAsia="宋体" w:cs="宋体"/>
                <w:b/>
                <w:bCs/>
                <w:color w:val="auto"/>
                <w:sz w:val="24"/>
                <w:szCs w:val="24"/>
                <w:highlight w:val="none"/>
              </w:rPr>
              <w:t>序号</w:t>
            </w:r>
          </w:p>
        </w:tc>
        <w:tc>
          <w:tcPr>
            <w:tcW w:w="2620" w:type="dxa"/>
            <w:vAlign w:val="center"/>
          </w:tcPr>
          <w:p w14:paraId="421F197D">
            <w:pPr>
              <w:pStyle w:val="321"/>
              <w:spacing w:line="560" w:lineRule="exact"/>
              <w:ind w:left="0" w:leftChars="0" w:firstLine="0" w:firstLineChars="0"/>
              <w:jc w:val="center"/>
              <w:rPr>
                <w:rFonts w:hAnsi="宋体" w:eastAsia="宋体" w:cs="宋体"/>
                <w:b/>
                <w:bCs/>
                <w:color w:val="auto"/>
                <w:sz w:val="24"/>
                <w:szCs w:val="24"/>
                <w:highlight w:val="none"/>
              </w:rPr>
            </w:pPr>
            <w:r>
              <w:rPr>
                <w:rFonts w:hint="eastAsia" w:hAnsi="宋体" w:eastAsia="宋体" w:cs="宋体"/>
                <w:b/>
                <w:bCs/>
                <w:color w:val="auto"/>
                <w:sz w:val="24"/>
                <w:szCs w:val="24"/>
                <w:highlight w:val="none"/>
              </w:rPr>
              <w:t>分项名称</w:t>
            </w:r>
          </w:p>
        </w:tc>
        <w:tc>
          <w:tcPr>
            <w:tcW w:w="1200" w:type="dxa"/>
            <w:vAlign w:val="center"/>
          </w:tcPr>
          <w:p w14:paraId="5A8E3424">
            <w:pPr>
              <w:pStyle w:val="321"/>
              <w:spacing w:line="560" w:lineRule="exact"/>
              <w:ind w:left="0" w:leftChars="0" w:firstLine="0" w:firstLineChars="0"/>
              <w:jc w:val="center"/>
              <w:rPr>
                <w:rFonts w:hint="default" w:hAnsi="宋体" w:eastAsia="宋体" w:cs="宋体"/>
                <w:b/>
                <w:bCs/>
                <w:color w:val="auto"/>
                <w:sz w:val="24"/>
                <w:szCs w:val="24"/>
                <w:highlight w:val="none"/>
                <w:lang w:val="en-US" w:eastAsia="zh-CN"/>
              </w:rPr>
            </w:pPr>
            <w:r>
              <w:rPr>
                <w:rFonts w:hint="eastAsia" w:hAnsi="宋体" w:eastAsia="宋体" w:cs="宋体"/>
                <w:b/>
                <w:bCs/>
                <w:color w:val="auto"/>
                <w:sz w:val="24"/>
                <w:szCs w:val="24"/>
                <w:highlight w:val="none"/>
                <w:lang w:val="en-US" w:eastAsia="zh-CN"/>
              </w:rPr>
              <w:t>数量</w:t>
            </w:r>
          </w:p>
        </w:tc>
        <w:tc>
          <w:tcPr>
            <w:tcW w:w="2062" w:type="dxa"/>
            <w:vAlign w:val="center"/>
          </w:tcPr>
          <w:p w14:paraId="1375907D">
            <w:pPr>
              <w:pStyle w:val="321"/>
              <w:spacing w:line="560" w:lineRule="exact"/>
              <w:ind w:left="0" w:leftChars="0" w:firstLine="0" w:firstLineChars="0"/>
              <w:jc w:val="center"/>
              <w:rPr>
                <w:rFonts w:hAnsi="宋体" w:eastAsia="宋体" w:cs="宋体"/>
                <w:b/>
                <w:bCs/>
                <w:color w:val="auto"/>
                <w:sz w:val="24"/>
                <w:szCs w:val="24"/>
                <w:highlight w:val="none"/>
              </w:rPr>
            </w:pPr>
            <w:r>
              <w:rPr>
                <w:rFonts w:hint="eastAsia" w:hAnsi="宋体" w:eastAsia="宋体" w:cs="宋体"/>
                <w:b/>
                <w:bCs/>
                <w:color w:val="auto"/>
                <w:sz w:val="24"/>
                <w:szCs w:val="24"/>
                <w:highlight w:val="none"/>
                <w:lang w:val="en-US" w:eastAsia="zh-CN"/>
              </w:rPr>
              <w:t>综合单价（含税）</w:t>
            </w:r>
          </w:p>
        </w:tc>
        <w:tc>
          <w:tcPr>
            <w:tcW w:w="1779" w:type="dxa"/>
            <w:vAlign w:val="center"/>
          </w:tcPr>
          <w:p w14:paraId="574D0CB3">
            <w:pPr>
              <w:pStyle w:val="321"/>
              <w:spacing w:line="560" w:lineRule="exact"/>
              <w:ind w:left="0" w:leftChars="0" w:firstLine="0" w:firstLineChars="0"/>
              <w:jc w:val="center"/>
              <w:rPr>
                <w:rFonts w:hint="eastAsia" w:hAnsi="宋体" w:eastAsia="宋体" w:cs="宋体"/>
                <w:b/>
                <w:bCs/>
                <w:color w:val="auto"/>
                <w:sz w:val="24"/>
                <w:szCs w:val="24"/>
                <w:highlight w:val="none"/>
                <w:lang w:val="en-US" w:eastAsia="zh-CN"/>
              </w:rPr>
            </w:pPr>
            <w:r>
              <w:rPr>
                <w:rFonts w:hint="eastAsia" w:hAnsi="宋体" w:eastAsia="宋体" w:cs="宋体"/>
                <w:b/>
                <w:bCs/>
                <w:color w:val="auto"/>
                <w:sz w:val="24"/>
                <w:szCs w:val="24"/>
                <w:highlight w:val="none"/>
                <w:lang w:val="en-US" w:eastAsia="zh-CN"/>
              </w:rPr>
              <w:t>小计</w:t>
            </w:r>
          </w:p>
        </w:tc>
        <w:tc>
          <w:tcPr>
            <w:tcW w:w="987" w:type="dxa"/>
            <w:vAlign w:val="center"/>
          </w:tcPr>
          <w:p w14:paraId="334E338B">
            <w:pPr>
              <w:pStyle w:val="321"/>
              <w:spacing w:line="560" w:lineRule="exact"/>
              <w:ind w:left="0" w:leftChars="0" w:firstLine="0" w:firstLineChars="0"/>
              <w:jc w:val="left"/>
              <w:rPr>
                <w:rFonts w:hint="eastAsia" w:hAnsi="宋体" w:eastAsia="宋体" w:cs="宋体"/>
                <w:b/>
                <w:bCs/>
                <w:color w:val="auto"/>
                <w:sz w:val="24"/>
                <w:szCs w:val="24"/>
                <w:highlight w:val="none"/>
                <w:lang w:val="en-US" w:eastAsia="zh-CN"/>
              </w:rPr>
            </w:pPr>
            <w:r>
              <w:rPr>
                <w:rFonts w:hint="eastAsia" w:hAnsi="宋体" w:eastAsia="宋体" w:cs="宋体"/>
                <w:b/>
                <w:bCs/>
                <w:color w:val="auto"/>
                <w:sz w:val="24"/>
                <w:szCs w:val="24"/>
                <w:highlight w:val="none"/>
                <w:lang w:val="en-US" w:eastAsia="zh-CN"/>
              </w:rPr>
              <w:t>备注</w:t>
            </w:r>
          </w:p>
        </w:tc>
      </w:tr>
      <w:tr w14:paraId="2484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0B38227">
            <w:pPr>
              <w:pStyle w:val="321"/>
              <w:spacing w:line="560" w:lineRule="exact"/>
              <w:jc w:val="both"/>
              <w:rPr>
                <w:rFonts w:hint="eastAsia" w:hAnsi="宋体" w:eastAsia="宋体" w:cs="宋体"/>
                <w:b/>
                <w:bCs/>
                <w:color w:val="auto"/>
                <w:sz w:val="24"/>
                <w:szCs w:val="24"/>
                <w:highlight w:val="none"/>
                <w:lang w:val="en-US" w:eastAsia="zh-CN"/>
              </w:rPr>
            </w:pPr>
            <w:r>
              <w:rPr>
                <w:rFonts w:hint="eastAsia" w:hAnsi="宋体" w:eastAsia="宋体" w:cs="宋体"/>
                <w:b/>
                <w:bCs/>
                <w:color w:val="auto"/>
                <w:sz w:val="24"/>
                <w:szCs w:val="24"/>
                <w:highlight w:val="none"/>
                <w:lang w:val="en-US" w:eastAsia="zh-CN"/>
              </w:rPr>
              <w:t>1</w:t>
            </w:r>
          </w:p>
        </w:tc>
        <w:tc>
          <w:tcPr>
            <w:tcW w:w="2620" w:type="dxa"/>
            <w:shd w:val="clear" w:color="auto" w:fill="auto"/>
            <w:vAlign w:val="center"/>
          </w:tcPr>
          <w:p w14:paraId="74D9A432">
            <w:pPr>
              <w:pStyle w:val="321"/>
              <w:spacing w:line="560" w:lineRule="exact"/>
              <w:ind w:left="0" w:leftChars="0" w:firstLine="0" w:firstLineChars="0"/>
              <w:jc w:val="left"/>
              <w:rPr>
                <w:rFonts w:hint="eastAsia" w:ascii="宋体" w:hAnsi="宋体" w:eastAsia="宋体" w:cs="宋体"/>
                <w:b/>
                <w:bCs/>
                <w:color w:val="auto"/>
                <w:kern w:val="0"/>
                <w:sz w:val="24"/>
                <w:szCs w:val="24"/>
                <w:highlight w:val="none"/>
                <w:lang w:val="en-US" w:eastAsia="zh-CN" w:bidi="ar-SA"/>
              </w:rPr>
            </w:pPr>
            <w:r>
              <w:rPr>
                <w:rFonts w:hint="eastAsia" w:hAnsi="宋体" w:eastAsia="宋体" w:cs="宋体"/>
                <w:b/>
                <w:bCs/>
                <w:color w:val="auto"/>
                <w:sz w:val="24"/>
                <w:szCs w:val="24"/>
                <w:highlight w:val="none"/>
                <w:lang w:eastAsia="zh-CN"/>
              </w:rPr>
              <w:t>（</w:t>
            </w:r>
            <w:r>
              <w:rPr>
                <w:rFonts w:hint="eastAsia" w:hAnsi="宋体" w:eastAsia="宋体" w:cs="宋体"/>
                <w:b/>
                <w:bCs/>
                <w:color w:val="auto"/>
                <w:sz w:val="24"/>
                <w:szCs w:val="24"/>
                <w:highlight w:val="none"/>
                <w:lang w:val="en-US" w:eastAsia="zh-CN"/>
              </w:rPr>
              <w:t>如：特保人员</w:t>
            </w:r>
            <w:r>
              <w:rPr>
                <w:rFonts w:hint="eastAsia" w:hAnsi="宋体" w:eastAsia="宋体" w:cs="宋体"/>
                <w:b/>
                <w:bCs/>
                <w:color w:val="auto"/>
                <w:sz w:val="24"/>
                <w:szCs w:val="24"/>
                <w:highlight w:val="none"/>
                <w:lang w:eastAsia="zh-CN"/>
              </w:rPr>
              <w:t>）</w:t>
            </w:r>
          </w:p>
        </w:tc>
        <w:tc>
          <w:tcPr>
            <w:tcW w:w="1200" w:type="dxa"/>
            <w:shd w:val="clear" w:color="auto" w:fill="auto"/>
            <w:vAlign w:val="center"/>
          </w:tcPr>
          <w:p w14:paraId="126F9418">
            <w:pPr>
              <w:pStyle w:val="321"/>
              <w:spacing w:line="560" w:lineRule="exact"/>
              <w:ind w:left="0" w:leftChars="0" w:firstLine="0" w:firstLineChars="0"/>
              <w:jc w:val="center"/>
              <w:rPr>
                <w:rFonts w:hint="default" w:ascii="宋体" w:hAnsi="宋体" w:eastAsia="宋体" w:cs="宋体"/>
                <w:b/>
                <w:bCs/>
                <w:color w:val="auto"/>
                <w:kern w:val="0"/>
                <w:sz w:val="24"/>
                <w:szCs w:val="24"/>
                <w:highlight w:val="none"/>
                <w:lang w:val="en-US" w:eastAsia="zh-CN" w:bidi="ar-SA"/>
              </w:rPr>
            </w:pPr>
          </w:p>
        </w:tc>
        <w:tc>
          <w:tcPr>
            <w:tcW w:w="2062" w:type="dxa"/>
            <w:shd w:val="clear" w:color="auto" w:fill="auto"/>
            <w:vAlign w:val="center"/>
          </w:tcPr>
          <w:p w14:paraId="246B094C">
            <w:pPr>
              <w:pStyle w:val="321"/>
              <w:spacing w:line="560" w:lineRule="exact"/>
              <w:ind w:left="0" w:leftChars="0" w:firstLine="0" w:firstLineChars="0"/>
              <w:jc w:val="both"/>
              <w:rPr>
                <w:rFonts w:hint="default" w:ascii="宋体" w:hAnsi="宋体" w:cs="宋体" w:eastAsiaTheme="minorEastAsia"/>
                <w:b/>
                <w:bCs/>
                <w:color w:val="auto"/>
                <w:kern w:val="0"/>
                <w:sz w:val="24"/>
                <w:szCs w:val="24"/>
                <w:highlight w:val="none"/>
                <w:lang w:val="en-US" w:eastAsia="zh-CN" w:bidi="ar-SA"/>
              </w:rPr>
            </w:pPr>
            <w:r>
              <w:rPr>
                <w:rFonts w:hint="eastAsia"/>
                <w:color w:val="auto"/>
                <w:highlight w:val="none"/>
                <w:u w:val="single"/>
              </w:rPr>
              <w:t xml:space="preserve"> </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b/>
                <w:bCs/>
                <w:color w:val="auto"/>
                <w:sz w:val="22"/>
                <w:szCs w:val="22"/>
                <w:highlight w:val="none"/>
              </w:rPr>
              <w:t>元/</w:t>
            </w:r>
            <w:r>
              <w:rPr>
                <w:rFonts w:hint="eastAsia" w:asciiTheme="minorEastAsia" w:hAnsiTheme="minorEastAsia" w:eastAsiaTheme="minorEastAsia" w:cstheme="minorEastAsia"/>
                <w:b/>
                <w:bCs/>
                <w:color w:val="auto"/>
                <w:sz w:val="22"/>
                <w:szCs w:val="22"/>
                <w:highlight w:val="none"/>
                <w:lang w:val="en-US" w:eastAsia="zh-CN"/>
              </w:rPr>
              <w:t>人/年</w:t>
            </w:r>
          </w:p>
        </w:tc>
        <w:tc>
          <w:tcPr>
            <w:tcW w:w="1779" w:type="dxa"/>
            <w:vAlign w:val="center"/>
          </w:tcPr>
          <w:p w14:paraId="31677B79">
            <w:pPr>
              <w:pStyle w:val="321"/>
              <w:spacing w:line="560" w:lineRule="exact"/>
              <w:ind w:left="0" w:leftChars="0" w:firstLine="0" w:firstLineChars="0"/>
              <w:jc w:val="both"/>
              <w:rPr>
                <w:rFonts w:hAnsi="宋体" w:eastAsia="宋体" w:cs="宋体"/>
                <w:b/>
                <w:bCs/>
                <w:color w:val="auto"/>
                <w:sz w:val="24"/>
                <w:szCs w:val="24"/>
                <w:highlight w:val="none"/>
              </w:rPr>
            </w:pPr>
          </w:p>
        </w:tc>
        <w:tc>
          <w:tcPr>
            <w:tcW w:w="987" w:type="dxa"/>
            <w:vAlign w:val="center"/>
          </w:tcPr>
          <w:p w14:paraId="4817A8C8">
            <w:pPr>
              <w:pStyle w:val="321"/>
              <w:spacing w:line="560" w:lineRule="exact"/>
              <w:ind w:left="0" w:leftChars="0" w:firstLine="0" w:firstLineChars="0"/>
              <w:jc w:val="left"/>
              <w:rPr>
                <w:rFonts w:hint="default" w:hAnsi="宋体" w:eastAsia="宋体" w:cs="宋体"/>
                <w:b/>
                <w:bCs/>
                <w:color w:val="auto"/>
                <w:sz w:val="24"/>
                <w:szCs w:val="24"/>
                <w:highlight w:val="none"/>
                <w:lang w:val="en-US" w:eastAsia="zh-CN"/>
              </w:rPr>
            </w:pPr>
          </w:p>
        </w:tc>
      </w:tr>
      <w:tr w14:paraId="15C1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545EE40">
            <w:pPr>
              <w:pStyle w:val="321"/>
              <w:spacing w:line="560" w:lineRule="exact"/>
              <w:jc w:val="both"/>
              <w:rPr>
                <w:rFonts w:hint="eastAsia" w:hAnsi="宋体" w:eastAsia="宋体" w:cs="宋体"/>
                <w:b/>
                <w:bCs/>
                <w:color w:val="auto"/>
                <w:sz w:val="24"/>
                <w:szCs w:val="24"/>
                <w:highlight w:val="none"/>
                <w:lang w:val="en-US" w:eastAsia="zh-CN"/>
              </w:rPr>
            </w:pPr>
            <w:r>
              <w:rPr>
                <w:rFonts w:hint="eastAsia" w:hAnsi="宋体" w:eastAsia="宋体" w:cs="宋体"/>
                <w:b/>
                <w:bCs/>
                <w:color w:val="auto"/>
                <w:sz w:val="24"/>
                <w:szCs w:val="24"/>
                <w:highlight w:val="none"/>
                <w:lang w:val="en-US" w:eastAsia="zh-CN"/>
              </w:rPr>
              <w:t>2</w:t>
            </w:r>
          </w:p>
        </w:tc>
        <w:tc>
          <w:tcPr>
            <w:tcW w:w="2620" w:type="dxa"/>
            <w:vAlign w:val="center"/>
          </w:tcPr>
          <w:p w14:paraId="016A79B1">
            <w:pPr>
              <w:pStyle w:val="321"/>
              <w:spacing w:line="560" w:lineRule="exact"/>
              <w:ind w:left="0" w:leftChars="0" w:firstLine="0" w:firstLineChars="0"/>
              <w:jc w:val="left"/>
              <w:rPr>
                <w:rFonts w:hint="eastAsia" w:hAnsi="宋体" w:eastAsia="宋体" w:cs="宋体"/>
                <w:b/>
                <w:bCs/>
                <w:color w:val="auto"/>
                <w:sz w:val="24"/>
                <w:szCs w:val="24"/>
                <w:highlight w:val="none"/>
                <w:lang w:eastAsia="zh-CN"/>
              </w:rPr>
            </w:pPr>
          </w:p>
        </w:tc>
        <w:tc>
          <w:tcPr>
            <w:tcW w:w="1200" w:type="dxa"/>
            <w:vAlign w:val="center"/>
          </w:tcPr>
          <w:p w14:paraId="21B1822D">
            <w:pPr>
              <w:pStyle w:val="321"/>
              <w:spacing w:line="560" w:lineRule="exact"/>
              <w:ind w:left="0" w:leftChars="0" w:firstLine="0" w:firstLineChars="0"/>
              <w:jc w:val="both"/>
              <w:rPr>
                <w:rFonts w:hAnsi="宋体" w:eastAsia="宋体" w:cs="宋体"/>
                <w:b/>
                <w:bCs/>
                <w:color w:val="auto"/>
                <w:sz w:val="24"/>
                <w:szCs w:val="24"/>
                <w:highlight w:val="none"/>
              </w:rPr>
            </w:pPr>
          </w:p>
        </w:tc>
        <w:tc>
          <w:tcPr>
            <w:tcW w:w="2062" w:type="dxa"/>
            <w:vAlign w:val="center"/>
          </w:tcPr>
          <w:p w14:paraId="048677FA">
            <w:pPr>
              <w:pStyle w:val="321"/>
              <w:spacing w:line="560" w:lineRule="exact"/>
              <w:ind w:left="0" w:leftChars="0" w:firstLine="0" w:firstLineChars="0"/>
              <w:jc w:val="both"/>
              <w:rPr>
                <w:rFonts w:hAnsi="宋体" w:eastAsia="宋体" w:cs="宋体"/>
                <w:b/>
                <w:bCs/>
                <w:color w:val="auto"/>
                <w:sz w:val="24"/>
                <w:szCs w:val="24"/>
                <w:highlight w:val="none"/>
              </w:rPr>
            </w:pPr>
          </w:p>
        </w:tc>
        <w:tc>
          <w:tcPr>
            <w:tcW w:w="1779" w:type="dxa"/>
            <w:vAlign w:val="center"/>
          </w:tcPr>
          <w:p w14:paraId="431E151B">
            <w:pPr>
              <w:pStyle w:val="321"/>
              <w:spacing w:line="560" w:lineRule="exact"/>
              <w:ind w:left="0" w:leftChars="0" w:firstLine="0" w:firstLineChars="0"/>
              <w:jc w:val="both"/>
              <w:rPr>
                <w:rFonts w:hAnsi="宋体" w:eastAsia="宋体" w:cs="宋体"/>
                <w:b/>
                <w:bCs/>
                <w:color w:val="auto"/>
                <w:sz w:val="24"/>
                <w:szCs w:val="24"/>
                <w:highlight w:val="none"/>
              </w:rPr>
            </w:pPr>
          </w:p>
        </w:tc>
        <w:tc>
          <w:tcPr>
            <w:tcW w:w="987" w:type="dxa"/>
            <w:vAlign w:val="center"/>
          </w:tcPr>
          <w:p w14:paraId="538408C3">
            <w:pPr>
              <w:pStyle w:val="321"/>
              <w:spacing w:line="560" w:lineRule="exact"/>
              <w:jc w:val="center"/>
              <w:rPr>
                <w:rFonts w:hAnsi="宋体" w:eastAsia="宋体" w:cs="宋体"/>
                <w:b/>
                <w:bCs/>
                <w:color w:val="auto"/>
                <w:sz w:val="24"/>
                <w:szCs w:val="24"/>
                <w:highlight w:val="none"/>
              </w:rPr>
            </w:pPr>
          </w:p>
        </w:tc>
      </w:tr>
      <w:tr w14:paraId="7BEBD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DC6412">
            <w:pPr>
              <w:pStyle w:val="321"/>
              <w:spacing w:line="560" w:lineRule="exact"/>
              <w:ind w:left="0" w:leftChars="0" w:firstLine="0" w:firstLineChars="0"/>
              <w:jc w:val="both"/>
              <w:rPr>
                <w:rFonts w:hint="default" w:hAnsi="宋体" w:eastAsia="宋体" w:cs="宋体"/>
                <w:b/>
                <w:bCs/>
                <w:color w:val="auto"/>
                <w:sz w:val="24"/>
                <w:szCs w:val="24"/>
                <w:highlight w:val="none"/>
                <w:lang w:val="en-US" w:eastAsia="zh-CN"/>
              </w:rPr>
            </w:pPr>
            <w:r>
              <w:rPr>
                <w:rFonts w:hint="eastAsia" w:hAnsi="宋体" w:eastAsia="宋体" w:cs="宋体"/>
                <w:b/>
                <w:bCs/>
                <w:color w:val="auto"/>
                <w:sz w:val="24"/>
                <w:szCs w:val="24"/>
                <w:highlight w:val="none"/>
                <w:lang w:val="en-US" w:eastAsia="zh-CN"/>
              </w:rPr>
              <w:t>......</w:t>
            </w:r>
          </w:p>
        </w:tc>
        <w:tc>
          <w:tcPr>
            <w:tcW w:w="2620" w:type="dxa"/>
            <w:vAlign w:val="center"/>
          </w:tcPr>
          <w:p w14:paraId="4D4AB614">
            <w:pPr>
              <w:pStyle w:val="321"/>
              <w:spacing w:line="560" w:lineRule="exact"/>
              <w:ind w:left="0" w:leftChars="0" w:firstLine="0" w:firstLineChars="0"/>
              <w:jc w:val="center"/>
              <w:rPr>
                <w:rFonts w:hint="eastAsia" w:hAnsi="宋体" w:eastAsia="宋体" w:cs="宋体"/>
                <w:b/>
                <w:bCs/>
                <w:color w:val="auto"/>
                <w:sz w:val="24"/>
                <w:szCs w:val="24"/>
                <w:highlight w:val="none"/>
                <w:lang w:eastAsia="zh-CN"/>
              </w:rPr>
            </w:pPr>
            <w:r>
              <w:rPr>
                <w:rFonts w:hint="eastAsia" w:hAnsi="宋体" w:eastAsia="宋体" w:cs="宋体"/>
                <w:b/>
                <w:bCs/>
                <w:color w:val="auto"/>
                <w:sz w:val="24"/>
                <w:szCs w:val="24"/>
                <w:highlight w:val="none"/>
                <w:lang w:eastAsia="zh-CN"/>
              </w:rPr>
              <w:t>（</w:t>
            </w:r>
            <w:r>
              <w:rPr>
                <w:rFonts w:hint="eastAsia" w:hAnsi="宋体" w:eastAsia="宋体" w:cs="宋体"/>
                <w:b/>
                <w:bCs/>
                <w:color w:val="auto"/>
                <w:sz w:val="24"/>
                <w:szCs w:val="24"/>
                <w:highlight w:val="none"/>
                <w:lang w:val="en-US" w:eastAsia="zh-CN"/>
              </w:rPr>
              <w:t>可自行扩展</w:t>
            </w:r>
            <w:r>
              <w:rPr>
                <w:rFonts w:hint="eastAsia" w:hAnsi="宋体" w:eastAsia="宋体" w:cs="宋体"/>
                <w:b/>
                <w:bCs/>
                <w:color w:val="auto"/>
                <w:sz w:val="24"/>
                <w:szCs w:val="24"/>
                <w:highlight w:val="none"/>
                <w:lang w:eastAsia="zh-CN"/>
              </w:rPr>
              <w:t>）</w:t>
            </w:r>
          </w:p>
        </w:tc>
        <w:tc>
          <w:tcPr>
            <w:tcW w:w="1200" w:type="dxa"/>
            <w:vAlign w:val="center"/>
          </w:tcPr>
          <w:p w14:paraId="060E74B9">
            <w:pPr>
              <w:pStyle w:val="321"/>
              <w:spacing w:line="560" w:lineRule="exact"/>
              <w:ind w:left="0" w:leftChars="0" w:firstLine="0" w:firstLineChars="0"/>
              <w:jc w:val="both"/>
              <w:rPr>
                <w:rFonts w:hAnsi="宋体" w:eastAsia="宋体" w:cs="宋体"/>
                <w:b/>
                <w:bCs/>
                <w:color w:val="auto"/>
                <w:sz w:val="24"/>
                <w:szCs w:val="24"/>
                <w:highlight w:val="none"/>
              </w:rPr>
            </w:pPr>
          </w:p>
        </w:tc>
        <w:tc>
          <w:tcPr>
            <w:tcW w:w="2062" w:type="dxa"/>
            <w:vAlign w:val="center"/>
          </w:tcPr>
          <w:p w14:paraId="1FB14802">
            <w:pPr>
              <w:pStyle w:val="321"/>
              <w:spacing w:line="560" w:lineRule="exact"/>
              <w:ind w:left="0" w:leftChars="0" w:firstLine="0" w:firstLineChars="0"/>
              <w:jc w:val="both"/>
              <w:rPr>
                <w:rFonts w:hAnsi="宋体" w:eastAsia="宋体" w:cs="宋体"/>
                <w:b/>
                <w:bCs/>
                <w:color w:val="auto"/>
                <w:sz w:val="24"/>
                <w:szCs w:val="24"/>
                <w:highlight w:val="none"/>
              </w:rPr>
            </w:pPr>
          </w:p>
        </w:tc>
        <w:tc>
          <w:tcPr>
            <w:tcW w:w="1779" w:type="dxa"/>
            <w:vAlign w:val="center"/>
          </w:tcPr>
          <w:p w14:paraId="798F616C">
            <w:pPr>
              <w:pStyle w:val="321"/>
              <w:spacing w:line="560" w:lineRule="exact"/>
              <w:ind w:left="0" w:leftChars="0" w:firstLine="0" w:firstLineChars="0"/>
              <w:jc w:val="both"/>
              <w:rPr>
                <w:rFonts w:hAnsi="宋体" w:eastAsia="宋体" w:cs="宋体"/>
                <w:b/>
                <w:bCs/>
                <w:color w:val="auto"/>
                <w:sz w:val="24"/>
                <w:szCs w:val="24"/>
                <w:highlight w:val="none"/>
              </w:rPr>
            </w:pPr>
          </w:p>
        </w:tc>
        <w:tc>
          <w:tcPr>
            <w:tcW w:w="987" w:type="dxa"/>
            <w:vAlign w:val="center"/>
          </w:tcPr>
          <w:p w14:paraId="0FD75301">
            <w:pPr>
              <w:pStyle w:val="321"/>
              <w:spacing w:line="560" w:lineRule="exact"/>
              <w:jc w:val="center"/>
              <w:rPr>
                <w:rFonts w:hAnsi="宋体" w:eastAsia="宋体" w:cs="宋体"/>
                <w:b/>
                <w:bCs/>
                <w:color w:val="auto"/>
                <w:sz w:val="24"/>
                <w:szCs w:val="24"/>
                <w:highlight w:val="none"/>
              </w:rPr>
            </w:pPr>
          </w:p>
        </w:tc>
      </w:tr>
      <w:tr w14:paraId="7BF5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21" w:type="dxa"/>
            <w:gridSpan w:val="3"/>
            <w:vAlign w:val="center"/>
          </w:tcPr>
          <w:p w14:paraId="441412FF">
            <w:pPr>
              <w:pStyle w:val="321"/>
              <w:spacing w:line="560" w:lineRule="exact"/>
              <w:jc w:val="center"/>
              <w:rPr>
                <w:rFonts w:hAnsi="宋体" w:eastAsia="宋体" w:cs="宋体"/>
                <w:color w:val="auto"/>
                <w:sz w:val="24"/>
                <w:szCs w:val="24"/>
                <w:highlight w:val="none"/>
              </w:rPr>
            </w:pPr>
            <w:r>
              <w:rPr>
                <w:rFonts w:hint="eastAsia" w:ascii="宋体" w:hAnsi="宋体" w:cs="宋体"/>
                <w:b/>
                <w:bCs/>
                <w:color w:val="auto"/>
                <w:kern w:val="0"/>
                <w:sz w:val="24"/>
                <w:highlight w:val="none"/>
                <w:lang w:bidi="ar"/>
              </w:rPr>
              <w:t>投标总报价</w:t>
            </w:r>
            <w:r>
              <w:rPr>
                <w:rFonts w:hint="eastAsia" w:hAnsi="宋体" w:eastAsia="宋体" w:cs="宋体"/>
                <w:color w:val="auto"/>
                <w:sz w:val="24"/>
                <w:szCs w:val="24"/>
                <w:highlight w:val="none"/>
              </w:rPr>
              <w:t>（</w:t>
            </w:r>
            <w:r>
              <w:rPr>
                <w:rFonts w:hint="eastAsia" w:hAnsi="宋体" w:eastAsia="宋体" w:cs="宋体"/>
                <w:color w:val="auto"/>
                <w:sz w:val="24"/>
                <w:szCs w:val="24"/>
                <w:highlight w:val="none"/>
                <w:lang w:val="en-US" w:eastAsia="zh-CN"/>
              </w:rPr>
              <w:t>合计</w:t>
            </w:r>
            <w:r>
              <w:rPr>
                <w:rFonts w:hint="eastAsia" w:hAnsi="宋体" w:eastAsia="宋体" w:cs="宋体"/>
                <w:color w:val="auto"/>
                <w:sz w:val="24"/>
                <w:szCs w:val="24"/>
                <w:highlight w:val="none"/>
              </w:rPr>
              <w:t>）</w:t>
            </w:r>
          </w:p>
        </w:tc>
        <w:tc>
          <w:tcPr>
            <w:tcW w:w="2062" w:type="dxa"/>
            <w:vAlign w:val="center"/>
          </w:tcPr>
          <w:p w14:paraId="2AB04ABD">
            <w:pPr>
              <w:pStyle w:val="321"/>
              <w:spacing w:line="560" w:lineRule="exact"/>
              <w:ind w:left="0" w:leftChars="0" w:firstLine="0" w:firstLineChars="0"/>
              <w:jc w:val="both"/>
              <w:rPr>
                <w:rFonts w:hAnsi="宋体" w:eastAsia="宋体" w:cs="宋体"/>
                <w:color w:val="auto"/>
                <w:sz w:val="24"/>
                <w:szCs w:val="24"/>
                <w:highlight w:val="none"/>
              </w:rPr>
            </w:pPr>
          </w:p>
        </w:tc>
        <w:tc>
          <w:tcPr>
            <w:tcW w:w="1779" w:type="dxa"/>
            <w:vAlign w:val="center"/>
          </w:tcPr>
          <w:p w14:paraId="02E932ED">
            <w:pPr>
              <w:pStyle w:val="321"/>
              <w:spacing w:line="560" w:lineRule="exact"/>
              <w:ind w:left="0" w:leftChars="0" w:firstLine="0" w:firstLineChars="0"/>
              <w:jc w:val="both"/>
              <w:rPr>
                <w:rFonts w:hAnsi="宋体" w:eastAsia="宋体" w:cs="宋体"/>
                <w:color w:val="auto"/>
                <w:sz w:val="24"/>
                <w:szCs w:val="24"/>
                <w:highlight w:val="none"/>
              </w:rPr>
            </w:pPr>
          </w:p>
        </w:tc>
        <w:tc>
          <w:tcPr>
            <w:tcW w:w="987" w:type="dxa"/>
            <w:vAlign w:val="center"/>
          </w:tcPr>
          <w:p w14:paraId="2C248C79">
            <w:pPr>
              <w:pStyle w:val="321"/>
              <w:spacing w:line="560" w:lineRule="exact"/>
              <w:jc w:val="center"/>
              <w:rPr>
                <w:rFonts w:hAnsi="宋体" w:eastAsia="宋体" w:cs="宋体"/>
                <w:color w:val="auto"/>
                <w:sz w:val="24"/>
                <w:szCs w:val="24"/>
                <w:highlight w:val="none"/>
              </w:rPr>
            </w:pPr>
          </w:p>
        </w:tc>
      </w:tr>
    </w:tbl>
    <w:p w14:paraId="617DF464">
      <w:pPr>
        <w:tabs>
          <w:tab w:val="left" w:pos="4860"/>
        </w:tabs>
        <w:spacing w:line="240" w:lineRule="auto"/>
        <w:ind w:right="0"/>
        <w:jc w:val="left"/>
        <w:rPr>
          <w:rFonts w:hint="eastAsia" w:ascii="宋体" w:hAnsi="宋体" w:cs="宋体"/>
          <w:b/>
          <w:bCs/>
          <w:color w:val="auto"/>
          <w:kern w:val="0"/>
          <w:sz w:val="24"/>
          <w:highlight w:val="none"/>
          <w:lang w:val="en-US" w:eastAsia="zh-CN"/>
        </w:rPr>
      </w:pPr>
    </w:p>
    <w:p w14:paraId="0ED955C1">
      <w:pPr>
        <w:tabs>
          <w:tab w:val="left" w:pos="4860"/>
        </w:tabs>
        <w:spacing w:line="240" w:lineRule="auto"/>
        <w:ind w:right="0"/>
        <w:jc w:val="left"/>
        <w:rPr>
          <w:rFonts w:hint="eastAsia"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注</w:t>
      </w:r>
      <w:r>
        <w:rPr>
          <w:rFonts w:hint="eastAsia" w:ascii="宋体" w:hAnsi="宋体" w:eastAsia="宋体" w:cs="宋体"/>
          <w:b/>
          <w:bCs/>
          <w:color w:val="auto"/>
          <w:kern w:val="0"/>
          <w:sz w:val="24"/>
          <w:highlight w:val="none"/>
          <w:lang w:val="en-US" w:eastAsia="zh-CN"/>
        </w:rPr>
        <w:t>1.包括人员管理费、社会保障费、工资奖金、加班费、高温补贴、伙食补贴、各类社会保险、以及国家法律法规规定的劳动者福利待遇、企业税金利润等所有费用。</w:t>
      </w:r>
    </w:p>
    <w:p w14:paraId="299BC654">
      <w:pPr>
        <w:tabs>
          <w:tab w:val="left" w:pos="4860"/>
        </w:tabs>
        <w:spacing w:line="240" w:lineRule="auto"/>
        <w:ind w:right="0"/>
        <w:jc w:val="left"/>
        <w:rPr>
          <w:rFonts w:hint="default"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2.表格可自行扩展。</w:t>
      </w:r>
    </w:p>
    <w:p w14:paraId="41318747">
      <w:pPr>
        <w:tabs>
          <w:tab w:val="left" w:pos="4860"/>
        </w:tabs>
        <w:spacing w:line="360" w:lineRule="auto"/>
        <w:ind w:right="1560" w:firstLine="480" w:firstLineChars="200"/>
        <w:jc w:val="center"/>
        <w:rPr>
          <w:rFonts w:ascii="宋体" w:hAnsi="宋体" w:cs="宋体"/>
          <w:color w:val="auto"/>
          <w:kern w:val="0"/>
          <w:sz w:val="24"/>
          <w:highlight w:val="none"/>
          <w:lang w:val="zh-CN"/>
        </w:rPr>
      </w:pPr>
    </w:p>
    <w:p w14:paraId="3F71E5D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1B0E3F0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76AB6F4">
      <w:pPr>
        <w:snapToGrid w:val="0"/>
        <w:spacing w:before="120" w:after="120"/>
        <w:ind w:firstLine="643"/>
        <w:rPr>
          <w:rFonts w:ascii="宋体" w:hAnsi="宋体" w:cs="宋体"/>
          <w:color w:val="auto"/>
          <w:sz w:val="32"/>
          <w:szCs w:val="32"/>
          <w:highlight w:val="none"/>
        </w:rPr>
      </w:pPr>
      <w:r>
        <w:rPr>
          <w:rFonts w:hint="eastAsia" w:ascii="宋体" w:hAnsi="宋体" w:cs="宋体"/>
          <w:color w:val="auto"/>
          <w:sz w:val="32"/>
          <w:szCs w:val="32"/>
          <w:highlight w:val="none"/>
        </w:rPr>
        <w:br w:type="page"/>
      </w:r>
    </w:p>
    <w:p w14:paraId="176C4957">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4137A182">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39F0E51">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1CB710A1">
      <w:pPr>
        <w:spacing w:line="360" w:lineRule="auto"/>
        <w:ind w:right="420" w:firstLine="3614" w:firstLineChars="1000"/>
        <w:rPr>
          <w:rFonts w:ascii="宋体" w:hAnsi="宋体" w:cs="宋体"/>
          <w:b/>
          <w:color w:val="auto"/>
          <w:kern w:val="0"/>
          <w:sz w:val="36"/>
          <w:szCs w:val="36"/>
          <w:highlight w:val="none"/>
        </w:rPr>
      </w:pPr>
    </w:p>
    <w:p w14:paraId="35CF4DCB">
      <w:pPr>
        <w:spacing w:line="360" w:lineRule="auto"/>
        <w:ind w:right="420" w:firstLine="3614" w:firstLineChars="1000"/>
        <w:rPr>
          <w:rFonts w:ascii="宋体" w:hAnsi="宋体" w:cs="宋体"/>
          <w:b/>
          <w:color w:val="auto"/>
          <w:kern w:val="0"/>
          <w:sz w:val="36"/>
          <w:szCs w:val="36"/>
          <w:highlight w:val="none"/>
        </w:rPr>
      </w:pPr>
    </w:p>
    <w:p w14:paraId="3237F563">
      <w:pPr>
        <w:spacing w:line="360" w:lineRule="auto"/>
        <w:ind w:right="420" w:firstLine="3614" w:firstLineChars="1000"/>
        <w:rPr>
          <w:rFonts w:ascii="宋体" w:hAnsi="宋体" w:cs="宋体"/>
          <w:b/>
          <w:color w:val="auto"/>
          <w:kern w:val="0"/>
          <w:sz w:val="36"/>
          <w:szCs w:val="36"/>
          <w:highlight w:val="none"/>
        </w:rPr>
      </w:pPr>
    </w:p>
    <w:p w14:paraId="48203F57">
      <w:pPr>
        <w:spacing w:line="360" w:lineRule="auto"/>
        <w:ind w:right="420" w:firstLine="3614" w:firstLineChars="1000"/>
        <w:rPr>
          <w:rFonts w:ascii="宋体" w:hAnsi="宋体" w:cs="宋体"/>
          <w:b/>
          <w:color w:val="auto"/>
          <w:kern w:val="0"/>
          <w:sz w:val="36"/>
          <w:szCs w:val="36"/>
          <w:highlight w:val="none"/>
        </w:rPr>
      </w:pPr>
    </w:p>
    <w:p w14:paraId="13DD1770">
      <w:pPr>
        <w:spacing w:line="360" w:lineRule="auto"/>
        <w:ind w:right="420" w:firstLine="3614" w:firstLineChars="1000"/>
        <w:rPr>
          <w:rFonts w:ascii="宋体" w:hAnsi="宋体" w:cs="宋体"/>
          <w:b/>
          <w:color w:val="auto"/>
          <w:kern w:val="0"/>
          <w:sz w:val="36"/>
          <w:szCs w:val="36"/>
          <w:highlight w:val="none"/>
        </w:rPr>
      </w:pPr>
    </w:p>
    <w:p w14:paraId="44D85871">
      <w:pPr>
        <w:spacing w:line="360" w:lineRule="auto"/>
        <w:ind w:right="420" w:firstLine="3614" w:firstLineChars="1000"/>
        <w:rPr>
          <w:rFonts w:ascii="宋体" w:hAnsi="宋体" w:cs="宋体"/>
          <w:b/>
          <w:color w:val="auto"/>
          <w:kern w:val="0"/>
          <w:sz w:val="36"/>
          <w:szCs w:val="36"/>
          <w:highlight w:val="none"/>
        </w:rPr>
      </w:pPr>
    </w:p>
    <w:p w14:paraId="121E53D8">
      <w:pPr>
        <w:spacing w:line="360" w:lineRule="auto"/>
        <w:ind w:right="420" w:firstLine="3614" w:firstLineChars="1000"/>
        <w:rPr>
          <w:rFonts w:ascii="宋体" w:hAnsi="宋体" w:cs="宋体"/>
          <w:b/>
          <w:color w:val="auto"/>
          <w:kern w:val="0"/>
          <w:sz w:val="36"/>
          <w:szCs w:val="36"/>
          <w:highlight w:val="none"/>
        </w:rPr>
      </w:pPr>
    </w:p>
    <w:p w14:paraId="29F7684B">
      <w:pPr>
        <w:spacing w:line="360" w:lineRule="auto"/>
        <w:ind w:right="420" w:firstLine="3614" w:firstLineChars="1000"/>
        <w:rPr>
          <w:rFonts w:ascii="宋体" w:hAnsi="宋体" w:cs="宋体"/>
          <w:b/>
          <w:color w:val="auto"/>
          <w:kern w:val="0"/>
          <w:sz w:val="36"/>
          <w:szCs w:val="36"/>
          <w:highlight w:val="none"/>
        </w:rPr>
      </w:pPr>
    </w:p>
    <w:p w14:paraId="6BA7FB13">
      <w:pPr>
        <w:spacing w:line="360" w:lineRule="auto"/>
        <w:ind w:right="420" w:firstLine="3614" w:firstLineChars="1000"/>
        <w:rPr>
          <w:rFonts w:ascii="宋体" w:hAnsi="宋体" w:cs="宋体"/>
          <w:b/>
          <w:color w:val="auto"/>
          <w:kern w:val="0"/>
          <w:sz w:val="36"/>
          <w:szCs w:val="36"/>
          <w:highlight w:val="none"/>
        </w:rPr>
      </w:pPr>
    </w:p>
    <w:p w14:paraId="4380E0D5">
      <w:pPr>
        <w:spacing w:line="360" w:lineRule="auto"/>
        <w:ind w:right="420" w:firstLine="3614" w:firstLineChars="1000"/>
        <w:rPr>
          <w:rFonts w:ascii="宋体" w:hAnsi="宋体" w:cs="宋体"/>
          <w:b/>
          <w:color w:val="auto"/>
          <w:kern w:val="0"/>
          <w:sz w:val="36"/>
          <w:szCs w:val="36"/>
          <w:highlight w:val="none"/>
        </w:rPr>
      </w:pPr>
    </w:p>
    <w:p w14:paraId="42B08634">
      <w:pPr>
        <w:spacing w:line="360" w:lineRule="auto"/>
        <w:ind w:right="420" w:firstLine="3614" w:firstLineChars="1000"/>
        <w:rPr>
          <w:rFonts w:ascii="宋体" w:hAnsi="宋体" w:cs="宋体"/>
          <w:b/>
          <w:color w:val="auto"/>
          <w:kern w:val="0"/>
          <w:sz w:val="36"/>
          <w:szCs w:val="36"/>
          <w:highlight w:val="none"/>
        </w:rPr>
      </w:pPr>
    </w:p>
    <w:p w14:paraId="554F2CF5">
      <w:pPr>
        <w:spacing w:line="360" w:lineRule="auto"/>
        <w:ind w:right="420" w:firstLine="3614" w:firstLineChars="1000"/>
        <w:rPr>
          <w:rFonts w:ascii="宋体" w:hAnsi="宋体" w:cs="宋体"/>
          <w:b/>
          <w:color w:val="auto"/>
          <w:kern w:val="0"/>
          <w:sz w:val="36"/>
          <w:szCs w:val="36"/>
          <w:highlight w:val="none"/>
        </w:rPr>
      </w:pPr>
    </w:p>
    <w:p w14:paraId="7D8579A5">
      <w:pPr>
        <w:spacing w:line="360" w:lineRule="auto"/>
        <w:ind w:right="420" w:firstLine="3614" w:firstLineChars="1000"/>
        <w:rPr>
          <w:rFonts w:ascii="宋体" w:hAnsi="宋体" w:cs="宋体"/>
          <w:b/>
          <w:color w:val="auto"/>
          <w:kern w:val="0"/>
          <w:sz w:val="36"/>
          <w:szCs w:val="36"/>
          <w:highlight w:val="none"/>
        </w:rPr>
      </w:pPr>
    </w:p>
    <w:p w14:paraId="721BC918">
      <w:pPr>
        <w:spacing w:line="360" w:lineRule="auto"/>
        <w:ind w:right="420" w:firstLine="3614" w:firstLineChars="1000"/>
        <w:rPr>
          <w:rFonts w:ascii="宋体" w:hAnsi="宋体" w:cs="宋体"/>
          <w:b/>
          <w:color w:val="auto"/>
          <w:kern w:val="0"/>
          <w:sz w:val="36"/>
          <w:szCs w:val="36"/>
          <w:highlight w:val="none"/>
        </w:rPr>
      </w:pPr>
    </w:p>
    <w:p w14:paraId="4BB8FA4D">
      <w:pPr>
        <w:spacing w:line="360" w:lineRule="auto"/>
        <w:ind w:right="420" w:firstLine="3614" w:firstLineChars="1000"/>
        <w:rPr>
          <w:rFonts w:ascii="宋体" w:hAnsi="宋体" w:cs="宋体"/>
          <w:b/>
          <w:color w:val="auto"/>
          <w:kern w:val="0"/>
          <w:sz w:val="36"/>
          <w:szCs w:val="36"/>
          <w:highlight w:val="none"/>
        </w:rPr>
      </w:pPr>
    </w:p>
    <w:p w14:paraId="6F1E9ED6">
      <w:pPr>
        <w:spacing w:line="360" w:lineRule="auto"/>
        <w:ind w:right="420" w:firstLine="3614" w:firstLineChars="1000"/>
        <w:rPr>
          <w:rFonts w:ascii="宋体" w:hAnsi="宋体" w:cs="宋体"/>
          <w:b/>
          <w:color w:val="auto"/>
          <w:kern w:val="0"/>
          <w:sz w:val="36"/>
          <w:szCs w:val="36"/>
          <w:highlight w:val="none"/>
        </w:rPr>
      </w:pPr>
    </w:p>
    <w:p w14:paraId="54F173FC">
      <w:pPr>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 w:val="24"/>
          <w:szCs w:val="24"/>
          <w:highlight w:val="none"/>
        </w:rPr>
        <w:t>关于钱塘区政府采购支持中小企业信用融资相关事项通知</w:t>
      </w:r>
    </w:p>
    <w:p w14:paraId="3450DABB">
      <w:pPr>
        <w:spacing w:line="360" w:lineRule="auto"/>
        <w:jc w:val="center"/>
        <w:rPr>
          <w:rFonts w:hint="eastAsia" w:asciiTheme="minorEastAsia" w:hAnsiTheme="minorEastAsia" w:eastAsiaTheme="minorEastAsia" w:cstheme="minorEastAsia"/>
          <w:b/>
          <w:color w:val="auto"/>
          <w:szCs w:val="21"/>
          <w:highlight w:val="none"/>
        </w:rPr>
      </w:pPr>
    </w:p>
    <w:p w14:paraId="5DD324D4">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23C9DEE0">
      <w:pPr>
        <w:snapToGrid w:val="0"/>
        <w:spacing w:line="360" w:lineRule="auto"/>
        <w:ind w:firstLine="482" w:firstLineChars="200"/>
        <w:jc w:val="left"/>
        <w:rPr>
          <w:rFonts w:hint="eastAsia"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b/>
          <w:bCs/>
          <w:color w:val="auto"/>
          <w:kern w:val="0"/>
          <w:sz w:val="24"/>
          <w:highlight w:val="none"/>
          <w:lang w:val="zh-CN"/>
        </w:rPr>
        <w:t>一、适用对象</w:t>
      </w:r>
    </w:p>
    <w:p w14:paraId="5E4D0BDF">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在浙江“政采云”平台注册入库，并取得钱塘区政府采购合同的中小企业供应商。</w:t>
      </w:r>
    </w:p>
    <w:p w14:paraId="0AD7AF1E">
      <w:pPr>
        <w:snapToGrid w:val="0"/>
        <w:spacing w:line="360" w:lineRule="auto"/>
        <w:ind w:firstLine="482" w:firstLineChars="200"/>
        <w:jc w:val="left"/>
        <w:rPr>
          <w:rFonts w:hint="eastAsia"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b/>
          <w:bCs/>
          <w:color w:val="auto"/>
          <w:kern w:val="0"/>
          <w:sz w:val="24"/>
          <w:highlight w:val="none"/>
          <w:lang w:val="zh-CN"/>
        </w:rPr>
        <w:t>二、相关信息获取方式</w:t>
      </w:r>
    </w:p>
    <w:p w14:paraId="41C4CFF0">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请登陆杭州钱塘新区管理委员会官网（http://qt.hangzhou.gov.cn） “公告公示”专栏，查看信用融资政策文件及各相关银行服务方案。</w:t>
      </w:r>
    </w:p>
    <w:p w14:paraId="10A35AE7">
      <w:pPr>
        <w:snapToGrid w:val="0"/>
        <w:spacing w:line="360" w:lineRule="auto"/>
        <w:ind w:firstLine="482" w:firstLineChars="200"/>
        <w:jc w:val="left"/>
        <w:rPr>
          <w:rFonts w:hint="eastAsia"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b/>
          <w:bCs/>
          <w:color w:val="auto"/>
          <w:kern w:val="0"/>
          <w:sz w:val="24"/>
          <w:highlight w:val="none"/>
          <w:lang w:val="zh-CN"/>
        </w:rPr>
        <w:t>三、申请方式和步骤</w:t>
      </w:r>
    </w:p>
    <w:p w14:paraId="7DA45304">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1、供应商若有融资意向，需先与钱塘区财政局合作的银行对接，办理相关融资前期手续；</w:t>
      </w:r>
    </w:p>
    <w:p w14:paraId="04D665B9">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2、中标后，供应商应与采购单位或者采购代理机构及时联系，告知融资需求；</w:t>
      </w:r>
    </w:p>
    <w:p w14:paraId="668CB1E4">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3、相关合作银行联系并审核供应商及相关中标信息，办理相关融资事宜；</w:t>
      </w:r>
    </w:p>
    <w:p w14:paraId="04B5C256">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4</w:t>
      </w:r>
      <w:r>
        <w:rPr>
          <w:rFonts w:hint="eastAsia" w:asciiTheme="minorEastAsia" w:hAnsiTheme="minorEastAsia" w:eastAsiaTheme="minorEastAsia" w:cstheme="minorEastAsia"/>
          <w:color w:val="auto"/>
          <w:kern w:val="0"/>
          <w:sz w:val="24"/>
          <w:highlight w:val="none"/>
          <w:lang w:val="zh-CN"/>
        </w:rPr>
        <w:t>、采购单位应及时将信用融资合同提交备案。</w:t>
      </w:r>
    </w:p>
    <w:p w14:paraId="07BDE909">
      <w:pPr>
        <w:snapToGrid w:val="0"/>
        <w:spacing w:line="360" w:lineRule="auto"/>
        <w:ind w:firstLine="482" w:firstLineChars="200"/>
        <w:jc w:val="left"/>
        <w:rPr>
          <w:rFonts w:hint="eastAsia"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b/>
          <w:bCs/>
          <w:color w:val="auto"/>
          <w:kern w:val="0"/>
          <w:sz w:val="24"/>
          <w:highlight w:val="none"/>
          <w:lang w:val="zh-CN"/>
        </w:rPr>
        <w:t>四、注意事项</w:t>
      </w:r>
    </w:p>
    <w:p w14:paraId="1E55D6D0">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请各采购单位和采购代理机构积极支持和配合政府采购信用融资工作，在合同备案环节务必请仔细核对收款银行、账号信息等内容。</w:t>
      </w:r>
    </w:p>
    <w:p w14:paraId="382B9C74">
      <w:pPr>
        <w:snapToGrid w:val="0"/>
        <w:spacing w:line="360" w:lineRule="auto"/>
        <w:ind w:firstLine="482" w:firstLineChars="200"/>
        <w:jc w:val="left"/>
        <w:rPr>
          <w:rFonts w:hint="eastAsia"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b/>
          <w:bCs/>
          <w:color w:val="auto"/>
          <w:kern w:val="0"/>
          <w:sz w:val="24"/>
          <w:highlight w:val="none"/>
          <w:lang w:val="zh-CN"/>
        </w:rPr>
        <w:t>五、合作银行及联系方式</w:t>
      </w:r>
    </w:p>
    <w:tbl>
      <w:tblPr>
        <w:tblStyle w:val="63"/>
        <w:tblW w:w="8740" w:type="dxa"/>
        <w:tblInd w:w="95" w:type="dxa"/>
        <w:tblLayout w:type="fixed"/>
        <w:tblCellMar>
          <w:top w:w="0" w:type="dxa"/>
          <w:left w:w="108" w:type="dxa"/>
          <w:bottom w:w="0" w:type="dxa"/>
          <w:right w:w="108" w:type="dxa"/>
        </w:tblCellMar>
      </w:tblPr>
      <w:tblGrid>
        <w:gridCol w:w="1080"/>
        <w:gridCol w:w="3020"/>
        <w:gridCol w:w="1420"/>
        <w:gridCol w:w="3220"/>
      </w:tblGrid>
      <w:tr w14:paraId="7AF38DAB">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486DEFA5">
            <w:pPr>
              <w:widowControl/>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noWrap/>
            <w:vAlign w:val="center"/>
          </w:tcPr>
          <w:p w14:paraId="17797F9B">
            <w:pPr>
              <w:widowControl/>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noWrap/>
            <w:vAlign w:val="center"/>
          </w:tcPr>
          <w:p w14:paraId="7EECBD20">
            <w:pPr>
              <w:widowControl/>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noWrap/>
            <w:vAlign w:val="center"/>
          </w:tcPr>
          <w:p w14:paraId="14C2A51A">
            <w:pPr>
              <w:widowControl/>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电话</w:t>
            </w:r>
          </w:p>
        </w:tc>
      </w:tr>
      <w:tr w14:paraId="6939413C">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64DE6D58">
            <w:pPr>
              <w:widowControl/>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1</w:t>
            </w:r>
          </w:p>
        </w:tc>
        <w:tc>
          <w:tcPr>
            <w:tcW w:w="3020" w:type="dxa"/>
            <w:tcBorders>
              <w:top w:val="nil"/>
              <w:left w:val="nil"/>
              <w:bottom w:val="single" w:color="auto" w:sz="4" w:space="0"/>
              <w:right w:val="single" w:color="auto" w:sz="4" w:space="0"/>
            </w:tcBorders>
            <w:noWrap/>
            <w:vAlign w:val="center"/>
          </w:tcPr>
          <w:p w14:paraId="065B1653">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建设银行钱塘支行</w:t>
            </w:r>
          </w:p>
        </w:tc>
        <w:tc>
          <w:tcPr>
            <w:tcW w:w="1420" w:type="dxa"/>
            <w:tcBorders>
              <w:top w:val="nil"/>
              <w:left w:val="nil"/>
              <w:bottom w:val="single" w:color="auto" w:sz="4" w:space="0"/>
              <w:right w:val="single" w:color="auto" w:sz="4" w:space="0"/>
            </w:tcBorders>
            <w:noWrap/>
            <w:vAlign w:val="center"/>
          </w:tcPr>
          <w:p w14:paraId="58C65EE9">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张苏航</w:t>
            </w:r>
          </w:p>
        </w:tc>
        <w:tc>
          <w:tcPr>
            <w:tcW w:w="3220" w:type="dxa"/>
            <w:tcBorders>
              <w:top w:val="nil"/>
              <w:left w:val="nil"/>
              <w:bottom w:val="single" w:color="auto" w:sz="4" w:space="0"/>
              <w:right w:val="single" w:color="auto" w:sz="4" w:space="0"/>
            </w:tcBorders>
            <w:noWrap/>
            <w:vAlign w:val="center"/>
          </w:tcPr>
          <w:p w14:paraId="5FFEB811">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13065710830</w:t>
            </w:r>
          </w:p>
        </w:tc>
      </w:tr>
      <w:tr w14:paraId="65FF250A">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0C77FF66">
            <w:pPr>
              <w:widowControl/>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2</w:t>
            </w:r>
          </w:p>
        </w:tc>
        <w:tc>
          <w:tcPr>
            <w:tcW w:w="3020" w:type="dxa"/>
            <w:tcBorders>
              <w:top w:val="nil"/>
              <w:left w:val="nil"/>
              <w:bottom w:val="single" w:color="auto" w:sz="4" w:space="0"/>
              <w:right w:val="single" w:color="auto" w:sz="4" w:space="0"/>
            </w:tcBorders>
            <w:noWrap/>
            <w:vAlign w:val="center"/>
          </w:tcPr>
          <w:p w14:paraId="04CBFC70">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中信银行开发支行</w:t>
            </w:r>
          </w:p>
        </w:tc>
        <w:tc>
          <w:tcPr>
            <w:tcW w:w="1420" w:type="dxa"/>
            <w:tcBorders>
              <w:top w:val="nil"/>
              <w:left w:val="nil"/>
              <w:bottom w:val="single" w:color="auto" w:sz="4" w:space="0"/>
              <w:right w:val="single" w:color="auto" w:sz="4" w:space="0"/>
            </w:tcBorders>
            <w:noWrap/>
            <w:vAlign w:val="center"/>
          </w:tcPr>
          <w:p w14:paraId="7BFA9246">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左劼</w:t>
            </w:r>
          </w:p>
        </w:tc>
        <w:tc>
          <w:tcPr>
            <w:tcW w:w="3220" w:type="dxa"/>
            <w:tcBorders>
              <w:top w:val="nil"/>
              <w:left w:val="nil"/>
              <w:bottom w:val="single" w:color="auto" w:sz="4" w:space="0"/>
              <w:right w:val="single" w:color="auto" w:sz="4" w:space="0"/>
            </w:tcBorders>
            <w:noWrap/>
            <w:vAlign w:val="center"/>
          </w:tcPr>
          <w:p w14:paraId="0811C987">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13777889798</w:t>
            </w:r>
          </w:p>
        </w:tc>
      </w:tr>
      <w:tr w14:paraId="5E5FFEC1">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09E7076F">
            <w:pPr>
              <w:widowControl/>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3</w:t>
            </w:r>
          </w:p>
        </w:tc>
        <w:tc>
          <w:tcPr>
            <w:tcW w:w="3020" w:type="dxa"/>
            <w:tcBorders>
              <w:top w:val="nil"/>
              <w:left w:val="nil"/>
              <w:bottom w:val="single" w:color="auto" w:sz="4" w:space="0"/>
              <w:right w:val="single" w:color="auto" w:sz="4" w:space="0"/>
            </w:tcBorders>
            <w:noWrap/>
            <w:vAlign w:val="center"/>
          </w:tcPr>
          <w:p w14:paraId="2AAC5A47">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民生银行下沙支行</w:t>
            </w:r>
          </w:p>
        </w:tc>
        <w:tc>
          <w:tcPr>
            <w:tcW w:w="1420" w:type="dxa"/>
            <w:tcBorders>
              <w:top w:val="nil"/>
              <w:left w:val="nil"/>
              <w:bottom w:val="single" w:color="auto" w:sz="4" w:space="0"/>
              <w:right w:val="single" w:color="auto" w:sz="4" w:space="0"/>
            </w:tcBorders>
            <w:noWrap/>
            <w:vAlign w:val="center"/>
          </w:tcPr>
          <w:p w14:paraId="2B8993A2">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吕刚</w:t>
            </w:r>
          </w:p>
        </w:tc>
        <w:tc>
          <w:tcPr>
            <w:tcW w:w="3220" w:type="dxa"/>
            <w:tcBorders>
              <w:top w:val="nil"/>
              <w:left w:val="nil"/>
              <w:bottom w:val="single" w:color="auto" w:sz="4" w:space="0"/>
              <w:right w:val="single" w:color="auto" w:sz="4" w:space="0"/>
            </w:tcBorders>
            <w:noWrap/>
            <w:vAlign w:val="center"/>
          </w:tcPr>
          <w:p w14:paraId="646063CA">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13906811832</w:t>
            </w:r>
          </w:p>
        </w:tc>
      </w:tr>
      <w:tr w14:paraId="54FCFEA0">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5A7967A8">
            <w:pPr>
              <w:widowControl/>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4</w:t>
            </w:r>
          </w:p>
        </w:tc>
        <w:tc>
          <w:tcPr>
            <w:tcW w:w="3020" w:type="dxa"/>
            <w:tcBorders>
              <w:top w:val="nil"/>
              <w:left w:val="nil"/>
              <w:bottom w:val="single" w:color="auto" w:sz="4" w:space="0"/>
              <w:right w:val="single" w:color="auto" w:sz="4" w:space="0"/>
            </w:tcBorders>
            <w:noWrap/>
            <w:vAlign w:val="center"/>
          </w:tcPr>
          <w:p w14:paraId="539D8F74">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杭州银行钱塘支行</w:t>
            </w:r>
          </w:p>
        </w:tc>
        <w:tc>
          <w:tcPr>
            <w:tcW w:w="1420" w:type="dxa"/>
            <w:tcBorders>
              <w:top w:val="nil"/>
              <w:left w:val="nil"/>
              <w:bottom w:val="single" w:color="auto" w:sz="4" w:space="0"/>
              <w:right w:val="single" w:color="auto" w:sz="4" w:space="0"/>
            </w:tcBorders>
            <w:noWrap/>
            <w:vAlign w:val="center"/>
          </w:tcPr>
          <w:p w14:paraId="7C0D1217">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费莎</w:t>
            </w:r>
          </w:p>
          <w:p w14:paraId="6FEA2C43">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严培蓓</w:t>
            </w:r>
          </w:p>
        </w:tc>
        <w:tc>
          <w:tcPr>
            <w:tcW w:w="3220" w:type="dxa"/>
            <w:tcBorders>
              <w:top w:val="nil"/>
              <w:left w:val="nil"/>
              <w:bottom w:val="single" w:color="auto" w:sz="4" w:space="0"/>
              <w:right w:val="single" w:color="auto" w:sz="4" w:space="0"/>
            </w:tcBorders>
            <w:noWrap/>
            <w:vAlign w:val="center"/>
          </w:tcPr>
          <w:p w14:paraId="545126B1">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13388617781</w:t>
            </w:r>
          </w:p>
          <w:p w14:paraId="6B337D98">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13858023883</w:t>
            </w:r>
          </w:p>
        </w:tc>
      </w:tr>
      <w:tr w14:paraId="04EAEBBE">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16618DCD">
            <w:pPr>
              <w:widowControl/>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5</w:t>
            </w:r>
          </w:p>
        </w:tc>
        <w:tc>
          <w:tcPr>
            <w:tcW w:w="3020" w:type="dxa"/>
            <w:tcBorders>
              <w:top w:val="nil"/>
              <w:left w:val="nil"/>
              <w:bottom w:val="single" w:color="auto" w:sz="4" w:space="0"/>
              <w:right w:val="single" w:color="auto" w:sz="4" w:space="0"/>
            </w:tcBorders>
            <w:noWrap/>
            <w:vAlign w:val="center"/>
          </w:tcPr>
          <w:p w14:paraId="2B57C680">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兴业银行开发区支行</w:t>
            </w:r>
          </w:p>
        </w:tc>
        <w:tc>
          <w:tcPr>
            <w:tcW w:w="1420" w:type="dxa"/>
            <w:tcBorders>
              <w:top w:val="nil"/>
              <w:left w:val="nil"/>
              <w:bottom w:val="single" w:color="auto" w:sz="4" w:space="0"/>
              <w:right w:val="single" w:color="auto" w:sz="4" w:space="0"/>
            </w:tcBorders>
            <w:noWrap/>
            <w:vAlign w:val="center"/>
          </w:tcPr>
          <w:p w14:paraId="186A4858">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丁萍</w:t>
            </w:r>
          </w:p>
        </w:tc>
        <w:tc>
          <w:tcPr>
            <w:tcW w:w="3220" w:type="dxa"/>
            <w:tcBorders>
              <w:top w:val="nil"/>
              <w:left w:val="nil"/>
              <w:bottom w:val="single" w:color="auto" w:sz="4" w:space="0"/>
              <w:right w:val="single" w:color="auto" w:sz="4" w:space="0"/>
            </w:tcBorders>
            <w:noWrap/>
            <w:vAlign w:val="center"/>
          </w:tcPr>
          <w:p w14:paraId="7548D81A">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13777421564</w:t>
            </w:r>
          </w:p>
        </w:tc>
      </w:tr>
      <w:tr w14:paraId="392AEFFE">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690B1CC5">
            <w:pPr>
              <w:widowControl/>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6</w:t>
            </w:r>
          </w:p>
        </w:tc>
        <w:tc>
          <w:tcPr>
            <w:tcW w:w="3020" w:type="dxa"/>
            <w:tcBorders>
              <w:top w:val="nil"/>
              <w:left w:val="nil"/>
              <w:bottom w:val="single" w:color="auto" w:sz="4" w:space="0"/>
              <w:right w:val="single" w:color="auto" w:sz="4" w:space="0"/>
            </w:tcBorders>
            <w:noWrap/>
            <w:vAlign w:val="center"/>
          </w:tcPr>
          <w:p w14:paraId="33B56AAF">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中国银行钱塘支行</w:t>
            </w:r>
          </w:p>
        </w:tc>
        <w:tc>
          <w:tcPr>
            <w:tcW w:w="1420" w:type="dxa"/>
            <w:tcBorders>
              <w:top w:val="nil"/>
              <w:left w:val="nil"/>
              <w:bottom w:val="single" w:color="auto" w:sz="4" w:space="0"/>
              <w:right w:val="single" w:color="auto" w:sz="4" w:space="0"/>
            </w:tcBorders>
            <w:noWrap/>
            <w:vAlign w:val="center"/>
          </w:tcPr>
          <w:p w14:paraId="26D53974">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沈振华</w:t>
            </w:r>
          </w:p>
        </w:tc>
        <w:tc>
          <w:tcPr>
            <w:tcW w:w="3220" w:type="dxa"/>
            <w:tcBorders>
              <w:top w:val="nil"/>
              <w:left w:val="nil"/>
              <w:bottom w:val="single" w:color="auto" w:sz="4" w:space="0"/>
              <w:right w:val="single" w:color="auto" w:sz="4" w:space="0"/>
            </w:tcBorders>
            <w:noWrap/>
            <w:vAlign w:val="center"/>
          </w:tcPr>
          <w:p w14:paraId="3C586CAC">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13957168926</w:t>
            </w:r>
          </w:p>
        </w:tc>
      </w:tr>
      <w:tr w14:paraId="1CF2EFF8">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0E3E7F69">
            <w:pPr>
              <w:widowControl/>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7</w:t>
            </w:r>
          </w:p>
        </w:tc>
        <w:tc>
          <w:tcPr>
            <w:tcW w:w="3020" w:type="dxa"/>
            <w:tcBorders>
              <w:top w:val="nil"/>
              <w:left w:val="nil"/>
              <w:bottom w:val="single" w:color="auto" w:sz="4" w:space="0"/>
              <w:right w:val="single" w:color="auto" w:sz="4" w:space="0"/>
            </w:tcBorders>
            <w:noWrap/>
            <w:vAlign w:val="center"/>
          </w:tcPr>
          <w:p w14:paraId="27E6E4C8">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工商银行开发区支行</w:t>
            </w:r>
          </w:p>
        </w:tc>
        <w:tc>
          <w:tcPr>
            <w:tcW w:w="1420" w:type="dxa"/>
            <w:tcBorders>
              <w:top w:val="nil"/>
              <w:left w:val="nil"/>
              <w:bottom w:val="single" w:color="auto" w:sz="4" w:space="0"/>
              <w:right w:val="single" w:color="auto" w:sz="4" w:space="0"/>
            </w:tcBorders>
            <w:noWrap/>
            <w:vAlign w:val="center"/>
          </w:tcPr>
          <w:p w14:paraId="200C3B4E">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李燕珍</w:t>
            </w:r>
          </w:p>
        </w:tc>
        <w:tc>
          <w:tcPr>
            <w:tcW w:w="3220" w:type="dxa"/>
            <w:tcBorders>
              <w:top w:val="nil"/>
              <w:left w:val="nil"/>
              <w:bottom w:val="single" w:color="auto" w:sz="4" w:space="0"/>
              <w:right w:val="single" w:color="auto" w:sz="4" w:space="0"/>
            </w:tcBorders>
            <w:noWrap/>
            <w:vAlign w:val="center"/>
          </w:tcPr>
          <w:p w14:paraId="76DEF037">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13735710338</w:t>
            </w:r>
          </w:p>
        </w:tc>
      </w:tr>
      <w:tr w14:paraId="4C63FE3B">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14:paraId="573BFF7D">
            <w:pPr>
              <w:widowControl/>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8</w:t>
            </w:r>
          </w:p>
        </w:tc>
        <w:tc>
          <w:tcPr>
            <w:tcW w:w="3020" w:type="dxa"/>
            <w:tcBorders>
              <w:top w:val="nil"/>
              <w:left w:val="nil"/>
              <w:bottom w:val="single" w:color="auto" w:sz="4" w:space="0"/>
              <w:right w:val="single" w:color="auto" w:sz="4" w:space="0"/>
            </w:tcBorders>
            <w:noWrap/>
            <w:vAlign w:val="center"/>
          </w:tcPr>
          <w:p w14:paraId="40E47155">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宁波银行开发区支行</w:t>
            </w:r>
          </w:p>
        </w:tc>
        <w:tc>
          <w:tcPr>
            <w:tcW w:w="1420" w:type="dxa"/>
            <w:tcBorders>
              <w:top w:val="nil"/>
              <w:left w:val="nil"/>
              <w:bottom w:val="single" w:color="auto" w:sz="4" w:space="0"/>
              <w:right w:val="single" w:color="auto" w:sz="4" w:space="0"/>
            </w:tcBorders>
            <w:noWrap/>
            <w:vAlign w:val="center"/>
          </w:tcPr>
          <w:p w14:paraId="1D3244C4">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贾磊</w:t>
            </w:r>
          </w:p>
        </w:tc>
        <w:tc>
          <w:tcPr>
            <w:tcW w:w="3220" w:type="dxa"/>
            <w:tcBorders>
              <w:top w:val="nil"/>
              <w:left w:val="nil"/>
              <w:bottom w:val="single" w:color="auto" w:sz="4" w:space="0"/>
              <w:right w:val="single" w:color="auto" w:sz="4" w:space="0"/>
            </w:tcBorders>
            <w:noWrap/>
            <w:vAlign w:val="center"/>
          </w:tcPr>
          <w:p w14:paraId="63D5BC1B">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13575745232</w:t>
            </w:r>
          </w:p>
        </w:tc>
      </w:tr>
      <w:tr w14:paraId="5B8F839A">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14:paraId="73BF1449">
            <w:pPr>
              <w:widowControl/>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9</w:t>
            </w:r>
          </w:p>
        </w:tc>
        <w:tc>
          <w:tcPr>
            <w:tcW w:w="3020" w:type="dxa"/>
            <w:tcBorders>
              <w:top w:val="nil"/>
              <w:left w:val="nil"/>
              <w:bottom w:val="single" w:color="auto" w:sz="4" w:space="0"/>
              <w:right w:val="single" w:color="auto" w:sz="4" w:space="0"/>
            </w:tcBorders>
            <w:noWrap/>
            <w:vAlign w:val="center"/>
          </w:tcPr>
          <w:p w14:paraId="4FC3F03C">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杭州联合银行下沙支行</w:t>
            </w:r>
          </w:p>
        </w:tc>
        <w:tc>
          <w:tcPr>
            <w:tcW w:w="1420" w:type="dxa"/>
            <w:tcBorders>
              <w:top w:val="nil"/>
              <w:left w:val="nil"/>
              <w:bottom w:val="single" w:color="auto" w:sz="4" w:space="0"/>
              <w:right w:val="single" w:color="auto" w:sz="4" w:space="0"/>
            </w:tcBorders>
            <w:noWrap/>
            <w:vAlign w:val="center"/>
          </w:tcPr>
          <w:p w14:paraId="74810421">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王宁</w:t>
            </w:r>
          </w:p>
        </w:tc>
        <w:tc>
          <w:tcPr>
            <w:tcW w:w="3220" w:type="dxa"/>
            <w:tcBorders>
              <w:top w:val="nil"/>
              <w:left w:val="nil"/>
              <w:bottom w:val="single" w:color="auto" w:sz="4" w:space="0"/>
              <w:right w:val="single" w:color="auto" w:sz="4" w:space="0"/>
            </w:tcBorders>
            <w:noWrap/>
            <w:vAlign w:val="center"/>
          </w:tcPr>
          <w:p w14:paraId="2CE63105">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18906520030</w:t>
            </w:r>
          </w:p>
        </w:tc>
      </w:tr>
      <w:tr w14:paraId="312FCC60">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noWrap/>
            <w:vAlign w:val="center"/>
          </w:tcPr>
          <w:p w14:paraId="5C24A490">
            <w:pPr>
              <w:widowControl/>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10</w:t>
            </w:r>
          </w:p>
        </w:tc>
        <w:tc>
          <w:tcPr>
            <w:tcW w:w="3020" w:type="dxa"/>
            <w:tcBorders>
              <w:top w:val="nil"/>
              <w:left w:val="nil"/>
              <w:bottom w:val="single" w:color="auto" w:sz="4" w:space="0"/>
              <w:right w:val="single" w:color="auto" w:sz="4" w:space="0"/>
            </w:tcBorders>
            <w:noWrap/>
            <w:vAlign w:val="center"/>
          </w:tcPr>
          <w:p w14:paraId="610DA7F4">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农业银行钱塘支行</w:t>
            </w:r>
          </w:p>
        </w:tc>
        <w:tc>
          <w:tcPr>
            <w:tcW w:w="1420" w:type="dxa"/>
            <w:tcBorders>
              <w:top w:val="nil"/>
              <w:left w:val="nil"/>
              <w:bottom w:val="single" w:color="auto" w:sz="4" w:space="0"/>
              <w:right w:val="single" w:color="auto" w:sz="4" w:space="0"/>
            </w:tcBorders>
            <w:noWrap/>
            <w:vAlign w:val="center"/>
          </w:tcPr>
          <w:p w14:paraId="5D0FF336">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王安东</w:t>
            </w:r>
          </w:p>
          <w:p w14:paraId="34D3B980">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方若愚</w:t>
            </w:r>
          </w:p>
        </w:tc>
        <w:tc>
          <w:tcPr>
            <w:tcW w:w="3220" w:type="dxa"/>
            <w:tcBorders>
              <w:top w:val="nil"/>
              <w:left w:val="nil"/>
              <w:bottom w:val="single" w:color="auto" w:sz="4" w:space="0"/>
              <w:right w:val="single" w:color="auto" w:sz="4" w:space="0"/>
            </w:tcBorders>
            <w:noWrap/>
            <w:vAlign w:val="center"/>
          </w:tcPr>
          <w:p w14:paraId="120A0BCC">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15158025713</w:t>
            </w:r>
          </w:p>
          <w:p w14:paraId="65740416">
            <w:pPr>
              <w:widowControl/>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rPr>
              <w:t>15067483470</w:t>
            </w:r>
          </w:p>
        </w:tc>
      </w:tr>
      <w:tr w14:paraId="50BC735D">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3D78B3F1">
            <w:pPr>
              <w:widowControl/>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noWrap/>
            <w:vAlign w:val="center"/>
          </w:tcPr>
          <w:p w14:paraId="1800D5C4">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14:paraId="672DC1B7">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noWrap/>
            <w:vAlign w:val="center"/>
          </w:tcPr>
          <w:p w14:paraId="4D5F48EC">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82921293，18258888258</w:t>
            </w:r>
          </w:p>
        </w:tc>
      </w:tr>
      <w:tr w14:paraId="1BE59C6F">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55EF9A4B">
            <w:pPr>
              <w:widowControl/>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noWrap/>
            <w:vAlign w:val="center"/>
          </w:tcPr>
          <w:p w14:paraId="27F02173">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noWrap/>
            <w:vAlign w:val="center"/>
          </w:tcPr>
          <w:p w14:paraId="740C972D">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noWrap/>
            <w:vAlign w:val="center"/>
          </w:tcPr>
          <w:p w14:paraId="0998641F">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18805812679</w:t>
            </w:r>
          </w:p>
        </w:tc>
      </w:tr>
    </w:tbl>
    <w:p w14:paraId="11FF8FDE">
      <w:pPr>
        <w:spacing w:line="360" w:lineRule="auto"/>
        <w:ind w:left="5060" w:hanging="5060" w:hangingChars="2100"/>
        <w:rPr>
          <w:rFonts w:hint="eastAsia" w:asciiTheme="minorEastAsia" w:hAnsiTheme="minorEastAsia" w:eastAsiaTheme="minorEastAsia" w:cstheme="minorEastAsia"/>
          <w:b/>
          <w:bCs/>
          <w:color w:val="auto"/>
          <w:kern w:val="0"/>
          <w:sz w:val="24"/>
          <w:highlight w:val="none"/>
        </w:rPr>
      </w:pPr>
    </w:p>
    <w:p w14:paraId="1B143897">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23B8791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865F5FA">
      <w:pPr>
        <w:spacing w:line="360" w:lineRule="auto"/>
        <w:jc w:val="center"/>
        <w:rPr>
          <w:rFonts w:ascii="宋体" w:hAnsi="宋体" w:cs="宋体"/>
          <w:b/>
          <w:color w:val="auto"/>
          <w:spacing w:val="6"/>
          <w:sz w:val="32"/>
          <w:szCs w:val="32"/>
          <w:highlight w:val="none"/>
        </w:rPr>
      </w:pPr>
      <w:bookmarkStart w:id="514" w:name="OLE_LINK14"/>
      <w:bookmarkStart w:id="515" w:name="OLE_LINK13"/>
      <w:r>
        <w:rPr>
          <w:rFonts w:hint="eastAsia" w:ascii="宋体" w:hAnsi="宋体" w:cs="宋体"/>
          <w:b/>
          <w:color w:val="auto"/>
          <w:spacing w:val="6"/>
          <w:sz w:val="32"/>
          <w:szCs w:val="32"/>
          <w:highlight w:val="none"/>
        </w:rPr>
        <w:t>残疾人福利性单位声明函</w:t>
      </w:r>
    </w:p>
    <w:bookmarkEnd w:id="514"/>
    <w:bookmarkEnd w:id="515"/>
    <w:p w14:paraId="2A0EFCED">
      <w:pPr>
        <w:spacing w:line="360" w:lineRule="auto"/>
        <w:rPr>
          <w:rFonts w:ascii="宋体" w:hAnsi="宋体" w:cs="宋体"/>
          <w:b/>
          <w:color w:val="auto"/>
          <w:spacing w:val="6"/>
          <w:sz w:val="30"/>
          <w:szCs w:val="30"/>
          <w:highlight w:val="none"/>
        </w:rPr>
      </w:pPr>
    </w:p>
    <w:p w14:paraId="56B73C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新湾街道2025—2026年度治安巡逻防控第三方服务采购项目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77EA5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87F908A">
      <w:pPr>
        <w:spacing w:line="360" w:lineRule="auto"/>
        <w:ind w:firstLine="480" w:firstLineChars="200"/>
        <w:rPr>
          <w:rFonts w:ascii="宋体" w:hAnsi="宋体" w:cs="宋体"/>
          <w:color w:val="auto"/>
          <w:sz w:val="24"/>
          <w:highlight w:val="none"/>
        </w:rPr>
      </w:pPr>
    </w:p>
    <w:p w14:paraId="15268494">
      <w:pPr>
        <w:spacing w:line="360" w:lineRule="auto"/>
        <w:ind w:firstLine="480" w:firstLineChars="200"/>
        <w:rPr>
          <w:rFonts w:ascii="宋体" w:hAnsi="宋体" w:cs="宋体"/>
          <w:color w:val="auto"/>
          <w:sz w:val="24"/>
          <w:highlight w:val="none"/>
        </w:rPr>
      </w:pPr>
    </w:p>
    <w:p w14:paraId="5EFCE3F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13D85EF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CE7E1B2">
      <w:pPr>
        <w:spacing w:line="360" w:lineRule="auto"/>
        <w:ind w:firstLine="480" w:firstLineChars="200"/>
        <w:rPr>
          <w:rFonts w:ascii="宋体" w:hAnsi="宋体" w:cs="宋体"/>
          <w:color w:val="auto"/>
          <w:sz w:val="24"/>
          <w:highlight w:val="none"/>
        </w:rPr>
      </w:pPr>
    </w:p>
    <w:p w14:paraId="2D75F2E5">
      <w:pPr>
        <w:spacing w:line="360" w:lineRule="auto"/>
        <w:ind w:firstLine="420" w:firstLineChars="200"/>
        <w:rPr>
          <w:rFonts w:ascii="宋体" w:hAnsi="宋体" w:cs="宋体"/>
          <w:color w:val="auto"/>
          <w:highlight w:val="none"/>
        </w:rPr>
      </w:pPr>
    </w:p>
    <w:p w14:paraId="439A9594">
      <w:pPr>
        <w:spacing w:line="360" w:lineRule="auto"/>
        <w:ind w:firstLine="420" w:firstLineChars="200"/>
        <w:rPr>
          <w:rFonts w:ascii="宋体" w:hAnsi="宋体" w:cs="宋体"/>
          <w:color w:val="auto"/>
          <w:highlight w:val="none"/>
        </w:rPr>
      </w:pPr>
    </w:p>
    <w:p w14:paraId="41CF3D51">
      <w:pPr>
        <w:spacing w:line="360" w:lineRule="auto"/>
        <w:ind w:firstLine="420" w:firstLineChars="200"/>
        <w:rPr>
          <w:rFonts w:ascii="宋体" w:hAnsi="宋体" w:cs="宋体"/>
          <w:color w:val="auto"/>
          <w:highlight w:val="none"/>
        </w:rPr>
      </w:pPr>
    </w:p>
    <w:p w14:paraId="0D03AAA8">
      <w:pPr>
        <w:spacing w:line="360" w:lineRule="auto"/>
        <w:ind w:firstLine="420" w:firstLineChars="200"/>
        <w:rPr>
          <w:rFonts w:ascii="宋体" w:hAnsi="宋体" w:cs="宋体"/>
          <w:color w:val="auto"/>
          <w:highlight w:val="none"/>
        </w:rPr>
      </w:pPr>
    </w:p>
    <w:p w14:paraId="10CF2864">
      <w:pPr>
        <w:spacing w:line="360" w:lineRule="auto"/>
        <w:rPr>
          <w:rFonts w:ascii="宋体" w:hAnsi="宋体" w:cs="宋体"/>
          <w:b/>
          <w:color w:val="auto"/>
          <w:sz w:val="24"/>
          <w:highlight w:val="none"/>
        </w:rPr>
      </w:pPr>
    </w:p>
    <w:p w14:paraId="5A2CE73E">
      <w:pPr>
        <w:spacing w:line="360" w:lineRule="auto"/>
        <w:rPr>
          <w:rFonts w:ascii="宋体" w:hAnsi="宋体" w:cs="宋体"/>
          <w:b/>
          <w:color w:val="auto"/>
          <w:sz w:val="24"/>
          <w:highlight w:val="none"/>
        </w:rPr>
      </w:pPr>
    </w:p>
    <w:p w14:paraId="4A2F8895">
      <w:pPr>
        <w:spacing w:line="360" w:lineRule="auto"/>
        <w:rPr>
          <w:rFonts w:ascii="宋体" w:hAnsi="宋体" w:cs="宋体"/>
          <w:b/>
          <w:color w:val="auto"/>
          <w:sz w:val="24"/>
          <w:highlight w:val="none"/>
        </w:rPr>
      </w:pPr>
    </w:p>
    <w:p w14:paraId="72CC8FE8">
      <w:pPr>
        <w:spacing w:line="360" w:lineRule="auto"/>
        <w:rPr>
          <w:rFonts w:ascii="宋体" w:hAnsi="宋体" w:cs="宋体"/>
          <w:b/>
          <w:color w:val="auto"/>
          <w:sz w:val="24"/>
          <w:highlight w:val="none"/>
        </w:rPr>
      </w:pPr>
    </w:p>
    <w:p w14:paraId="7F812164">
      <w:pPr>
        <w:spacing w:line="360" w:lineRule="auto"/>
        <w:rPr>
          <w:rFonts w:ascii="宋体" w:hAnsi="宋体" w:cs="宋体"/>
          <w:b/>
          <w:color w:val="auto"/>
          <w:sz w:val="24"/>
          <w:highlight w:val="none"/>
        </w:rPr>
      </w:pPr>
    </w:p>
    <w:p w14:paraId="412928BA">
      <w:pPr>
        <w:spacing w:line="360" w:lineRule="auto"/>
        <w:rPr>
          <w:rFonts w:ascii="宋体" w:hAnsi="宋体" w:cs="宋体"/>
          <w:b/>
          <w:color w:val="auto"/>
          <w:sz w:val="24"/>
          <w:highlight w:val="none"/>
        </w:rPr>
      </w:pPr>
    </w:p>
    <w:p w14:paraId="3A3A0E78">
      <w:pPr>
        <w:spacing w:line="360" w:lineRule="auto"/>
        <w:rPr>
          <w:rFonts w:ascii="宋体" w:hAnsi="宋体" w:cs="宋体"/>
          <w:b/>
          <w:color w:val="auto"/>
          <w:sz w:val="24"/>
          <w:highlight w:val="none"/>
        </w:rPr>
      </w:pPr>
    </w:p>
    <w:p w14:paraId="1EF253AB">
      <w:pPr>
        <w:spacing w:line="360" w:lineRule="auto"/>
        <w:rPr>
          <w:rFonts w:ascii="宋体" w:hAnsi="宋体" w:cs="宋体"/>
          <w:b/>
          <w:color w:val="auto"/>
          <w:sz w:val="24"/>
          <w:highlight w:val="none"/>
        </w:rPr>
      </w:pPr>
    </w:p>
    <w:p w14:paraId="0DA346CF">
      <w:pPr>
        <w:spacing w:line="360" w:lineRule="auto"/>
        <w:rPr>
          <w:rFonts w:ascii="宋体" w:hAnsi="宋体" w:cs="宋体"/>
          <w:b/>
          <w:color w:val="auto"/>
          <w:sz w:val="24"/>
          <w:highlight w:val="none"/>
        </w:rPr>
      </w:pPr>
    </w:p>
    <w:p w14:paraId="39804C4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7EBF54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116FD66">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6FF631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D7B041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DAC942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94036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E7E87A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14E554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DF9934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4336D9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AB9EEF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9580C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12F40E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4B784E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DA9FDF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07429D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072C20C">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6B6B09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AD4CD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5C8AC6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0CB9AB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51F24B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377DCE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C001F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82FC2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6EECCDB">
      <w:pPr>
        <w:spacing w:line="360" w:lineRule="auto"/>
        <w:jc w:val="center"/>
        <w:rPr>
          <w:rFonts w:ascii="宋体" w:hAnsi="宋体" w:cs="宋体"/>
          <w:b/>
          <w:bCs/>
          <w:color w:val="auto"/>
          <w:sz w:val="24"/>
          <w:highlight w:val="none"/>
        </w:rPr>
      </w:pPr>
    </w:p>
    <w:p w14:paraId="7F703425">
      <w:pPr>
        <w:spacing w:line="360" w:lineRule="auto"/>
        <w:rPr>
          <w:rFonts w:ascii="宋体" w:hAnsi="宋体" w:cs="宋体"/>
          <w:b/>
          <w:color w:val="auto"/>
          <w:sz w:val="24"/>
          <w:highlight w:val="none"/>
        </w:rPr>
      </w:pPr>
    </w:p>
    <w:p w14:paraId="25AADEA8">
      <w:pPr>
        <w:spacing w:line="360" w:lineRule="auto"/>
        <w:rPr>
          <w:rFonts w:ascii="宋体" w:hAnsi="宋体" w:cs="宋体"/>
          <w:b/>
          <w:color w:val="auto"/>
          <w:sz w:val="24"/>
          <w:highlight w:val="none"/>
        </w:rPr>
      </w:pPr>
    </w:p>
    <w:p w14:paraId="464C3B13">
      <w:pPr>
        <w:spacing w:line="360" w:lineRule="auto"/>
        <w:rPr>
          <w:rFonts w:ascii="宋体" w:hAnsi="宋体" w:cs="宋体"/>
          <w:b/>
          <w:color w:val="auto"/>
          <w:sz w:val="24"/>
          <w:highlight w:val="none"/>
        </w:rPr>
      </w:pPr>
    </w:p>
    <w:p w14:paraId="751E08E2">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04740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595F0A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E60BCB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B6F9E0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D37A1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982744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C7FC19E">
      <w:pPr>
        <w:widowControl/>
        <w:spacing w:line="360" w:lineRule="auto"/>
        <w:ind w:firstLine="600" w:firstLineChars="200"/>
        <w:jc w:val="left"/>
        <w:rPr>
          <w:rFonts w:ascii="宋体" w:hAnsi="宋体" w:cs="宋体"/>
          <w:color w:val="auto"/>
          <w:sz w:val="30"/>
          <w:szCs w:val="30"/>
          <w:highlight w:val="none"/>
        </w:rPr>
      </w:pPr>
    </w:p>
    <w:p w14:paraId="64BB750E">
      <w:pPr>
        <w:spacing w:line="360" w:lineRule="auto"/>
        <w:jc w:val="center"/>
        <w:rPr>
          <w:rFonts w:ascii="宋体" w:hAnsi="宋体" w:cs="宋体"/>
          <w:b/>
          <w:color w:val="auto"/>
          <w:spacing w:val="6"/>
          <w:sz w:val="32"/>
          <w:szCs w:val="32"/>
          <w:highlight w:val="none"/>
        </w:rPr>
      </w:pPr>
    </w:p>
    <w:p w14:paraId="66BA4C44">
      <w:pPr>
        <w:spacing w:line="360" w:lineRule="auto"/>
        <w:jc w:val="center"/>
        <w:rPr>
          <w:rFonts w:ascii="宋体" w:hAnsi="宋体" w:cs="宋体"/>
          <w:b/>
          <w:color w:val="auto"/>
          <w:spacing w:val="6"/>
          <w:sz w:val="32"/>
          <w:szCs w:val="32"/>
          <w:highlight w:val="none"/>
        </w:rPr>
      </w:pPr>
    </w:p>
    <w:p w14:paraId="02376525">
      <w:pPr>
        <w:spacing w:line="360" w:lineRule="auto"/>
        <w:jc w:val="center"/>
        <w:rPr>
          <w:rFonts w:ascii="宋体" w:hAnsi="宋体" w:cs="宋体"/>
          <w:b/>
          <w:color w:val="auto"/>
          <w:spacing w:val="6"/>
          <w:sz w:val="32"/>
          <w:szCs w:val="32"/>
          <w:highlight w:val="none"/>
        </w:rPr>
      </w:pPr>
    </w:p>
    <w:p w14:paraId="43604672">
      <w:pPr>
        <w:spacing w:line="360" w:lineRule="auto"/>
        <w:jc w:val="center"/>
        <w:rPr>
          <w:rFonts w:ascii="宋体" w:hAnsi="宋体" w:cs="宋体"/>
          <w:b/>
          <w:color w:val="auto"/>
          <w:spacing w:val="6"/>
          <w:sz w:val="32"/>
          <w:szCs w:val="32"/>
          <w:highlight w:val="none"/>
        </w:rPr>
      </w:pPr>
    </w:p>
    <w:p w14:paraId="2D3FC427">
      <w:pPr>
        <w:spacing w:line="360" w:lineRule="auto"/>
        <w:jc w:val="center"/>
        <w:rPr>
          <w:rFonts w:ascii="宋体" w:hAnsi="宋体" w:cs="宋体"/>
          <w:b/>
          <w:color w:val="auto"/>
          <w:spacing w:val="6"/>
          <w:sz w:val="32"/>
          <w:szCs w:val="32"/>
          <w:highlight w:val="none"/>
        </w:rPr>
      </w:pPr>
    </w:p>
    <w:p w14:paraId="45853342">
      <w:pPr>
        <w:spacing w:line="360" w:lineRule="auto"/>
        <w:jc w:val="center"/>
        <w:rPr>
          <w:rFonts w:ascii="宋体" w:hAnsi="宋体" w:cs="宋体"/>
          <w:b/>
          <w:color w:val="auto"/>
          <w:spacing w:val="6"/>
          <w:sz w:val="32"/>
          <w:szCs w:val="32"/>
          <w:highlight w:val="none"/>
        </w:rPr>
      </w:pPr>
    </w:p>
    <w:p w14:paraId="258EEF74">
      <w:pPr>
        <w:spacing w:line="360" w:lineRule="auto"/>
        <w:jc w:val="center"/>
        <w:rPr>
          <w:rFonts w:ascii="宋体" w:hAnsi="宋体" w:cs="宋体"/>
          <w:b/>
          <w:color w:val="auto"/>
          <w:spacing w:val="6"/>
          <w:sz w:val="32"/>
          <w:szCs w:val="32"/>
          <w:highlight w:val="none"/>
        </w:rPr>
      </w:pPr>
    </w:p>
    <w:p w14:paraId="63938146">
      <w:pPr>
        <w:spacing w:line="360" w:lineRule="auto"/>
        <w:jc w:val="center"/>
        <w:rPr>
          <w:rFonts w:ascii="宋体" w:hAnsi="宋体" w:cs="宋体"/>
          <w:b/>
          <w:color w:val="auto"/>
          <w:spacing w:val="6"/>
          <w:sz w:val="32"/>
          <w:szCs w:val="32"/>
          <w:highlight w:val="none"/>
        </w:rPr>
      </w:pPr>
    </w:p>
    <w:p w14:paraId="14886E5D">
      <w:pPr>
        <w:spacing w:line="360" w:lineRule="auto"/>
        <w:jc w:val="center"/>
        <w:rPr>
          <w:rFonts w:ascii="宋体" w:hAnsi="宋体" w:cs="宋体"/>
          <w:b/>
          <w:color w:val="auto"/>
          <w:spacing w:val="6"/>
          <w:sz w:val="32"/>
          <w:szCs w:val="32"/>
          <w:highlight w:val="none"/>
        </w:rPr>
      </w:pPr>
    </w:p>
    <w:p w14:paraId="78FD62CE">
      <w:pPr>
        <w:spacing w:line="360" w:lineRule="auto"/>
        <w:jc w:val="center"/>
        <w:rPr>
          <w:rFonts w:ascii="宋体" w:hAnsi="宋体" w:cs="宋体"/>
          <w:b/>
          <w:color w:val="auto"/>
          <w:spacing w:val="6"/>
          <w:sz w:val="32"/>
          <w:szCs w:val="32"/>
          <w:highlight w:val="none"/>
        </w:rPr>
      </w:pPr>
    </w:p>
    <w:p w14:paraId="40633BF4">
      <w:pPr>
        <w:spacing w:line="360" w:lineRule="auto"/>
        <w:jc w:val="center"/>
        <w:rPr>
          <w:rFonts w:ascii="宋体" w:hAnsi="宋体" w:cs="宋体"/>
          <w:b/>
          <w:color w:val="auto"/>
          <w:spacing w:val="6"/>
          <w:sz w:val="32"/>
          <w:szCs w:val="32"/>
          <w:highlight w:val="none"/>
        </w:rPr>
      </w:pPr>
    </w:p>
    <w:p w14:paraId="0E3DE1B8">
      <w:pPr>
        <w:spacing w:line="360" w:lineRule="auto"/>
        <w:jc w:val="center"/>
        <w:rPr>
          <w:rFonts w:ascii="宋体" w:hAnsi="宋体" w:cs="宋体"/>
          <w:b/>
          <w:color w:val="auto"/>
          <w:spacing w:val="6"/>
          <w:sz w:val="32"/>
          <w:szCs w:val="32"/>
          <w:highlight w:val="none"/>
        </w:rPr>
      </w:pPr>
    </w:p>
    <w:p w14:paraId="0D7C81F3">
      <w:pPr>
        <w:spacing w:line="360" w:lineRule="auto"/>
        <w:jc w:val="left"/>
        <w:rPr>
          <w:rFonts w:ascii="宋体" w:hAnsi="宋体" w:cs="宋体"/>
          <w:b/>
          <w:color w:val="auto"/>
          <w:spacing w:val="6"/>
          <w:sz w:val="32"/>
          <w:szCs w:val="32"/>
          <w:highlight w:val="none"/>
        </w:rPr>
      </w:pPr>
    </w:p>
    <w:p w14:paraId="5411FAD6">
      <w:pPr>
        <w:spacing w:line="360" w:lineRule="auto"/>
        <w:jc w:val="left"/>
        <w:rPr>
          <w:rFonts w:ascii="宋体" w:hAnsi="宋体" w:cs="宋体"/>
          <w:b/>
          <w:color w:val="auto"/>
          <w:spacing w:val="6"/>
          <w:sz w:val="32"/>
          <w:szCs w:val="32"/>
          <w:highlight w:val="none"/>
        </w:rPr>
      </w:pPr>
    </w:p>
    <w:p w14:paraId="7567E6B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7C91EB4">
      <w:pPr>
        <w:spacing w:line="360" w:lineRule="auto"/>
        <w:jc w:val="center"/>
        <w:rPr>
          <w:rFonts w:ascii="宋体" w:hAnsi="宋体" w:cs="宋体"/>
          <w:b/>
          <w:color w:val="auto"/>
          <w:sz w:val="24"/>
          <w:highlight w:val="none"/>
        </w:rPr>
      </w:pPr>
    </w:p>
    <w:p w14:paraId="7A3CAEF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226F3BE">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4B3B74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58BCB7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8AE0F61">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11ECCB">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018C53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CD09640">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FF831F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E7B7A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F81E09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35D3410">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D4F62C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9A115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A4087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ED35E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C29534D">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7FD8569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68E7EA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86E040A">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A297EAA">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F3DF55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09E987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F801BD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C9A5279">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F458F9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2949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B071D83">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830BA2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FEB89A5">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7BE96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7D28CE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5D184D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317EA4C">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67B60D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5EAD3B6">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C46240B">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D408548">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4E38CB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83CCB2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6FAE0FA">
      <w:pPr>
        <w:spacing w:line="360" w:lineRule="auto"/>
        <w:rPr>
          <w:rFonts w:ascii="宋体" w:hAnsi="宋体" w:cs="宋体"/>
          <w:b/>
          <w:color w:val="auto"/>
          <w:sz w:val="24"/>
          <w:highlight w:val="none"/>
        </w:rPr>
      </w:pPr>
    </w:p>
    <w:p w14:paraId="7F7D1831">
      <w:pPr>
        <w:spacing w:line="360" w:lineRule="auto"/>
        <w:rPr>
          <w:rFonts w:ascii="宋体" w:hAnsi="宋体" w:cs="宋体"/>
          <w:b/>
          <w:color w:val="auto"/>
          <w:sz w:val="24"/>
          <w:highlight w:val="none"/>
        </w:rPr>
      </w:pPr>
    </w:p>
    <w:p w14:paraId="2A05F67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4186D0C">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C5BBFC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A4938C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C166E7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FD6102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B2AF7B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D4F73C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DFE05DF">
      <w:pPr>
        <w:spacing w:line="360" w:lineRule="auto"/>
        <w:rPr>
          <w:rFonts w:ascii="宋体" w:hAnsi="宋体" w:cs="宋体"/>
          <w:b/>
          <w:color w:val="auto"/>
          <w:sz w:val="24"/>
          <w:highlight w:val="none"/>
        </w:rPr>
      </w:pPr>
    </w:p>
    <w:p w14:paraId="41AE894C">
      <w:pPr>
        <w:autoSpaceDE w:val="0"/>
        <w:autoSpaceDN w:val="0"/>
        <w:jc w:val="center"/>
        <w:rPr>
          <w:rFonts w:ascii="宋体" w:hAnsi="宋体" w:cs="宋体"/>
          <w:b/>
          <w:color w:val="auto"/>
          <w:spacing w:val="6"/>
          <w:sz w:val="32"/>
          <w:szCs w:val="32"/>
          <w:highlight w:val="none"/>
        </w:rPr>
      </w:pPr>
    </w:p>
    <w:p w14:paraId="5CAA667C">
      <w:pPr>
        <w:autoSpaceDE w:val="0"/>
        <w:autoSpaceDN w:val="0"/>
        <w:jc w:val="center"/>
        <w:rPr>
          <w:rFonts w:ascii="宋体" w:hAnsi="宋体" w:cs="宋体"/>
          <w:b/>
          <w:color w:val="auto"/>
          <w:spacing w:val="6"/>
          <w:sz w:val="32"/>
          <w:szCs w:val="32"/>
          <w:highlight w:val="none"/>
        </w:rPr>
      </w:pPr>
    </w:p>
    <w:p w14:paraId="188FF52F">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C22969D">
      <w:pPr>
        <w:spacing w:line="360" w:lineRule="auto"/>
        <w:rPr>
          <w:rFonts w:ascii="宋体" w:hAnsi="宋体" w:cs="宋体"/>
          <w:color w:val="auto"/>
          <w:sz w:val="24"/>
          <w:highlight w:val="none"/>
          <w:u w:val="single"/>
        </w:rPr>
      </w:pPr>
    </w:p>
    <w:p w14:paraId="41474D05">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杭州市钱塘区人民政府新湾街道办事处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浙江勋达工程咨询有限公司</w:t>
      </w:r>
      <w:r>
        <w:rPr>
          <w:rFonts w:hint="eastAsia" w:ascii="宋体" w:hAnsi="宋体" w:cs="宋体"/>
          <w:color w:val="auto"/>
          <w:sz w:val="24"/>
          <w:highlight w:val="none"/>
          <w:u w:val="single"/>
        </w:rPr>
        <w:t>：</w:t>
      </w:r>
    </w:p>
    <w:p w14:paraId="147229C4">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新湾街道2025—2026年度治安巡逻防控第三方服务采购项目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QTCG-GK-2025-101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D5110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C0B900C">
      <w:pPr>
        <w:spacing w:line="360" w:lineRule="auto"/>
        <w:ind w:firstLine="494"/>
        <w:rPr>
          <w:rFonts w:ascii="宋体" w:hAnsi="宋体" w:cs="宋体"/>
          <w:color w:val="auto"/>
          <w:sz w:val="24"/>
          <w:highlight w:val="none"/>
        </w:rPr>
      </w:pPr>
    </w:p>
    <w:p w14:paraId="09429745">
      <w:pPr>
        <w:spacing w:line="360" w:lineRule="auto"/>
        <w:ind w:firstLine="494"/>
        <w:rPr>
          <w:rFonts w:ascii="宋体" w:hAnsi="宋体" w:cs="宋体"/>
          <w:color w:val="auto"/>
          <w:sz w:val="24"/>
          <w:highlight w:val="none"/>
        </w:rPr>
      </w:pPr>
    </w:p>
    <w:p w14:paraId="7AEAE077">
      <w:pPr>
        <w:spacing w:line="360" w:lineRule="auto"/>
        <w:ind w:firstLine="494"/>
        <w:rPr>
          <w:rFonts w:ascii="宋体" w:hAnsi="宋体" w:cs="宋体"/>
          <w:color w:val="auto"/>
          <w:sz w:val="24"/>
          <w:highlight w:val="none"/>
        </w:rPr>
      </w:pPr>
    </w:p>
    <w:p w14:paraId="0B9A1278">
      <w:pPr>
        <w:spacing w:line="360" w:lineRule="auto"/>
        <w:ind w:firstLine="494"/>
        <w:rPr>
          <w:rFonts w:ascii="宋体" w:hAnsi="宋体" w:cs="宋体"/>
          <w:color w:val="auto"/>
          <w:sz w:val="24"/>
          <w:highlight w:val="none"/>
        </w:rPr>
      </w:pPr>
    </w:p>
    <w:p w14:paraId="4730A1B3">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44372E30">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F59948A">
      <w:pPr>
        <w:rPr>
          <w:rFonts w:ascii="宋体" w:hAnsi="宋体" w:cs="宋体"/>
          <w:color w:val="auto"/>
          <w:sz w:val="24"/>
          <w:highlight w:val="none"/>
        </w:rPr>
      </w:pPr>
      <w:r>
        <w:rPr>
          <w:rFonts w:hint="eastAsia" w:ascii="宋体" w:hAnsi="宋体" w:cs="宋体"/>
          <w:b/>
          <w:bCs/>
          <w:color w:val="auto"/>
          <w:sz w:val="24"/>
          <w:highlight w:val="none"/>
        </w:rPr>
        <w:t>附：</w:t>
      </w:r>
    </w:p>
    <w:p w14:paraId="44C78EB8">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供应商法定名称章（印模）                供应商“XX专用章”（印模）</w:t>
      </w:r>
    </w:p>
    <w:p w14:paraId="20433BAE">
      <w:pPr>
        <w:autoSpaceDE w:val="0"/>
        <w:autoSpaceDN w:val="0"/>
        <w:jc w:val="center"/>
        <w:rPr>
          <w:rFonts w:ascii="宋体" w:hAnsi="宋体" w:cs="宋体"/>
          <w:b/>
          <w:color w:val="auto"/>
          <w:spacing w:val="6"/>
          <w:sz w:val="32"/>
          <w:szCs w:val="32"/>
          <w:highlight w:val="none"/>
        </w:rPr>
      </w:pPr>
    </w:p>
    <w:p w14:paraId="2A9B8CCA">
      <w:pPr>
        <w:autoSpaceDE w:val="0"/>
        <w:autoSpaceDN w:val="0"/>
        <w:jc w:val="center"/>
        <w:rPr>
          <w:rFonts w:ascii="宋体" w:hAnsi="宋体" w:cs="宋体"/>
          <w:b/>
          <w:color w:val="auto"/>
          <w:spacing w:val="6"/>
          <w:sz w:val="32"/>
          <w:szCs w:val="32"/>
          <w:highlight w:val="none"/>
        </w:rPr>
      </w:pPr>
    </w:p>
    <w:p w14:paraId="443BD573">
      <w:pPr>
        <w:autoSpaceDE w:val="0"/>
        <w:autoSpaceDN w:val="0"/>
        <w:jc w:val="center"/>
        <w:rPr>
          <w:rFonts w:ascii="宋体" w:hAnsi="宋体" w:cs="宋体"/>
          <w:b/>
          <w:color w:val="auto"/>
          <w:spacing w:val="6"/>
          <w:sz w:val="32"/>
          <w:szCs w:val="32"/>
          <w:highlight w:val="none"/>
        </w:rPr>
      </w:pPr>
    </w:p>
    <w:p w14:paraId="2BCC7953">
      <w:pPr>
        <w:autoSpaceDE w:val="0"/>
        <w:autoSpaceDN w:val="0"/>
        <w:jc w:val="center"/>
        <w:rPr>
          <w:rFonts w:ascii="宋体" w:hAnsi="宋体" w:cs="宋体"/>
          <w:b/>
          <w:color w:val="auto"/>
          <w:spacing w:val="6"/>
          <w:sz w:val="32"/>
          <w:szCs w:val="32"/>
          <w:highlight w:val="none"/>
        </w:rPr>
      </w:pPr>
    </w:p>
    <w:p w14:paraId="395A1E1D">
      <w:pPr>
        <w:autoSpaceDE w:val="0"/>
        <w:autoSpaceDN w:val="0"/>
        <w:jc w:val="center"/>
        <w:rPr>
          <w:rFonts w:ascii="宋体" w:hAnsi="宋体" w:cs="宋体"/>
          <w:b/>
          <w:color w:val="auto"/>
          <w:spacing w:val="6"/>
          <w:sz w:val="32"/>
          <w:szCs w:val="32"/>
          <w:highlight w:val="none"/>
        </w:rPr>
      </w:pPr>
    </w:p>
    <w:p w14:paraId="7A50B81D">
      <w:pPr>
        <w:autoSpaceDE w:val="0"/>
        <w:autoSpaceDN w:val="0"/>
        <w:jc w:val="center"/>
        <w:rPr>
          <w:rFonts w:ascii="宋体" w:hAnsi="宋体" w:cs="宋体"/>
          <w:b/>
          <w:color w:val="auto"/>
          <w:spacing w:val="6"/>
          <w:sz w:val="32"/>
          <w:szCs w:val="32"/>
          <w:highlight w:val="none"/>
        </w:rPr>
      </w:pPr>
    </w:p>
    <w:p w14:paraId="26F1DC40">
      <w:pPr>
        <w:autoSpaceDE w:val="0"/>
        <w:autoSpaceDN w:val="0"/>
        <w:jc w:val="center"/>
        <w:rPr>
          <w:rFonts w:ascii="宋体" w:hAnsi="宋体" w:cs="宋体"/>
          <w:b/>
          <w:color w:val="auto"/>
          <w:spacing w:val="6"/>
          <w:sz w:val="32"/>
          <w:szCs w:val="32"/>
          <w:highlight w:val="none"/>
        </w:rPr>
      </w:pPr>
    </w:p>
    <w:p w14:paraId="3051A8CB">
      <w:pPr>
        <w:autoSpaceDE w:val="0"/>
        <w:autoSpaceDN w:val="0"/>
        <w:jc w:val="center"/>
        <w:rPr>
          <w:rFonts w:ascii="宋体" w:hAnsi="宋体" w:cs="宋体"/>
          <w:b/>
          <w:color w:val="auto"/>
          <w:spacing w:val="6"/>
          <w:sz w:val="32"/>
          <w:szCs w:val="32"/>
          <w:highlight w:val="none"/>
        </w:rPr>
      </w:pPr>
    </w:p>
    <w:p w14:paraId="12A4D2B5">
      <w:pPr>
        <w:autoSpaceDE w:val="0"/>
        <w:autoSpaceDN w:val="0"/>
        <w:jc w:val="center"/>
        <w:rPr>
          <w:rFonts w:ascii="宋体" w:hAnsi="宋体" w:cs="宋体"/>
          <w:b/>
          <w:color w:val="auto"/>
          <w:spacing w:val="6"/>
          <w:sz w:val="32"/>
          <w:szCs w:val="32"/>
          <w:highlight w:val="none"/>
        </w:rPr>
      </w:pPr>
    </w:p>
    <w:p w14:paraId="3F4A10BA">
      <w:pPr>
        <w:autoSpaceDE w:val="0"/>
        <w:autoSpaceDN w:val="0"/>
        <w:jc w:val="center"/>
        <w:rPr>
          <w:rFonts w:ascii="宋体" w:hAnsi="宋体" w:cs="宋体"/>
          <w:b/>
          <w:color w:val="auto"/>
          <w:spacing w:val="6"/>
          <w:sz w:val="32"/>
          <w:szCs w:val="32"/>
          <w:highlight w:val="none"/>
        </w:rPr>
      </w:pPr>
    </w:p>
    <w:p w14:paraId="0802A50A">
      <w:pPr>
        <w:autoSpaceDE w:val="0"/>
        <w:autoSpaceDN w:val="0"/>
        <w:jc w:val="center"/>
        <w:rPr>
          <w:rFonts w:ascii="宋体" w:hAnsi="宋体" w:cs="宋体"/>
          <w:b/>
          <w:color w:val="auto"/>
          <w:spacing w:val="6"/>
          <w:sz w:val="32"/>
          <w:szCs w:val="32"/>
          <w:highlight w:val="none"/>
        </w:rPr>
      </w:pPr>
    </w:p>
    <w:p w14:paraId="35CC55BB">
      <w:pPr>
        <w:autoSpaceDE w:val="0"/>
        <w:autoSpaceDN w:val="0"/>
        <w:jc w:val="center"/>
        <w:rPr>
          <w:rFonts w:ascii="宋体" w:hAnsi="宋体" w:cs="宋体"/>
          <w:b/>
          <w:color w:val="auto"/>
          <w:spacing w:val="6"/>
          <w:sz w:val="32"/>
          <w:szCs w:val="32"/>
          <w:highlight w:val="none"/>
        </w:rPr>
      </w:pPr>
    </w:p>
    <w:p w14:paraId="285B6B05">
      <w:pPr>
        <w:autoSpaceDE w:val="0"/>
        <w:autoSpaceDN w:val="0"/>
        <w:jc w:val="center"/>
        <w:rPr>
          <w:rFonts w:ascii="宋体" w:hAnsi="宋体" w:cs="宋体"/>
          <w:b/>
          <w:color w:val="auto"/>
          <w:spacing w:val="6"/>
          <w:sz w:val="32"/>
          <w:szCs w:val="32"/>
          <w:highlight w:val="none"/>
        </w:rPr>
      </w:pPr>
    </w:p>
    <w:p w14:paraId="6B793E58">
      <w:pPr>
        <w:autoSpaceDE w:val="0"/>
        <w:autoSpaceDN w:val="0"/>
        <w:jc w:val="center"/>
        <w:rPr>
          <w:rFonts w:ascii="宋体" w:hAnsi="宋体" w:cs="宋体"/>
          <w:b/>
          <w:color w:val="auto"/>
          <w:spacing w:val="6"/>
          <w:sz w:val="32"/>
          <w:szCs w:val="32"/>
          <w:highlight w:val="none"/>
        </w:rPr>
      </w:pPr>
    </w:p>
    <w:p w14:paraId="39BEB4DC">
      <w:pPr>
        <w:autoSpaceDE w:val="0"/>
        <w:autoSpaceDN w:val="0"/>
        <w:jc w:val="center"/>
        <w:rPr>
          <w:rFonts w:ascii="宋体" w:hAnsi="宋体" w:cs="宋体"/>
          <w:b/>
          <w:color w:val="auto"/>
          <w:spacing w:val="6"/>
          <w:sz w:val="32"/>
          <w:szCs w:val="32"/>
          <w:highlight w:val="none"/>
        </w:rPr>
      </w:pPr>
    </w:p>
    <w:p w14:paraId="1B1576F0">
      <w:pPr>
        <w:autoSpaceDE w:val="0"/>
        <w:autoSpaceDN w:val="0"/>
        <w:jc w:val="center"/>
        <w:rPr>
          <w:rFonts w:ascii="宋体" w:hAnsi="宋体" w:cs="宋体"/>
          <w:b/>
          <w:color w:val="auto"/>
          <w:spacing w:val="6"/>
          <w:sz w:val="32"/>
          <w:szCs w:val="32"/>
          <w:highlight w:val="none"/>
        </w:rPr>
      </w:pPr>
    </w:p>
    <w:p w14:paraId="6BE1F290">
      <w:pPr>
        <w:autoSpaceDE w:val="0"/>
        <w:autoSpaceDN w:val="0"/>
        <w:jc w:val="center"/>
        <w:rPr>
          <w:rFonts w:ascii="宋体" w:hAnsi="宋体" w:cs="宋体"/>
          <w:b/>
          <w:color w:val="auto"/>
          <w:spacing w:val="6"/>
          <w:sz w:val="32"/>
          <w:szCs w:val="32"/>
          <w:highlight w:val="none"/>
        </w:rPr>
      </w:pPr>
    </w:p>
    <w:p w14:paraId="2605B0B7">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16B0C08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（以联合体形式投标的，提供联合协议；本项目不接受联合体投标或者供应商不以联合体形式投标的，则不需要提供）</w:t>
      </w:r>
    </w:p>
    <w:p w14:paraId="3239883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新湾街道2025—2026年度治安巡逻防控第三方服务采购项目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QTCG-GK-2025-101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AC4EA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65AD64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FDF6D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E7951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863067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6D7320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1B337C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9146DEF">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6"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6"/>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7"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7"/>
      <w:r>
        <w:rPr>
          <w:rFonts w:hint="eastAsia" w:ascii="宋体" w:hAnsi="宋体" w:cs="宋体"/>
          <w:b/>
          <w:color w:val="auto"/>
          <w:kern w:val="0"/>
          <w:sz w:val="24"/>
          <w:highlight w:val="none"/>
          <w:lang w:val="zh-CN"/>
        </w:rPr>
        <w:t>）</w:t>
      </w:r>
    </w:p>
    <w:p w14:paraId="43851EED">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8"/>
    </w:p>
    <w:p w14:paraId="071E4ED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B68F5B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283D9D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ABAC6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29F481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530A41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88CFC5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635D56E">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45AEB7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284D27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6C34686">
      <w:pPr>
        <w:autoSpaceDE w:val="0"/>
        <w:autoSpaceDN w:val="0"/>
        <w:jc w:val="center"/>
        <w:rPr>
          <w:rFonts w:ascii="宋体" w:hAnsi="宋体" w:cs="宋体"/>
          <w:b/>
          <w:color w:val="auto"/>
          <w:spacing w:val="6"/>
          <w:sz w:val="32"/>
          <w:szCs w:val="32"/>
          <w:highlight w:val="none"/>
        </w:rPr>
      </w:pPr>
    </w:p>
    <w:p w14:paraId="73E14621">
      <w:pPr>
        <w:autoSpaceDE w:val="0"/>
        <w:autoSpaceDN w:val="0"/>
        <w:jc w:val="center"/>
        <w:rPr>
          <w:rFonts w:ascii="宋体" w:hAnsi="宋体" w:cs="宋体"/>
          <w:b/>
          <w:color w:val="auto"/>
          <w:spacing w:val="6"/>
          <w:sz w:val="32"/>
          <w:szCs w:val="32"/>
          <w:highlight w:val="none"/>
        </w:rPr>
      </w:pPr>
    </w:p>
    <w:p w14:paraId="6D1CB366">
      <w:pPr>
        <w:autoSpaceDE w:val="0"/>
        <w:autoSpaceDN w:val="0"/>
        <w:jc w:val="center"/>
        <w:rPr>
          <w:rFonts w:ascii="宋体" w:hAnsi="宋体" w:cs="宋体"/>
          <w:b/>
          <w:color w:val="auto"/>
          <w:spacing w:val="6"/>
          <w:sz w:val="32"/>
          <w:szCs w:val="32"/>
          <w:highlight w:val="none"/>
        </w:rPr>
      </w:pPr>
    </w:p>
    <w:p w14:paraId="58E42C82">
      <w:pPr>
        <w:autoSpaceDE w:val="0"/>
        <w:autoSpaceDN w:val="0"/>
        <w:jc w:val="center"/>
        <w:rPr>
          <w:rFonts w:ascii="宋体" w:hAnsi="宋体" w:cs="宋体"/>
          <w:b/>
          <w:color w:val="auto"/>
          <w:spacing w:val="6"/>
          <w:sz w:val="32"/>
          <w:szCs w:val="32"/>
          <w:highlight w:val="none"/>
        </w:rPr>
      </w:pPr>
    </w:p>
    <w:p w14:paraId="0EA4582A">
      <w:pPr>
        <w:autoSpaceDE w:val="0"/>
        <w:autoSpaceDN w:val="0"/>
        <w:jc w:val="center"/>
        <w:rPr>
          <w:rFonts w:ascii="宋体" w:hAnsi="宋体" w:cs="宋体"/>
          <w:b/>
          <w:color w:val="auto"/>
          <w:spacing w:val="6"/>
          <w:sz w:val="32"/>
          <w:szCs w:val="32"/>
          <w:highlight w:val="none"/>
        </w:rPr>
      </w:pPr>
    </w:p>
    <w:p w14:paraId="3FFA11AA">
      <w:pPr>
        <w:autoSpaceDE w:val="0"/>
        <w:autoSpaceDN w:val="0"/>
        <w:jc w:val="center"/>
        <w:rPr>
          <w:rFonts w:ascii="宋体" w:hAnsi="宋体" w:cs="宋体"/>
          <w:b/>
          <w:color w:val="auto"/>
          <w:spacing w:val="6"/>
          <w:sz w:val="32"/>
          <w:szCs w:val="32"/>
          <w:highlight w:val="none"/>
        </w:rPr>
      </w:pPr>
    </w:p>
    <w:p w14:paraId="508293A9">
      <w:pPr>
        <w:autoSpaceDE w:val="0"/>
        <w:autoSpaceDN w:val="0"/>
        <w:jc w:val="center"/>
        <w:rPr>
          <w:rFonts w:ascii="宋体" w:hAnsi="宋体" w:cs="宋体"/>
          <w:b/>
          <w:color w:val="auto"/>
          <w:spacing w:val="6"/>
          <w:sz w:val="32"/>
          <w:szCs w:val="32"/>
          <w:highlight w:val="none"/>
        </w:rPr>
      </w:pPr>
    </w:p>
    <w:p w14:paraId="022D5623">
      <w:pPr>
        <w:autoSpaceDE w:val="0"/>
        <w:autoSpaceDN w:val="0"/>
        <w:jc w:val="center"/>
        <w:rPr>
          <w:rFonts w:ascii="宋体" w:hAnsi="宋体" w:cs="宋体"/>
          <w:b/>
          <w:color w:val="auto"/>
          <w:spacing w:val="6"/>
          <w:sz w:val="32"/>
          <w:szCs w:val="32"/>
          <w:highlight w:val="none"/>
        </w:rPr>
      </w:pPr>
    </w:p>
    <w:p w14:paraId="18F8E929">
      <w:pPr>
        <w:autoSpaceDE w:val="0"/>
        <w:autoSpaceDN w:val="0"/>
        <w:jc w:val="center"/>
        <w:rPr>
          <w:rFonts w:ascii="宋体" w:hAnsi="宋体" w:cs="宋体"/>
          <w:b/>
          <w:color w:val="auto"/>
          <w:spacing w:val="6"/>
          <w:sz w:val="32"/>
          <w:szCs w:val="32"/>
          <w:highlight w:val="none"/>
        </w:rPr>
      </w:pPr>
    </w:p>
    <w:p w14:paraId="05264C98">
      <w:pPr>
        <w:autoSpaceDE w:val="0"/>
        <w:autoSpaceDN w:val="0"/>
        <w:jc w:val="center"/>
        <w:rPr>
          <w:rFonts w:ascii="宋体" w:hAnsi="宋体" w:cs="宋体"/>
          <w:b/>
          <w:color w:val="auto"/>
          <w:spacing w:val="6"/>
          <w:sz w:val="32"/>
          <w:szCs w:val="32"/>
          <w:highlight w:val="none"/>
        </w:rPr>
      </w:pPr>
    </w:p>
    <w:p w14:paraId="0455F0A3">
      <w:pPr>
        <w:autoSpaceDE w:val="0"/>
        <w:autoSpaceDN w:val="0"/>
        <w:jc w:val="center"/>
        <w:rPr>
          <w:rFonts w:ascii="宋体" w:hAnsi="宋体" w:cs="宋体"/>
          <w:b/>
          <w:color w:val="auto"/>
          <w:spacing w:val="6"/>
          <w:sz w:val="32"/>
          <w:szCs w:val="32"/>
          <w:highlight w:val="none"/>
        </w:rPr>
      </w:pPr>
    </w:p>
    <w:p w14:paraId="3D5FD389">
      <w:pPr>
        <w:autoSpaceDE w:val="0"/>
        <w:autoSpaceDN w:val="0"/>
        <w:jc w:val="center"/>
        <w:rPr>
          <w:rFonts w:ascii="宋体" w:hAnsi="宋体" w:cs="宋体"/>
          <w:b/>
          <w:color w:val="auto"/>
          <w:spacing w:val="6"/>
          <w:sz w:val="32"/>
          <w:szCs w:val="32"/>
          <w:highlight w:val="none"/>
        </w:rPr>
      </w:pPr>
    </w:p>
    <w:p w14:paraId="2CC59B38">
      <w:pPr>
        <w:autoSpaceDE w:val="0"/>
        <w:autoSpaceDN w:val="0"/>
        <w:jc w:val="center"/>
        <w:rPr>
          <w:rFonts w:ascii="宋体" w:hAnsi="宋体" w:cs="宋体"/>
          <w:b/>
          <w:color w:val="auto"/>
          <w:spacing w:val="6"/>
          <w:sz w:val="32"/>
          <w:szCs w:val="32"/>
          <w:highlight w:val="none"/>
        </w:rPr>
      </w:pPr>
    </w:p>
    <w:p w14:paraId="43FF099F">
      <w:pPr>
        <w:autoSpaceDE w:val="0"/>
        <w:autoSpaceDN w:val="0"/>
        <w:jc w:val="center"/>
        <w:rPr>
          <w:rFonts w:ascii="宋体" w:hAnsi="宋体" w:cs="宋体"/>
          <w:b/>
          <w:color w:val="auto"/>
          <w:spacing w:val="6"/>
          <w:sz w:val="32"/>
          <w:szCs w:val="32"/>
          <w:highlight w:val="none"/>
        </w:rPr>
      </w:pPr>
    </w:p>
    <w:p w14:paraId="79D8A24C">
      <w:pPr>
        <w:autoSpaceDE w:val="0"/>
        <w:autoSpaceDN w:val="0"/>
        <w:jc w:val="center"/>
        <w:rPr>
          <w:rFonts w:ascii="宋体" w:hAnsi="宋体" w:cs="宋体"/>
          <w:b/>
          <w:color w:val="auto"/>
          <w:spacing w:val="6"/>
          <w:sz w:val="32"/>
          <w:szCs w:val="32"/>
          <w:highlight w:val="none"/>
        </w:rPr>
      </w:pPr>
    </w:p>
    <w:p w14:paraId="6846F891">
      <w:pPr>
        <w:autoSpaceDE w:val="0"/>
        <w:autoSpaceDN w:val="0"/>
        <w:jc w:val="center"/>
        <w:rPr>
          <w:rFonts w:ascii="宋体" w:hAnsi="宋体" w:cs="宋体"/>
          <w:b/>
          <w:color w:val="auto"/>
          <w:spacing w:val="6"/>
          <w:sz w:val="32"/>
          <w:szCs w:val="32"/>
          <w:highlight w:val="none"/>
        </w:rPr>
      </w:pPr>
    </w:p>
    <w:p w14:paraId="676B2C29">
      <w:pPr>
        <w:autoSpaceDE w:val="0"/>
        <w:autoSpaceDN w:val="0"/>
        <w:jc w:val="center"/>
        <w:rPr>
          <w:rFonts w:ascii="宋体" w:hAnsi="宋体" w:cs="宋体"/>
          <w:b/>
          <w:color w:val="auto"/>
          <w:spacing w:val="6"/>
          <w:sz w:val="32"/>
          <w:szCs w:val="32"/>
          <w:highlight w:val="none"/>
        </w:rPr>
      </w:pPr>
    </w:p>
    <w:p w14:paraId="368362AD">
      <w:pPr>
        <w:autoSpaceDE w:val="0"/>
        <w:autoSpaceDN w:val="0"/>
        <w:jc w:val="center"/>
        <w:rPr>
          <w:rFonts w:ascii="宋体" w:hAnsi="宋体" w:cs="宋体"/>
          <w:b/>
          <w:color w:val="auto"/>
          <w:spacing w:val="6"/>
          <w:sz w:val="32"/>
          <w:szCs w:val="32"/>
          <w:highlight w:val="none"/>
        </w:rPr>
      </w:pPr>
    </w:p>
    <w:p w14:paraId="6E8DE011">
      <w:pPr>
        <w:autoSpaceDE w:val="0"/>
        <w:autoSpaceDN w:val="0"/>
        <w:jc w:val="center"/>
        <w:rPr>
          <w:rFonts w:ascii="宋体" w:hAnsi="宋体" w:cs="宋体"/>
          <w:b/>
          <w:color w:val="auto"/>
          <w:spacing w:val="6"/>
          <w:sz w:val="32"/>
          <w:szCs w:val="32"/>
          <w:highlight w:val="none"/>
        </w:rPr>
      </w:pPr>
    </w:p>
    <w:p w14:paraId="18DE2648">
      <w:pPr>
        <w:snapToGrid w:val="0"/>
        <w:spacing w:line="360" w:lineRule="auto"/>
        <w:ind w:firstLine="3666" w:firstLineChars="1100"/>
        <w:rPr>
          <w:rFonts w:ascii="宋体" w:hAnsi="宋体" w:cs="宋体"/>
          <w:b/>
          <w:color w:val="auto"/>
          <w:spacing w:val="6"/>
          <w:sz w:val="32"/>
          <w:szCs w:val="32"/>
          <w:highlight w:val="none"/>
        </w:rPr>
      </w:pPr>
    </w:p>
    <w:p w14:paraId="50CBF76D">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303A1B11">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0936726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中标后以分包方式履行合同的，提供分包意向协议；采购人不同意分包或者供应商中标后不以分包方式履行合同的，则不需要提供。</w:t>
      </w:r>
      <w:r>
        <w:rPr>
          <w:rFonts w:hint="eastAsia" w:ascii="宋体" w:hAnsi="宋体" w:cs="宋体"/>
          <w:color w:val="auto"/>
          <w:sz w:val="24"/>
          <w:highlight w:val="none"/>
        </w:rPr>
        <w:t>）</w:t>
      </w:r>
    </w:p>
    <w:p w14:paraId="1AB9E98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新湾街道2025—2026年度治安巡逻防控第三方服务采购项目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QTCG-GK-2025-101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598BBA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4A7D6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09324B6">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49AA5EE">
      <w:pPr>
        <w:rPr>
          <w:color w:val="auto"/>
          <w:highlight w:val="none"/>
        </w:rPr>
      </w:pPr>
      <w:r>
        <w:rPr>
          <w:rFonts w:hint="eastAsia"/>
          <w:color w:val="auto"/>
          <w:highlight w:val="none"/>
          <w:lang w:val="zh-CN"/>
        </w:rPr>
        <w:t xml:space="preserve"> </w:t>
      </w:r>
    </w:p>
    <w:p w14:paraId="31A9245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04842CE">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E155CE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5470B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61055E2">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91A0F5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294276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D734EA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ABD9C9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B34CBC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12E952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9BDBD7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80615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A76CFC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58DAC302">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供应商名称(电子签名)：</w:t>
      </w:r>
    </w:p>
    <w:p w14:paraId="5BEAF266">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B0A9B6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C76089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E96E0C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D5EB8A7">
      <w:pPr>
        <w:autoSpaceDE w:val="0"/>
        <w:autoSpaceDN w:val="0"/>
        <w:jc w:val="center"/>
        <w:rPr>
          <w:rFonts w:ascii="宋体" w:hAnsi="宋体" w:cs="宋体"/>
          <w:b/>
          <w:color w:val="auto"/>
          <w:spacing w:val="6"/>
          <w:sz w:val="32"/>
          <w:szCs w:val="32"/>
          <w:highlight w:val="none"/>
        </w:rPr>
      </w:pPr>
    </w:p>
    <w:p w14:paraId="258008DE">
      <w:pPr>
        <w:autoSpaceDE w:val="0"/>
        <w:autoSpaceDN w:val="0"/>
        <w:jc w:val="center"/>
        <w:rPr>
          <w:rFonts w:ascii="宋体" w:hAnsi="宋体" w:cs="宋体"/>
          <w:b/>
          <w:color w:val="auto"/>
          <w:spacing w:val="6"/>
          <w:sz w:val="32"/>
          <w:szCs w:val="32"/>
          <w:highlight w:val="none"/>
        </w:rPr>
      </w:pPr>
    </w:p>
    <w:p w14:paraId="595C10EE">
      <w:pPr>
        <w:autoSpaceDE w:val="0"/>
        <w:autoSpaceDN w:val="0"/>
        <w:jc w:val="center"/>
        <w:rPr>
          <w:rFonts w:ascii="宋体" w:hAnsi="宋体" w:cs="宋体"/>
          <w:b/>
          <w:color w:val="auto"/>
          <w:spacing w:val="6"/>
          <w:sz w:val="32"/>
          <w:szCs w:val="32"/>
          <w:highlight w:val="none"/>
        </w:rPr>
      </w:pPr>
    </w:p>
    <w:p w14:paraId="6730F303">
      <w:pPr>
        <w:autoSpaceDE w:val="0"/>
        <w:autoSpaceDN w:val="0"/>
        <w:jc w:val="center"/>
        <w:rPr>
          <w:rFonts w:ascii="宋体" w:hAnsi="宋体" w:cs="宋体"/>
          <w:b/>
          <w:color w:val="auto"/>
          <w:spacing w:val="6"/>
          <w:sz w:val="32"/>
          <w:szCs w:val="32"/>
          <w:highlight w:val="none"/>
        </w:rPr>
      </w:pPr>
    </w:p>
    <w:p w14:paraId="03E917EA">
      <w:pPr>
        <w:autoSpaceDE w:val="0"/>
        <w:autoSpaceDN w:val="0"/>
        <w:jc w:val="center"/>
        <w:rPr>
          <w:rFonts w:ascii="宋体" w:hAnsi="宋体" w:cs="宋体"/>
          <w:b/>
          <w:color w:val="auto"/>
          <w:spacing w:val="6"/>
          <w:sz w:val="32"/>
          <w:szCs w:val="32"/>
          <w:highlight w:val="none"/>
        </w:rPr>
      </w:pPr>
    </w:p>
    <w:p w14:paraId="0EA14F0E">
      <w:pPr>
        <w:autoSpaceDE w:val="0"/>
        <w:autoSpaceDN w:val="0"/>
        <w:jc w:val="center"/>
        <w:rPr>
          <w:rFonts w:ascii="宋体" w:hAnsi="宋体" w:cs="宋体"/>
          <w:b/>
          <w:color w:val="auto"/>
          <w:spacing w:val="6"/>
          <w:sz w:val="32"/>
          <w:szCs w:val="32"/>
          <w:highlight w:val="none"/>
        </w:rPr>
      </w:pPr>
    </w:p>
    <w:p w14:paraId="0A204732">
      <w:pPr>
        <w:autoSpaceDE w:val="0"/>
        <w:autoSpaceDN w:val="0"/>
        <w:jc w:val="center"/>
        <w:rPr>
          <w:rFonts w:ascii="宋体" w:hAnsi="宋体" w:cs="宋体"/>
          <w:b/>
          <w:color w:val="auto"/>
          <w:spacing w:val="6"/>
          <w:sz w:val="32"/>
          <w:szCs w:val="32"/>
          <w:highlight w:val="none"/>
        </w:rPr>
      </w:pPr>
    </w:p>
    <w:p w14:paraId="30F11668">
      <w:pPr>
        <w:autoSpaceDE w:val="0"/>
        <w:autoSpaceDN w:val="0"/>
        <w:jc w:val="center"/>
        <w:rPr>
          <w:rFonts w:ascii="宋体" w:hAnsi="宋体" w:cs="宋体"/>
          <w:b/>
          <w:color w:val="auto"/>
          <w:spacing w:val="6"/>
          <w:sz w:val="32"/>
          <w:szCs w:val="32"/>
          <w:highlight w:val="none"/>
        </w:rPr>
      </w:pPr>
    </w:p>
    <w:p w14:paraId="7B914B70">
      <w:pPr>
        <w:autoSpaceDE w:val="0"/>
        <w:autoSpaceDN w:val="0"/>
        <w:jc w:val="center"/>
        <w:rPr>
          <w:rFonts w:ascii="宋体" w:hAnsi="宋体" w:cs="宋体"/>
          <w:b/>
          <w:color w:val="auto"/>
          <w:spacing w:val="6"/>
          <w:sz w:val="32"/>
          <w:szCs w:val="32"/>
          <w:highlight w:val="none"/>
        </w:rPr>
      </w:pPr>
    </w:p>
    <w:p w14:paraId="756FA279">
      <w:pPr>
        <w:autoSpaceDE w:val="0"/>
        <w:autoSpaceDN w:val="0"/>
        <w:jc w:val="center"/>
        <w:rPr>
          <w:rFonts w:ascii="宋体" w:hAnsi="宋体" w:cs="宋体"/>
          <w:b/>
          <w:color w:val="auto"/>
          <w:spacing w:val="6"/>
          <w:sz w:val="32"/>
          <w:szCs w:val="32"/>
          <w:highlight w:val="none"/>
        </w:rPr>
      </w:pPr>
    </w:p>
    <w:p w14:paraId="745C97B5">
      <w:pPr>
        <w:autoSpaceDE w:val="0"/>
        <w:autoSpaceDN w:val="0"/>
        <w:jc w:val="center"/>
        <w:rPr>
          <w:rFonts w:ascii="宋体" w:hAnsi="宋体" w:cs="宋体"/>
          <w:b/>
          <w:color w:val="auto"/>
          <w:spacing w:val="6"/>
          <w:sz w:val="32"/>
          <w:szCs w:val="32"/>
          <w:highlight w:val="none"/>
        </w:rPr>
      </w:pPr>
    </w:p>
    <w:p w14:paraId="4C29E98F">
      <w:pPr>
        <w:autoSpaceDE w:val="0"/>
        <w:autoSpaceDN w:val="0"/>
        <w:jc w:val="center"/>
        <w:rPr>
          <w:rFonts w:ascii="宋体" w:hAnsi="宋体" w:cs="宋体"/>
          <w:b/>
          <w:color w:val="auto"/>
          <w:spacing w:val="6"/>
          <w:sz w:val="32"/>
          <w:szCs w:val="32"/>
          <w:highlight w:val="none"/>
        </w:rPr>
      </w:pPr>
    </w:p>
    <w:p w14:paraId="3B6888B3">
      <w:pPr>
        <w:autoSpaceDE w:val="0"/>
        <w:autoSpaceDN w:val="0"/>
        <w:jc w:val="center"/>
        <w:rPr>
          <w:rFonts w:ascii="宋体" w:hAnsi="宋体" w:cs="宋体"/>
          <w:b/>
          <w:color w:val="auto"/>
          <w:spacing w:val="6"/>
          <w:sz w:val="32"/>
          <w:szCs w:val="32"/>
          <w:highlight w:val="none"/>
        </w:rPr>
      </w:pPr>
    </w:p>
    <w:p w14:paraId="52FBC998">
      <w:pPr>
        <w:autoSpaceDE w:val="0"/>
        <w:autoSpaceDN w:val="0"/>
        <w:jc w:val="center"/>
        <w:rPr>
          <w:rFonts w:ascii="宋体" w:hAnsi="宋体" w:cs="宋体"/>
          <w:b/>
          <w:color w:val="auto"/>
          <w:spacing w:val="6"/>
          <w:sz w:val="32"/>
          <w:szCs w:val="32"/>
          <w:highlight w:val="none"/>
        </w:rPr>
      </w:pPr>
    </w:p>
    <w:p w14:paraId="3DC61E40">
      <w:pPr>
        <w:autoSpaceDE w:val="0"/>
        <w:autoSpaceDN w:val="0"/>
        <w:jc w:val="center"/>
        <w:rPr>
          <w:rFonts w:ascii="宋体" w:hAnsi="宋体" w:cs="宋体"/>
          <w:b/>
          <w:color w:val="auto"/>
          <w:spacing w:val="6"/>
          <w:sz w:val="32"/>
          <w:szCs w:val="32"/>
          <w:highlight w:val="none"/>
        </w:rPr>
      </w:pPr>
    </w:p>
    <w:p w14:paraId="43F9F5B7">
      <w:pPr>
        <w:autoSpaceDE w:val="0"/>
        <w:autoSpaceDN w:val="0"/>
        <w:jc w:val="center"/>
        <w:rPr>
          <w:rFonts w:ascii="宋体" w:hAnsi="宋体" w:cs="宋体"/>
          <w:b/>
          <w:color w:val="auto"/>
          <w:spacing w:val="6"/>
          <w:sz w:val="32"/>
          <w:szCs w:val="32"/>
          <w:highlight w:val="none"/>
        </w:rPr>
      </w:pPr>
    </w:p>
    <w:p w14:paraId="6A70896E">
      <w:pPr>
        <w:autoSpaceDE w:val="0"/>
        <w:autoSpaceDN w:val="0"/>
        <w:jc w:val="center"/>
        <w:rPr>
          <w:rFonts w:ascii="宋体" w:hAnsi="宋体" w:cs="宋体"/>
          <w:b/>
          <w:color w:val="auto"/>
          <w:spacing w:val="6"/>
          <w:sz w:val="32"/>
          <w:szCs w:val="32"/>
          <w:highlight w:val="none"/>
        </w:rPr>
      </w:pPr>
    </w:p>
    <w:p w14:paraId="6F691481">
      <w:pPr>
        <w:autoSpaceDE w:val="0"/>
        <w:autoSpaceDN w:val="0"/>
        <w:jc w:val="center"/>
        <w:rPr>
          <w:rFonts w:ascii="宋体" w:hAnsi="宋体" w:cs="宋体"/>
          <w:b/>
          <w:color w:val="auto"/>
          <w:spacing w:val="6"/>
          <w:sz w:val="32"/>
          <w:szCs w:val="32"/>
          <w:highlight w:val="none"/>
        </w:rPr>
      </w:pPr>
    </w:p>
    <w:p w14:paraId="20111137">
      <w:pPr>
        <w:autoSpaceDE w:val="0"/>
        <w:autoSpaceDN w:val="0"/>
        <w:jc w:val="center"/>
        <w:rPr>
          <w:rFonts w:ascii="宋体" w:hAnsi="宋体" w:cs="宋体"/>
          <w:b/>
          <w:color w:val="auto"/>
          <w:spacing w:val="6"/>
          <w:sz w:val="32"/>
          <w:szCs w:val="32"/>
          <w:highlight w:val="none"/>
        </w:rPr>
      </w:pPr>
    </w:p>
    <w:p w14:paraId="4DC726B4">
      <w:pPr>
        <w:autoSpaceDE w:val="0"/>
        <w:autoSpaceDN w:val="0"/>
        <w:jc w:val="center"/>
        <w:rPr>
          <w:rFonts w:ascii="宋体" w:hAnsi="宋体" w:cs="宋体"/>
          <w:b/>
          <w:color w:val="auto"/>
          <w:spacing w:val="6"/>
          <w:sz w:val="32"/>
          <w:szCs w:val="32"/>
          <w:highlight w:val="none"/>
        </w:rPr>
      </w:pPr>
    </w:p>
    <w:p w14:paraId="29C26CBD">
      <w:pPr>
        <w:autoSpaceDE w:val="0"/>
        <w:autoSpaceDN w:val="0"/>
        <w:jc w:val="center"/>
        <w:rPr>
          <w:rFonts w:ascii="宋体" w:hAnsi="宋体" w:cs="宋体"/>
          <w:b/>
          <w:color w:val="auto"/>
          <w:spacing w:val="6"/>
          <w:sz w:val="32"/>
          <w:szCs w:val="32"/>
          <w:highlight w:val="none"/>
        </w:rPr>
      </w:pPr>
    </w:p>
    <w:p w14:paraId="6EDE4EEB">
      <w:pPr>
        <w:autoSpaceDE w:val="0"/>
        <w:autoSpaceDN w:val="0"/>
        <w:jc w:val="center"/>
        <w:rPr>
          <w:rFonts w:ascii="宋体" w:hAnsi="宋体" w:cs="宋体"/>
          <w:b/>
          <w:color w:val="auto"/>
          <w:spacing w:val="6"/>
          <w:sz w:val="32"/>
          <w:szCs w:val="32"/>
          <w:highlight w:val="none"/>
        </w:rPr>
      </w:pPr>
    </w:p>
    <w:p w14:paraId="5DE8FC0F">
      <w:pPr>
        <w:autoSpaceDE w:val="0"/>
        <w:autoSpaceDN w:val="0"/>
        <w:jc w:val="center"/>
        <w:rPr>
          <w:rFonts w:ascii="宋体" w:hAnsi="宋体" w:cs="宋体"/>
          <w:b/>
          <w:color w:val="auto"/>
          <w:spacing w:val="6"/>
          <w:sz w:val="32"/>
          <w:szCs w:val="32"/>
          <w:highlight w:val="none"/>
        </w:rPr>
      </w:pPr>
    </w:p>
    <w:p w14:paraId="67E27154">
      <w:pPr>
        <w:autoSpaceDE w:val="0"/>
        <w:autoSpaceDN w:val="0"/>
        <w:jc w:val="center"/>
        <w:rPr>
          <w:rFonts w:ascii="宋体" w:hAnsi="宋体" w:cs="宋体"/>
          <w:b/>
          <w:color w:val="auto"/>
          <w:spacing w:val="6"/>
          <w:sz w:val="32"/>
          <w:szCs w:val="32"/>
          <w:highlight w:val="none"/>
        </w:rPr>
      </w:pPr>
    </w:p>
    <w:p w14:paraId="0142A385">
      <w:pPr>
        <w:autoSpaceDE w:val="0"/>
        <w:autoSpaceDN w:val="0"/>
        <w:jc w:val="center"/>
        <w:rPr>
          <w:rFonts w:ascii="宋体" w:hAnsi="宋体" w:cs="宋体"/>
          <w:b/>
          <w:color w:val="auto"/>
          <w:spacing w:val="6"/>
          <w:sz w:val="32"/>
          <w:szCs w:val="32"/>
          <w:highlight w:val="none"/>
        </w:rPr>
      </w:pPr>
    </w:p>
    <w:p w14:paraId="0785E92F">
      <w:pPr>
        <w:autoSpaceDE w:val="0"/>
        <w:autoSpaceDN w:val="0"/>
        <w:jc w:val="center"/>
        <w:rPr>
          <w:rFonts w:ascii="宋体" w:hAnsi="宋体" w:cs="宋体"/>
          <w:b/>
          <w:color w:val="auto"/>
          <w:spacing w:val="6"/>
          <w:sz w:val="32"/>
          <w:szCs w:val="32"/>
          <w:highlight w:val="none"/>
        </w:rPr>
      </w:pPr>
    </w:p>
    <w:p w14:paraId="02B5FFB9">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6C0DE6CE">
      <w:pPr>
        <w:spacing w:line="360" w:lineRule="auto"/>
        <w:jc w:val="center"/>
        <w:rPr>
          <w:rFonts w:ascii="宋体" w:hAnsi="宋体" w:cs="宋体"/>
          <w:color w:val="auto"/>
          <w:sz w:val="24"/>
          <w:highlight w:val="none"/>
          <w:u w:val="single"/>
        </w:rPr>
      </w:pPr>
    </w:p>
    <w:p w14:paraId="5BE99A41">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6F6E486F">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杭州市钱塘区人民政府新湾街道办事处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新湾街道2025—2026年度治安巡逻防控第三方服务采购项目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FAD093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D88336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F1704B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3A86975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BE9B5D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D0BE2E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供应商名称（电子签名）：</w:t>
      </w:r>
    </w:p>
    <w:p w14:paraId="50044C1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686AB5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162AD880">
      <w:pPr>
        <w:spacing w:line="360" w:lineRule="auto"/>
        <w:ind w:right="420"/>
        <w:rPr>
          <w:rFonts w:ascii="宋体" w:hAnsi="宋体" w:cs="宋体"/>
          <w:color w:val="auto"/>
          <w:sz w:val="24"/>
          <w:highlight w:val="none"/>
        </w:rPr>
      </w:pPr>
    </w:p>
    <w:p w14:paraId="392FE75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5D357FDA">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EB43C87">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66C6313">
      <w:pPr>
        <w:rPr>
          <w:color w:val="auto"/>
          <w:highlight w:val="none"/>
        </w:rPr>
      </w:pPr>
      <w:r>
        <w:rPr>
          <w:color w:val="auto"/>
          <w:highlight w:val="none"/>
        </w:rPr>
        <w:br w:type="page"/>
      </w:r>
    </w:p>
    <w:p w14:paraId="1233DCBC">
      <w:pPr>
        <w:pStyle w:val="321"/>
        <w:snapToGrid w:val="0"/>
        <w:spacing w:line="500" w:lineRule="exact"/>
        <w:ind w:firstLine="420"/>
        <w:jc w:val="center"/>
        <w:rPr>
          <w:rFonts w:hAnsi="宋体" w:eastAsia="宋体" w:cs="宋体"/>
          <w:b/>
          <w:bCs/>
          <w:i/>
          <w:iCs/>
          <w:color w:val="auto"/>
          <w:sz w:val="21"/>
          <w:szCs w:val="21"/>
          <w:highlight w:val="none"/>
          <w:shd w:val="clear" w:color="FFFFFF" w:fill="D9D9D9"/>
        </w:rPr>
      </w:pPr>
      <w:r>
        <w:rPr>
          <w:rFonts w:hint="eastAsia" w:hAnsi="宋体" w:eastAsia="宋体" w:cs="宋体"/>
          <w:b/>
          <w:bCs/>
          <w:i/>
          <w:iCs/>
          <w:color w:val="auto"/>
          <w:sz w:val="21"/>
          <w:szCs w:val="21"/>
          <w:highlight w:val="none"/>
          <w:shd w:val="clear" w:color="FFFFFF" w:fill="D9D9D9"/>
        </w:rPr>
        <w:t>（注：开标后，请授权委托人填写声明书并签名，扫描件发代理邮箱</w:t>
      </w:r>
      <w:r>
        <w:rPr>
          <w:rFonts w:hint="eastAsia" w:hAnsi="宋体" w:eastAsia="宋体" w:cs="宋体"/>
          <w:b/>
          <w:bCs/>
          <w:i/>
          <w:iCs/>
          <w:color w:val="auto"/>
          <w:sz w:val="21"/>
          <w:szCs w:val="21"/>
          <w:highlight w:val="none"/>
          <w:shd w:val="clear" w:color="FFFFFF" w:fill="D9D9D9"/>
          <w:lang w:val="en-US" w:eastAsia="zh-CN"/>
        </w:rPr>
        <w:t>1506036397@</w:t>
      </w:r>
      <w:r>
        <w:rPr>
          <w:rFonts w:hint="eastAsia" w:hAnsi="宋体" w:eastAsia="宋体" w:cs="宋体"/>
          <w:b/>
          <w:bCs/>
          <w:i/>
          <w:iCs/>
          <w:color w:val="auto"/>
          <w:sz w:val="21"/>
          <w:szCs w:val="21"/>
          <w:highlight w:val="none"/>
          <w:shd w:val="clear" w:color="FFFFFF" w:fill="D9D9D9"/>
        </w:rPr>
        <w:t>qq.com）</w:t>
      </w:r>
    </w:p>
    <w:p w14:paraId="78166C90">
      <w:pPr>
        <w:pStyle w:val="321"/>
        <w:snapToGrid w:val="0"/>
        <w:spacing w:line="500" w:lineRule="exact"/>
        <w:ind w:firstLine="640"/>
        <w:jc w:val="center"/>
        <w:rPr>
          <w:rFonts w:hAnsi="宋体"/>
          <w:color w:val="auto"/>
          <w:sz w:val="32"/>
          <w:szCs w:val="32"/>
          <w:highlight w:val="none"/>
        </w:rPr>
      </w:pPr>
      <w:r>
        <w:rPr>
          <w:rFonts w:hint="eastAsia" w:hAnsi="宋体" w:cs="方正小标宋简体"/>
          <w:color w:val="auto"/>
          <w:sz w:val="32"/>
          <w:szCs w:val="32"/>
          <w:highlight w:val="none"/>
        </w:rPr>
        <w:t>政府采购活动现场确认声明书</w:t>
      </w:r>
    </w:p>
    <w:p w14:paraId="797D0D1C">
      <w:pPr>
        <w:pStyle w:val="321"/>
        <w:snapToGrid w:val="0"/>
        <w:spacing w:line="500" w:lineRule="exact"/>
        <w:ind w:firstLine="560"/>
        <w:rPr>
          <w:rFonts w:hAnsi="宋体"/>
          <w:color w:val="auto"/>
          <w:sz w:val="28"/>
          <w:szCs w:val="28"/>
          <w:highlight w:val="none"/>
        </w:rPr>
      </w:pPr>
    </w:p>
    <w:p w14:paraId="4EE96877">
      <w:pPr>
        <w:pStyle w:val="321"/>
        <w:snapToGrid w:val="0"/>
        <w:spacing w:line="440" w:lineRule="exact"/>
        <w:rPr>
          <w:rFonts w:hAnsi="宋体"/>
          <w:bCs/>
          <w:color w:val="auto"/>
          <w:sz w:val="24"/>
          <w:szCs w:val="24"/>
          <w:highlight w:val="none"/>
          <w:u w:val="single"/>
        </w:rPr>
      </w:pPr>
      <w:r>
        <w:rPr>
          <w:rFonts w:hint="eastAsia" w:hAnsi="宋体"/>
          <w:color w:val="auto"/>
          <w:sz w:val="24"/>
          <w:szCs w:val="24"/>
          <w:highlight w:val="none"/>
          <w:u w:val="single"/>
          <w:lang w:eastAsia="zh-CN"/>
        </w:rPr>
        <w:t>杭州市钱塘区人民政府新湾街道办事处</w:t>
      </w:r>
      <w:r>
        <w:rPr>
          <w:rFonts w:hint="eastAsia" w:hAnsi="宋体"/>
          <w:color w:val="auto"/>
          <w:sz w:val="24"/>
          <w:szCs w:val="24"/>
          <w:highlight w:val="none"/>
          <w:u w:val="single"/>
        </w:rPr>
        <w:t>/</w:t>
      </w:r>
      <w:r>
        <w:rPr>
          <w:rFonts w:hint="eastAsia" w:hAnsi="宋体"/>
          <w:color w:val="auto"/>
          <w:sz w:val="24"/>
          <w:szCs w:val="24"/>
          <w:highlight w:val="none"/>
          <w:u w:val="single"/>
          <w:lang w:eastAsia="zh-CN"/>
        </w:rPr>
        <w:t>浙江勋达工程咨询有限公司</w:t>
      </w:r>
      <w:r>
        <w:rPr>
          <w:rFonts w:hint="eastAsia" w:hAnsi="宋体"/>
          <w:color w:val="auto"/>
          <w:sz w:val="24"/>
          <w:szCs w:val="24"/>
          <w:highlight w:val="none"/>
          <w:u w:val="single"/>
        </w:rPr>
        <w:t>：</w:t>
      </w:r>
    </w:p>
    <w:p w14:paraId="486093BD">
      <w:pPr>
        <w:pStyle w:val="321"/>
        <w:snapToGrid w:val="0"/>
        <w:spacing w:line="440" w:lineRule="exact"/>
        <w:ind w:firstLine="492"/>
        <w:rPr>
          <w:rFonts w:hAnsi="宋体"/>
          <w:color w:val="auto"/>
          <w:spacing w:val="6"/>
          <w:sz w:val="24"/>
          <w:szCs w:val="24"/>
          <w:highlight w:val="none"/>
        </w:rPr>
      </w:pPr>
      <w:r>
        <w:rPr>
          <w:rFonts w:hint="eastAsia" w:hAnsi="宋体"/>
          <w:color w:val="auto"/>
          <w:spacing w:val="6"/>
          <w:sz w:val="24"/>
          <w:szCs w:val="24"/>
          <w:highlight w:val="none"/>
        </w:rPr>
        <w:t>本人</w:t>
      </w:r>
      <w:r>
        <w:rPr>
          <w:rFonts w:hint="eastAsia" w:hAnsi="宋体"/>
          <w:i/>
          <w:iCs/>
          <w:color w:val="auto"/>
          <w:spacing w:val="6"/>
          <w:sz w:val="24"/>
          <w:szCs w:val="24"/>
          <w:highlight w:val="none"/>
          <w:u w:val="single"/>
        </w:rPr>
        <w:t>（授权代表姓名）</w:t>
      </w:r>
      <w:r>
        <w:rPr>
          <w:rFonts w:hint="eastAsia" w:hAnsi="宋体"/>
          <w:color w:val="auto"/>
          <w:spacing w:val="6"/>
          <w:sz w:val="24"/>
          <w:szCs w:val="24"/>
          <w:highlight w:val="none"/>
        </w:rPr>
        <w:t>，经由</w:t>
      </w:r>
      <w:r>
        <w:rPr>
          <w:rFonts w:hint="eastAsia" w:hAnsi="宋体"/>
          <w:color w:val="auto"/>
          <w:spacing w:val="6"/>
          <w:sz w:val="24"/>
          <w:szCs w:val="24"/>
          <w:highlight w:val="none"/>
          <w:u w:val="single"/>
        </w:rPr>
        <w:t xml:space="preserve"> </w:t>
      </w:r>
      <w:r>
        <w:rPr>
          <w:rFonts w:hint="eastAsia" w:hAnsi="宋体"/>
          <w:i/>
          <w:iCs/>
          <w:color w:val="auto"/>
          <w:spacing w:val="6"/>
          <w:sz w:val="24"/>
          <w:szCs w:val="24"/>
          <w:highlight w:val="none"/>
          <w:u w:val="single"/>
        </w:rPr>
        <w:t xml:space="preserve">（供应商名称） </w:t>
      </w:r>
      <w:r>
        <w:rPr>
          <w:rFonts w:hint="eastAsia" w:hAnsi="宋体"/>
          <w:color w:val="auto"/>
          <w:spacing w:val="6"/>
          <w:sz w:val="24"/>
          <w:szCs w:val="24"/>
          <w:highlight w:val="none"/>
        </w:rPr>
        <w:t>法定代表人</w:t>
      </w:r>
      <w:r>
        <w:rPr>
          <w:rFonts w:hint="eastAsia" w:hAnsi="宋体"/>
          <w:color w:val="auto"/>
          <w:spacing w:val="6"/>
          <w:sz w:val="24"/>
          <w:szCs w:val="24"/>
          <w:highlight w:val="none"/>
          <w:u w:val="single"/>
        </w:rPr>
        <w:t xml:space="preserve">     </w:t>
      </w:r>
      <w:r>
        <w:rPr>
          <w:rFonts w:hint="eastAsia" w:hAnsi="宋体"/>
          <w:color w:val="auto"/>
          <w:spacing w:val="6"/>
          <w:sz w:val="24"/>
          <w:szCs w:val="24"/>
          <w:highlight w:val="none"/>
        </w:rPr>
        <w:t>合法授权参加</w:t>
      </w:r>
      <w:r>
        <w:rPr>
          <w:rFonts w:hint="eastAsia" w:hAnsi="宋体"/>
          <w:color w:val="auto"/>
          <w:spacing w:val="6"/>
          <w:sz w:val="24"/>
          <w:szCs w:val="24"/>
          <w:highlight w:val="none"/>
          <w:lang w:eastAsia="zh-CN"/>
        </w:rPr>
        <w:t>新湾街道2025—2026年度治安巡逻防控第三方服务采购项目</w:t>
      </w:r>
      <w:r>
        <w:rPr>
          <w:rFonts w:hint="eastAsia" w:hAnsi="宋体"/>
          <w:color w:val="auto"/>
          <w:spacing w:val="6"/>
          <w:sz w:val="24"/>
          <w:szCs w:val="24"/>
          <w:highlight w:val="none"/>
        </w:rPr>
        <w:t>（项目编号：</w:t>
      </w:r>
      <w:r>
        <w:rPr>
          <w:rFonts w:hint="eastAsia" w:hAnsi="宋体"/>
          <w:color w:val="auto"/>
          <w:spacing w:val="6"/>
          <w:sz w:val="24"/>
          <w:szCs w:val="24"/>
          <w:highlight w:val="none"/>
          <w:u w:val="single"/>
          <w:lang w:eastAsia="zh-CN"/>
        </w:rPr>
        <w:t xml:space="preserve"> QTCG-GK-2025-101</w:t>
      </w:r>
      <w:r>
        <w:rPr>
          <w:rFonts w:hint="eastAsia" w:hAnsi="宋体"/>
          <w:color w:val="auto"/>
          <w:spacing w:val="6"/>
          <w:sz w:val="24"/>
          <w:szCs w:val="24"/>
          <w:highlight w:val="none"/>
          <w:u w:val="single"/>
        </w:rPr>
        <w:t>）</w:t>
      </w:r>
      <w:r>
        <w:rPr>
          <w:rFonts w:hint="eastAsia" w:hAnsi="宋体"/>
          <w:color w:val="auto"/>
          <w:spacing w:val="6"/>
          <w:sz w:val="24"/>
          <w:szCs w:val="24"/>
          <w:highlight w:val="none"/>
        </w:rPr>
        <w:t>政府采购活动，经与本单位法人代表（负责人）联系确认，现就有关公平竞争事项郑重声明如下：</w:t>
      </w:r>
    </w:p>
    <w:p w14:paraId="1C0DBE41">
      <w:pPr>
        <w:pStyle w:val="83"/>
        <w:widowControl/>
        <w:numPr>
          <w:ilvl w:val="0"/>
          <w:numId w:val="3"/>
        </w:numPr>
        <w:snapToGrid w:val="0"/>
        <w:spacing w:line="440" w:lineRule="exact"/>
        <w:ind w:firstLine="453" w:firstLineChars="189"/>
        <w:rPr>
          <w:rFonts w:ascii="宋体" w:hAnsi="宋体"/>
          <w:color w:val="auto"/>
          <w:kern w:val="0"/>
          <w:highlight w:val="none"/>
        </w:rPr>
      </w:pPr>
      <w:r>
        <w:rPr>
          <w:rFonts w:hint="eastAsia" w:ascii="宋体" w:hAnsi="宋体" w:cs="宋体"/>
          <w:color w:val="auto"/>
          <w:kern w:val="0"/>
          <w:highlight w:val="none"/>
        </w:rPr>
        <w:t>本单位与采购人之间■不存在利害关系□存在下列利害关系</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1968F367">
      <w:pPr>
        <w:pStyle w:val="83"/>
        <w:widowControl/>
        <w:snapToGrid w:val="0"/>
        <w:spacing w:line="440" w:lineRule="exact"/>
        <w:rPr>
          <w:rFonts w:ascii="宋体" w:hAnsi="宋体"/>
          <w:color w:val="auto"/>
          <w:kern w:val="0"/>
          <w:highlight w:val="none"/>
        </w:rPr>
      </w:pPr>
      <w:r>
        <w:rPr>
          <w:rFonts w:ascii="宋体" w:hAnsi="宋体" w:cs="宋体"/>
          <w:color w:val="auto"/>
          <w:kern w:val="0"/>
          <w:highlight w:val="none"/>
        </w:rPr>
        <w:t xml:space="preserve">  A.</w:t>
      </w:r>
      <w:r>
        <w:rPr>
          <w:rFonts w:hint="eastAsia" w:ascii="宋体" w:hAnsi="宋体" w:cs="宋体"/>
          <w:color w:val="auto"/>
          <w:kern w:val="0"/>
          <w:highlight w:val="none"/>
        </w:rPr>
        <w:t>投资关系</w:t>
      </w:r>
      <w:r>
        <w:rPr>
          <w:rFonts w:ascii="宋体" w:hAnsi="宋体" w:cs="宋体"/>
          <w:color w:val="auto"/>
          <w:kern w:val="0"/>
          <w:highlight w:val="none"/>
        </w:rPr>
        <w:t xml:space="preserve">    B.</w:t>
      </w:r>
      <w:r>
        <w:rPr>
          <w:rFonts w:hint="eastAsia" w:ascii="宋体" w:hAnsi="宋体" w:cs="宋体"/>
          <w:color w:val="auto"/>
          <w:kern w:val="0"/>
          <w:highlight w:val="none"/>
        </w:rPr>
        <w:t>行政隶属关系</w:t>
      </w:r>
      <w:r>
        <w:rPr>
          <w:rFonts w:ascii="宋体" w:hAnsi="宋体" w:cs="宋体"/>
          <w:color w:val="auto"/>
          <w:kern w:val="0"/>
          <w:highlight w:val="none"/>
        </w:rPr>
        <w:t xml:space="preserve">    C.</w:t>
      </w:r>
      <w:r>
        <w:rPr>
          <w:rFonts w:hint="eastAsia" w:ascii="宋体" w:hAnsi="宋体" w:cs="宋体"/>
          <w:color w:val="auto"/>
          <w:kern w:val="0"/>
          <w:highlight w:val="none"/>
        </w:rPr>
        <w:t>业务指导关系</w:t>
      </w:r>
    </w:p>
    <w:p w14:paraId="395F03BA">
      <w:pPr>
        <w:pStyle w:val="83"/>
        <w:widowControl/>
        <w:snapToGrid w:val="0"/>
        <w:spacing w:line="440" w:lineRule="exact"/>
        <w:rPr>
          <w:rFonts w:ascii="宋体" w:hAnsi="宋体"/>
          <w:color w:val="auto"/>
          <w:kern w:val="0"/>
          <w:highlight w:val="none"/>
        </w:rPr>
      </w:pPr>
      <w:r>
        <w:rPr>
          <w:rFonts w:ascii="宋体" w:hAnsi="宋体" w:cs="宋体"/>
          <w:color w:val="auto"/>
          <w:kern w:val="0"/>
          <w:highlight w:val="none"/>
        </w:rPr>
        <w:t xml:space="preserve">  D.</w:t>
      </w:r>
      <w:r>
        <w:rPr>
          <w:rFonts w:hint="eastAsia" w:ascii="宋体" w:hAnsi="宋体" w:cs="宋体"/>
          <w:color w:val="auto"/>
          <w:kern w:val="0"/>
          <w:highlight w:val="none"/>
        </w:rPr>
        <w:t>其他可能</w:t>
      </w:r>
      <w:r>
        <w:rPr>
          <w:rFonts w:hint="eastAsia" w:ascii="宋体" w:hAnsi="宋体" w:cs="宋体"/>
          <w:color w:val="auto"/>
          <w:highlight w:val="none"/>
        </w:rPr>
        <w:t>影响采购公正的</w:t>
      </w:r>
      <w:r>
        <w:rPr>
          <w:rFonts w:hint="eastAsia" w:ascii="宋体" w:hAnsi="宋体" w:cs="宋体"/>
          <w:color w:val="auto"/>
          <w:kern w:val="0"/>
          <w:highlight w:val="none"/>
        </w:rPr>
        <w:t>利害关系</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60CACC6E">
      <w:pPr>
        <w:pStyle w:val="83"/>
        <w:widowControl/>
        <w:numPr>
          <w:ilvl w:val="0"/>
          <w:numId w:val="3"/>
        </w:numPr>
        <w:snapToGrid w:val="0"/>
        <w:spacing w:line="440" w:lineRule="exact"/>
        <w:ind w:firstLine="453" w:firstLineChars="189"/>
        <w:rPr>
          <w:rFonts w:ascii="宋体" w:hAnsi="宋体" w:cs="宋体"/>
          <w:color w:val="auto"/>
          <w:kern w:val="0"/>
          <w:highlight w:val="none"/>
        </w:rPr>
      </w:pPr>
      <w:r>
        <w:rPr>
          <w:rFonts w:hint="eastAsia" w:ascii="宋体" w:hAnsi="宋体" w:cs="宋体"/>
          <w:color w:val="auto"/>
          <w:kern w:val="0"/>
          <w:highlight w:val="none"/>
        </w:rPr>
        <w:t>现已清楚知道参加本项目采购活动的其他所有供应商名称，本单位■与其他所有供应商之间均不存在利害关系□与（供应商名称）之间存在下列利害关系</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5EF12F35">
      <w:pPr>
        <w:pStyle w:val="321"/>
        <w:snapToGrid w:val="0"/>
        <w:spacing w:line="440" w:lineRule="exact"/>
        <w:rPr>
          <w:rFonts w:hAnsi="宋体"/>
          <w:color w:val="auto"/>
          <w:sz w:val="24"/>
          <w:szCs w:val="24"/>
          <w:highlight w:val="none"/>
        </w:rPr>
      </w:pPr>
      <w:r>
        <w:rPr>
          <w:rFonts w:hAnsi="宋体"/>
          <w:color w:val="auto"/>
          <w:sz w:val="24"/>
          <w:szCs w:val="24"/>
          <w:highlight w:val="none"/>
        </w:rPr>
        <w:t xml:space="preserve">  A.</w:t>
      </w:r>
      <w:r>
        <w:rPr>
          <w:rFonts w:hint="eastAsia" w:hAnsi="宋体"/>
          <w:color w:val="auto"/>
          <w:sz w:val="24"/>
          <w:szCs w:val="24"/>
          <w:highlight w:val="none"/>
        </w:rPr>
        <w:t>法定代表人或负责人或实际控制人是同一人</w:t>
      </w:r>
    </w:p>
    <w:p w14:paraId="6521FA91">
      <w:pPr>
        <w:pStyle w:val="321"/>
        <w:snapToGrid w:val="0"/>
        <w:spacing w:line="440" w:lineRule="exact"/>
        <w:rPr>
          <w:rFonts w:hAnsi="宋体"/>
          <w:color w:val="auto"/>
          <w:spacing w:val="6"/>
          <w:sz w:val="24"/>
          <w:szCs w:val="24"/>
          <w:highlight w:val="none"/>
        </w:rPr>
      </w:pPr>
      <w:r>
        <w:rPr>
          <w:rFonts w:hAnsi="宋体"/>
          <w:color w:val="auto"/>
          <w:sz w:val="24"/>
          <w:szCs w:val="24"/>
          <w:highlight w:val="none"/>
        </w:rPr>
        <w:t xml:space="preserve">  B.</w:t>
      </w:r>
      <w:r>
        <w:rPr>
          <w:rFonts w:hint="eastAsia" w:hAnsi="宋体"/>
          <w:color w:val="auto"/>
          <w:sz w:val="24"/>
          <w:szCs w:val="24"/>
          <w:highlight w:val="none"/>
        </w:rPr>
        <w:t>法定代表人或负责人或实际控制人是夫妻关系</w:t>
      </w:r>
    </w:p>
    <w:p w14:paraId="470081FE">
      <w:pPr>
        <w:pStyle w:val="321"/>
        <w:snapToGrid w:val="0"/>
        <w:spacing w:line="440" w:lineRule="exact"/>
        <w:rPr>
          <w:rFonts w:hAnsi="宋体"/>
          <w:color w:val="auto"/>
          <w:spacing w:val="6"/>
          <w:sz w:val="24"/>
          <w:szCs w:val="24"/>
          <w:highlight w:val="none"/>
        </w:rPr>
      </w:pPr>
      <w:r>
        <w:rPr>
          <w:rFonts w:hAnsi="宋体"/>
          <w:color w:val="auto"/>
          <w:sz w:val="24"/>
          <w:szCs w:val="24"/>
          <w:highlight w:val="none"/>
        </w:rPr>
        <w:t xml:space="preserve">  C.</w:t>
      </w:r>
      <w:r>
        <w:rPr>
          <w:rFonts w:hint="eastAsia" w:hAnsi="宋体"/>
          <w:color w:val="auto"/>
          <w:sz w:val="24"/>
          <w:szCs w:val="24"/>
          <w:highlight w:val="none"/>
        </w:rPr>
        <w:t>法定代表人或负责人或实际控制人是直系血亲关系</w:t>
      </w:r>
    </w:p>
    <w:p w14:paraId="27780C2F">
      <w:pPr>
        <w:pStyle w:val="321"/>
        <w:snapToGrid w:val="0"/>
        <w:spacing w:line="440" w:lineRule="exact"/>
        <w:rPr>
          <w:rFonts w:hAnsi="宋体"/>
          <w:color w:val="auto"/>
          <w:spacing w:val="6"/>
          <w:sz w:val="24"/>
          <w:szCs w:val="24"/>
          <w:highlight w:val="none"/>
        </w:rPr>
      </w:pPr>
      <w:r>
        <w:rPr>
          <w:rFonts w:hAnsi="宋体"/>
          <w:color w:val="auto"/>
          <w:sz w:val="24"/>
          <w:szCs w:val="24"/>
          <w:highlight w:val="none"/>
        </w:rPr>
        <w:t xml:space="preserve">  D.</w:t>
      </w:r>
      <w:r>
        <w:rPr>
          <w:rFonts w:hint="eastAsia" w:hAnsi="宋体"/>
          <w:color w:val="auto"/>
          <w:sz w:val="24"/>
          <w:szCs w:val="24"/>
          <w:highlight w:val="none"/>
        </w:rPr>
        <w:t>法定代表人或负责人或实际控制人存在三代以内旁系血亲关系</w:t>
      </w:r>
    </w:p>
    <w:p w14:paraId="1ED6FAB8">
      <w:pPr>
        <w:pStyle w:val="321"/>
        <w:snapToGrid w:val="0"/>
        <w:spacing w:line="440" w:lineRule="exact"/>
        <w:rPr>
          <w:rFonts w:hAnsi="宋体"/>
          <w:color w:val="auto"/>
          <w:sz w:val="24"/>
          <w:szCs w:val="24"/>
          <w:highlight w:val="none"/>
        </w:rPr>
      </w:pPr>
      <w:r>
        <w:rPr>
          <w:rFonts w:hAnsi="宋体"/>
          <w:color w:val="auto"/>
          <w:sz w:val="24"/>
          <w:szCs w:val="24"/>
          <w:highlight w:val="none"/>
        </w:rPr>
        <w:t xml:space="preserve">  E.</w:t>
      </w:r>
      <w:r>
        <w:rPr>
          <w:rFonts w:hint="eastAsia" w:hAnsi="宋体"/>
          <w:color w:val="auto"/>
          <w:sz w:val="24"/>
          <w:szCs w:val="24"/>
          <w:highlight w:val="none"/>
        </w:rPr>
        <w:t>法定代表人或负责人或实际控制人存在近姻亲关系</w:t>
      </w:r>
    </w:p>
    <w:p w14:paraId="1BD04BCB">
      <w:pPr>
        <w:pStyle w:val="321"/>
        <w:snapToGrid w:val="0"/>
        <w:spacing w:line="440" w:lineRule="exact"/>
        <w:rPr>
          <w:rFonts w:hAnsi="宋体"/>
          <w:color w:val="auto"/>
          <w:sz w:val="24"/>
          <w:szCs w:val="24"/>
          <w:highlight w:val="none"/>
        </w:rPr>
      </w:pPr>
      <w:r>
        <w:rPr>
          <w:rFonts w:hAnsi="宋体"/>
          <w:color w:val="auto"/>
          <w:sz w:val="24"/>
          <w:szCs w:val="24"/>
          <w:highlight w:val="none"/>
        </w:rPr>
        <w:t xml:space="preserve">  F.</w:t>
      </w:r>
      <w:r>
        <w:rPr>
          <w:rFonts w:hint="eastAsia" w:hAnsi="宋体"/>
          <w:color w:val="auto"/>
          <w:sz w:val="24"/>
          <w:szCs w:val="24"/>
          <w:highlight w:val="none"/>
        </w:rPr>
        <w:t>法定代表人或负责人或实际控制人存在股份控制或实际控制关系</w:t>
      </w:r>
    </w:p>
    <w:p w14:paraId="02BC74EB">
      <w:pPr>
        <w:pStyle w:val="321"/>
        <w:snapToGrid w:val="0"/>
        <w:spacing w:line="440" w:lineRule="exact"/>
        <w:rPr>
          <w:rFonts w:hAnsi="宋体"/>
          <w:color w:val="auto"/>
          <w:sz w:val="24"/>
          <w:szCs w:val="24"/>
          <w:highlight w:val="none"/>
        </w:rPr>
      </w:pPr>
      <w:r>
        <w:rPr>
          <w:rFonts w:hAnsi="宋体"/>
          <w:color w:val="auto"/>
          <w:sz w:val="24"/>
          <w:szCs w:val="24"/>
          <w:highlight w:val="none"/>
        </w:rPr>
        <w:t xml:space="preserve">  G.</w:t>
      </w:r>
      <w:r>
        <w:rPr>
          <w:rFonts w:hint="eastAsia" w:hAnsi="宋体"/>
          <w:color w:val="auto"/>
          <w:sz w:val="24"/>
          <w:szCs w:val="24"/>
          <w:highlight w:val="none"/>
        </w:rPr>
        <w:t>存在共同直接或间接投资设立子公司、联营企业和合营企业情况</w:t>
      </w:r>
    </w:p>
    <w:p w14:paraId="7AFDE561">
      <w:pPr>
        <w:pStyle w:val="321"/>
        <w:snapToGrid w:val="0"/>
        <w:spacing w:line="440" w:lineRule="exact"/>
        <w:rPr>
          <w:rFonts w:hAnsi="宋体"/>
          <w:color w:val="auto"/>
          <w:sz w:val="24"/>
          <w:szCs w:val="24"/>
          <w:highlight w:val="none"/>
        </w:rPr>
      </w:pPr>
      <w:r>
        <w:rPr>
          <w:rFonts w:hAnsi="宋体"/>
          <w:color w:val="auto"/>
          <w:sz w:val="24"/>
          <w:szCs w:val="24"/>
          <w:highlight w:val="none"/>
        </w:rPr>
        <w:t xml:space="preserve">  H.</w:t>
      </w:r>
      <w:r>
        <w:rPr>
          <w:rFonts w:hint="eastAsia" w:hAnsi="宋体"/>
          <w:color w:val="auto"/>
          <w:sz w:val="24"/>
          <w:szCs w:val="24"/>
          <w:highlight w:val="none"/>
        </w:rPr>
        <w:t>存在分级代理或代销关系、同一生产制造商关系、管理关系、重要业务（占主营业务收入</w:t>
      </w:r>
      <w:r>
        <w:rPr>
          <w:rFonts w:hAnsi="宋体"/>
          <w:color w:val="auto"/>
          <w:sz w:val="24"/>
          <w:szCs w:val="24"/>
          <w:highlight w:val="none"/>
        </w:rPr>
        <w:t>50%</w:t>
      </w:r>
      <w:r>
        <w:rPr>
          <w:rFonts w:hint="eastAsia" w:hAnsi="宋体"/>
          <w:color w:val="auto"/>
          <w:sz w:val="24"/>
          <w:szCs w:val="24"/>
          <w:highlight w:val="none"/>
        </w:rPr>
        <w:t>以上）或重要财务往来关系（如融资）等其他实质性控制关系</w:t>
      </w:r>
    </w:p>
    <w:p w14:paraId="637468FA">
      <w:pPr>
        <w:pStyle w:val="321"/>
        <w:snapToGrid w:val="0"/>
        <w:spacing w:line="440" w:lineRule="exact"/>
        <w:rPr>
          <w:rFonts w:hAnsi="宋体"/>
          <w:color w:val="auto"/>
          <w:spacing w:val="6"/>
          <w:sz w:val="24"/>
          <w:szCs w:val="24"/>
          <w:highlight w:val="none"/>
        </w:rPr>
      </w:pPr>
      <w:r>
        <w:rPr>
          <w:rFonts w:hAnsi="宋体"/>
          <w:color w:val="auto"/>
          <w:sz w:val="24"/>
          <w:szCs w:val="24"/>
          <w:highlight w:val="none"/>
        </w:rPr>
        <w:t xml:space="preserve">  I.</w:t>
      </w:r>
      <w:r>
        <w:rPr>
          <w:rFonts w:hint="eastAsia" w:hAnsi="宋体"/>
          <w:color w:val="auto"/>
          <w:sz w:val="24"/>
          <w:szCs w:val="24"/>
          <w:highlight w:val="none"/>
        </w:rPr>
        <w:t>其他利害关系情况</w:t>
      </w:r>
      <w:r>
        <w:rPr>
          <w:rFonts w:hint="eastAsia" w:hAnsi="宋体"/>
          <w:color w:val="auto"/>
          <w:sz w:val="24"/>
          <w:szCs w:val="24"/>
          <w:highlight w:val="none"/>
          <w:u w:val="single"/>
        </w:rPr>
        <w:t xml:space="preserve">  / </w:t>
      </w:r>
      <w:r>
        <w:rPr>
          <w:rFonts w:hint="eastAsia" w:hAnsi="宋体"/>
          <w:color w:val="auto"/>
          <w:spacing w:val="6"/>
          <w:sz w:val="24"/>
          <w:szCs w:val="24"/>
          <w:highlight w:val="none"/>
        </w:rPr>
        <w:t xml:space="preserve"> </w:t>
      </w:r>
    </w:p>
    <w:p w14:paraId="6B595BAC">
      <w:pPr>
        <w:pStyle w:val="83"/>
        <w:widowControl/>
        <w:numPr>
          <w:ilvl w:val="0"/>
          <w:numId w:val="4"/>
        </w:numPr>
        <w:snapToGrid w:val="0"/>
        <w:spacing w:line="440" w:lineRule="exact"/>
        <w:ind w:firstLine="453" w:firstLineChars="189"/>
        <w:rPr>
          <w:rFonts w:ascii="宋体" w:hAnsi="宋体"/>
          <w:color w:val="auto"/>
          <w:kern w:val="0"/>
          <w:highlight w:val="none"/>
        </w:rPr>
      </w:pPr>
      <w:r>
        <w:rPr>
          <w:rFonts w:hint="eastAsia" w:ascii="宋体" w:hAnsi="宋体" w:cs="宋体"/>
          <w:color w:val="auto"/>
          <w:highlight w:val="none"/>
        </w:rPr>
        <w:t>现已清楚知道并</w:t>
      </w:r>
      <w:r>
        <w:rPr>
          <w:rFonts w:hint="eastAsia" w:ascii="宋体" w:hAnsi="宋体" w:cs="宋体"/>
          <w:color w:val="auto"/>
          <w:kern w:val="0"/>
          <w:highlight w:val="none"/>
        </w:rPr>
        <w:t>严格遵守政府采购法律法规和现场纪律。</w:t>
      </w:r>
    </w:p>
    <w:p w14:paraId="716BD86F">
      <w:pPr>
        <w:pStyle w:val="83"/>
        <w:widowControl/>
        <w:numPr>
          <w:ilvl w:val="0"/>
          <w:numId w:val="4"/>
        </w:numPr>
        <w:snapToGrid w:val="0"/>
        <w:spacing w:line="440" w:lineRule="exact"/>
        <w:ind w:firstLine="453" w:firstLineChars="189"/>
        <w:rPr>
          <w:rFonts w:ascii="宋体" w:hAnsi="宋体"/>
          <w:color w:val="auto"/>
          <w:kern w:val="0"/>
          <w:highlight w:val="none"/>
        </w:rPr>
      </w:pPr>
      <w:r>
        <w:rPr>
          <w:rFonts w:hint="eastAsia" w:ascii="宋体" w:hAnsi="宋体" w:cs="宋体"/>
          <w:color w:val="auto"/>
          <w:kern w:val="0"/>
          <w:highlight w:val="none"/>
        </w:rPr>
        <w:t>我发现</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供应商之间存在或可能存在上述第二条第项利害关系。</w:t>
      </w:r>
    </w:p>
    <w:p w14:paraId="32F89ED8">
      <w:pPr>
        <w:pStyle w:val="83"/>
        <w:widowControl/>
        <w:numPr>
          <w:ilvl w:val="0"/>
          <w:numId w:val="4"/>
        </w:numPr>
        <w:snapToGrid w:val="0"/>
        <w:spacing w:line="440" w:lineRule="exact"/>
        <w:ind w:firstLine="453" w:firstLineChars="189"/>
        <w:rPr>
          <w:rFonts w:ascii="宋体" w:hAnsi="宋体"/>
          <w:color w:val="auto"/>
          <w:highlight w:val="none"/>
        </w:rPr>
      </w:pPr>
      <w:r>
        <w:rPr>
          <w:rFonts w:hint="eastAsia" w:ascii="宋体" w:hAnsi="宋体" w:cs="宋体"/>
          <w:color w:val="auto"/>
          <w:kern w:val="0"/>
          <w:highlight w:val="none"/>
        </w:rPr>
        <w:t xml:space="preserve">经检查确认所有供应商投标文件■不存在密封包装问题□存在密封包装问题  </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65D83164">
      <w:pPr>
        <w:pStyle w:val="321"/>
        <w:snapToGrid w:val="0"/>
        <w:spacing w:line="440" w:lineRule="exact"/>
        <w:rPr>
          <w:rFonts w:hAnsi="宋体"/>
          <w:color w:val="auto"/>
          <w:sz w:val="24"/>
          <w:szCs w:val="24"/>
          <w:highlight w:val="none"/>
        </w:rPr>
      </w:pPr>
      <w:r>
        <w:rPr>
          <w:rFonts w:hint="eastAsia" w:hAnsi="宋体"/>
          <w:color w:val="auto"/>
          <w:sz w:val="24"/>
          <w:szCs w:val="24"/>
          <w:highlight w:val="none"/>
        </w:rPr>
        <w:t>（供应商代表签名）：</w:t>
      </w:r>
    </w:p>
    <w:p w14:paraId="0EDB20CA">
      <w:pPr>
        <w:pStyle w:val="321"/>
        <w:snapToGrid w:val="0"/>
        <w:spacing w:line="440" w:lineRule="exact"/>
        <w:ind w:firstLine="6360" w:firstLineChars="2650"/>
        <w:rPr>
          <w:rFonts w:hAnsi="宋体"/>
          <w:color w:val="auto"/>
          <w:highlight w:val="none"/>
        </w:rPr>
      </w:pPr>
      <w:r>
        <w:rPr>
          <w:rFonts w:hint="eastAsia" w:hAnsi="宋体"/>
          <w:color w:val="auto"/>
          <w:sz w:val="24"/>
          <w:szCs w:val="24"/>
          <w:highlight w:val="none"/>
        </w:rPr>
        <w:t xml:space="preserve"> 年 月 日</w:t>
      </w:r>
    </w:p>
    <w:p w14:paraId="3372A8C8">
      <w:pPr>
        <w:rPr>
          <w:rFonts w:ascii="宋体" w:hAnsi="宋体" w:cs="宋体"/>
          <w:color w:val="auto"/>
          <w:highlight w:val="none"/>
        </w:rPr>
      </w:pPr>
      <w:r>
        <w:rPr>
          <w:rFonts w:ascii="宋体" w:hAnsi="宋体" w:cs="宋体"/>
          <w:color w:val="auto"/>
          <w:highlight w:val="none"/>
        </w:rPr>
        <w:br w:type="page"/>
      </w:r>
    </w:p>
    <w:p w14:paraId="3A695658">
      <w:pPr>
        <w:pStyle w:val="4"/>
        <w:rPr>
          <w:color w:val="auto"/>
          <w:highlight w:val="none"/>
        </w:rPr>
        <w:sectPr>
          <w:headerReference r:id="rId21" w:type="first"/>
          <w:footerReference r:id="rId24" w:type="first"/>
          <w:headerReference r:id="rId20" w:type="default"/>
          <w:footerReference r:id="rId22" w:type="default"/>
          <w:footerReference r:id="rId23" w:type="even"/>
          <w:pgSz w:w="11906" w:h="16838"/>
          <w:pgMar w:top="1361" w:right="1474" w:bottom="1361" w:left="1474" w:header="851" w:footer="992" w:gutter="0"/>
          <w:pgBorders>
            <w:top w:val="none" w:sz="0" w:space="0"/>
            <w:left w:val="none" w:sz="0" w:space="0"/>
            <w:bottom w:val="none" w:sz="0" w:space="0"/>
            <w:right w:val="none" w:sz="0" w:space="0"/>
          </w:pgBorders>
          <w:cols w:space="720" w:num="1"/>
          <w:titlePg/>
          <w:docGrid w:linePitch="312" w:charSpace="0"/>
        </w:sectPr>
      </w:pPr>
    </w:p>
    <w:p w14:paraId="4BB3E3A6">
      <w:pPr>
        <w:rPr>
          <w:rFonts w:ascii="宋体" w:hAnsi="宋体" w:cs="宋体"/>
          <w:color w:val="auto"/>
          <w:highlight w:val="none"/>
        </w:rPr>
      </w:pPr>
      <w:r>
        <w:rPr>
          <w:color w:val="auto"/>
          <w:highlight w:val="none"/>
        </w:rPr>
        <w:drawing>
          <wp:anchor distT="0" distB="0" distL="114300" distR="114300" simplePos="0" relativeHeight="251661312" behindDoc="0" locked="0" layoutInCell="1" allowOverlap="1">
            <wp:simplePos x="0" y="0"/>
            <wp:positionH relativeFrom="column">
              <wp:posOffset>596265</wp:posOffset>
            </wp:positionH>
            <wp:positionV relativeFrom="page">
              <wp:posOffset>1894840</wp:posOffset>
            </wp:positionV>
            <wp:extent cx="8671560" cy="5244465"/>
            <wp:effectExtent l="0" t="0" r="15240" b="133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a:stretch>
                      <a:fillRect/>
                    </a:stretch>
                  </pic:blipFill>
                  <pic:spPr>
                    <a:xfrm>
                      <a:off x="0" y="0"/>
                      <a:ext cx="8671560" cy="5244465"/>
                    </a:xfrm>
                    <a:prstGeom prst="rect">
                      <a:avLst/>
                    </a:prstGeom>
                    <a:noFill/>
                    <a:ln>
                      <a:noFill/>
                    </a:ln>
                  </pic:spPr>
                </pic:pic>
              </a:graphicData>
            </a:graphic>
          </wp:anchor>
        </w:drawing>
      </w:r>
    </w:p>
    <w:sectPr>
      <w:pgSz w:w="16838" w:h="11906" w:orient="landscape"/>
      <w:pgMar w:top="1417" w:right="1276" w:bottom="1417" w:left="1247" w:header="851" w:footer="992" w:gutter="0"/>
      <w:pgBorders>
        <w:top w:val="none" w:sz="0" w:space="0"/>
        <w:left w:val="none" w:sz="0" w:space="0"/>
        <w:bottom w:val="none" w:sz="0" w:space="0"/>
        <w:right w:val="none" w:sz="0" w:space="0"/>
      </w:pgBorders>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7997C75-A291-4B7F-A09C-63DB30BB4A7B}"/>
  </w:font>
  <w:font w:name="Arial">
    <w:panose1 w:val="020B0604020202020204"/>
    <w:charset w:val="01"/>
    <w:family w:val="swiss"/>
    <w:pitch w:val="default"/>
    <w:sig w:usb0="E0002EFF" w:usb1="C000785B" w:usb2="00000009" w:usb3="00000000" w:csb0="400001FF" w:csb1="FFFF0000"/>
    <w:embedRegular r:id="rId2" w:fontKey="{36275E1B-B5FE-4BEA-9141-35C5A21CE5A4}"/>
  </w:font>
  <w:font w:name="黑体">
    <w:panose1 w:val="02010609060101010101"/>
    <w:charset w:val="86"/>
    <w:family w:val="auto"/>
    <w:pitch w:val="default"/>
    <w:sig w:usb0="800002BF" w:usb1="38CF7CFA" w:usb2="00000016" w:usb3="00000000" w:csb0="00040001" w:csb1="00000000"/>
    <w:embedRegular r:id="rId3" w:fontKey="{2D2B485E-C123-4C41-9CDF-64F9C1669F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3C96CD41-5C04-4375-9DE3-B261093D7BBA}"/>
  </w:font>
  <w:font w:name="仿宋">
    <w:panose1 w:val="02010609060101010101"/>
    <w:charset w:val="86"/>
    <w:family w:val="auto"/>
    <w:pitch w:val="default"/>
    <w:sig w:usb0="800002BF" w:usb1="38CF7CFA" w:usb2="00000016" w:usb3="00000000" w:csb0="00040001" w:csb1="00000000"/>
    <w:embedRegular r:id="rId5" w:fontKey="{C85760FE-4C82-489B-86D1-3358FEACB266}"/>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4D"/>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script"/>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script"/>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roman"/>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20B04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embedRegular r:id="rId6" w:fontKey="{4BAF4D3B-F267-48D4-930B-49CD530170FA}"/>
  </w:font>
  <w:font w:name="MS Gothic">
    <w:panose1 w:val="020B0609070205080204"/>
    <w:charset w:val="80"/>
    <w:family w:val="swiss"/>
    <w:pitch w:val="default"/>
    <w:sig w:usb0="E00002FF" w:usb1="6AC7FDFB" w:usb2="08000012" w:usb3="00000000" w:csb0="4002009F" w:csb1="DFD70000"/>
    <w:embedRegular r:id="rId7" w:fontKey="{2641EA42-01C9-4C29-B997-DCBBB48B4AA3}"/>
  </w:font>
  <w:font w:name="Wingdings 2">
    <w:panose1 w:val="05020102010507070707"/>
    <w:charset w:val="00"/>
    <w:family w:val="auto"/>
    <w:pitch w:val="default"/>
    <w:sig w:usb0="00000000" w:usb1="00000000" w:usb2="00000000" w:usb3="00000000" w:csb0="80000000" w:csb1="00000000"/>
    <w:embedRegular r:id="rId8" w:fontKey="{E4B0505F-55DF-4D8F-917B-DF80B588421C}"/>
  </w:font>
  <w:font w:name="方正小标宋简体">
    <w:panose1 w:val="02000000000000000000"/>
    <w:charset w:val="86"/>
    <w:family w:val="script"/>
    <w:pitch w:val="default"/>
    <w:sig w:usb0="00000001" w:usb1="08000000" w:usb2="00000000" w:usb3="00000000" w:csb0="00040000" w:csb1="00000000"/>
    <w:embedRegular r:id="rId9" w:fontKey="{42E2D903-4B17-4A6A-A770-BB3174751B1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CB78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3F873">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85532">
    <w:pPr>
      <w:pStyle w:val="41"/>
      <w:framePr w:wrap="around" w:vAnchor="text" w:hAnchor="margin" w:xAlign="right" w:y="1"/>
      <w:rPr>
        <w:rStyle w:val="73"/>
      </w:rPr>
    </w:pPr>
    <w:r>
      <w:fldChar w:fldCharType="begin"/>
    </w:r>
    <w:r>
      <w:rPr>
        <w:rStyle w:val="73"/>
      </w:rPr>
      <w:instrText xml:space="preserve">PAGE  </w:instrText>
    </w:r>
    <w:r>
      <w:fldChar w:fldCharType="end"/>
    </w:r>
  </w:p>
  <w:p w14:paraId="2C70F574">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312F6">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bookmarkStart w:id="519" w:name="_Toc91899912"/>
    <w:bookmarkStart w:id="520" w:name="_Toc131845147"/>
    <w:bookmarkStart w:id="521" w:name="_Toc36110187"/>
    <w:bookmarkStart w:id="522" w:name="_Toc164085800"/>
    <w:r>
      <w:rPr>
        <w:rFonts w:hint="eastAsia" w:ascii="仿宋_GB2312" w:eastAsia="仿宋_GB2312"/>
        <w:kern w:val="0"/>
        <w:szCs w:val="21"/>
      </w:rPr>
      <w:t xml:space="preserve"> 页</w:t>
    </w:r>
    <w:bookmarkEnd w:id="519"/>
    <w:bookmarkEnd w:id="520"/>
    <w:bookmarkEnd w:id="521"/>
    <w:bookmarkEnd w:id="52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8FE1E">
    <w:pPr>
      <w:pStyle w:val="41"/>
      <w:framePr w:wrap="around" w:vAnchor="text" w:hAnchor="margin" w:xAlign="right" w:y="1"/>
      <w:rPr>
        <w:rStyle w:val="73"/>
      </w:rPr>
    </w:pPr>
    <w:r>
      <w:fldChar w:fldCharType="begin"/>
    </w:r>
    <w:r>
      <w:rPr>
        <w:rStyle w:val="73"/>
      </w:rPr>
      <w:instrText xml:space="preserve">PAGE  </w:instrText>
    </w:r>
    <w:r>
      <w:fldChar w:fldCharType="end"/>
    </w:r>
  </w:p>
  <w:p w14:paraId="4A4D4673">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4E99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069F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06EB024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02A9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12E8E26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22E9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2BB8DC1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1ED9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42176D1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9671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5DEAAA4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1AD1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0282F13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9553B">
    <w:pPr>
      <w:pStyle w:val="43"/>
      <w:pBdr>
        <w:bottom w:val="single" w:color="auto" w:sz="6" w:space="4"/>
      </w:pBdr>
      <w:jc w:val="right"/>
    </w:pPr>
    <w:r>
      <w:t></w:t>
    </w:r>
    <w:r>
      <w:rPr>
        <w:rFonts w:hint="eastAsia"/>
      </w:rPr>
      <w:t xml:space="preserve">             </w:t>
    </w:r>
    <w:r>
      <w:t>杭州市政府采购公开招标文件</w:t>
    </w:r>
  </w:p>
  <w:p w14:paraId="74E9CAEC">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63238">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873F6">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3D138">
    <w:pPr>
      <w:pStyle w:val="43"/>
      <w:rPr>
        <w:rFonts w:ascii="仿宋_GB2312" w:eastAsia="仿宋_GB2312"/>
        <w:b/>
        <w:i/>
        <w:u w:val="single"/>
      </w:rPr>
    </w:pPr>
    <w:r>
      <w:t></w:t>
    </w:r>
    <w:r>
      <w:rPr>
        <w:rFonts w:hint="eastAsia"/>
      </w:rPr>
      <w:t xml:space="preserve">                                                  </w:t>
    </w:r>
    <w:r>
      <w:t xml:space="preserve">             杭州市政府采购公开招标文件</w:t>
    </w:r>
  </w:p>
  <w:p w14:paraId="72CBEAF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A1956">
    <w:pPr>
      <w:pStyle w:val="43"/>
    </w:pPr>
    <w:r>
      <w:t></w:t>
    </w:r>
    <w:r>
      <w:rPr>
        <w:rFonts w:hint="eastAsia"/>
      </w:rPr>
      <w:t xml:space="preserve">         </w:t>
    </w:r>
  </w:p>
  <w:p w14:paraId="37BB6982">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110FA">
    <w:pPr>
      <w:pStyle w:val="43"/>
      <w:jc w:val="right"/>
      <w:rPr>
        <w:rFonts w:ascii="仿宋_GB2312"/>
        <w:b/>
        <w:i/>
        <w:u w:val="single"/>
      </w:rPr>
    </w:pPr>
    <w:r>
      <w:t> 杭州市政府采购公开</w:t>
    </w:r>
    <w:r>
      <w:rPr>
        <w:rFonts w:hint="eastAsia"/>
      </w:rPr>
      <w:t>采购文件</w:t>
    </w:r>
  </w:p>
  <w:p w14:paraId="247CED6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F8ACB">
    <w:pPr>
      <w:pStyle w:val="43"/>
      <w:jc w:val="right"/>
    </w:pPr>
    <w:r>
      <w:t>杭州市政府采购公开</w:t>
    </w:r>
    <w:r>
      <w:rPr>
        <w:rFonts w:hint="eastAsia"/>
      </w:rPr>
      <w:t>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5D6FF">
    <w:pPr>
      <w:pStyle w:val="43"/>
      <w:jc w:val="right"/>
      <w:rPr>
        <w:rFonts w:ascii="仿宋_GB2312" w:eastAsia="仿宋_GB2312"/>
        <w:b/>
        <w:i/>
        <w:u w:val="single"/>
      </w:rPr>
    </w:pPr>
    <w:r>
      <w:rPr>
        <w:rFonts w:hint="eastAsia"/>
      </w:rPr>
      <w:t xml:space="preserve">                                  </w:t>
    </w:r>
    <w:r>
      <w:t>杭州市政府采购公开招标文件</w:t>
    </w:r>
  </w:p>
  <w:p w14:paraId="0DB896C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602AB">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0D278">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076F3"/>
    <w:multiLevelType w:val="singleLevel"/>
    <w:tmpl w:val="BB6076F3"/>
    <w:lvl w:ilvl="0" w:tentative="0">
      <w:start w:val="5"/>
      <w:numFmt w:val="chineseCounting"/>
      <w:suff w:val="nothing"/>
      <w:lvlText w:val="%1、"/>
      <w:lvlJc w:val="left"/>
      <w:rPr>
        <w:rFonts w:hint="eastAsia"/>
      </w:rPr>
    </w:lvl>
  </w:abstractNum>
  <w:abstractNum w:abstractNumId="1">
    <w:nsid w:val="268B7D29"/>
    <w:multiLevelType w:val="singleLevel"/>
    <w:tmpl w:val="268B7D29"/>
    <w:lvl w:ilvl="0" w:tentative="0">
      <w:start w:val="4"/>
      <w:numFmt w:val="decimal"/>
      <w:suff w:val="nothing"/>
      <w:lvlText w:val="（%1）"/>
      <w:lvlJc w:val="left"/>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xMDBmYjE3MzY3MzBjZTIxOWUxNTRmMDA2MzRhNj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5DC"/>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782"/>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03E"/>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4F8"/>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33DC"/>
    <w:rsid w:val="001A473A"/>
    <w:rsid w:val="001A4977"/>
    <w:rsid w:val="001A4ED9"/>
    <w:rsid w:val="001A519F"/>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0FAA"/>
    <w:rsid w:val="00211185"/>
    <w:rsid w:val="00211A94"/>
    <w:rsid w:val="002126F2"/>
    <w:rsid w:val="00213478"/>
    <w:rsid w:val="00214028"/>
    <w:rsid w:val="002141C3"/>
    <w:rsid w:val="002141DC"/>
    <w:rsid w:val="0021440C"/>
    <w:rsid w:val="00214479"/>
    <w:rsid w:val="002144F3"/>
    <w:rsid w:val="002146C3"/>
    <w:rsid w:val="00214A57"/>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69CC"/>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2C9"/>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2C2C"/>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A0A"/>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4BAF"/>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8F"/>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B73"/>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3CE"/>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2D6"/>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537"/>
    <w:rsid w:val="0041690F"/>
    <w:rsid w:val="004169D3"/>
    <w:rsid w:val="00416C2B"/>
    <w:rsid w:val="00416D41"/>
    <w:rsid w:val="00416E70"/>
    <w:rsid w:val="00417264"/>
    <w:rsid w:val="004172B3"/>
    <w:rsid w:val="00417EF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68E1"/>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7DA"/>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908"/>
    <w:rsid w:val="00594437"/>
    <w:rsid w:val="00594B70"/>
    <w:rsid w:val="00596CFA"/>
    <w:rsid w:val="00596EC6"/>
    <w:rsid w:val="005975CE"/>
    <w:rsid w:val="005A0088"/>
    <w:rsid w:val="005A04F6"/>
    <w:rsid w:val="005A0838"/>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A7A"/>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21A"/>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3C"/>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4ECF"/>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2F04"/>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455"/>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478B6"/>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2F0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6CBB"/>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506"/>
    <w:rsid w:val="00916E45"/>
    <w:rsid w:val="0092077A"/>
    <w:rsid w:val="00920DC0"/>
    <w:rsid w:val="009219F3"/>
    <w:rsid w:val="009221CB"/>
    <w:rsid w:val="00922320"/>
    <w:rsid w:val="00923643"/>
    <w:rsid w:val="00923E1A"/>
    <w:rsid w:val="009245CC"/>
    <w:rsid w:val="00924618"/>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00"/>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8B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FD5"/>
    <w:rsid w:val="00B1767E"/>
    <w:rsid w:val="00B20760"/>
    <w:rsid w:val="00B2125C"/>
    <w:rsid w:val="00B21676"/>
    <w:rsid w:val="00B219E1"/>
    <w:rsid w:val="00B21ECF"/>
    <w:rsid w:val="00B22150"/>
    <w:rsid w:val="00B226DE"/>
    <w:rsid w:val="00B22FB5"/>
    <w:rsid w:val="00B241D5"/>
    <w:rsid w:val="00B2494E"/>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DC"/>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EC5"/>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729"/>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3B5"/>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0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221"/>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2F29"/>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A5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202"/>
    <w:rsid w:val="00E77341"/>
    <w:rsid w:val="00E7783E"/>
    <w:rsid w:val="00E778B8"/>
    <w:rsid w:val="00E801C7"/>
    <w:rsid w:val="00E8062F"/>
    <w:rsid w:val="00E80AF8"/>
    <w:rsid w:val="00E80BED"/>
    <w:rsid w:val="00E810FE"/>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1C6"/>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1704"/>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2052"/>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D46"/>
    <w:rsid w:val="010651D9"/>
    <w:rsid w:val="01121853"/>
    <w:rsid w:val="011F6449"/>
    <w:rsid w:val="01227D26"/>
    <w:rsid w:val="01236AFB"/>
    <w:rsid w:val="014F404B"/>
    <w:rsid w:val="017E71B3"/>
    <w:rsid w:val="019F7441"/>
    <w:rsid w:val="01AA02DA"/>
    <w:rsid w:val="01B37585"/>
    <w:rsid w:val="01BE5667"/>
    <w:rsid w:val="01BF5575"/>
    <w:rsid w:val="01C761D7"/>
    <w:rsid w:val="01D55165"/>
    <w:rsid w:val="01DF6BF8"/>
    <w:rsid w:val="01EC2C57"/>
    <w:rsid w:val="02070CCA"/>
    <w:rsid w:val="02337D11"/>
    <w:rsid w:val="025F0711"/>
    <w:rsid w:val="026B2E25"/>
    <w:rsid w:val="027B7175"/>
    <w:rsid w:val="02824D4D"/>
    <w:rsid w:val="02A93B2F"/>
    <w:rsid w:val="02AC38A6"/>
    <w:rsid w:val="02DC4B10"/>
    <w:rsid w:val="02DD76CE"/>
    <w:rsid w:val="02E8096A"/>
    <w:rsid w:val="02F36323"/>
    <w:rsid w:val="02F5619C"/>
    <w:rsid w:val="02FE20CD"/>
    <w:rsid w:val="03045209"/>
    <w:rsid w:val="03086AA8"/>
    <w:rsid w:val="031559C4"/>
    <w:rsid w:val="031B2C7F"/>
    <w:rsid w:val="0326446A"/>
    <w:rsid w:val="032D5555"/>
    <w:rsid w:val="036634D2"/>
    <w:rsid w:val="038D16A3"/>
    <w:rsid w:val="03DD35E4"/>
    <w:rsid w:val="03DE5472"/>
    <w:rsid w:val="04076900"/>
    <w:rsid w:val="04130DF7"/>
    <w:rsid w:val="041318DF"/>
    <w:rsid w:val="041A5A3B"/>
    <w:rsid w:val="041D2A27"/>
    <w:rsid w:val="04207E21"/>
    <w:rsid w:val="042311BA"/>
    <w:rsid w:val="042B157A"/>
    <w:rsid w:val="04525BD8"/>
    <w:rsid w:val="045741C8"/>
    <w:rsid w:val="04714B20"/>
    <w:rsid w:val="0484453D"/>
    <w:rsid w:val="048F763B"/>
    <w:rsid w:val="049F330E"/>
    <w:rsid w:val="04AA775C"/>
    <w:rsid w:val="04AF1889"/>
    <w:rsid w:val="04B45B55"/>
    <w:rsid w:val="04F66F48"/>
    <w:rsid w:val="04F723FB"/>
    <w:rsid w:val="052038C2"/>
    <w:rsid w:val="05251E14"/>
    <w:rsid w:val="0532605E"/>
    <w:rsid w:val="05412745"/>
    <w:rsid w:val="054D733B"/>
    <w:rsid w:val="056B7658"/>
    <w:rsid w:val="058A7C48"/>
    <w:rsid w:val="05A16594"/>
    <w:rsid w:val="05A7762D"/>
    <w:rsid w:val="05AA5F48"/>
    <w:rsid w:val="05B705F7"/>
    <w:rsid w:val="05F81055"/>
    <w:rsid w:val="0608695F"/>
    <w:rsid w:val="060E5941"/>
    <w:rsid w:val="06110FAF"/>
    <w:rsid w:val="06181458"/>
    <w:rsid w:val="0619141B"/>
    <w:rsid w:val="06493CA7"/>
    <w:rsid w:val="065A6178"/>
    <w:rsid w:val="066F1CF3"/>
    <w:rsid w:val="06930BB8"/>
    <w:rsid w:val="06A603A5"/>
    <w:rsid w:val="06B036DE"/>
    <w:rsid w:val="06E460DC"/>
    <w:rsid w:val="06ED7D16"/>
    <w:rsid w:val="07017E6C"/>
    <w:rsid w:val="07100621"/>
    <w:rsid w:val="07245D42"/>
    <w:rsid w:val="07264C62"/>
    <w:rsid w:val="0728596A"/>
    <w:rsid w:val="0779354C"/>
    <w:rsid w:val="07A329F4"/>
    <w:rsid w:val="07B62F76"/>
    <w:rsid w:val="07DA3499"/>
    <w:rsid w:val="07FB6BDB"/>
    <w:rsid w:val="08010F28"/>
    <w:rsid w:val="08061376"/>
    <w:rsid w:val="08362309"/>
    <w:rsid w:val="08452D77"/>
    <w:rsid w:val="086401F8"/>
    <w:rsid w:val="0870581B"/>
    <w:rsid w:val="087109F5"/>
    <w:rsid w:val="08730E67"/>
    <w:rsid w:val="08751CAA"/>
    <w:rsid w:val="087E4C40"/>
    <w:rsid w:val="0885431F"/>
    <w:rsid w:val="08A871D0"/>
    <w:rsid w:val="08D66AD6"/>
    <w:rsid w:val="08DA33A3"/>
    <w:rsid w:val="08E41D65"/>
    <w:rsid w:val="08E80F13"/>
    <w:rsid w:val="08EA0DB0"/>
    <w:rsid w:val="090917CB"/>
    <w:rsid w:val="09111EA0"/>
    <w:rsid w:val="092071F9"/>
    <w:rsid w:val="09335624"/>
    <w:rsid w:val="0944690F"/>
    <w:rsid w:val="09535675"/>
    <w:rsid w:val="095F057D"/>
    <w:rsid w:val="09642282"/>
    <w:rsid w:val="09733572"/>
    <w:rsid w:val="09772C16"/>
    <w:rsid w:val="098353B5"/>
    <w:rsid w:val="09A92330"/>
    <w:rsid w:val="09B06B87"/>
    <w:rsid w:val="09B42E8B"/>
    <w:rsid w:val="09B9044E"/>
    <w:rsid w:val="09B907C2"/>
    <w:rsid w:val="09C13146"/>
    <w:rsid w:val="09CD3996"/>
    <w:rsid w:val="09D47DCC"/>
    <w:rsid w:val="09DC7F97"/>
    <w:rsid w:val="09E04166"/>
    <w:rsid w:val="09E87633"/>
    <w:rsid w:val="0A12479B"/>
    <w:rsid w:val="0A173A74"/>
    <w:rsid w:val="0A1C0718"/>
    <w:rsid w:val="0A265B4B"/>
    <w:rsid w:val="0A346906"/>
    <w:rsid w:val="0A3E7710"/>
    <w:rsid w:val="0A402FCB"/>
    <w:rsid w:val="0A5B7E63"/>
    <w:rsid w:val="0A6273E5"/>
    <w:rsid w:val="0A8D6C6D"/>
    <w:rsid w:val="0AA374A5"/>
    <w:rsid w:val="0AAB7649"/>
    <w:rsid w:val="0ABC5606"/>
    <w:rsid w:val="0ADE4913"/>
    <w:rsid w:val="0AEE2A27"/>
    <w:rsid w:val="0B063322"/>
    <w:rsid w:val="0B30404E"/>
    <w:rsid w:val="0B4C6C14"/>
    <w:rsid w:val="0B507DEF"/>
    <w:rsid w:val="0B514F31"/>
    <w:rsid w:val="0B547599"/>
    <w:rsid w:val="0B631A88"/>
    <w:rsid w:val="0B683D45"/>
    <w:rsid w:val="0B7F3F11"/>
    <w:rsid w:val="0B884417"/>
    <w:rsid w:val="0BDF4C14"/>
    <w:rsid w:val="0BE01BDD"/>
    <w:rsid w:val="0BE107DE"/>
    <w:rsid w:val="0BF6188C"/>
    <w:rsid w:val="0BF73C91"/>
    <w:rsid w:val="0C170175"/>
    <w:rsid w:val="0C3E749E"/>
    <w:rsid w:val="0C4016E8"/>
    <w:rsid w:val="0C571A41"/>
    <w:rsid w:val="0C5C1171"/>
    <w:rsid w:val="0C5E1CBC"/>
    <w:rsid w:val="0C615B50"/>
    <w:rsid w:val="0C8445DA"/>
    <w:rsid w:val="0C86696C"/>
    <w:rsid w:val="0C87121B"/>
    <w:rsid w:val="0CC007F7"/>
    <w:rsid w:val="0CC617AC"/>
    <w:rsid w:val="0CE618DF"/>
    <w:rsid w:val="0CF841E2"/>
    <w:rsid w:val="0CFA54CF"/>
    <w:rsid w:val="0CFE707A"/>
    <w:rsid w:val="0D063BDA"/>
    <w:rsid w:val="0D08375F"/>
    <w:rsid w:val="0D132620"/>
    <w:rsid w:val="0D184CFB"/>
    <w:rsid w:val="0D212044"/>
    <w:rsid w:val="0D4234FE"/>
    <w:rsid w:val="0D457C3C"/>
    <w:rsid w:val="0D4A7419"/>
    <w:rsid w:val="0D605732"/>
    <w:rsid w:val="0D703C1F"/>
    <w:rsid w:val="0D827401"/>
    <w:rsid w:val="0D84094E"/>
    <w:rsid w:val="0D8A00E9"/>
    <w:rsid w:val="0D8D589E"/>
    <w:rsid w:val="0D9B771B"/>
    <w:rsid w:val="0D9F625A"/>
    <w:rsid w:val="0DA01C73"/>
    <w:rsid w:val="0DA5363C"/>
    <w:rsid w:val="0DD63300"/>
    <w:rsid w:val="0DDA54E4"/>
    <w:rsid w:val="0DF04D08"/>
    <w:rsid w:val="0DF50604"/>
    <w:rsid w:val="0DF702FE"/>
    <w:rsid w:val="0DF96448"/>
    <w:rsid w:val="0E060E51"/>
    <w:rsid w:val="0E062EE8"/>
    <w:rsid w:val="0E43752E"/>
    <w:rsid w:val="0E4F7C80"/>
    <w:rsid w:val="0E5604B2"/>
    <w:rsid w:val="0E686A3B"/>
    <w:rsid w:val="0E6D5D79"/>
    <w:rsid w:val="0E777964"/>
    <w:rsid w:val="0E792F4F"/>
    <w:rsid w:val="0E8004E8"/>
    <w:rsid w:val="0E9D0089"/>
    <w:rsid w:val="0EAE08EC"/>
    <w:rsid w:val="0EB803EE"/>
    <w:rsid w:val="0EF94D4B"/>
    <w:rsid w:val="0F1B7B63"/>
    <w:rsid w:val="0F1F4EFA"/>
    <w:rsid w:val="0F276507"/>
    <w:rsid w:val="0F3318DC"/>
    <w:rsid w:val="0F4958DC"/>
    <w:rsid w:val="0F503CB0"/>
    <w:rsid w:val="0F515DF7"/>
    <w:rsid w:val="0F557518"/>
    <w:rsid w:val="0F596BA8"/>
    <w:rsid w:val="0F6248D2"/>
    <w:rsid w:val="0F693536"/>
    <w:rsid w:val="0F7B0511"/>
    <w:rsid w:val="0F7B76D9"/>
    <w:rsid w:val="0F816ACD"/>
    <w:rsid w:val="0F9832DB"/>
    <w:rsid w:val="0FBF3FD2"/>
    <w:rsid w:val="0FBF7FF3"/>
    <w:rsid w:val="0FDC5544"/>
    <w:rsid w:val="100F06C4"/>
    <w:rsid w:val="10646583"/>
    <w:rsid w:val="10710382"/>
    <w:rsid w:val="10797237"/>
    <w:rsid w:val="107D4B15"/>
    <w:rsid w:val="108A2C16"/>
    <w:rsid w:val="108A3C80"/>
    <w:rsid w:val="10A544F9"/>
    <w:rsid w:val="10B169D0"/>
    <w:rsid w:val="10BE3584"/>
    <w:rsid w:val="10C26171"/>
    <w:rsid w:val="10CE6A9B"/>
    <w:rsid w:val="10D74A29"/>
    <w:rsid w:val="10F33360"/>
    <w:rsid w:val="10FC16EA"/>
    <w:rsid w:val="110F1D40"/>
    <w:rsid w:val="11121619"/>
    <w:rsid w:val="11266F33"/>
    <w:rsid w:val="115B2DE0"/>
    <w:rsid w:val="116752E1"/>
    <w:rsid w:val="118963A1"/>
    <w:rsid w:val="11902882"/>
    <w:rsid w:val="11C237F8"/>
    <w:rsid w:val="11C25421"/>
    <w:rsid w:val="11C447CC"/>
    <w:rsid w:val="11C6522A"/>
    <w:rsid w:val="11DA1AF8"/>
    <w:rsid w:val="11DF131B"/>
    <w:rsid w:val="11E104CC"/>
    <w:rsid w:val="11E20309"/>
    <w:rsid w:val="11E34928"/>
    <w:rsid w:val="12255233"/>
    <w:rsid w:val="122B27B2"/>
    <w:rsid w:val="12530213"/>
    <w:rsid w:val="125735A8"/>
    <w:rsid w:val="127415E0"/>
    <w:rsid w:val="12767ED2"/>
    <w:rsid w:val="127723A9"/>
    <w:rsid w:val="127F665A"/>
    <w:rsid w:val="12862074"/>
    <w:rsid w:val="12883966"/>
    <w:rsid w:val="129E45B4"/>
    <w:rsid w:val="12B14F97"/>
    <w:rsid w:val="12CF75E2"/>
    <w:rsid w:val="12D81596"/>
    <w:rsid w:val="12FB3F33"/>
    <w:rsid w:val="13042E95"/>
    <w:rsid w:val="13072A44"/>
    <w:rsid w:val="133A6A8F"/>
    <w:rsid w:val="135F4BE2"/>
    <w:rsid w:val="137B5074"/>
    <w:rsid w:val="139B1A0A"/>
    <w:rsid w:val="139D25C7"/>
    <w:rsid w:val="139E527A"/>
    <w:rsid w:val="13B84EAC"/>
    <w:rsid w:val="13BF3CE4"/>
    <w:rsid w:val="141008D8"/>
    <w:rsid w:val="14125FE6"/>
    <w:rsid w:val="14276127"/>
    <w:rsid w:val="144F5D1F"/>
    <w:rsid w:val="146D271E"/>
    <w:rsid w:val="14900FF3"/>
    <w:rsid w:val="14982588"/>
    <w:rsid w:val="149A5AD9"/>
    <w:rsid w:val="149E726C"/>
    <w:rsid w:val="14A7619D"/>
    <w:rsid w:val="14C956AB"/>
    <w:rsid w:val="14D0690E"/>
    <w:rsid w:val="14DB226E"/>
    <w:rsid w:val="150536C3"/>
    <w:rsid w:val="150A2F86"/>
    <w:rsid w:val="150C1963"/>
    <w:rsid w:val="150D2643"/>
    <w:rsid w:val="151447A0"/>
    <w:rsid w:val="154A6454"/>
    <w:rsid w:val="155308D6"/>
    <w:rsid w:val="155C2C83"/>
    <w:rsid w:val="15671D54"/>
    <w:rsid w:val="15762120"/>
    <w:rsid w:val="157B135B"/>
    <w:rsid w:val="158C2D9C"/>
    <w:rsid w:val="158C3568"/>
    <w:rsid w:val="15917872"/>
    <w:rsid w:val="159468C1"/>
    <w:rsid w:val="15D1049B"/>
    <w:rsid w:val="160A01D1"/>
    <w:rsid w:val="16461969"/>
    <w:rsid w:val="16625E06"/>
    <w:rsid w:val="167E42F4"/>
    <w:rsid w:val="169504C4"/>
    <w:rsid w:val="16A40FB8"/>
    <w:rsid w:val="16A843D2"/>
    <w:rsid w:val="16A8729C"/>
    <w:rsid w:val="16B33777"/>
    <w:rsid w:val="16BC70A7"/>
    <w:rsid w:val="16C6339E"/>
    <w:rsid w:val="16CC0064"/>
    <w:rsid w:val="16DA6555"/>
    <w:rsid w:val="16FF4CCB"/>
    <w:rsid w:val="172F2D79"/>
    <w:rsid w:val="17557BEF"/>
    <w:rsid w:val="175C6A85"/>
    <w:rsid w:val="17800964"/>
    <w:rsid w:val="178F5592"/>
    <w:rsid w:val="17966920"/>
    <w:rsid w:val="17AA5F28"/>
    <w:rsid w:val="17CD05F2"/>
    <w:rsid w:val="17D349C1"/>
    <w:rsid w:val="17F6116D"/>
    <w:rsid w:val="1830729E"/>
    <w:rsid w:val="184C5231"/>
    <w:rsid w:val="184E2D57"/>
    <w:rsid w:val="1870062C"/>
    <w:rsid w:val="187877C7"/>
    <w:rsid w:val="18817102"/>
    <w:rsid w:val="18830A15"/>
    <w:rsid w:val="18852B28"/>
    <w:rsid w:val="188B5321"/>
    <w:rsid w:val="18B828C6"/>
    <w:rsid w:val="18E95BCD"/>
    <w:rsid w:val="18F87B89"/>
    <w:rsid w:val="194505FE"/>
    <w:rsid w:val="1988673C"/>
    <w:rsid w:val="198B37EF"/>
    <w:rsid w:val="198D49B1"/>
    <w:rsid w:val="19932372"/>
    <w:rsid w:val="19A20DD5"/>
    <w:rsid w:val="19AE03F1"/>
    <w:rsid w:val="19B4308D"/>
    <w:rsid w:val="19F33CB9"/>
    <w:rsid w:val="1A071A03"/>
    <w:rsid w:val="1A0D2738"/>
    <w:rsid w:val="1A0F6EBC"/>
    <w:rsid w:val="1A1F16AE"/>
    <w:rsid w:val="1A240213"/>
    <w:rsid w:val="1A384090"/>
    <w:rsid w:val="1A3B5C77"/>
    <w:rsid w:val="1A5328A6"/>
    <w:rsid w:val="1A984BAD"/>
    <w:rsid w:val="1A9A1B4D"/>
    <w:rsid w:val="1A9B7E3E"/>
    <w:rsid w:val="1A9D2818"/>
    <w:rsid w:val="1AB8220E"/>
    <w:rsid w:val="1ACE5888"/>
    <w:rsid w:val="1AD96FC8"/>
    <w:rsid w:val="1AE4166C"/>
    <w:rsid w:val="1AF06CFB"/>
    <w:rsid w:val="1AF11B8D"/>
    <w:rsid w:val="1AFC4746"/>
    <w:rsid w:val="1B11359C"/>
    <w:rsid w:val="1B1C5E7C"/>
    <w:rsid w:val="1B2A271F"/>
    <w:rsid w:val="1B2C7A13"/>
    <w:rsid w:val="1B315E2A"/>
    <w:rsid w:val="1B530544"/>
    <w:rsid w:val="1B634D6B"/>
    <w:rsid w:val="1B64767E"/>
    <w:rsid w:val="1B713184"/>
    <w:rsid w:val="1BA209CF"/>
    <w:rsid w:val="1BB4777D"/>
    <w:rsid w:val="1BB57B5C"/>
    <w:rsid w:val="1BB83309"/>
    <w:rsid w:val="1BC11A92"/>
    <w:rsid w:val="1BCD48DA"/>
    <w:rsid w:val="1BD448F7"/>
    <w:rsid w:val="1BD6553D"/>
    <w:rsid w:val="1BD75AB8"/>
    <w:rsid w:val="1BE774DC"/>
    <w:rsid w:val="1BF62AF5"/>
    <w:rsid w:val="1C0459C2"/>
    <w:rsid w:val="1C0A3439"/>
    <w:rsid w:val="1C1027E3"/>
    <w:rsid w:val="1C1B3B4A"/>
    <w:rsid w:val="1C2D1D0B"/>
    <w:rsid w:val="1C3D736A"/>
    <w:rsid w:val="1C4A375A"/>
    <w:rsid w:val="1C534F2C"/>
    <w:rsid w:val="1C5A755F"/>
    <w:rsid w:val="1C88086E"/>
    <w:rsid w:val="1C8E7C18"/>
    <w:rsid w:val="1C970004"/>
    <w:rsid w:val="1CB25FAA"/>
    <w:rsid w:val="1CF77E61"/>
    <w:rsid w:val="1D266CE1"/>
    <w:rsid w:val="1D3963AF"/>
    <w:rsid w:val="1D692885"/>
    <w:rsid w:val="1D6A673C"/>
    <w:rsid w:val="1D9247AE"/>
    <w:rsid w:val="1D9F5E03"/>
    <w:rsid w:val="1DB55626"/>
    <w:rsid w:val="1DB567EC"/>
    <w:rsid w:val="1DC723B7"/>
    <w:rsid w:val="1DCF13DC"/>
    <w:rsid w:val="1DD923DD"/>
    <w:rsid w:val="1DF51A98"/>
    <w:rsid w:val="1E032835"/>
    <w:rsid w:val="1E355E18"/>
    <w:rsid w:val="1E3D060F"/>
    <w:rsid w:val="1E3F7D2E"/>
    <w:rsid w:val="1E4134E4"/>
    <w:rsid w:val="1E5062B3"/>
    <w:rsid w:val="1E523514"/>
    <w:rsid w:val="1E714A66"/>
    <w:rsid w:val="1E7451F5"/>
    <w:rsid w:val="1E802593"/>
    <w:rsid w:val="1E8B6156"/>
    <w:rsid w:val="1EA703CC"/>
    <w:rsid w:val="1EB7330C"/>
    <w:rsid w:val="1F0A0FF3"/>
    <w:rsid w:val="1F1278EC"/>
    <w:rsid w:val="1F533349"/>
    <w:rsid w:val="1F5771FF"/>
    <w:rsid w:val="1F953961"/>
    <w:rsid w:val="1FD52DD5"/>
    <w:rsid w:val="1FE868A9"/>
    <w:rsid w:val="1FF72C39"/>
    <w:rsid w:val="20034907"/>
    <w:rsid w:val="20173E4B"/>
    <w:rsid w:val="202251F5"/>
    <w:rsid w:val="2040033E"/>
    <w:rsid w:val="204E48BC"/>
    <w:rsid w:val="208921B3"/>
    <w:rsid w:val="20913F51"/>
    <w:rsid w:val="20973DEB"/>
    <w:rsid w:val="20A43E5C"/>
    <w:rsid w:val="20B26522"/>
    <w:rsid w:val="20B44310"/>
    <w:rsid w:val="20B669EC"/>
    <w:rsid w:val="20D12777"/>
    <w:rsid w:val="20D504B9"/>
    <w:rsid w:val="20DD727F"/>
    <w:rsid w:val="20E36EBF"/>
    <w:rsid w:val="20E66C09"/>
    <w:rsid w:val="211116EB"/>
    <w:rsid w:val="211F7986"/>
    <w:rsid w:val="215562AA"/>
    <w:rsid w:val="216133FC"/>
    <w:rsid w:val="21701F90"/>
    <w:rsid w:val="219C0FD7"/>
    <w:rsid w:val="21A25EC1"/>
    <w:rsid w:val="21BB1E7F"/>
    <w:rsid w:val="21D26F0C"/>
    <w:rsid w:val="21D56769"/>
    <w:rsid w:val="21E52EF3"/>
    <w:rsid w:val="21F04E7F"/>
    <w:rsid w:val="21FB5D7B"/>
    <w:rsid w:val="22015E94"/>
    <w:rsid w:val="22092760"/>
    <w:rsid w:val="220B1C3D"/>
    <w:rsid w:val="22124DF5"/>
    <w:rsid w:val="221D1D20"/>
    <w:rsid w:val="222F1E4B"/>
    <w:rsid w:val="22334A87"/>
    <w:rsid w:val="22525B39"/>
    <w:rsid w:val="22630AA2"/>
    <w:rsid w:val="226C09A9"/>
    <w:rsid w:val="22995516"/>
    <w:rsid w:val="22BE6801"/>
    <w:rsid w:val="22C24A6D"/>
    <w:rsid w:val="22CC4667"/>
    <w:rsid w:val="23290648"/>
    <w:rsid w:val="233500BF"/>
    <w:rsid w:val="23353996"/>
    <w:rsid w:val="23377FF7"/>
    <w:rsid w:val="236B425F"/>
    <w:rsid w:val="237A0EA4"/>
    <w:rsid w:val="23836192"/>
    <w:rsid w:val="23901F29"/>
    <w:rsid w:val="239C0061"/>
    <w:rsid w:val="23AD74CB"/>
    <w:rsid w:val="23B908A4"/>
    <w:rsid w:val="23C158FA"/>
    <w:rsid w:val="23C15EAA"/>
    <w:rsid w:val="23DD5776"/>
    <w:rsid w:val="23DE5434"/>
    <w:rsid w:val="23DE6A3E"/>
    <w:rsid w:val="23E95BEF"/>
    <w:rsid w:val="23EF1892"/>
    <w:rsid w:val="23FD0064"/>
    <w:rsid w:val="24077A99"/>
    <w:rsid w:val="242332EA"/>
    <w:rsid w:val="24431BDE"/>
    <w:rsid w:val="244E5CA5"/>
    <w:rsid w:val="245375B0"/>
    <w:rsid w:val="24635DDC"/>
    <w:rsid w:val="24642C0A"/>
    <w:rsid w:val="2493065F"/>
    <w:rsid w:val="24A3442A"/>
    <w:rsid w:val="24A73F1B"/>
    <w:rsid w:val="24B22173"/>
    <w:rsid w:val="24B95AD9"/>
    <w:rsid w:val="24BE24DA"/>
    <w:rsid w:val="24CF5825"/>
    <w:rsid w:val="24D663E6"/>
    <w:rsid w:val="24D77F2B"/>
    <w:rsid w:val="25394A15"/>
    <w:rsid w:val="255B2F57"/>
    <w:rsid w:val="256F72D1"/>
    <w:rsid w:val="258B00E2"/>
    <w:rsid w:val="25A917A6"/>
    <w:rsid w:val="25AE12D9"/>
    <w:rsid w:val="25BE27CC"/>
    <w:rsid w:val="25D80104"/>
    <w:rsid w:val="25DD3DEF"/>
    <w:rsid w:val="25F74A5C"/>
    <w:rsid w:val="25FB7465"/>
    <w:rsid w:val="261A4BC0"/>
    <w:rsid w:val="262275D1"/>
    <w:rsid w:val="2628662C"/>
    <w:rsid w:val="262D45DE"/>
    <w:rsid w:val="26393298"/>
    <w:rsid w:val="26871DC8"/>
    <w:rsid w:val="268B11AE"/>
    <w:rsid w:val="26A53EF9"/>
    <w:rsid w:val="26A94201"/>
    <w:rsid w:val="26AC274F"/>
    <w:rsid w:val="27044A29"/>
    <w:rsid w:val="27190DDB"/>
    <w:rsid w:val="271D34C8"/>
    <w:rsid w:val="275021DB"/>
    <w:rsid w:val="275612AA"/>
    <w:rsid w:val="276142BF"/>
    <w:rsid w:val="27783712"/>
    <w:rsid w:val="277B343D"/>
    <w:rsid w:val="277C00D0"/>
    <w:rsid w:val="27907362"/>
    <w:rsid w:val="27A04C51"/>
    <w:rsid w:val="27AE736E"/>
    <w:rsid w:val="27AF30E6"/>
    <w:rsid w:val="281523B6"/>
    <w:rsid w:val="28333E1D"/>
    <w:rsid w:val="28414686"/>
    <w:rsid w:val="28454BD6"/>
    <w:rsid w:val="28455253"/>
    <w:rsid w:val="285443B9"/>
    <w:rsid w:val="28551971"/>
    <w:rsid w:val="285B1C53"/>
    <w:rsid w:val="287B17EF"/>
    <w:rsid w:val="289B73D4"/>
    <w:rsid w:val="289F7086"/>
    <w:rsid w:val="28A37540"/>
    <w:rsid w:val="28B97DC4"/>
    <w:rsid w:val="28C32028"/>
    <w:rsid w:val="28CC490F"/>
    <w:rsid w:val="28DE40AA"/>
    <w:rsid w:val="28F471FC"/>
    <w:rsid w:val="28FE60D3"/>
    <w:rsid w:val="29064F88"/>
    <w:rsid w:val="29086C07"/>
    <w:rsid w:val="292F0982"/>
    <w:rsid w:val="29345E77"/>
    <w:rsid w:val="294C65AD"/>
    <w:rsid w:val="297B3BC8"/>
    <w:rsid w:val="29806583"/>
    <w:rsid w:val="29832344"/>
    <w:rsid w:val="29862181"/>
    <w:rsid w:val="298B3C4C"/>
    <w:rsid w:val="29C966E1"/>
    <w:rsid w:val="29F26D24"/>
    <w:rsid w:val="2A15033F"/>
    <w:rsid w:val="2A1662C1"/>
    <w:rsid w:val="2A1C7367"/>
    <w:rsid w:val="2A2815FA"/>
    <w:rsid w:val="2A5C071E"/>
    <w:rsid w:val="2A6D6092"/>
    <w:rsid w:val="2A7D76B4"/>
    <w:rsid w:val="2AC62C21"/>
    <w:rsid w:val="2AE35581"/>
    <w:rsid w:val="2B141BDE"/>
    <w:rsid w:val="2B261911"/>
    <w:rsid w:val="2B437463"/>
    <w:rsid w:val="2B542531"/>
    <w:rsid w:val="2B5E10AB"/>
    <w:rsid w:val="2B6761B2"/>
    <w:rsid w:val="2B7807EE"/>
    <w:rsid w:val="2B8925CC"/>
    <w:rsid w:val="2BA50BF7"/>
    <w:rsid w:val="2BBF00EC"/>
    <w:rsid w:val="2BC37CFD"/>
    <w:rsid w:val="2BD5237F"/>
    <w:rsid w:val="2BDC6CB5"/>
    <w:rsid w:val="2BE21CDC"/>
    <w:rsid w:val="2BE536CE"/>
    <w:rsid w:val="2BE758D9"/>
    <w:rsid w:val="2BF0264B"/>
    <w:rsid w:val="2C09049E"/>
    <w:rsid w:val="2C0A653C"/>
    <w:rsid w:val="2C136339"/>
    <w:rsid w:val="2C191F85"/>
    <w:rsid w:val="2C5429FE"/>
    <w:rsid w:val="2C542B89"/>
    <w:rsid w:val="2C5D75B5"/>
    <w:rsid w:val="2C602C15"/>
    <w:rsid w:val="2CE82D6F"/>
    <w:rsid w:val="2D0143E4"/>
    <w:rsid w:val="2D067C4C"/>
    <w:rsid w:val="2D212671"/>
    <w:rsid w:val="2D343236"/>
    <w:rsid w:val="2D484219"/>
    <w:rsid w:val="2D5619A2"/>
    <w:rsid w:val="2D684463"/>
    <w:rsid w:val="2DD15014"/>
    <w:rsid w:val="2DEC2D17"/>
    <w:rsid w:val="2DEF5344"/>
    <w:rsid w:val="2DF53ABA"/>
    <w:rsid w:val="2DF72DE4"/>
    <w:rsid w:val="2E0220AF"/>
    <w:rsid w:val="2E073C7C"/>
    <w:rsid w:val="2E0979F4"/>
    <w:rsid w:val="2E3D769E"/>
    <w:rsid w:val="2E431D7B"/>
    <w:rsid w:val="2E443652"/>
    <w:rsid w:val="2E4B082A"/>
    <w:rsid w:val="2E57691E"/>
    <w:rsid w:val="2E5D4E86"/>
    <w:rsid w:val="2E5D790B"/>
    <w:rsid w:val="2E894B7D"/>
    <w:rsid w:val="2E9A3C18"/>
    <w:rsid w:val="2E9A7BFA"/>
    <w:rsid w:val="2EAF7625"/>
    <w:rsid w:val="2EBB0FEE"/>
    <w:rsid w:val="2EC63002"/>
    <w:rsid w:val="2ECA65D4"/>
    <w:rsid w:val="2EED161A"/>
    <w:rsid w:val="2EF064BE"/>
    <w:rsid w:val="2EFB28B6"/>
    <w:rsid w:val="2F0A6B38"/>
    <w:rsid w:val="2F0F103A"/>
    <w:rsid w:val="2F167231"/>
    <w:rsid w:val="2F255CF0"/>
    <w:rsid w:val="2F5B070C"/>
    <w:rsid w:val="2F6B190E"/>
    <w:rsid w:val="2F707E3C"/>
    <w:rsid w:val="2F946CCB"/>
    <w:rsid w:val="2FD25781"/>
    <w:rsid w:val="2FDC745C"/>
    <w:rsid w:val="2FDD4C94"/>
    <w:rsid w:val="2FF95846"/>
    <w:rsid w:val="2FFD7934"/>
    <w:rsid w:val="30613E51"/>
    <w:rsid w:val="306406B8"/>
    <w:rsid w:val="306F1445"/>
    <w:rsid w:val="30733ACD"/>
    <w:rsid w:val="307849BD"/>
    <w:rsid w:val="307B625B"/>
    <w:rsid w:val="308415B4"/>
    <w:rsid w:val="308C3862"/>
    <w:rsid w:val="309379D8"/>
    <w:rsid w:val="30A270F7"/>
    <w:rsid w:val="30DF1478"/>
    <w:rsid w:val="30E16A06"/>
    <w:rsid w:val="30EC586F"/>
    <w:rsid w:val="311A1F18"/>
    <w:rsid w:val="312751FC"/>
    <w:rsid w:val="314550B7"/>
    <w:rsid w:val="314F750B"/>
    <w:rsid w:val="316311C9"/>
    <w:rsid w:val="31862202"/>
    <w:rsid w:val="318A0E4C"/>
    <w:rsid w:val="3192385D"/>
    <w:rsid w:val="319C6071"/>
    <w:rsid w:val="31A60937"/>
    <w:rsid w:val="31AB53D1"/>
    <w:rsid w:val="31AC537E"/>
    <w:rsid w:val="31E3679B"/>
    <w:rsid w:val="31E732FD"/>
    <w:rsid w:val="31FB7654"/>
    <w:rsid w:val="323A57AE"/>
    <w:rsid w:val="32517576"/>
    <w:rsid w:val="32717916"/>
    <w:rsid w:val="327B69E7"/>
    <w:rsid w:val="329A6E6D"/>
    <w:rsid w:val="329B0E37"/>
    <w:rsid w:val="32A264E5"/>
    <w:rsid w:val="32A45F3D"/>
    <w:rsid w:val="32A6798E"/>
    <w:rsid w:val="32BC3287"/>
    <w:rsid w:val="32BE5C2C"/>
    <w:rsid w:val="32EF7DD8"/>
    <w:rsid w:val="32FB3683"/>
    <w:rsid w:val="32FB6478"/>
    <w:rsid w:val="33263B3F"/>
    <w:rsid w:val="33493EB1"/>
    <w:rsid w:val="336963EB"/>
    <w:rsid w:val="33816EEB"/>
    <w:rsid w:val="339200B0"/>
    <w:rsid w:val="33B47609"/>
    <w:rsid w:val="33C57F19"/>
    <w:rsid w:val="33D60378"/>
    <w:rsid w:val="33D91C17"/>
    <w:rsid w:val="33EB55CD"/>
    <w:rsid w:val="33EC4C02"/>
    <w:rsid w:val="33F702EF"/>
    <w:rsid w:val="340D2360"/>
    <w:rsid w:val="3410665D"/>
    <w:rsid w:val="34211214"/>
    <w:rsid w:val="342E63AB"/>
    <w:rsid w:val="3442156A"/>
    <w:rsid w:val="34441786"/>
    <w:rsid w:val="34796F56"/>
    <w:rsid w:val="34950E68"/>
    <w:rsid w:val="34986E94"/>
    <w:rsid w:val="34AF62C9"/>
    <w:rsid w:val="34CB4388"/>
    <w:rsid w:val="34FA6E12"/>
    <w:rsid w:val="35347ACA"/>
    <w:rsid w:val="354167C7"/>
    <w:rsid w:val="354D7158"/>
    <w:rsid w:val="355359F9"/>
    <w:rsid w:val="35584DBD"/>
    <w:rsid w:val="358D5588"/>
    <w:rsid w:val="35A92538"/>
    <w:rsid w:val="35C44201"/>
    <w:rsid w:val="35E97165"/>
    <w:rsid w:val="35F86F08"/>
    <w:rsid w:val="3610593F"/>
    <w:rsid w:val="36252EF1"/>
    <w:rsid w:val="362E3A1F"/>
    <w:rsid w:val="363A3B40"/>
    <w:rsid w:val="36413AA3"/>
    <w:rsid w:val="364812ED"/>
    <w:rsid w:val="365302AE"/>
    <w:rsid w:val="36607A0A"/>
    <w:rsid w:val="366E227C"/>
    <w:rsid w:val="366F2E0D"/>
    <w:rsid w:val="367B6A5C"/>
    <w:rsid w:val="369167D9"/>
    <w:rsid w:val="369D13B4"/>
    <w:rsid w:val="369D1983"/>
    <w:rsid w:val="36A74ADA"/>
    <w:rsid w:val="36AD60D5"/>
    <w:rsid w:val="36B224F9"/>
    <w:rsid w:val="36B52F30"/>
    <w:rsid w:val="36B77CE8"/>
    <w:rsid w:val="36E42DAC"/>
    <w:rsid w:val="36EC0CC9"/>
    <w:rsid w:val="373F410B"/>
    <w:rsid w:val="374B2E2B"/>
    <w:rsid w:val="37951117"/>
    <w:rsid w:val="37973D18"/>
    <w:rsid w:val="379C5435"/>
    <w:rsid w:val="37C14E9C"/>
    <w:rsid w:val="37D2283E"/>
    <w:rsid w:val="37EA1376"/>
    <w:rsid w:val="37EE7094"/>
    <w:rsid w:val="38296C89"/>
    <w:rsid w:val="383002EB"/>
    <w:rsid w:val="383154F8"/>
    <w:rsid w:val="385555E4"/>
    <w:rsid w:val="38586797"/>
    <w:rsid w:val="38613F89"/>
    <w:rsid w:val="38800020"/>
    <w:rsid w:val="38BC0149"/>
    <w:rsid w:val="38D87D1C"/>
    <w:rsid w:val="38DD3E5B"/>
    <w:rsid w:val="38E35FF9"/>
    <w:rsid w:val="38E726E0"/>
    <w:rsid w:val="38EF5A38"/>
    <w:rsid w:val="391A77BD"/>
    <w:rsid w:val="393578EF"/>
    <w:rsid w:val="394A0E7B"/>
    <w:rsid w:val="39636459"/>
    <w:rsid w:val="396B7F6C"/>
    <w:rsid w:val="39B417A9"/>
    <w:rsid w:val="39CA5B1F"/>
    <w:rsid w:val="39D300F0"/>
    <w:rsid w:val="39F5243C"/>
    <w:rsid w:val="39FC5695"/>
    <w:rsid w:val="3A006D8E"/>
    <w:rsid w:val="3A1128C0"/>
    <w:rsid w:val="3A2B2111"/>
    <w:rsid w:val="3A3651E5"/>
    <w:rsid w:val="3A451DB4"/>
    <w:rsid w:val="3A744481"/>
    <w:rsid w:val="3A7F7C86"/>
    <w:rsid w:val="3A83468A"/>
    <w:rsid w:val="3A8874F8"/>
    <w:rsid w:val="3A8C7BEF"/>
    <w:rsid w:val="3A8D375B"/>
    <w:rsid w:val="3A906246"/>
    <w:rsid w:val="3AA00AE7"/>
    <w:rsid w:val="3AEB2651"/>
    <w:rsid w:val="3AFB0BB8"/>
    <w:rsid w:val="3B2349B7"/>
    <w:rsid w:val="3B252B5B"/>
    <w:rsid w:val="3B2A7A24"/>
    <w:rsid w:val="3B390E20"/>
    <w:rsid w:val="3B616CFF"/>
    <w:rsid w:val="3B6259F6"/>
    <w:rsid w:val="3B634ADD"/>
    <w:rsid w:val="3B903503"/>
    <w:rsid w:val="3B976654"/>
    <w:rsid w:val="3BC01EFC"/>
    <w:rsid w:val="3BC132F4"/>
    <w:rsid w:val="3BCA786A"/>
    <w:rsid w:val="3BD31E2F"/>
    <w:rsid w:val="3BD553B9"/>
    <w:rsid w:val="3BE9746E"/>
    <w:rsid w:val="3BEA72AB"/>
    <w:rsid w:val="3BED133F"/>
    <w:rsid w:val="3BF15831"/>
    <w:rsid w:val="3C105946"/>
    <w:rsid w:val="3C471448"/>
    <w:rsid w:val="3C4D4F50"/>
    <w:rsid w:val="3C5F759A"/>
    <w:rsid w:val="3C6C0248"/>
    <w:rsid w:val="3C6C525A"/>
    <w:rsid w:val="3CB44FCF"/>
    <w:rsid w:val="3CCE23CB"/>
    <w:rsid w:val="3CD17D17"/>
    <w:rsid w:val="3CEE304C"/>
    <w:rsid w:val="3D142FF3"/>
    <w:rsid w:val="3D1A2F01"/>
    <w:rsid w:val="3D257C7B"/>
    <w:rsid w:val="3D3C7F39"/>
    <w:rsid w:val="3D440F09"/>
    <w:rsid w:val="3D4504A0"/>
    <w:rsid w:val="3D460F10"/>
    <w:rsid w:val="3D4E0F7F"/>
    <w:rsid w:val="3D540560"/>
    <w:rsid w:val="3D561A44"/>
    <w:rsid w:val="3D69615C"/>
    <w:rsid w:val="3D8734BB"/>
    <w:rsid w:val="3D9A11D4"/>
    <w:rsid w:val="3DA16D89"/>
    <w:rsid w:val="3DA364BE"/>
    <w:rsid w:val="3DAD746C"/>
    <w:rsid w:val="3DAF5796"/>
    <w:rsid w:val="3DB4472E"/>
    <w:rsid w:val="3DD35929"/>
    <w:rsid w:val="3DE041CB"/>
    <w:rsid w:val="3E09134A"/>
    <w:rsid w:val="3E0D48F6"/>
    <w:rsid w:val="3E1868B4"/>
    <w:rsid w:val="3E340512"/>
    <w:rsid w:val="3E377251"/>
    <w:rsid w:val="3E3A2AFF"/>
    <w:rsid w:val="3E42664B"/>
    <w:rsid w:val="3E522CF1"/>
    <w:rsid w:val="3E5A7334"/>
    <w:rsid w:val="3E7B5D6B"/>
    <w:rsid w:val="3E843E66"/>
    <w:rsid w:val="3E8F51FE"/>
    <w:rsid w:val="3E926F87"/>
    <w:rsid w:val="3E9A59DE"/>
    <w:rsid w:val="3E9C21BE"/>
    <w:rsid w:val="3EAF4836"/>
    <w:rsid w:val="3EB43064"/>
    <w:rsid w:val="3EC33DFA"/>
    <w:rsid w:val="3EED268A"/>
    <w:rsid w:val="3F060E16"/>
    <w:rsid w:val="3F0A35CC"/>
    <w:rsid w:val="3F1D1096"/>
    <w:rsid w:val="3F1E5A0F"/>
    <w:rsid w:val="3F2F0234"/>
    <w:rsid w:val="3F43263A"/>
    <w:rsid w:val="3F473D96"/>
    <w:rsid w:val="3F6363FE"/>
    <w:rsid w:val="3F756B8F"/>
    <w:rsid w:val="3F827606"/>
    <w:rsid w:val="3F95482B"/>
    <w:rsid w:val="3FB47094"/>
    <w:rsid w:val="3FF878C8"/>
    <w:rsid w:val="40172726"/>
    <w:rsid w:val="4019356B"/>
    <w:rsid w:val="403C29CE"/>
    <w:rsid w:val="40592157"/>
    <w:rsid w:val="406E1CAE"/>
    <w:rsid w:val="40A0133A"/>
    <w:rsid w:val="40AF442B"/>
    <w:rsid w:val="40C31A53"/>
    <w:rsid w:val="40D17AA4"/>
    <w:rsid w:val="40D75730"/>
    <w:rsid w:val="40E1035D"/>
    <w:rsid w:val="40FF545D"/>
    <w:rsid w:val="410067C8"/>
    <w:rsid w:val="410269FE"/>
    <w:rsid w:val="41256684"/>
    <w:rsid w:val="41270465"/>
    <w:rsid w:val="412F2E76"/>
    <w:rsid w:val="41432DC5"/>
    <w:rsid w:val="41665B8C"/>
    <w:rsid w:val="41801BCC"/>
    <w:rsid w:val="41845111"/>
    <w:rsid w:val="418F0D2A"/>
    <w:rsid w:val="41A41AB6"/>
    <w:rsid w:val="41B31CF9"/>
    <w:rsid w:val="41C932CA"/>
    <w:rsid w:val="41D01505"/>
    <w:rsid w:val="42372DD9"/>
    <w:rsid w:val="42391158"/>
    <w:rsid w:val="42474939"/>
    <w:rsid w:val="424C3C57"/>
    <w:rsid w:val="42613FF3"/>
    <w:rsid w:val="42660D96"/>
    <w:rsid w:val="428667D2"/>
    <w:rsid w:val="42876CE2"/>
    <w:rsid w:val="42A2458D"/>
    <w:rsid w:val="42CD1CE0"/>
    <w:rsid w:val="42E1381E"/>
    <w:rsid w:val="42ED6459"/>
    <w:rsid w:val="42FE58DD"/>
    <w:rsid w:val="43174B3D"/>
    <w:rsid w:val="431A7B56"/>
    <w:rsid w:val="434B790E"/>
    <w:rsid w:val="4360274F"/>
    <w:rsid w:val="43713C1A"/>
    <w:rsid w:val="43761D31"/>
    <w:rsid w:val="437A4E3E"/>
    <w:rsid w:val="439416B6"/>
    <w:rsid w:val="43977AB6"/>
    <w:rsid w:val="43A3342B"/>
    <w:rsid w:val="43AD3A9C"/>
    <w:rsid w:val="43C77C27"/>
    <w:rsid w:val="43CE2E1A"/>
    <w:rsid w:val="43DE09EE"/>
    <w:rsid w:val="43E066A9"/>
    <w:rsid w:val="43F84669"/>
    <w:rsid w:val="44002FAD"/>
    <w:rsid w:val="4447497A"/>
    <w:rsid w:val="446E797B"/>
    <w:rsid w:val="449101DD"/>
    <w:rsid w:val="449B3B4E"/>
    <w:rsid w:val="449D33DB"/>
    <w:rsid w:val="44A92F3F"/>
    <w:rsid w:val="44B45477"/>
    <w:rsid w:val="44CC6C2E"/>
    <w:rsid w:val="44D0772C"/>
    <w:rsid w:val="44DE1391"/>
    <w:rsid w:val="450E5498"/>
    <w:rsid w:val="451B225C"/>
    <w:rsid w:val="452410C9"/>
    <w:rsid w:val="45275022"/>
    <w:rsid w:val="45317DFB"/>
    <w:rsid w:val="456D3CE4"/>
    <w:rsid w:val="4579042C"/>
    <w:rsid w:val="45790B64"/>
    <w:rsid w:val="457F0571"/>
    <w:rsid w:val="45851176"/>
    <w:rsid w:val="45927E77"/>
    <w:rsid w:val="459E2E05"/>
    <w:rsid w:val="45A8633B"/>
    <w:rsid w:val="45B222C8"/>
    <w:rsid w:val="45C34293"/>
    <w:rsid w:val="45C63B94"/>
    <w:rsid w:val="45D16BF2"/>
    <w:rsid w:val="45EF52CA"/>
    <w:rsid w:val="46050AC8"/>
    <w:rsid w:val="460E7DA5"/>
    <w:rsid w:val="460F3109"/>
    <w:rsid w:val="461F39F6"/>
    <w:rsid w:val="46400C24"/>
    <w:rsid w:val="46422483"/>
    <w:rsid w:val="46452C85"/>
    <w:rsid w:val="46512483"/>
    <w:rsid w:val="46566E38"/>
    <w:rsid w:val="4659254A"/>
    <w:rsid w:val="465B0637"/>
    <w:rsid w:val="465E3F0D"/>
    <w:rsid w:val="466A16E6"/>
    <w:rsid w:val="46713F31"/>
    <w:rsid w:val="46893F2B"/>
    <w:rsid w:val="468B6727"/>
    <w:rsid w:val="46B9747D"/>
    <w:rsid w:val="46C4686E"/>
    <w:rsid w:val="46F04123"/>
    <w:rsid w:val="47040901"/>
    <w:rsid w:val="47193135"/>
    <w:rsid w:val="47253265"/>
    <w:rsid w:val="47317A9B"/>
    <w:rsid w:val="4746716B"/>
    <w:rsid w:val="477B778F"/>
    <w:rsid w:val="478101A3"/>
    <w:rsid w:val="478203EC"/>
    <w:rsid w:val="4787440D"/>
    <w:rsid w:val="47B025FA"/>
    <w:rsid w:val="4809698F"/>
    <w:rsid w:val="48102704"/>
    <w:rsid w:val="4811697D"/>
    <w:rsid w:val="4823125B"/>
    <w:rsid w:val="485458B8"/>
    <w:rsid w:val="48743174"/>
    <w:rsid w:val="487A3E25"/>
    <w:rsid w:val="488B5503"/>
    <w:rsid w:val="48937E21"/>
    <w:rsid w:val="489A0361"/>
    <w:rsid w:val="48B94FF3"/>
    <w:rsid w:val="48BC4DD5"/>
    <w:rsid w:val="48CE566A"/>
    <w:rsid w:val="48D11FAA"/>
    <w:rsid w:val="48E37AAB"/>
    <w:rsid w:val="48F26E2E"/>
    <w:rsid w:val="48FD4B4C"/>
    <w:rsid w:val="490A68E0"/>
    <w:rsid w:val="491055FE"/>
    <w:rsid w:val="49105C83"/>
    <w:rsid w:val="491F7C74"/>
    <w:rsid w:val="4922657C"/>
    <w:rsid w:val="49297C0A"/>
    <w:rsid w:val="49391A6E"/>
    <w:rsid w:val="494F6304"/>
    <w:rsid w:val="495F5B3E"/>
    <w:rsid w:val="496F77D7"/>
    <w:rsid w:val="497654FD"/>
    <w:rsid w:val="49830203"/>
    <w:rsid w:val="49B64211"/>
    <w:rsid w:val="49C8030C"/>
    <w:rsid w:val="49E56AF9"/>
    <w:rsid w:val="49F6167F"/>
    <w:rsid w:val="4A064FA0"/>
    <w:rsid w:val="4A0B35B5"/>
    <w:rsid w:val="4A16615C"/>
    <w:rsid w:val="4A4424D7"/>
    <w:rsid w:val="4A5B6485"/>
    <w:rsid w:val="4A86362B"/>
    <w:rsid w:val="4A870AE8"/>
    <w:rsid w:val="4AB82D0F"/>
    <w:rsid w:val="4ABB2814"/>
    <w:rsid w:val="4AD849ED"/>
    <w:rsid w:val="4AEB7664"/>
    <w:rsid w:val="4AFC64BF"/>
    <w:rsid w:val="4AFD7C19"/>
    <w:rsid w:val="4AFF7D5D"/>
    <w:rsid w:val="4B03281C"/>
    <w:rsid w:val="4B0567D1"/>
    <w:rsid w:val="4B236AAE"/>
    <w:rsid w:val="4B50680B"/>
    <w:rsid w:val="4B5D2CD5"/>
    <w:rsid w:val="4B5D4A84"/>
    <w:rsid w:val="4B6C2A28"/>
    <w:rsid w:val="4B707271"/>
    <w:rsid w:val="4B773D97"/>
    <w:rsid w:val="4B775B45"/>
    <w:rsid w:val="4B885FA4"/>
    <w:rsid w:val="4B8D3CA4"/>
    <w:rsid w:val="4B9739F7"/>
    <w:rsid w:val="4BAA21AE"/>
    <w:rsid w:val="4BD5487E"/>
    <w:rsid w:val="4BEE2503"/>
    <w:rsid w:val="4BF944CE"/>
    <w:rsid w:val="4C0513A3"/>
    <w:rsid w:val="4C067276"/>
    <w:rsid w:val="4C121A73"/>
    <w:rsid w:val="4C17610B"/>
    <w:rsid w:val="4C245A30"/>
    <w:rsid w:val="4C2B3797"/>
    <w:rsid w:val="4C356724"/>
    <w:rsid w:val="4C436549"/>
    <w:rsid w:val="4C4B0D80"/>
    <w:rsid w:val="4C8B4D74"/>
    <w:rsid w:val="4C957343"/>
    <w:rsid w:val="4CB6685F"/>
    <w:rsid w:val="4CC367FE"/>
    <w:rsid w:val="4CFF4044"/>
    <w:rsid w:val="4D027691"/>
    <w:rsid w:val="4D07114B"/>
    <w:rsid w:val="4D077F3C"/>
    <w:rsid w:val="4D123355"/>
    <w:rsid w:val="4D2A3B31"/>
    <w:rsid w:val="4D312C52"/>
    <w:rsid w:val="4D905305"/>
    <w:rsid w:val="4D956757"/>
    <w:rsid w:val="4D964A72"/>
    <w:rsid w:val="4D9C1254"/>
    <w:rsid w:val="4DA80334"/>
    <w:rsid w:val="4DB040DA"/>
    <w:rsid w:val="4DB07781"/>
    <w:rsid w:val="4DC94652"/>
    <w:rsid w:val="4E2A74FF"/>
    <w:rsid w:val="4E323096"/>
    <w:rsid w:val="4E4361B3"/>
    <w:rsid w:val="4E4B32B9"/>
    <w:rsid w:val="4E550E94"/>
    <w:rsid w:val="4E6B68EA"/>
    <w:rsid w:val="4E793892"/>
    <w:rsid w:val="4E800872"/>
    <w:rsid w:val="4E802F63"/>
    <w:rsid w:val="4EA87FBA"/>
    <w:rsid w:val="4EB07F74"/>
    <w:rsid w:val="4EC569ED"/>
    <w:rsid w:val="4ED50EA1"/>
    <w:rsid w:val="4EEC050C"/>
    <w:rsid w:val="4F104EC3"/>
    <w:rsid w:val="4F400944"/>
    <w:rsid w:val="4F47354A"/>
    <w:rsid w:val="4F516DAE"/>
    <w:rsid w:val="4F911C54"/>
    <w:rsid w:val="4FA9329B"/>
    <w:rsid w:val="4FCC21D8"/>
    <w:rsid w:val="4FDE0CAB"/>
    <w:rsid w:val="4FDE6719"/>
    <w:rsid w:val="4FE37C4D"/>
    <w:rsid w:val="4FE625E0"/>
    <w:rsid w:val="5021480F"/>
    <w:rsid w:val="50842203"/>
    <w:rsid w:val="50852AB2"/>
    <w:rsid w:val="50962ECB"/>
    <w:rsid w:val="50A42E38"/>
    <w:rsid w:val="50A4577F"/>
    <w:rsid w:val="50B73D1F"/>
    <w:rsid w:val="50BD5BC9"/>
    <w:rsid w:val="50C11EEE"/>
    <w:rsid w:val="50E97CFC"/>
    <w:rsid w:val="50F33EC0"/>
    <w:rsid w:val="50FA4028"/>
    <w:rsid w:val="510D65B7"/>
    <w:rsid w:val="511157AB"/>
    <w:rsid w:val="51121E6C"/>
    <w:rsid w:val="51271DBC"/>
    <w:rsid w:val="513149E8"/>
    <w:rsid w:val="5142540C"/>
    <w:rsid w:val="51694182"/>
    <w:rsid w:val="51840FBC"/>
    <w:rsid w:val="518832C8"/>
    <w:rsid w:val="519D3C50"/>
    <w:rsid w:val="51A0432A"/>
    <w:rsid w:val="51A5377F"/>
    <w:rsid w:val="51A86090"/>
    <w:rsid w:val="51B7396D"/>
    <w:rsid w:val="51C413B8"/>
    <w:rsid w:val="520012B8"/>
    <w:rsid w:val="522602C5"/>
    <w:rsid w:val="522E4CC3"/>
    <w:rsid w:val="523A78CD"/>
    <w:rsid w:val="523C3645"/>
    <w:rsid w:val="5244713B"/>
    <w:rsid w:val="52615633"/>
    <w:rsid w:val="526F4DE4"/>
    <w:rsid w:val="529214B7"/>
    <w:rsid w:val="52930CC4"/>
    <w:rsid w:val="52977FD4"/>
    <w:rsid w:val="52A25790"/>
    <w:rsid w:val="52A96B6F"/>
    <w:rsid w:val="52B45975"/>
    <w:rsid w:val="52D94AA4"/>
    <w:rsid w:val="52E77A54"/>
    <w:rsid w:val="52EA3A62"/>
    <w:rsid w:val="52F50BB8"/>
    <w:rsid w:val="53097272"/>
    <w:rsid w:val="530A54F1"/>
    <w:rsid w:val="53544462"/>
    <w:rsid w:val="5365629E"/>
    <w:rsid w:val="53901E9A"/>
    <w:rsid w:val="5397158E"/>
    <w:rsid w:val="53F463B9"/>
    <w:rsid w:val="54013861"/>
    <w:rsid w:val="54136627"/>
    <w:rsid w:val="541A5C08"/>
    <w:rsid w:val="54273E81"/>
    <w:rsid w:val="54487265"/>
    <w:rsid w:val="54490C47"/>
    <w:rsid w:val="544D6070"/>
    <w:rsid w:val="5452125E"/>
    <w:rsid w:val="545804DE"/>
    <w:rsid w:val="54605E1E"/>
    <w:rsid w:val="548A7139"/>
    <w:rsid w:val="54977258"/>
    <w:rsid w:val="54B1668A"/>
    <w:rsid w:val="54B3506A"/>
    <w:rsid w:val="54CA0D16"/>
    <w:rsid w:val="54CF6327"/>
    <w:rsid w:val="54DD4057"/>
    <w:rsid w:val="54E7490F"/>
    <w:rsid w:val="54EA55DA"/>
    <w:rsid w:val="550764A4"/>
    <w:rsid w:val="550B2BF6"/>
    <w:rsid w:val="55214EB5"/>
    <w:rsid w:val="5526536C"/>
    <w:rsid w:val="55364EFD"/>
    <w:rsid w:val="553D7E00"/>
    <w:rsid w:val="55442ED5"/>
    <w:rsid w:val="55576B74"/>
    <w:rsid w:val="555D4828"/>
    <w:rsid w:val="55780E38"/>
    <w:rsid w:val="5579070C"/>
    <w:rsid w:val="557A4C8B"/>
    <w:rsid w:val="558931E1"/>
    <w:rsid w:val="55923347"/>
    <w:rsid w:val="55925180"/>
    <w:rsid w:val="55960165"/>
    <w:rsid w:val="55983B1B"/>
    <w:rsid w:val="55A574B5"/>
    <w:rsid w:val="55A8376B"/>
    <w:rsid w:val="55DC29B6"/>
    <w:rsid w:val="55DD4241"/>
    <w:rsid w:val="55F07904"/>
    <w:rsid w:val="562616C9"/>
    <w:rsid w:val="563A433F"/>
    <w:rsid w:val="56564E31"/>
    <w:rsid w:val="566B6D1E"/>
    <w:rsid w:val="56BA1C74"/>
    <w:rsid w:val="56BE47BD"/>
    <w:rsid w:val="56F269C8"/>
    <w:rsid w:val="57032A2C"/>
    <w:rsid w:val="570D19B1"/>
    <w:rsid w:val="570D75DD"/>
    <w:rsid w:val="570F38F4"/>
    <w:rsid w:val="570F5219"/>
    <w:rsid w:val="571E5A0F"/>
    <w:rsid w:val="57323268"/>
    <w:rsid w:val="5749020C"/>
    <w:rsid w:val="575244A1"/>
    <w:rsid w:val="57572313"/>
    <w:rsid w:val="575D12B5"/>
    <w:rsid w:val="57610A87"/>
    <w:rsid w:val="57711FE2"/>
    <w:rsid w:val="577B1140"/>
    <w:rsid w:val="577B7F21"/>
    <w:rsid w:val="577F181B"/>
    <w:rsid w:val="57921984"/>
    <w:rsid w:val="579737F0"/>
    <w:rsid w:val="57AB7B30"/>
    <w:rsid w:val="57AF5251"/>
    <w:rsid w:val="57B26373"/>
    <w:rsid w:val="57B63F04"/>
    <w:rsid w:val="57CD20C2"/>
    <w:rsid w:val="57D675AB"/>
    <w:rsid w:val="57D95FDD"/>
    <w:rsid w:val="580C3AD7"/>
    <w:rsid w:val="58917D2F"/>
    <w:rsid w:val="5894085C"/>
    <w:rsid w:val="58AE4F0C"/>
    <w:rsid w:val="58B85899"/>
    <w:rsid w:val="58C425E6"/>
    <w:rsid w:val="58C44394"/>
    <w:rsid w:val="58E214D4"/>
    <w:rsid w:val="58E363A9"/>
    <w:rsid w:val="58F20F01"/>
    <w:rsid w:val="595E1678"/>
    <w:rsid w:val="59622821"/>
    <w:rsid w:val="596D5BD4"/>
    <w:rsid w:val="597C07CB"/>
    <w:rsid w:val="597E3DD8"/>
    <w:rsid w:val="597F3040"/>
    <w:rsid w:val="59934492"/>
    <w:rsid w:val="59F80043"/>
    <w:rsid w:val="5A026F22"/>
    <w:rsid w:val="5A09252F"/>
    <w:rsid w:val="5A0B2778"/>
    <w:rsid w:val="5A2039A6"/>
    <w:rsid w:val="5A2A7C7B"/>
    <w:rsid w:val="5A3A2B60"/>
    <w:rsid w:val="5A3E2560"/>
    <w:rsid w:val="5A557999"/>
    <w:rsid w:val="5A5D3B6E"/>
    <w:rsid w:val="5A630C3F"/>
    <w:rsid w:val="5A637A76"/>
    <w:rsid w:val="5A6A4AC7"/>
    <w:rsid w:val="5A6D33BA"/>
    <w:rsid w:val="5A76064E"/>
    <w:rsid w:val="5A792B1F"/>
    <w:rsid w:val="5A870A73"/>
    <w:rsid w:val="5A874767"/>
    <w:rsid w:val="5AA85BE2"/>
    <w:rsid w:val="5AAD6F28"/>
    <w:rsid w:val="5AD63A24"/>
    <w:rsid w:val="5AE65A3B"/>
    <w:rsid w:val="5AE94CFF"/>
    <w:rsid w:val="5B072516"/>
    <w:rsid w:val="5B266C40"/>
    <w:rsid w:val="5B2E1A1D"/>
    <w:rsid w:val="5B3A4760"/>
    <w:rsid w:val="5B480C15"/>
    <w:rsid w:val="5B843A1C"/>
    <w:rsid w:val="5B873E3F"/>
    <w:rsid w:val="5BBE7ADC"/>
    <w:rsid w:val="5BEB2827"/>
    <w:rsid w:val="5C0056E3"/>
    <w:rsid w:val="5C02690E"/>
    <w:rsid w:val="5C153445"/>
    <w:rsid w:val="5C196DA7"/>
    <w:rsid w:val="5C1B2311"/>
    <w:rsid w:val="5C2A048C"/>
    <w:rsid w:val="5C3B496D"/>
    <w:rsid w:val="5C570C97"/>
    <w:rsid w:val="5C80234E"/>
    <w:rsid w:val="5C8A680C"/>
    <w:rsid w:val="5C8B76A2"/>
    <w:rsid w:val="5CDF148F"/>
    <w:rsid w:val="5D0C4701"/>
    <w:rsid w:val="5D0F0395"/>
    <w:rsid w:val="5D221076"/>
    <w:rsid w:val="5D2B0F7C"/>
    <w:rsid w:val="5D2E002E"/>
    <w:rsid w:val="5D397964"/>
    <w:rsid w:val="5D482B2A"/>
    <w:rsid w:val="5D4B0BE0"/>
    <w:rsid w:val="5D5A391C"/>
    <w:rsid w:val="5D5F10C0"/>
    <w:rsid w:val="5D720862"/>
    <w:rsid w:val="5D755C5D"/>
    <w:rsid w:val="5D891B7B"/>
    <w:rsid w:val="5D8B5480"/>
    <w:rsid w:val="5D9E3405"/>
    <w:rsid w:val="5DA249FC"/>
    <w:rsid w:val="5DAD38EE"/>
    <w:rsid w:val="5DB70023"/>
    <w:rsid w:val="5DC866D4"/>
    <w:rsid w:val="5DCC0264"/>
    <w:rsid w:val="5DCC7F73"/>
    <w:rsid w:val="5DF63241"/>
    <w:rsid w:val="5E006862"/>
    <w:rsid w:val="5E0207B9"/>
    <w:rsid w:val="5E1834A1"/>
    <w:rsid w:val="5E253121"/>
    <w:rsid w:val="5E261785"/>
    <w:rsid w:val="5E4A7017"/>
    <w:rsid w:val="5E552BBA"/>
    <w:rsid w:val="5E611C10"/>
    <w:rsid w:val="5E7A0F3F"/>
    <w:rsid w:val="5E85118E"/>
    <w:rsid w:val="5EC7073A"/>
    <w:rsid w:val="5EFC7377"/>
    <w:rsid w:val="5F06174D"/>
    <w:rsid w:val="5F2636B2"/>
    <w:rsid w:val="5F3A3602"/>
    <w:rsid w:val="5F45733B"/>
    <w:rsid w:val="5F6277C6"/>
    <w:rsid w:val="5F635BF1"/>
    <w:rsid w:val="5F6D0B1D"/>
    <w:rsid w:val="5F8D0B82"/>
    <w:rsid w:val="5FC52ECB"/>
    <w:rsid w:val="5FCC5339"/>
    <w:rsid w:val="5FE34A5B"/>
    <w:rsid w:val="5FE5531C"/>
    <w:rsid w:val="5FEF619A"/>
    <w:rsid w:val="5FFE1E36"/>
    <w:rsid w:val="601A1922"/>
    <w:rsid w:val="60232584"/>
    <w:rsid w:val="604007A4"/>
    <w:rsid w:val="60536729"/>
    <w:rsid w:val="607330CE"/>
    <w:rsid w:val="60825176"/>
    <w:rsid w:val="60934D78"/>
    <w:rsid w:val="609F2AC4"/>
    <w:rsid w:val="60B53531"/>
    <w:rsid w:val="60D121A3"/>
    <w:rsid w:val="60D94755"/>
    <w:rsid w:val="60DA29A7"/>
    <w:rsid w:val="60E70C20"/>
    <w:rsid w:val="60F375C4"/>
    <w:rsid w:val="60FA2EE8"/>
    <w:rsid w:val="610304D9"/>
    <w:rsid w:val="61054A27"/>
    <w:rsid w:val="610A52BC"/>
    <w:rsid w:val="611539DF"/>
    <w:rsid w:val="611D2366"/>
    <w:rsid w:val="612B3202"/>
    <w:rsid w:val="61355E2F"/>
    <w:rsid w:val="61421856"/>
    <w:rsid w:val="615227C4"/>
    <w:rsid w:val="61654E3F"/>
    <w:rsid w:val="61693D2A"/>
    <w:rsid w:val="617059E9"/>
    <w:rsid w:val="6182292A"/>
    <w:rsid w:val="618B1EF3"/>
    <w:rsid w:val="619F7F92"/>
    <w:rsid w:val="61C86CA3"/>
    <w:rsid w:val="61D512CE"/>
    <w:rsid w:val="61E31DFB"/>
    <w:rsid w:val="61F335F4"/>
    <w:rsid w:val="61F94C26"/>
    <w:rsid w:val="62000E56"/>
    <w:rsid w:val="62172ADC"/>
    <w:rsid w:val="623E0D13"/>
    <w:rsid w:val="624F3E49"/>
    <w:rsid w:val="62612C54"/>
    <w:rsid w:val="62632286"/>
    <w:rsid w:val="6267026A"/>
    <w:rsid w:val="62726424"/>
    <w:rsid w:val="62885958"/>
    <w:rsid w:val="629923ED"/>
    <w:rsid w:val="62D120B1"/>
    <w:rsid w:val="62E418BB"/>
    <w:rsid w:val="62F40B65"/>
    <w:rsid w:val="62FC2CFE"/>
    <w:rsid w:val="62FC489E"/>
    <w:rsid w:val="63024505"/>
    <w:rsid w:val="632447AF"/>
    <w:rsid w:val="6350137D"/>
    <w:rsid w:val="635600A5"/>
    <w:rsid w:val="635B1DB5"/>
    <w:rsid w:val="63690012"/>
    <w:rsid w:val="636C365E"/>
    <w:rsid w:val="636E5628"/>
    <w:rsid w:val="63711FED"/>
    <w:rsid w:val="63880DDC"/>
    <w:rsid w:val="638D750D"/>
    <w:rsid w:val="639D5F0D"/>
    <w:rsid w:val="639F1C85"/>
    <w:rsid w:val="63AC6CC0"/>
    <w:rsid w:val="63AE3C76"/>
    <w:rsid w:val="64055776"/>
    <w:rsid w:val="64080AEB"/>
    <w:rsid w:val="64240056"/>
    <w:rsid w:val="642F2868"/>
    <w:rsid w:val="643E143A"/>
    <w:rsid w:val="64491666"/>
    <w:rsid w:val="647C5B23"/>
    <w:rsid w:val="648B6EEF"/>
    <w:rsid w:val="64C158BF"/>
    <w:rsid w:val="64CE2EAA"/>
    <w:rsid w:val="65003A97"/>
    <w:rsid w:val="6536434F"/>
    <w:rsid w:val="653C3090"/>
    <w:rsid w:val="653D52B2"/>
    <w:rsid w:val="655F16CC"/>
    <w:rsid w:val="65854376"/>
    <w:rsid w:val="65856DC3"/>
    <w:rsid w:val="658767BE"/>
    <w:rsid w:val="65892531"/>
    <w:rsid w:val="65B35574"/>
    <w:rsid w:val="65D73958"/>
    <w:rsid w:val="66195831"/>
    <w:rsid w:val="662E75B1"/>
    <w:rsid w:val="66326DE1"/>
    <w:rsid w:val="66342C2E"/>
    <w:rsid w:val="663761A3"/>
    <w:rsid w:val="663E784C"/>
    <w:rsid w:val="66434B4A"/>
    <w:rsid w:val="6664416F"/>
    <w:rsid w:val="667A66EB"/>
    <w:rsid w:val="6686712D"/>
    <w:rsid w:val="668A09CB"/>
    <w:rsid w:val="668B6A45"/>
    <w:rsid w:val="66A93017"/>
    <w:rsid w:val="66E021D3"/>
    <w:rsid w:val="66EC51E2"/>
    <w:rsid w:val="67011F07"/>
    <w:rsid w:val="671F030D"/>
    <w:rsid w:val="672F3F24"/>
    <w:rsid w:val="67337EAA"/>
    <w:rsid w:val="673E055F"/>
    <w:rsid w:val="67471764"/>
    <w:rsid w:val="67551CE3"/>
    <w:rsid w:val="67A22552"/>
    <w:rsid w:val="67B22DCC"/>
    <w:rsid w:val="67BE71AA"/>
    <w:rsid w:val="67D90273"/>
    <w:rsid w:val="67DA78E1"/>
    <w:rsid w:val="67DE5875"/>
    <w:rsid w:val="67E55852"/>
    <w:rsid w:val="67EB1AB4"/>
    <w:rsid w:val="67FA1285"/>
    <w:rsid w:val="68210EBB"/>
    <w:rsid w:val="683F57E5"/>
    <w:rsid w:val="68551F4F"/>
    <w:rsid w:val="685C7E37"/>
    <w:rsid w:val="68632E35"/>
    <w:rsid w:val="687C10C9"/>
    <w:rsid w:val="68840314"/>
    <w:rsid w:val="68840C16"/>
    <w:rsid w:val="68866CD3"/>
    <w:rsid w:val="68872541"/>
    <w:rsid w:val="68876EFB"/>
    <w:rsid w:val="68884654"/>
    <w:rsid w:val="68925AA2"/>
    <w:rsid w:val="689F444F"/>
    <w:rsid w:val="68B96DBB"/>
    <w:rsid w:val="68CA2805"/>
    <w:rsid w:val="68E937A3"/>
    <w:rsid w:val="691664E5"/>
    <w:rsid w:val="691C0AB8"/>
    <w:rsid w:val="693E15D3"/>
    <w:rsid w:val="69584DB0"/>
    <w:rsid w:val="69627681"/>
    <w:rsid w:val="696857DB"/>
    <w:rsid w:val="69755248"/>
    <w:rsid w:val="6977531D"/>
    <w:rsid w:val="69912070"/>
    <w:rsid w:val="69AB1384"/>
    <w:rsid w:val="69CC2BFF"/>
    <w:rsid w:val="69D411E4"/>
    <w:rsid w:val="69DB32EB"/>
    <w:rsid w:val="69DC4401"/>
    <w:rsid w:val="69FD55B8"/>
    <w:rsid w:val="69FF3F6A"/>
    <w:rsid w:val="6A0B1C62"/>
    <w:rsid w:val="6A0E6EBA"/>
    <w:rsid w:val="6A2406C8"/>
    <w:rsid w:val="6A4D243B"/>
    <w:rsid w:val="6AA81420"/>
    <w:rsid w:val="6AAC0744"/>
    <w:rsid w:val="6AB5047B"/>
    <w:rsid w:val="6ACC649E"/>
    <w:rsid w:val="6ADE0BD1"/>
    <w:rsid w:val="6AE96859"/>
    <w:rsid w:val="6AF641BE"/>
    <w:rsid w:val="6B0531F6"/>
    <w:rsid w:val="6B147746"/>
    <w:rsid w:val="6B24787C"/>
    <w:rsid w:val="6B3453A9"/>
    <w:rsid w:val="6B573233"/>
    <w:rsid w:val="6B5B6274"/>
    <w:rsid w:val="6B60737B"/>
    <w:rsid w:val="6B903E85"/>
    <w:rsid w:val="6B9138F9"/>
    <w:rsid w:val="6B935D53"/>
    <w:rsid w:val="6B9F4FE6"/>
    <w:rsid w:val="6BD9385B"/>
    <w:rsid w:val="6BF15048"/>
    <w:rsid w:val="6C0F54CE"/>
    <w:rsid w:val="6C127507"/>
    <w:rsid w:val="6C196F71"/>
    <w:rsid w:val="6C226FCB"/>
    <w:rsid w:val="6C31226F"/>
    <w:rsid w:val="6C471EF4"/>
    <w:rsid w:val="6C507FC1"/>
    <w:rsid w:val="6C552F0B"/>
    <w:rsid w:val="6C7B7A43"/>
    <w:rsid w:val="6C7C2B64"/>
    <w:rsid w:val="6C866EFE"/>
    <w:rsid w:val="6C8C67B7"/>
    <w:rsid w:val="6C9D744C"/>
    <w:rsid w:val="6D0B1684"/>
    <w:rsid w:val="6D167928"/>
    <w:rsid w:val="6D26299B"/>
    <w:rsid w:val="6D401DE3"/>
    <w:rsid w:val="6D4029C4"/>
    <w:rsid w:val="6D4772EC"/>
    <w:rsid w:val="6D49745E"/>
    <w:rsid w:val="6D5533DD"/>
    <w:rsid w:val="6D5D71E4"/>
    <w:rsid w:val="6D610C89"/>
    <w:rsid w:val="6D7E46BA"/>
    <w:rsid w:val="6D9078AF"/>
    <w:rsid w:val="6DAA3FEF"/>
    <w:rsid w:val="6DB83422"/>
    <w:rsid w:val="6DC0172B"/>
    <w:rsid w:val="6DCB690C"/>
    <w:rsid w:val="6DD41A5B"/>
    <w:rsid w:val="6DD4316F"/>
    <w:rsid w:val="6DD644F6"/>
    <w:rsid w:val="6DE84485"/>
    <w:rsid w:val="6DF43C2E"/>
    <w:rsid w:val="6DF51CA3"/>
    <w:rsid w:val="6E0001B5"/>
    <w:rsid w:val="6E027099"/>
    <w:rsid w:val="6E0E33F2"/>
    <w:rsid w:val="6E4476B1"/>
    <w:rsid w:val="6E4A5A76"/>
    <w:rsid w:val="6E8335BD"/>
    <w:rsid w:val="6E8E12EF"/>
    <w:rsid w:val="6E921CAE"/>
    <w:rsid w:val="6E972936"/>
    <w:rsid w:val="6EA6211A"/>
    <w:rsid w:val="6EB74327"/>
    <w:rsid w:val="6EBF4F8A"/>
    <w:rsid w:val="6ED446C5"/>
    <w:rsid w:val="6F1B634E"/>
    <w:rsid w:val="6F1E6154"/>
    <w:rsid w:val="6F2A7D94"/>
    <w:rsid w:val="6F3054E0"/>
    <w:rsid w:val="6F8331F1"/>
    <w:rsid w:val="6FAE1A09"/>
    <w:rsid w:val="6FBB39A3"/>
    <w:rsid w:val="6FD75BF8"/>
    <w:rsid w:val="6FF24EE2"/>
    <w:rsid w:val="700B0F58"/>
    <w:rsid w:val="700E61C9"/>
    <w:rsid w:val="70194F09"/>
    <w:rsid w:val="70271BB7"/>
    <w:rsid w:val="702A6D7B"/>
    <w:rsid w:val="707723D0"/>
    <w:rsid w:val="70944D11"/>
    <w:rsid w:val="70B80078"/>
    <w:rsid w:val="70EA3091"/>
    <w:rsid w:val="70F5661B"/>
    <w:rsid w:val="70FA04FB"/>
    <w:rsid w:val="7102572D"/>
    <w:rsid w:val="711D41EA"/>
    <w:rsid w:val="71341C5F"/>
    <w:rsid w:val="71360107"/>
    <w:rsid w:val="713B688E"/>
    <w:rsid w:val="71902C0D"/>
    <w:rsid w:val="71C650B7"/>
    <w:rsid w:val="71D43752"/>
    <w:rsid w:val="71ED0060"/>
    <w:rsid w:val="71F1796A"/>
    <w:rsid w:val="72154626"/>
    <w:rsid w:val="72192C03"/>
    <w:rsid w:val="72262B5D"/>
    <w:rsid w:val="72283FF7"/>
    <w:rsid w:val="722E7212"/>
    <w:rsid w:val="72367C59"/>
    <w:rsid w:val="723A0474"/>
    <w:rsid w:val="7251239D"/>
    <w:rsid w:val="725923E4"/>
    <w:rsid w:val="727662A7"/>
    <w:rsid w:val="72864BF7"/>
    <w:rsid w:val="729023FC"/>
    <w:rsid w:val="72A252EE"/>
    <w:rsid w:val="72A63DFE"/>
    <w:rsid w:val="72A746B3"/>
    <w:rsid w:val="72CE7E91"/>
    <w:rsid w:val="72DB435C"/>
    <w:rsid w:val="72F86CBC"/>
    <w:rsid w:val="73012015"/>
    <w:rsid w:val="731A1748"/>
    <w:rsid w:val="731C6E4F"/>
    <w:rsid w:val="733F0FB7"/>
    <w:rsid w:val="733F52B4"/>
    <w:rsid w:val="73536328"/>
    <w:rsid w:val="736C50D8"/>
    <w:rsid w:val="73857F98"/>
    <w:rsid w:val="73BB0416"/>
    <w:rsid w:val="73C0646E"/>
    <w:rsid w:val="73CA5A41"/>
    <w:rsid w:val="742064CB"/>
    <w:rsid w:val="742222F5"/>
    <w:rsid w:val="74476126"/>
    <w:rsid w:val="746D0DEA"/>
    <w:rsid w:val="74706664"/>
    <w:rsid w:val="747F3682"/>
    <w:rsid w:val="74856968"/>
    <w:rsid w:val="748E78D8"/>
    <w:rsid w:val="749879EC"/>
    <w:rsid w:val="749C4185"/>
    <w:rsid w:val="74A302A1"/>
    <w:rsid w:val="74A94712"/>
    <w:rsid w:val="75067759"/>
    <w:rsid w:val="751F6782"/>
    <w:rsid w:val="752E6DCD"/>
    <w:rsid w:val="75412B9C"/>
    <w:rsid w:val="75502DDF"/>
    <w:rsid w:val="7551380D"/>
    <w:rsid w:val="755A74BC"/>
    <w:rsid w:val="75600BE5"/>
    <w:rsid w:val="7564475C"/>
    <w:rsid w:val="756878A0"/>
    <w:rsid w:val="757C1E26"/>
    <w:rsid w:val="75811530"/>
    <w:rsid w:val="7583797F"/>
    <w:rsid w:val="75D20F1D"/>
    <w:rsid w:val="75D5749A"/>
    <w:rsid w:val="75DA2C18"/>
    <w:rsid w:val="75F26F32"/>
    <w:rsid w:val="75F54412"/>
    <w:rsid w:val="761D08E0"/>
    <w:rsid w:val="765D347C"/>
    <w:rsid w:val="76674885"/>
    <w:rsid w:val="76826699"/>
    <w:rsid w:val="76B40FB3"/>
    <w:rsid w:val="76C87133"/>
    <w:rsid w:val="76CD08D5"/>
    <w:rsid w:val="76DB4B92"/>
    <w:rsid w:val="77052AA4"/>
    <w:rsid w:val="77136511"/>
    <w:rsid w:val="77212C85"/>
    <w:rsid w:val="77340A39"/>
    <w:rsid w:val="77351FD0"/>
    <w:rsid w:val="773C5022"/>
    <w:rsid w:val="77472422"/>
    <w:rsid w:val="77606878"/>
    <w:rsid w:val="77676DDD"/>
    <w:rsid w:val="776D2308"/>
    <w:rsid w:val="7778661E"/>
    <w:rsid w:val="777F31F2"/>
    <w:rsid w:val="778255A2"/>
    <w:rsid w:val="779D1A5F"/>
    <w:rsid w:val="77B32F79"/>
    <w:rsid w:val="77B74AD9"/>
    <w:rsid w:val="77D1700D"/>
    <w:rsid w:val="77EC04CC"/>
    <w:rsid w:val="7832319B"/>
    <w:rsid w:val="784D2B8A"/>
    <w:rsid w:val="786F7872"/>
    <w:rsid w:val="78775729"/>
    <w:rsid w:val="787777E0"/>
    <w:rsid w:val="78822BDE"/>
    <w:rsid w:val="789418E6"/>
    <w:rsid w:val="789C633C"/>
    <w:rsid w:val="78A42DB0"/>
    <w:rsid w:val="78A656AB"/>
    <w:rsid w:val="78A7540C"/>
    <w:rsid w:val="78B2245C"/>
    <w:rsid w:val="78D930EC"/>
    <w:rsid w:val="78E172CC"/>
    <w:rsid w:val="78EA1D1F"/>
    <w:rsid w:val="78F543CA"/>
    <w:rsid w:val="7904172F"/>
    <w:rsid w:val="790F7E27"/>
    <w:rsid w:val="792A231A"/>
    <w:rsid w:val="79316829"/>
    <w:rsid w:val="79537342"/>
    <w:rsid w:val="797E66A9"/>
    <w:rsid w:val="798518A4"/>
    <w:rsid w:val="79A05EAB"/>
    <w:rsid w:val="79A62047"/>
    <w:rsid w:val="79A83838"/>
    <w:rsid w:val="79A97383"/>
    <w:rsid w:val="79B437D1"/>
    <w:rsid w:val="79C97604"/>
    <w:rsid w:val="79CD0EA3"/>
    <w:rsid w:val="79E27E8B"/>
    <w:rsid w:val="79F44681"/>
    <w:rsid w:val="79F850CE"/>
    <w:rsid w:val="79FD443C"/>
    <w:rsid w:val="7A1D1975"/>
    <w:rsid w:val="7A3E5150"/>
    <w:rsid w:val="7A4670D6"/>
    <w:rsid w:val="7A534B63"/>
    <w:rsid w:val="7A615382"/>
    <w:rsid w:val="7A6335B5"/>
    <w:rsid w:val="7A67303B"/>
    <w:rsid w:val="7A6F4103"/>
    <w:rsid w:val="7A7632E8"/>
    <w:rsid w:val="7A9814B1"/>
    <w:rsid w:val="7AAB1D04"/>
    <w:rsid w:val="7ABA4368"/>
    <w:rsid w:val="7ABA5A98"/>
    <w:rsid w:val="7AD05746"/>
    <w:rsid w:val="7AD345F2"/>
    <w:rsid w:val="7AF25330"/>
    <w:rsid w:val="7B022DCE"/>
    <w:rsid w:val="7B257FFD"/>
    <w:rsid w:val="7B273D20"/>
    <w:rsid w:val="7B343476"/>
    <w:rsid w:val="7B4231CA"/>
    <w:rsid w:val="7B5A2978"/>
    <w:rsid w:val="7B5A7E4C"/>
    <w:rsid w:val="7B5F5B2A"/>
    <w:rsid w:val="7B667AF9"/>
    <w:rsid w:val="7B7468F8"/>
    <w:rsid w:val="7B845591"/>
    <w:rsid w:val="7B890DF9"/>
    <w:rsid w:val="7B957F23"/>
    <w:rsid w:val="7B98728E"/>
    <w:rsid w:val="7B9A6B62"/>
    <w:rsid w:val="7BBD4F47"/>
    <w:rsid w:val="7BDC361F"/>
    <w:rsid w:val="7BEE0103"/>
    <w:rsid w:val="7C0A0FE4"/>
    <w:rsid w:val="7C254906"/>
    <w:rsid w:val="7C3C40BE"/>
    <w:rsid w:val="7C590818"/>
    <w:rsid w:val="7C640626"/>
    <w:rsid w:val="7C7074C9"/>
    <w:rsid w:val="7C7C10F6"/>
    <w:rsid w:val="7C853BEA"/>
    <w:rsid w:val="7C881368"/>
    <w:rsid w:val="7CA8482B"/>
    <w:rsid w:val="7CB762F5"/>
    <w:rsid w:val="7CDD7C28"/>
    <w:rsid w:val="7CE27788"/>
    <w:rsid w:val="7D0C32F1"/>
    <w:rsid w:val="7D0F408D"/>
    <w:rsid w:val="7D376633"/>
    <w:rsid w:val="7D491C6C"/>
    <w:rsid w:val="7D5429C0"/>
    <w:rsid w:val="7D674DCB"/>
    <w:rsid w:val="7D6A6067"/>
    <w:rsid w:val="7D6E6D43"/>
    <w:rsid w:val="7D8278D9"/>
    <w:rsid w:val="7D8C2E23"/>
    <w:rsid w:val="7DB57A34"/>
    <w:rsid w:val="7DE60973"/>
    <w:rsid w:val="7DE62533"/>
    <w:rsid w:val="7DEF0916"/>
    <w:rsid w:val="7E1E5218"/>
    <w:rsid w:val="7E2632F6"/>
    <w:rsid w:val="7E2D3C57"/>
    <w:rsid w:val="7E386B07"/>
    <w:rsid w:val="7E7278BD"/>
    <w:rsid w:val="7E775881"/>
    <w:rsid w:val="7E9A4E1F"/>
    <w:rsid w:val="7EA7723A"/>
    <w:rsid w:val="7ED515DB"/>
    <w:rsid w:val="7EDB7BBE"/>
    <w:rsid w:val="7EE36A72"/>
    <w:rsid w:val="7EE97D42"/>
    <w:rsid w:val="7EF56FBB"/>
    <w:rsid w:val="7F0768EB"/>
    <w:rsid w:val="7F1430D0"/>
    <w:rsid w:val="7F143BEC"/>
    <w:rsid w:val="7F271055"/>
    <w:rsid w:val="7F381952"/>
    <w:rsid w:val="7F6A7194"/>
    <w:rsid w:val="7F715AF2"/>
    <w:rsid w:val="7F886E69"/>
    <w:rsid w:val="7F992DC8"/>
    <w:rsid w:val="7FD76DB4"/>
    <w:rsid w:val="7FE707E4"/>
    <w:rsid w:val="BB7FA927"/>
    <w:rsid w:val="F5FFD31F"/>
    <w:rsid w:val="F7EA1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2"/>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5"/>
    <w:autoRedefine/>
    <w:qFormat/>
    <w:uiPriority w:val="0"/>
    <w:pPr>
      <w:shd w:val="clear" w:color="auto" w:fill="000080"/>
    </w:pPr>
  </w:style>
  <w:style w:type="paragraph" w:styleId="19">
    <w:name w:val="annotation text"/>
    <w:basedOn w:val="1"/>
    <w:link w:val="345"/>
    <w:autoRedefine/>
    <w:qFormat/>
    <w:uiPriority w:val="99"/>
    <w:pPr>
      <w:jc w:val="left"/>
    </w:pPr>
  </w:style>
  <w:style w:type="paragraph" w:styleId="20">
    <w:name w:val="Salutation"/>
    <w:basedOn w:val="1"/>
    <w:next w:val="1"/>
    <w:link w:val="299"/>
    <w:autoRedefine/>
    <w:qFormat/>
    <w:uiPriority w:val="0"/>
    <w:rPr>
      <w:rFonts w:ascii="仿宋_GB2312" w:eastAsia="仿宋_GB2312"/>
      <w:sz w:val="28"/>
      <w:szCs w:val="20"/>
    </w:rPr>
  </w:style>
  <w:style w:type="paragraph" w:styleId="21">
    <w:name w:val="Body Text 3"/>
    <w:basedOn w:val="1"/>
    <w:link w:val="331"/>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2"/>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next w:val="1"/>
    <w:link w:val="267"/>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8"/>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4"/>
    <w:autoRedefine/>
    <w:qFormat/>
    <w:uiPriority w:val="0"/>
    <w:pPr>
      <w:ind w:left="100" w:leftChars="2500"/>
    </w:pPr>
    <w:rPr>
      <w:rFonts w:ascii="宋体"/>
      <w:sz w:val="24"/>
      <w:szCs w:val="21"/>
      <w:lang w:val="zh-CN"/>
    </w:rPr>
  </w:style>
  <w:style w:type="paragraph" w:styleId="38">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1"/>
    <w:autoRedefine/>
    <w:qFormat/>
    <w:uiPriority w:val="0"/>
    <w:rPr>
      <w:lang w:val="zh-CN"/>
    </w:rPr>
  </w:style>
  <w:style w:type="paragraph" w:styleId="40">
    <w:name w:val="Balloon Text"/>
    <w:basedOn w:val="1"/>
    <w:link w:val="191"/>
    <w:autoRedefine/>
    <w:qFormat/>
    <w:uiPriority w:val="0"/>
    <w:rPr>
      <w:sz w:val="18"/>
      <w:szCs w:val="18"/>
    </w:rPr>
  </w:style>
  <w:style w:type="paragraph" w:styleId="41">
    <w:name w:val="footer"/>
    <w:basedOn w:val="1"/>
    <w:link w:val="384"/>
    <w:autoRedefine/>
    <w:qFormat/>
    <w:uiPriority w:val="99"/>
    <w:pPr>
      <w:tabs>
        <w:tab w:val="center" w:pos="4153"/>
        <w:tab w:val="right" w:pos="8306"/>
      </w:tabs>
      <w:snapToGrid w:val="0"/>
      <w:jc w:val="left"/>
    </w:pPr>
    <w:rPr>
      <w:sz w:val="18"/>
      <w:szCs w:val="18"/>
    </w:rPr>
  </w:style>
  <w:style w:type="paragraph" w:styleId="42">
    <w:name w:val="envelope return"/>
    <w:basedOn w:val="1"/>
    <w:autoRedefine/>
    <w:qFormat/>
    <w:uiPriority w:val="99"/>
    <w:pPr>
      <w:snapToGrid w:val="0"/>
    </w:pPr>
    <w:rPr>
      <w:rFonts w:ascii="Arial" w:hAnsi="Arial" w:cs="Arial"/>
    </w:rPr>
  </w:style>
  <w:style w:type="paragraph" w:styleId="43">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5"/>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6"/>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3"/>
    <w:autoRedefine/>
    <w:qFormat/>
    <w:uiPriority w:val="0"/>
    <w:pPr>
      <w:spacing w:after="120" w:line="480" w:lineRule="auto"/>
    </w:pPr>
  </w:style>
  <w:style w:type="paragraph" w:styleId="58">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9"/>
    <w:autoRedefine/>
    <w:qFormat/>
    <w:uiPriority w:val="0"/>
    <w:rPr>
      <w:b/>
      <w:bCs/>
    </w:rPr>
  </w:style>
  <w:style w:type="paragraph" w:styleId="62">
    <w:name w:val="Body Text First Indent 2"/>
    <w:basedOn w:val="26"/>
    <w:next w:val="1"/>
    <w:link w:val="124"/>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styleId="80">
    <w:name w:val="HTML Sample"/>
    <w:basedOn w:val="70"/>
    <w:autoRedefine/>
    <w:qFormat/>
    <w:uiPriority w:val="0"/>
    <w:rPr>
      <w:rFonts w:ascii="Courier New" w:hAnsi="Courier New"/>
    </w:rPr>
  </w:style>
  <w:style w:type="paragraph" w:customStyle="1" w:styleId="81">
    <w:name w:val="首行缩进"/>
    <w:basedOn w:val="1"/>
    <w:autoRedefine/>
    <w:qFormat/>
    <w:uiPriority w:val="0"/>
    <w:pPr>
      <w:spacing w:line="360" w:lineRule="auto"/>
      <w:ind w:firstLine="480" w:firstLineChars="200"/>
    </w:pPr>
    <w:rPr>
      <w:rFonts w:ascii="宋体"/>
      <w:sz w:val="24"/>
      <w:szCs w:val="20"/>
    </w:rPr>
  </w:style>
  <w:style w:type="character" w:customStyle="1" w:styleId="82">
    <w:name w:val="标题 1字符"/>
    <w:link w:val="3"/>
    <w:autoRedefine/>
    <w:qFormat/>
    <w:uiPriority w:val="9"/>
    <w:rPr>
      <w:b/>
      <w:bCs/>
      <w:kern w:val="44"/>
      <w:sz w:val="44"/>
      <w:szCs w:val="44"/>
    </w:rPr>
  </w:style>
  <w:style w:type="paragraph" w:customStyle="1" w:styleId="83">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
    <w:name w:val="Default"/>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字符"/>
    <w:link w:val="61"/>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字符"/>
    <w:link w:val="62"/>
    <w:autoRedefine/>
    <w:qFormat/>
    <w:uiPriority w:val="0"/>
    <w:rPr>
      <w:rFonts w:ascii="宋体" w:hAnsi="宋体"/>
      <w:kern w:val="2"/>
      <w:sz w:val="21"/>
      <w:szCs w:val="24"/>
    </w:rPr>
  </w:style>
  <w:style w:type="character" w:customStyle="1" w:styleId="125">
    <w:name w:val="font11"/>
    <w:basedOn w:val="70"/>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70"/>
    <w:autoRedefine/>
    <w:qFormat/>
    <w:uiPriority w:val="0"/>
    <w:rPr>
      <w:rFonts w:ascii="Arial" w:hAnsi="Arial" w:eastAsia="黑体" w:cs="Arial"/>
      <w:snapToGrid w:val="0"/>
      <w:kern w:val="0"/>
      <w:szCs w:val="21"/>
    </w:rPr>
  </w:style>
  <w:style w:type="character" w:customStyle="1" w:styleId="128">
    <w:name w:val="纯文本字符"/>
    <w:link w:val="34"/>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字符"/>
    <w:link w:val="49"/>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autoRedefine/>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字符"/>
    <w:link w:val="7"/>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2"/>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字符"/>
    <w:link w:val="37"/>
    <w:autoRedefine/>
    <w:qFormat/>
    <w:uiPriority w:val="0"/>
    <w:rPr>
      <w:rFonts w:ascii="宋体"/>
      <w:kern w:val="2"/>
      <w:sz w:val="24"/>
      <w:szCs w:val="21"/>
      <w:lang w:val="zh-CN"/>
    </w:rPr>
  </w:style>
  <w:style w:type="character" w:customStyle="1" w:styleId="185">
    <w:name w:val="标题 9字符"/>
    <w:link w:val="10"/>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字符"/>
    <w:link w:val="40"/>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字符"/>
    <w:link w:val="15"/>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字符"/>
    <w:link w:val="18"/>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0"/>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字符"/>
    <w:link w:val="31"/>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5"/>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字符"/>
    <w:link w:val="16"/>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84"/>
    <w:autoRedefine/>
    <w:qFormat/>
    <w:uiPriority w:val="0"/>
    <w:rPr>
      <w:rFonts w:ascii="仿宋_GB2312"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字符"/>
    <w:link w:val="26"/>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字符"/>
    <w:link w:val="60"/>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字符"/>
    <w:link w:val="6"/>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字符"/>
    <w:link w:val="20"/>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字符"/>
    <w:link w:val="58"/>
    <w:autoRedefine/>
    <w:qFormat/>
    <w:uiPriority w:val="0"/>
    <w:rPr>
      <w:rFonts w:ascii="黑体" w:hAnsi="Courier New" w:eastAsia="黑体"/>
    </w:rPr>
  </w:style>
  <w:style w:type="character" w:customStyle="1" w:styleId="303">
    <w:name w:val="正文文本 2字符"/>
    <w:link w:val="57"/>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5"/>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字符"/>
    <w:link w:val="8"/>
    <w:autoRedefine/>
    <w:qFormat/>
    <w:uiPriority w:val="0"/>
    <w:rPr>
      <w:b/>
      <w:bCs/>
      <w:kern w:val="2"/>
      <w:sz w:val="24"/>
      <w:szCs w:val="24"/>
    </w:rPr>
  </w:style>
  <w:style w:type="character" w:customStyle="1" w:styleId="309">
    <w:name w:val="正文文本缩进 2字符"/>
    <w:link w:val="38"/>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字符"/>
    <w:link w:val="52"/>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basedOn w:val="70"/>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83"/>
    <w:link w:val="320"/>
    <w:autoRedefine/>
    <w:qFormat/>
    <w:uiPriority w:val="0"/>
    <w:pPr>
      <w:adjustRightInd/>
    </w:pPr>
    <w:rPr>
      <w:rFonts w:ascii="宋体"/>
      <w:kern w:val="0"/>
      <w:sz w:val="20"/>
      <w:szCs w:val="20"/>
    </w:rPr>
  </w:style>
  <w:style w:type="character" w:customStyle="1" w:styleId="322">
    <w:name w:val="正文首行缩进字符"/>
    <w:link w:val="24"/>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字符"/>
    <w:link w:val="5"/>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字符"/>
    <w:link w:val="21"/>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字符"/>
    <w:link w:val="19"/>
    <w:autoRedefine/>
    <w:qFormat/>
    <w:uiPriority w:val="99"/>
    <w:rPr>
      <w:kern w:val="2"/>
      <w:sz w:val="21"/>
      <w:szCs w:val="24"/>
    </w:rPr>
  </w:style>
  <w:style w:type="character" w:customStyle="1" w:styleId="346">
    <w:name w:val="签名字符"/>
    <w:link w:val="44"/>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字符"/>
    <w:link w:val="9"/>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字符"/>
    <w:link w:val="54"/>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字符"/>
    <w:link w:val="41"/>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字符"/>
    <w:link w:val="43"/>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0"/>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15"/>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字符"/>
    <w:link w:val="23"/>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0"/>
    <w:autoRedefine/>
    <w:qFormat/>
    <w:uiPriority w:val="0"/>
    <w:rPr>
      <w:rFonts w:ascii="Arial" w:hAnsi="Arial" w:eastAsia="黑体" w:cs="Arial"/>
      <w:snapToGrid w:val="0"/>
      <w:kern w:val="0"/>
      <w:szCs w:val="21"/>
    </w:rPr>
  </w:style>
  <w:style w:type="character" w:customStyle="1" w:styleId="433">
    <w:name w:val="hui"/>
    <w:basedOn w:val="70"/>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1"/>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2"/>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4"/>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6"/>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4"/>
    <w:next w:val="84"/>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4"/>
    <w:next w:val="84"/>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3"/>
    <w:autoRedefine/>
    <w:qFormat/>
    <w:uiPriority w:val="0"/>
    <w:pPr>
      <w:tabs>
        <w:tab w:val="left" w:pos="840"/>
      </w:tabs>
      <w:adjustRightInd/>
      <w:ind w:left="840" w:hanging="420"/>
    </w:pPr>
  </w:style>
  <w:style w:type="paragraph" w:customStyle="1" w:styleId="627">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5"/>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1"/>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3"/>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9"/>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30"/>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4"/>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3"/>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字符"/>
    <w:link w:val="39"/>
    <w:autoRedefine/>
    <w:qFormat/>
    <w:uiPriority w:val="0"/>
    <w:rPr>
      <w:kern w:val="2"/>
      <w:sz w:val="21"/>
      <w:szCs w:val="24"/>
      <w:lang w:val="zh-CN"/>
    </w:rPr>
  </w:style>
  <w:style w:type="character" w:customStyle="1" w:styleId="932">
    <w:name w:val="无间隔字符"/>
    <w:link w:val="484"/>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60"/>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NormalCharacter"/>
    <w:link w:val="965"/>
    <w:autoRedefine/>
    <w:qFormat/>
    <w:uiPriority w:val="0"/>
    <w:rPr>
      <w:rFonts w:ascii="Calibri"/>
      <w:szCs w:val="22"/>
    </w:rPr>
  </w:style>
  <w:style w:type="paragraph" w:customStyle="1" w:styleId="965">
    <w:name w:val="UserStyle_127"/>
    <w:basedOn w:val="1"/>
    <w:link w:val="964"/>
    <w:autoRedefine/>
    <w:qFormat/>
    <w:uiPriority w:val="0"/>
    <w:pPr>
      <w:spacing w:after="160" w:line="240" w:lineRule="exact"/>
      <w:jc w:val="left"/>
    </w:pPr>
    <w:rPr>
      <w:rFonts w:asci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83</Pages>
  <Words>18676</Words>
  <Characters>19980</Characters>
  <Lines>1255</Lines>
  <Paragraphs>518</Paragraphs>
  <TotalTime>9</TotalTime>
  <ScaleCrop>false</ScaleCrop>
  <LinksUpToDate>false</LinksUpToDate>
  <CharactersWithSpaces>20478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2023-07-21T14:55:00Z</dcterms:created>
  <dc:creator>玥</dc:creator>
  <cp:lastModifiedBy>crows</cp:lastModifiedBy>
  <cp:lastPrinted>2023-07-03T09:47:00Z</cp:lastPrinted>
  <dcterms:modified xsi:type="dcterms:W3CDTF">2025-06-25T05:40:00Z</dcterms:modified>
  <dc:title>杭州市市民卡扩大发卡工程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E87D013974984563B02034FB23EC315E_13</vt:lpwstr>
  </property>
  <property fmtid="{D5CDD505-2E9C-101B-9397-08002B2CF9AE}" pid="5" name="KSOTemplateDocerSaveRecord">
    <vt:lpwstr>eyJoZGlkIjoiNTMzZTFhODBmMmJhYWVmODZjODY1ZTllNmVlNjFjMGQiLCJ1c2VySWQiOiI0NTgzNjc2MzQifQ==</vt:lpwstr>
  </property>
</Properties>
</file>