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2BD444">
      <w:pPr>
        <w:pStyle w:val="3"/>
        <w:jc w:val="center"/>
        <w:rPr>
          <w:rFonts w:hint="eastAsia"/>
          <w:kern w:val="0"/>
        </w:rPr>
      </w:pPr>
      <w:r>
        <w:rPr>
          <w:rFonts w:hint="eastAsia"/>
          <w:kern w:val="0"/>
          <w:u w:val="none"/>
        </w:rPr>
        <w:t>温州医科大学茶山校区地下室喷淋自动报警系统专项工程</w:t>
      </w:r>
      <w:r>
        <w:rPr>
          <w:rFonts w:hint="eastAsia"/>
          <w:kern w:val="0"/>
          <w:u w:val="single"/>
        </w:rPr>
        <w:br w:type="textWrapping"/>
      </w:r>
      <w:r>
        <w:rPr>
          <w:rFonts w:hint="eastAsia"/>
          <w:kern w:val="0"/>
        </w:rPr>
        <w:t>招标工程量清单编制说明</w:t>
      </w:r>
    </w:p>
    <w:p w14:paraId="7FA79D64">
      <w:pPr>
        <w:spacing w:line="360" w:lineRule="auto"/>
        <w:rPr>
          <w:rFonts w:hint="eastAsia" w:ascii="宋体" w:hAnsi="宋体"/>
          <w:sz w:val="24"/>
        </w:rPr>
      </w:pPr>
      <w:r>
        <w:rPr>
          <w:rFonts w:hint="eastAsia" w:ascii="宋体" w:hAnsi="宋体"/>
          <w:sz w:val="24"/>
          <w:lang w:val="en-US" w:eastAsia="zh-CN"/>
        </w:rPr>
        <w:t>一</w:t>
      </w:r>
      <w:r>
        <w:rPr>
          <w:rFonts w:hint="eastAsia" w:ascii="宋体" w:hAnsi="宋体"/>
          <w:sz w:val="24"/>
        </w:rPr>
        <w:t>、工程量清单编制依据：</w:t>
      </w:r>
    </w:p>
    <w:p w14:paraId="0CA89353">
      <w:pPr>
        <w:numPr>
          <w:ilvl w:val="0"/>
          <w:numId w:val="1"/>
        </w:numPr>
        <w:spacing w:line="360" w:lineRule="auto"/>
        <w:rPr>
          <w:rFonts w:hint="eastAsia" w:ascii="宋体" w:hAnsi="宋体"/>
          <w:sz w:val="24"/>
        </w:rPr>
      </w:pPr>
      <w:r>
        <w:rPr>
          <w:rFonts w:hint="eastAsia" w:ascii="宋体" w:hAnsi="宋体"/>
          <w:sz w:val="24"/>
        </w:rPr>
        <w:t>《建设工程工程量清单计价规范》（GB50500-2013）</w:t>
      </w:r>
    </w:p>
    <w:p w14:paraId="6E2CC41D">
      <w:pPr>
        <w:numPr>
          <w:ilvl w:val="0"/>
          <w:numId w:val="1"/>
        </w:numPr>
        <w:spacing w:line="360" w:lineRule="auto"/>
        <w:rPr>
          <w:rFonts w:hint="eastAsia" w:ascii="宋体" w:hAnsi="宋体"/>
          <w:sz w:val="24"/>
        </w:rPr>
      </w:pPr>
      <w:r>
        <w:rPr>
          <w:rFonts w:hint="eastAsia" w:ascii="宋体" w:hAnsi="宋体"/>
          <w:sz w:val="24"/>
        </w:rPr>
        <w:t>《浙江省市政工程预算定额（2018版）》</w:t>
      </w:r>
    </w:p>
    <w:p w14:paraId="31C56AAC">
      <w:pPr>
        <w:numPr>
          <w:ilvl w:val="0"/>
          <w:numId w:val="1"/>
        </w:numPr>
        <w:spacing w:line="360" w:lineRule="auto"/>
        <w:rPr>
          <w:rFonts w:hint="eastAsia" w:ascii="宋体" w:hAnsi="宋体"/>
          <w:sz w:val="24"/>
        </w:rPr>
      </w:pPr>
      <w:r>
        <w:rPr>
          <w:rFonts w:ascii="宋体" w:hAnsi="宋体"/>
          <w:sz w:val="24"/>
        </w:rPr>
        <w:t>《浙江省安装工程预算定额（</w:t>
      </w:r>
      <w:r>
        <w:rPr>
          <w:rFonts w:hint="eastAsia" w:ascii="宋体" w:hAnsi="宋体"/>
          <w:sz w:val="24"/>
        </w:rPr>
        <w:t>2018</w:t>
      </w:r>
      <w:r>
        <w:rPr>
          <w:rFonts w:ascii="宋体" w:hAnsi="宋体"/>
          <w:sz w:val="24"/>
        </w:rPr>
        <w:t>版）》</w:t>
      </w:r>
    </w:p>
    <w:p w14:paraId="571D4164">
      <w:pPr>
        <w:numPr>
          <w:ilvl w:val="0"/>
          <w:numId w:val="1"/>
        </w:numPr>
        <w:spacing w:line="360" w:lineRule="auto"/>
        <w:rPr>
          <w:rFonts w:hint="eastAsia" w:ascii="宋体" w:hAnsi="宋体"/>
          <w:sz w:val="24"/>
        </w:rPr>
      </w:pPr>
      <w:r>
        <w:rPr>
          <w:rFonts w:hint="eastAsia" w:ascii="宋体" w:hAnsi="宋体"/>
          <w:sz w:val="24"/>
        </w:rPr>
        <w:t>《浙江省建设工程施工取费定额（2018版）》</w:t>
      </w:r>
    </w:p>
    <w:p w14:paraId="50810356">
      <w:pPr>
        <w:numPr>
          <w:ilvl w:val="0"/>
          <w:numId w:val="1"/>
        </w:numPr>
        <w:spacing w:line="360" w:lineRule="auto"/>
        <w:rPr>
          <w:rFonts w:hint="eastAsia" w:ascii="宋体" w:hAnsi="宋体"/>
          <w:sz w:val="24"/>
        </w:rPr>
      </w:pPr>
      <w:r>
        <w:rPr>
          <w:rFonts w:hint="eastAsia" w:ascii="宋体" w:hAnsi="宋体"/>
          <w:sz w:val="24"/>
        </w:rPr>
        <w:t>《浙江省建设工程计价规则（2018版）》</w:t>
      </w:r>
    </w:p>
    <w:p w14:paraId="1E6F9777">
      <w:pPr>
        <w:numPr>
          <w:ilvl w:val="0"/>
          <w:numId w:val="1"/>
        </w:numPr>
        <w:spacing w:line="360" w:lineRule="auto"/>
        <w:rPr>
          <w:rFonts w:hint="eastAsia" w:ascii="宋体" w:hAnsi="宋体"/>
          <w:sz w:val="24"/>
        </w:rPr>
      </w:pPr>
      <w:r>
        <w:rPr>
          <w:rFonts w:hint="eastAsia" w:ascii="宋体" w:hAnsi="宋体"/>
          <w:sz w:val="24"/>
        </w:rPr>
        <w:t>《浙江省施工机械台班费用参考单价（2018版）》</w:t>
      </w:r>
    </w:p>
    <w:p w14:paraId="5F8624C3">
      <w:pPr>
        <w:pStyle w:val="2"/>
        <w:numPr>
          <w:ilvl w:val="0"/>
          <w:numId w:val="1"/>
        </w:numPr>
        <w:ind w:left="360" w:leftChars="0" w:hanging="36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信息价采用20</w:t>
      </w:r>
      <w:r>
        <w:rPr>
          <w:rFonts w:hint="eastAsia" w:ascii="宋体" w:hAnsi="宋体" w:eastAsia="宋体" w:cs="宋体"/>
          <w:sz w:val="24"/>
          <w:szCs w:val="24"/>
          <w:highlight w:val="none"/>
          <w:lang w:val="en-US" w:eastAsia="zh-CN"/>
        </w:rPr>
        <w:t>25</w:t>
      </w:r>
      <w:r>
        <w:rPr>
          <w:rFonts w:hint="eastAsia" w:ascii="宋体" w:hAnsi="宋体" w:eastAsia="宋体" w:cs="宋体"/>
          <w:sz w:val="24"/>
          <w:szCs w:val="24"/>
          <w:highlight w:val="none"/>
        </w:rPr>
        <w:t>年</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月份《温州工程造价信息》</w:t>
      </w:r>
    </w:p>
    <w:p w14:paraId="563A694F">
      <w:pPr>
        <w:pStyle w:val="2"/>
        <w:numPr>
          <w:ilvl w:val="0"/>
          <w:numId w:val="1"/>
        </w:numPr>
        <w:ind w:left="360" w:leftChars="0" w:hanging="360" w:firstLineChars="0"/>
        <w:rPr>
          <w:rFonts w:hint="default"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工程量清单与招标控制价编制答疑纪要附件1</w:t>
      </w:r>
    </w:p>
    <w:p w14:paraId="419A6BF6">
      <w:pPr>
        <w:spacing w:line="360" w:lineRule="auto"/>
        <w:rPr>
          <w:rFonts w:hint="eastAsia" w:ascii="宋体" w:hAnsi="宋体"/>
          <w:sz w:val="24"/>
        </w:rPr>
      </w:pPr>
      <w:r>
        <w:rPr>
          <w:rFonts w:hint="eastAsia" w:ascii="宋体" w:hAnsi="宋体"/>
          <w:sz w:val="24"/>
        </w:rPr>
        <w:t>三、清单编制说明：</w:t>
      </w:r>
    </w:p>
    <w:p w14:paraId="70376541">
      <w:pPr>
        <w:spacing w:line="360" w:lineRule="auto"/>
        <w:rPr>
          <w:rFonts w:hint="eastAsia" w:ascii="宋体" w:hAnsi="宋体"/>
          <w:sz w:val="24"/>
        </w:rPr>
      </w:pPr>
      <w:r>
        <w:rPr>
          <w:rFonts w:hint="eastAsia" w:ascii="宋体" w:hAnsi="宋体"/>
          <w:sz w:val="24"/>
        </w:rPr>
        <w:t>（一）通用说明</w:t>
      </w:r>
    </w:p>
    <w:p w14:paraId="6856D070">
      <w:pPr>
        <w:numPr>
          <w:ilvl w:val="0"/>
          <w:numId w:val="2"/>
        </w:numPr>
        <w:autoSpaceDE w:val="0"/>
        <w:autoSpaceDN w:val="0"/>
        <w:adjustRightInd w:val="0"/>
        <w:spacing w:line="360" w:lineRule="auto"/>
        <w:ind w:left="0" w:leftChars="0" w:firstLine="0" w:firstLineChars="0"/>
        <w:rPr>
          <w:rFonts w:hint="eastAsia" w:ascii="宋体" w:hAnsi="宋体"/>
          <w:sz w:val="24"/>
        </w:rPr>
      </w:pPr>
      <w:r>
        <w:rPr>
          <w:rFonts w:hint="eastAsia" w:ascii="宋体" w:hAnsi="宋体"/>
          <w:sz w:val="24"/>
        </w:rPr>
        <w:t>本清单项目特征描述与设计描述做法不同时以本清单描述为准，本清单没有具体描述的工作内容和做法均按《</w:t>
      </w:r>
      <w:r>
        <w:rPr>
          <w:rFonts w:ascii="宋体" w:hAnsi="宋体"/>
          <w:sz w:val="24"/>
        </w:rPr>
        <w:t>GB50500-20</w:t>
      </w:r>
      <w:r>
        <w:rPr>
          <w:rFonts w:hint="eastAsia" w:ascii="宋体" w:hAnsi="宋体"/>
          <w:sz w:val="24"/>
        </w:rPr>
        <w:t>13》规范和设计要求计入。</w:t>
      </w:r>
    </w:p>
    <w:p w14:paraId="53159F8F">
      <w:pPr>
        <w:numPr>
          <w:ilvl w:val="0"/>
          <w:numId w:val="2"/>
        </w:numPr>
        <w:autoSpaceDE w:val="0"/>
        <w:autoSpaceDN w:val="0"/>
        <w:adjustRightInd w:val="0"/>
        <w:spacing w:line="360" w:lineRule="auto"/>
        <w:ind w:left="0" w:leftChars="0" w:firstLine="0" w:firstLineChars="0"/>
        <w:rPr>
          <w:rFonts w:hint="eastAsia" w:ascii="宋体" w:hAnsi="宋体"/>
          <w:sz w:val="24"/>
        </w:rPr>
      </w:pPr>
      <w:r>
        <w:rPr>
          <w:rFonts w:hint="eastAsia" w:ascii="宋体" w:hAnsi="宋体"/>
          <w:sz w:val="24"/>
        </w:rPr>
        <w:t>本说明不做为施工的最后依据，具体施工时，由建设单位、施工单位、设计单位、监理单位及有关主管单位经过会审后方可施工。</w:t>
      </w:r>
    </w:p>
    <w:p w14:paraId="15876042">
      <w:pPr>
        <w:numPr>
          <w:ilvl w:val="0"/>
          <w:numId w:val="2"/>
        </w:numPr>
        <w:autoSpaceDE w:val="0"/>
        <w:autoSpaceDN w:val="0"/>
        <w:adjustRightInd w:val="0"/>
        <w:spacing w:line="360" w:lineRule="auto"/>
        <w:ind w:left="0" w:leftChars="0" w:firstLine="0" w:firstLineChars="0"/>
        <w:rPr>
          <w:rFonts w:hint="eastAsia" w:ascii="宋体" w:hAnsi="宋体"/>
          <w:sz w:val="24"/>
        </w:rPr>
      </w:pPr>
      <w:r>
        <w:rPr>
          <w:rFonts w:hint="eastAsia" w:ascii="宋体" w:hAnsi="宋体"/>
          <w:sz w:val="24"/>
        </w:rPr>
        <w:t>对于本工程的个别节点做法，本清单只描述了主要要素，投标单位需根据设计图纸全面考虑并包含在工程量清单综合单价内。</w:t>
      </w:r>
    </w:p>
    <w:p w14:paraId="54A32F19">
      <w:pPr>
        <w:numPr>
          <w:ilvl w:val="0"/>
          <w:numId w:val="2"/>
        </w:numPr>
        <w:autoSpaceDE w:val="0"/>
        <w:autoSpaceDN w:val="0"/>
        <w:adjustRightInd w:val="0"/>
        <w:spacing w:line="360" w:lineRule="auto"/>
        <w:ind w:left="0" w:leftChars="0" w:firstLine="0" w:firstLineChars="0"/>
        <w:rPr>
          <w:rFonts w:ascii="宋体" w:hAnsi="宋体"/>
          <w:sz w:val="24"/>
        </w:rPr>
      </w:pPr>
      <w:r>
        <w:rPr>
          <w:rFonts w:hint="eastAsia" w:ascii="宋体" w:hAnsi="宋体"/>
          <w:sz w:val="24"/>
        </w:rPr>
        <w:t>清单中未列出的措施费项目，施工单位根据图纸结合施工现场在其他施工技术措施费综合考虑，</w:t>
      </w:r>
      <w:r>
        <w:rPr>
          <w:rFonts w:hint="eastAsia" w:ascii="宋体" w:cs="宋体"/>
          <w:color w:val="000000"/>
          <w:sz w:val="24"/>
        </w:rPr>
        <w:t>今后不做调整。</w:t>
      </w:r>
    </w:p>
    <w:p w14:paraId="4854C731">
      <w:pPr>
        <w:numPr>
          <w:ilvl w:val="0"/>
          <w:numId w:val="2"/>
        </w:numPr>
        <w:autoSpaceDE w:val="0"/>
        <w:autoSpaceDN w:val="0"/>
        <w:adjustRightInd w:val="0"/>
        <w:spacing w:line="360" w:lineRule="auto"/>
        <w:ind w:left="0" w:leftChars="0" w:firstLine="0" w:firstLineChars="0"/>
        <w:rPr>
          <w:rFonts w:hint="eastAsia" w:ascii="宋体" w:hAnsi="宋体"/>
          <w:sz w:val="24"/>
        </w:rPr>
      </w:pPr>
      <w:r>
        <w:rPr>
          <w:rFonts w:hint="eastAsia" w:ascii="宋体" w:hAnsi="宋体"/>
          <w:sz w:val="24"/>
        </w:rPr>
        <w:t>本工程牵涉到的需要开洞包括墙体洞及玻璃的一切费用包干等费用，由投标单位自行踏勘施工现场，自行报价，今后不做调整。</w:t>
      </w:r>
    </w:p>
    <w:p w14:paraId="41B63A74">
      <w:pPr>
        <w:numPr>
          <w:ilvl w:val="0"/>
          <w:numId w:val="2"/>
        </w:numPr>
        <w:autoSpaceDE w:val="0"/>
        <w:autoSpaceDN w:val="0"/>
        <w:adjustRightInd w:val="0"/>
        <w:spacing w:line="360" w:lineRule="auto"/>
        <w:ind w:left="0" w:leftChars="0" w:firstLine="0" w:firstLineChars="0"/>
        <w:rPr>
          <w:rFonts w:hint="eastAsia" w:ascii="宋体" w:hAnsi="宋体"/>
          <w:sz w:val="24"/>
        </w:rPr>
      </w:pPr>
      <w:r>
        <w:rPr>
          <w:rFonts w:hint="eastAsia" w:ascii="宋体" w:hAnsi="宋体"/>
          <w:sz w:val="24"/>
        </w:rPr>
        <w:t>本工程牵涉到的需要施工中存在货物影响正常施工的需要搬移的一切费用 包干</w:t>
      </w:r>
      <w:r>
        <w:rPr>
          <w:rFonts w:hint="eastAsia" w:ascii="宋体" w:hAnsi="宋体"/>
          <w:sz w:val="24"/>
          <w:lang w:eastAsia="zh-CN"/>
        </w:rPr>
        <w:t>，</w:t>
      </w:r>
      <w:r>
        <w:rPr>
          <w:rFonts w:hint="eastAsia" w:ascii="宋体" w:hAnsi="宋体"/>
          <w:sz w:val="24"/>
        </w:rPr>
        <w:t>由投标单位自行踏勘施工现场，自行报价</w:t>
      </w:r>
      <w:r>
        <w:rPr>
          <w:rFonts w:hint="eastAsia" w:ascii="宋体" w:hAnsi="宋体"/>
          <w:sz w:val="24"/>
          <w:lang w:eastAsia="zh-CN"/>
        </w:rPr>
        <w:t>，</w:t>
      </w:r>
      <w:r>
        <w:rPr>
          <w:rFonts w:hint="eastAsia" w:ascii="宋体" w:hAnsi="宋体"/>
          <w:sz w:val="24"/>
        </w:rPr>
        <w:t>今后不做调整</w:t>
      </w:r>
      <w:r>
        <w:rPr>
          <w:rFonts w:hint="eastAsia" w:ascii="宋体" w:hAnsi="宋体"/>
          <w:sz w:val="24"/>
          <w:lang w:eastAsia="zh-CN"/>
        </w:rPr>
        <w:t>。</w:t>
      </w:r>
    </w:p>
    <w:p w14:paraId="30B39DC7">
      <w:pPr>
        <w:spacing w:line="360" w:lineRule="auto"/>
        <w:rPr>
          <w:rFonts w:hint="default" w:ascii="宋体" w:hAnsi="宋体"/>
          <w:sz w:val="24"/>
          <w:lang w:val="en-US"/>
        </w:rPr>
      </w:pPr>
      <w:r>
        <w:rPr>
          <w:rFonts w:hint="eastAsia" w:ascii="宋体" w:hAnsi="宋体"/>
          <w:sz w:val="24"/>
        </w:rPr>
        <w:t>（</w:t>
      </w:r>
      <w:r>
        <w:rPr>
          <w:rFonts w:hint="eastAsia" w:ascii="宋体" w:hAnsi="宋体"/>
          <w:sz w:val="24"/>
          <w:lang w:val="en-US" w:eastAsia="zh-CN"/>
        </w:rPr>
        <w:t>二</w:t>
      </w:r>
      <w:r>
        <w:rPr>
          <w:rFonts w:hint="eastAsia" w:ascii="宋体" w:hAnsi="宋体"/>
          <w:sz w:val="24"/>
        </w:rPr>
        <w:t>）</w:t>
      </w:r>
      <w:r>
        <w:rPr>
          <w:rFonts w:hint="eastAsia" w:ascii="宋体" w:hAnsi="宋体"/>
          <w:sz w:val="24"/>
          <w:lang w:val="en-US" w:eastAsia="zh-CN"/>
        </w:rPr>
        <w:t>安装部分</w:t>
      </w:r>
    </w:p>
    <w:p w14:paraId="1923B11A">
      <w:pPr>
        <w:numPr>
          <w:ilvl w:val="0"/>
          <w:numId w:val="0"/>
        </w:numPr>
        <w:autoSpaceDE w:val="0"/>
        <w:autoSpaceDN w:val="0"/>
        <w:adjustRightInd w:val="0"/>
        <w:spacing w:line="360" w:lineRule="auto"/>
        <w:ind w:leftChars="0"/>
        <w:rPr>
          <w:rFonts w:hint="eastAsia" w:ascii="宋体" w:hAnsi="宋体"/>
          <w:sz w:val="24"/>
          <w:lang w:val="en-US" w:eastAsia="zh-CN"/>
        </w:rPr>
      </w:pPr>
      <w:r>
        <w:rPr>
          <w:rFonts w:hint="eastAsia" w:ascii="宋体" w:hAnsi="宋体"/>
          <w:sz w:val="24"/>
          <w:lang w:val="en-US" w:eastAsia="zh-CN"/>
        </w:rPr>
        <w:t>1.喷淋头按0.5m/个计入；</w:t>
      </w:r>
    </w:p>
    <w:p w14:paraId="583AAC0A">
      <w:pPr>
        <w:pStyle w:val="2"/>
        <w:rPr>
          <w:rFonts w:hint="eastAsia"/>
          <w:sz w:val="24"/>
          <w:szCs w:val="24"/>
          <w:lang w:val="en-US" w:eastAsia="zh-CN"/>
        </w:rPr>
      </w:pPr>
      <w:r>
        <w:rPr>
          <w:rFonts w:hint="eastAsia"/>
          <w:sz w:val="24"/>
          <w:szCs w:val="24"/>
          <w:lang w:val="en-US" w:eastAsia="zh-CN"/>
        </w:rPr>
        <w:t>2.排水管按镀锌钢管计入；</w:t>
      </w:r>
    </w:p>
    <w:p w14:paraId="2DCBF64C">
      <w:pPr>
        <w:pStyle w:val="4"/>
        <w:keepNext w:val="0"/>
        <w:keepLines w:val="0"/>
        <w:widowControl/>
        <w:suppressLineNumbers w:val="0"/>
        <w:spacing w:before="0" w:beforeAutospacing="0" w:after="0" w:afterAutospacing="0"/>
        <w:ind w:left="0" w:right="0" w:firstLine="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rPr>
        <w:t>水流指示器及信号阀模块接入原有消电回路,</w:t>
      </w:r>
      <w:r>
        <w:rPr>
          <w:rFonts w:ascii="宋体" w:hAnsi="宋体" w:eastAsia="宋体" w:cs="宋体"/>
          <w:sz w:val="22"/>
          <w:szCs w:val="22"/>
        </w:rPr>
        <w:t>湿式报警阀及信号阀模块接入原有消电回路,</w:t>
      </w:r>
      <w:r>
        <w:rPr>
          <w:rFonts w:hint="eastAsia" w:ascii="宋体" w:hAnsi="宋体" w:eastAsia="宋体" w:cs="宋体"/>
          <w:sz w:val="22"/>
          <w:szCs w:val="22"/>
          <w:lang w:val="en-US" w:eastAsia="zh-CN"/>
        </w:rPr>
        <w:t>按</w:t>
      </w:r>
      <w:r>
        <w:rPr>
          <w:rFonts w:hint="eastAsia" w:ascii="宋体" w:hAnsi="宋体" w:eastAsia="宋体" w:cs="宋体"/>
          <w:sz w:val="24"/>
          <w:szCs w:val="24"/>
          <w:lang w:val="en-US" w:eastAsia="zh-CN"/>
        </w:rPr>
        <w:t>WDZB-BYJ-2.5-SC20 5m/处计入；</w:t>
      </w:r>
    </w:p>
    <w:p w14:paraId="277E0A34">
      <w:pPr>
        <w:pStyle w:val="4"/>
        <w:keepNext w:val="0"/>
        <w:keepLines w:val="0"/>
        <w:widowControl/>
        <w:suppressLineNumbers w:val="0"/>
        <w:spacing w:before="0" w:beforeAutospacing="0" w:after="0" w:afterAutospacing="0"/>
        <w:ind w:left="0" w:right="0" w:firstLine="0"/>
        <w:rPr>
          <w:rFonts w:hint="default" w:eastAsia="宋体"/>
          <w:lang w:val="en-US" w:eastAsia="zh-CN"/>
        </w:rPr>
      </w:pPr>
      <w:r>
        <w:rPr>
          <w:rFonts w:hint="eastAsia" w:ascii="宋体" w:hAnsi="宋体" w:eastAsia="宋体" w:cs="宋体"/>
          <w:sz w:val="24"/>
          <w:szCs w:val="24"/>
          <w:lang w:val="en-US" w:eastAsia="zh-CN"/>
        </w:rPr>
        <w:t>4.</w:t>
      </w:r>
      <w:r>
        <w:rPr>
          <w:rFonts w:ascii="宋体" w:hAnsi="宋体" w:eastAsia="宋体" w:cs="宋体"/>
          <w:sz w:val="22"/>
          <w:szCs w:val="22"/>
        </w:rPr>
        <w:t>湿式报警阀直接起泵线引入喷淋泵控制柜,</w:t>
      </w:r>
      <w:r>
        <w:rPr>
          <w:rFonts w:hint="eastAsia" w:ascii="宋体" w:hAnsi="宋体" w:eastAsia="宋体" w:cs="宋体"/>
          <w:sz w:val="22"/>
          <w:szCs w:val="22"/>
          <w:lang w:val="en-US" w:eastAsia="zh-CN"/>
        </w:rPr>
        <w:t>按</w:t>
      </w:r>
      <w:r>
        <w:rPr>
          <w:rFonts w:ascii="宋体" w:hAnsi="宋体" w:eastAsia="宋体" w:cs="宋体"/>
          <w:sz w:val="22"/>
          <w:szCs w:val="22"/>
        </w:rPr>
        <w:t>WDZB1N-KYJE-4X1.5-SC20</w:t>
      </w:r>
      <w:r>
        <w:rPr>
          <w:rFonts w:hint="eastAsia" w:ascii="宋体" w:hAnsi="宋体" w:eastAsia="宋体" w:cs="宋体"/>
          <w:sz w:val="22"/>
          <w:szCs w:val="22"/>
          <w:lang w:val="en-US" w:eastAsia="zh-CN"/>
        </w:rPr>
        <w:t xml:space="preserve"> 15m/处计入；</w:t>
      </w:r>
      <w:bookmarkStart w:id="1" w:name="_GoBack"/>
      <w:bookmarkEnd w:id="1"/>
    </w:p>
    <w:p w14:paraId="691FA7EC">
      <w:pPr>
        <w:pStyle w:val="4"/>
        <w:keepNext w:val="0"/>
        <w:keepLines w:val="0"/>
        <w:widowControl/>
        <w:suppressLineNumbers w:val="0"/>
        <w:spacing w:before="0" w:beforeAutospacing="0" w:after="0" w:afterAutospacing="0"/>
        <w:ind w:left="0" w:right="0" w:firstLine="0"/>
        <w:rPr>
          <w:rFonts w:hint="eastAsia" w:ascii="宋体" w:hAnsi="宋体" w:eastAsia="宋体" w:cs="宋体"/>
          <w:sz w:val="24"/>
          <w:szCs w:val="24"/>
          <w:lang w:val="en-US" w:eastAsia="zh-CN"/>
        </w:rPr>
      </w:pPr>
    </w:p>
    <w:p w14:paraId="3A06CB40">
      <w:pPr>
        <w:spacing w:line="360" w:lineRule="auto"/>
        <w:rPr>
          <w:rFonts w:hint="default"/>
          <w:lang w:val="en-US" w:eastAsia="zh-CN"/>
        </w:rPr>
      </w:pPr>
      <w:r>
        <w:rPr>
          <w:rFonts w:hint="eastAsia" w:hAnsi="宋体"/>
          <w:sz w:val="24"/>
          <w:lang w:val="en-US" w:eastAsia="zh-CN"/>
        </w:rPr>
        <w:t>（三）室外喷淋</w:t>
      </w:r>
      <w:r>
        <w:rPr>
          <w:rFonts w:hint="eastAsia" w:ascii="宋体" w:hAnsi="宋体"/>
          <w:sz w:val="24"/>
          <w:lang w:val="en-US" w:eastAsia="zh-CN"/>
        </w:rPr>
        <w:t>部分</w:t>
      </w:r>
    </w:p>
    <w:p w14:paraId="7049F108">
      <w:pPr>
        <w:numPr>
          <w:ilvl w:val="0"/>
          <w:numId w:val="3"/>
        </w:numPr>
        <w:adjustRightInd w:val="0"/>
        <w:snapToGrid w:val="0"/>
        <w:spacing w:line="440" w:lineRule="exact"/>
        <w:rPr>
          <w:rFonts w:hint="eastAsia" w:ascii="宋体" w:hAnsi="宋体" w:eastAsia="宋体" w:cs="宋体"/>
          <w:sz w:val="24"/>
          <w:szCs w:val="24"/>
        </w:rPr>
      </w:pPr>
      <w:r>
        <w:rPr>
          <w:rFonts w:hint="eastAsia" w:ascii="宋体" w:hAnsi="宋体" w:eastAsia="宋体" w:cs="宋体"/>
          <w:sz w:val="24"/>
          <w:szCs w:val="24"/>
          <w:lang w:val="en-US" w:eastAsia="zh-CN"/>
        </w:rPr>
        <w:t>管道沟槽宽度按管道宽度+两侧300mm工作面计入；</w:t>
      </w:r>
    </w:p>
    <w:p w14:paraId="05AEFCF8">
      <w:pPr>
        <w:numPr>
          <w:ilvl w:val="0"/>
          <w:numId w:val="3"/>
        </w:numPr>
        <w:adjustRightInd w:val="0"/>
        <w:snapToGrid w:val="0"/>
        <w:spacing w:line="440" w:lineRule="exact"/>
        <w:ind w:left="0" w:leftChars="0" w:firstLine="0" w:firstLineChars="0"/>
        <w:rPr>
          <w:rFonts w:hint="eastAsia" w:ascii="宋体" w:hAnsi="宋体" w:eastAsia="宋体" w:cs="宋体"/>
          <w:sz w:val="24"/>
          <w:szCs w:val="24"/>
        </w:rPr>
      </w:pPr>
      <w:bookmarkStart w:id="0" w:name="OLE_LINK1"/>
      <w:r>
        <w:rPr>
          <w:rFonts w:hint="eastAsia" w:ascii="宋体" w:hAnsi="宋体" w:eastAsia="宋体" w:cs="宋体"/>
          <w:sz w:val="24"/>
          <w:szCs w:val="24"/>
          <w:lang w:val="en-US" w:eastAsia="zh-CN"/>
        </w:rPr>
        <w:t>根据设计回复，</w:t>
      </w:r>
      <w:bookmarkEnd w:id="0"/>
      <w:r>
        <w:rPr>
          <w:rFonts w:hint="eastAsia" w:ascii="宋体" w:hAnsi="宋体" w:eastAsia="宋体" w:cs="宋体"/>
          <w:sz w:val="24"/>
          <w:szCs w:val="24"/>
          <w:lang w:val="en-US" w:eastAsia="zh-CN"/>
        </w:rPr>
        <w:t>路面开挖及修复厚度为15cm</w:t>
      </w:r>
      <w:r>
        <w:rPr>
          <w:rFonts w:hint="eastAsia" w:ascii="宋体" w:hAnsi="宋体" w:eastAsia="宋体" w:cs="宋体"/>
          <w:sz w:val="24"/>
          <w:szCs w:val="24"/>
        </w:rPr>
        <w:t>；</w:t>
      </w:r>
    </w:p>
    <w:p w14:paraId="65C7831A">
      <w:pPr>
        <w:spacing w:line="360" w:lineRule="auto"/>
        <w:jc w:val="center"/>
        <w:rPr>
          <w:rFonts w:hint="eastAsia" w:ascii="宋体" w:cs="宋体"/>
          <w:sz w:val="24"/>
        </w:rPr>
      </w:pPr>
      <w:r>
        <w:rPr>
          <w:rFonts w:hint="eastAsia" w:ascii="宋体" w:cs="宋体"/>
          <w:sz w:val="24"/>
        </w:rPr>
        <w:t>材料品牌推荐表</w:t>
      </w:r>
    </w:p>
    <w:tbl>
      <w:tblPr>
        <w:tblStyle w:val="5"/>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2754"/>
        <w:gridCol w:w="6254"/>
      </w:tblGrid>
      <w:tr w14:paraId="62090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20" w:type="dxa"/>
            <w:noWrap w:val="0"/>
            <w:vAlign w:val="center"/>
          </w:tcPr>
          <w:p w14:paraId="21B7B1A8">
            <w:pPr>
              <w:spacing w:line="360" w:lineRule="auto"/>
              <w:jc w:val="center"/>
              <w:rPr>
                <w:rFonts w:hint="eastAsia" w:ascii="宋体" w:hAnsi="宋体"/>
                <w:kern w:val="2"/>
                <w:sz w:val="24"/>
                <w:szCs w:val="24"/>
                <w:lang w:val="en-US" w:eastAsia="zh-CN" w:bidi="ar-SA"/>
              </w:rPr>
            </w:pPr>
            <w:r>
              <w:rPr>
                <w:rFonts w:hint="eastAsia" w:ascii="宋体" w:hAnsi="宋体"/>
                <w:sz w:val="24"/>
              </w:rPr>
              <w:t>序号</w:t>
            </w:r>
          </w:p>
        </w:tc>
        <w:tc>
          <w:tcPr>
            <w:tcW w:w="2754" w:type="dxa"/>
            <w:noWrap w:val="0"/>
            <w:vAlign w:val="center"/>
          </w:tcPr>
          <w:p w14:paraId="78F804A6">
            <w:pPr>
              <w:spacing w:line="360" w:lineRule="auto"/>
              <w:jc w:val="center"/>
              <w:rPr>
                <w:rFonts w:hint="eastAsia" w:ascii="宋体" w:hAnsi="宋体"/>
                <w:kern w:val="2"/>
                <w:sz w:val="24"/>
                <w:szCs w:val="24"/>
                <w:lang w:val="en-US" w:eastAsia="zh-CN" w:bidi="ar-SA"/>
              </w:rPr>
            </w:pPr>
            <w:r>
              <w:rPr>
                <w:rFonts w:hint="eastAsia" w:ascii="宋体" w:hAnsi="宋体"/>
                <w:sz w:val="24"/>
              </w:rPr>
              <w:t>产品</w:t>
            </w:r>
          </w:p>
        </w:tc>
        <w:tc>
          <w:tcPr>
            <w:tcW w:w="6254" w:type="dxa"/>
            <w:noWrap w:val="0"/>
            <w:vAlign w:val="center"/>
          </w:tcPr>
          <w:p w14:paraId="4BB9E650">
            <w:pPr>
              <w:spacing w:line="360" w:lineRule="auto"/>
              <w:jc w:val="center"/>
              <w:rPr>
                <w:rFonts w:hint="eastAsia"/>
                <w:sz w:val="24"/>
              </w:rPr>
            </w:pPr>
            <w:r>
              <w:rPr>
                <w:rFonts w:hint="eastAsia" w:ascii="宋体" w:hAnsi="宋体"/>
                <w:sz w:val="24"/>
                <w:szCs w:val="24"/>
              </w:rPr>
              <w:t>推荐品牌</w:t>
            </w:r>
          </w:p>
        </w:tc>
      </w:tr>
      <w:tr w14:paraId="4306B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0" w:type="auto"/>
            <w:noWrap w:val="0"/>
            <w:vAlign w:val="center"/>
          </w:tcPr>
          <w:p w14:paraId="72BE54D4">
            <w:pPr>
              <w:spacing w:line="360" w:lineRule="auto"/>
              <w:jc w:val="center"/>
              <w:rPr>
                <w:rFonts w:hint="eastAsia" w:ascii="宋体" w:hAnsi="宋体"/>
                <w:kern w:val="2"/>
                <w:sz w:val="24"/>
                <w:szCs w:val="24"/>
                <w:lang w:val="en-US" w:eastAsia="zh-CN" w:bidi="ar-SA"/>
              </w:rPr>
            </w:pPr>
            <w:r>
              <w:rPr>
                <w:rFonts w:hint="eastAsia" w:ascii="宋体" w:hAnsi="宋体"/>
                <w:sz w:val="24"/>
                <w:lang w:val="en-US" w:eastAsia="zh-CN"/>
              </w:rPr>
              <w:t>1</w:t>
            </w:r>
          </w:p>
        </w:tc>
        <w:tc>
          <w:tcPr>
            <w:tcW w:w="0" w:type="auto"/>
            <w:noWrap w:val="0"/>
            <w:vAlign w:val="center"/>
          </w:tcPr>
          <w:p w14:paraId="561D4C4D">
            <w:pPr>
              <w:spacing w:line="360" w:lineRule="auto"/>
              <w:jc w:val="center"/>
              <w:rPr>
                <w:rFonts w:hint="default" w:ascii="宋体" w:hAnsi="宋体" w:eastAsia="宋体" w:cs="Times New Roman"/>
                <w:kern w:val="2"/>
                <w:sz w:val="24"/>
                <w:szCs w:val="24"/>
                <w:lang w:val="en-US" w:eastAsia="zh-CN" w:bidi="ar-SA"/>
              </w:rPr>
            </w:pPr>
            <w:r>
              <w:rPr>
                <w:rFonts w:hint="eastAsia" w:ascii="宋体" w:hAnsi="宋体" w:cs="Times New Roman"/>
                <w:sz w:val="24"/>
                <w:lang w:val="en-US" w:eastAsia="zh-CN"/>
              </w:rPr>
              <w:t>镀锌钢管</w:t>
            </w:r>
          </w:p>
        </w:tc>
        <w:tc>
          <w:tcPr>
            <w:tcW w:w="6254" w:type="dxa"/>
            <w:noWrap w:val="0"/>
            <w:vAlign w:val="top"/>
          </w:tcPr>
          <w:p w14:paraId="2F559092">
            <w:pPr>
              <w:spacing w:line="360" w:lineRule="auto"/>
              <w:jc w:val="center"/>
              <w:rPr>
                <w:rFonts w:hint="eastAsia" w:ascii="宋体" w:hAnsi="宋体" w:eastAsia="宋体" w:cs="Times New Roman"/>
                <w:kern w:val="2"/>
                <w:sz w:val="24"/>
                <w:szCs w:val="24"/>
                <w:lang w:val="en-US" w:eastAsia="zh-CN" w:bidi="ar-SA"/>
              </w:rPr>
            </w:pPr>
            <w:r>
              <w:rPr>
                <w:rFonts w:hint="eastAsia" w:ascii="宋体" w:hAnsi="宋体" w:eastAsia="宋体" w:cs="Times New Roman"/>
                <w:sz w:val="24"/>
                <w:lang w:eastAsia="zh-CN"/>
              </w:rPr>
              <w:t xml:space="preserve">金洲、银河、增洲、联塑、利达、友发 </w:t>
            </w:r>
          </w:p>
        </w:tc>
      </w:tr>
    </w:tbl>
    <w:p w14:paraId="5FDBBF77">
      <w:pPr>
        <w:pStyle w:val="2"/>
        <w:rPr>
          <w:rFonts w:hint="eastAsia"/>
        </w:rPr>
      </w:pPr>
    </w:p>
    <w:p w14:paraId="209A2EBB">
      <w:pPr>
        <w:numPr>
          <w:ilvl w:val="0"/>
          <w:numId w:val="0"/>
        </w:numPr>
        <w:autoSpaceDE w:val="0"/>
        <w:autoSpaceDN w:val="0"/>
        <w:adjustRightInd w:val="0"/>
        <w:spacing w:line="360" w:lineRule="auto"/>
        <w:ind w:leftChars="0"/>
        <w:rPr>
          <w:rFonts w:hint="default" w:ascii="宋体" w:hAnsi="宋体"/>
          <w:sz w:val="24"/>
          <w:lang w:val="en-US" w:eastAsia="zh-CN"/>
        </w:rPr>
      </w:pPr>
    </w:p>
    <w:p w14:paraId="643C7E8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华文仿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C5DF0D"/>
    <w:multiLevelType w:val="singleLevel"/>
    <w:tmpl w:val="E5C5DF0D"/>
    <w:lvl w:ilvl="0" w:tentative="0">
      <w:start w:val="1"/>
      <w:numFmt w:val="decimal"/>
      <w:suff w:val="space"/>
      <w:lvlText w:val="%1."/>
      <w:lvlJc w:val="left"/>
    </w:lvl>
  </w:abstractNum>
  <w:abstractNum w:abstractNumId="1">
    <w:nsid w:val="244611B4"/>
    <w:multiLevelType w:val="multilevel"/>
    <w:tmpl w:val="244611B4"/>
    <w:lvl w:ilvl="0" w:tentative="0">
      <w:start w:val="1"/>
      <w:numFmt w:val="decimal"/>
      <w:lvlText w:val="%1."/>
      <w:lvlJc w:val="left"/>
      <w:pPr>
        <w:tabs>
          <w:tab w:val="left" w:pos="420"/>
        </w:tabs>
        <w:ind w:left="0" w:firstLine="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BCC755D"/>
    <w:multiLevelType w:val="multilevel"/>
    <w:tmpl w:val="5BCC755D"/>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g0MTQwMmJiYmQ2MGYwYTFlMDllNjcxZmZjNzQ3NWYifQ=="/>
    <w:docVar w:name="KSO_WPS_MARK_KEY" w:val="58065d83-ace4-4f3a-a7c7-6002fc436a2d"/>
  </w:docVars>
  <w:rsids>
    <w:rsidRoot w:val="4DEB3DD4"/>
    <w:rsid w:val="044D3C64"/>
    <w:rsid w:val="1F3D0B35"/>
    <w:rsid w:val="214F3ED4"/>
    <w:rsid w:val="22F95FB5"/>
    <w:rsid w:val="36FE6EFA"/>
    <w:rsid w:val="3D424480"/>
    <w:rsid w:val="4D907392"/>
    <w:rsid w:val="4DE50973"/>
    <w:rsid w:val="4DEB3DD4"/>
    <w:rsid w:val="563A54AB"/>
    <w:rsid w:val="606F65AD"/>
    <w:rsid w:val="632602FF"/>
    <w:rsid w:val="79D86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rPr>
      <w:rFonts w:ascii="宋体"/>
      <w:sz w:val="28"/>
      <w:szCs w:val="20"/>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714</Words>
  <Characters>786</Characters>
  <Lines>0</Lines>
  <Paragraphs>0</Paragraphs>
  <TotalTime>24</TotalTime>
  <ScaleCrop>false</ScaleCrop>
  <LinksUpToDate>false</LinksUpToDate>
  <CharactersWithSpaces>789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2025-06-17T07:51:00Z</dcterms:created>
  <dc:creator>Administrator</dc:creator>
  <cp:lastModifiedBy>37.2</cp:lastModifiedBy>
  <dcterms:modified xsi:type="dcterms:W3CDTF">2025-06-18T06:58:59Z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0533E212C1EA41DB901EC8FA170D127C_11</vt:lpwstr>
  </property>
  <property fmtid="{D5CDD505-2E9C-101B-9397-08002B2CF9AE}" pid="4" name="KSOTemplateDocerSaveRecord">
    <vt:lpwstr>eyJoZGlkIjoiMzcyN2NiZTc2MDg2YjhhYzljNmNjZmI2YmFlY2Q5YjAiLCJ1c2VySWQiOiIxMTM0OTkwMDM1In0=</vt:lpwstr>
  </property>
</Properties>
</file>