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39" w:rsidRDefault="00574739" w:rsidP="00574739">
      <w:pPr>
        <w:spacing w:before="100" w:beforeAutospacing="1" w:after="100" w:afterAutospacing="1" w:line="440" w:lineRule="exact"/>
        <w:jc w:val="center"/>
        <w:outlineLvl w:val="0"/>
        <w:rPr>
          <w:rFonts w:ascii="新宋体" w:eastAsia="新宋体" w:hAnsi="新宋体" w:hint="eastAsia"/>
          <w:b/>
          <w:bCs/>
          <w:color w:val="000000"/>
          <w:sz w:val="32"/>
          <w:szCs w:val="32"/>
        </w:rPr>
      </w:pPr>
      <w:r>
        <w:rPr>
          <w:rFonts w:ascii="新宋体" w:eastAsia="新宋体" w:hAnsi="新宋体" w:hint="eastAsia"/>
          <w:b/>
          <w:bCs/>
          <w:color w:val="000000"/>
          <w:sz w:val="32"/>
          <w:szCs w:val="32"/>
        </w:rPr>
        <w:t>采购内容及要求</w:t>
      </w:r>
    </w:p>
    <w:p w:rsidR="00574739" w:rsidRDefault="00574739" w:rsidP="00574739">
      <w:pPr>
        <w:pStyle w:val="a5"/>
        <w:adjustRightInd w:val="0"/>
        <w:snapToGrid w:val="0"/>
        <w:spacing w:after="0" w:line="440" w:lineRule="exact"/>
        <w:ind w:leftChars="174" w:left="365" w:firstLineChars="90" w:firstLine="199"/>
        <w:rPr>
          <w:rFonts w:ascii="宋体" w:hAnsi="宋体" w:hint="eastAsia"/>
          <w:b/>
          <w:bCs/>
          <w:sz w:val="22"/>
          <w:szCs w:val="22"/>
        </w:rPr>
      </w:pPr>
      <w:bookmarkStart w:id="0" w:name="_Toc384111235"/>
      <w:r>
        <w:rPr>
          <w:rFonts w:ascii="宋体" w:hAnsi="宋体" w:hint="eastAsia"/>
          <w:b/>
          <w:bCs/>
          <w:sz w:val="22"/>
          <w:szCs w:val="22"/>
        </w:rPr>
        <w:t>一、总体要求</w:t>
      </w:r>
    </w:p>
    <w:p w:rsidR="00574739" w:rsidRDefault="00574739" w:rsidP="00574739">
      <w:pPr>
        <w:pStyle w:val="a5"/>
        <w:adjustRightInd w:val="0"/>
        <w:snapToGrid w:val="0"/>
        <w:spacing w:after="0" w:line="440" w:lineRule="exact"/>
        <w:ind w:left="2" w:firstLineChars="256" w:firstLine="563"/>
        <w:rPr>
          <w:rFonts w:ascii="宋体" w:hAnsi="宋体" w:hint="eastAsia"/>
          <w:bCs/>
          <w:sz w:val="22"/>
          <w:szCs w:val="22"/>
        </w:rPr>
      </w:pPr>
      <w:r>
        <w:rPr>
          <w:rFonts w:ascii="宋体" w:hAnsi="宋体" w:hint="eastAsia"/>
          <w:bCs/>
          <w:sz w:val="22"/>
          <w:szCs w:val="22"/>
        </w:rPr>
        <w:t>1、本次项目为1个标段，供应商必须对所有采购内容进行投标，不得将标段进行拆分投标或只对其中的部分采购内容进行投标，否则其谈判响应文件将不予接受。</w:t>
      </w:r>
    </w:p>
    <w:p w:rsidR="00574739" w:rsidRDefault="00574739" w:rsidP="00574739">
      <w:pPr>
        <w:spacing w:line="460" w:lineRule="exact"/>
        <w:ind w:firstLineChars="256" w:firstLine="563"/>
        <w:rPr>
          <w:rFonts w:ascii="宋体" w:hAnsi="宋体" w:hint="eastAsia"/>
          <w:bCs/>
          <w:sz w:val="22"/>
          <w:szCs w:val="22"/>
        </w:rPr>
      </w:pPr>
      <w:r>
        <w:rPr>
          <w:rFonts w:ascii="宋体" w:hAnsi="宋体" w:hint="eastAsia"/>
          <w:bCs/>
          <w:sz w:val="22"/>
          <w:szCs w:val="22"/>
        </w:rPr>
        <w:t>2、本项目的财政预算为人民币叁佰万元/年（</w:t>
      </w:r>
      <w:r>
        <w:rPr>
          <w:rFonts w:ascii="宋体" w:hAnsi="宋体"/>
          <w:bCs/>
          <w:sz w:val="22"/>
          <w:szCs w:val="22"/>
        </w:rPr>
        <w:t>¥</w:t>
      </w:r>
      <w:r>
        <w:rPr>
          <w:rFonts w:ascii="宋体" w:hAnsi="宋体" w:hint="eastAsia"/>
          <w:bCs/>
          <w:sz w:val="22"/>
          <w:szCs w:val="22"/>
        </w:rPr>
        <w:t>3000000.00元）, 投标人自行考虑报价（ 如投标人报价超过财政预算按无效标处理）。</w:t>
      </w:r>
    </w:p>
    <w:p w:rsidR="00574739" w:rsidRDefault="00574739" w:rsidP="00574739">
      <w:pPr>
        <w:spacing w:line="440" w:lineRule="exact"/>
        <w:ind w:firstLineChars="300" w:firstLine="660"/>
        <w:rPr>
          <w:rFonts w:ascii="宋体" w:hAnsi="宋体" w:hint="eastAsia"/>
          <w:bCs/>
          <w:sz w:val="22"/>
          <w:szCs w:val="22"/>
        </w:rPr>
      </w:pPr>
      <w:r>
        <w:rPr>
          <w:rFonts w:ascii="宋体" w:hAnsi="宋体" w:hint="eastAsia"/>
          <w:bCs/>
          <w:sz w:val="22"/>
          <w:szCs w:val="22"/>
        </w:rPr>
        <w:t>3、</w:t>
      </w:r>
      <w:r>
        <w:rPr>
          <w:rFonts w:ascii="新宋体" w:eastAsia="新宋体" w:hAnsi="新宋体" w:hint="eastAsia"/>
          <w:sz w:val="22"/>
          <w:szCs w:val="22"/>
        </w:rPr>
        <w:t>承包期限：本项目承包服务期限为叁年。（在第一次合同期满，以采购单位满意的前提下，本项目可续签一次）</w:t>
      </w:r>
    </w:p>
    <w:bookmarkEnd w:id="0"/>
    <w:p w:rsidR="00574739" w:rsidRDefault="00574739" w:rsidP="00574739">
      <w:pPr>
        <w:spacing w:line="460" w:lineRule="exact"/>
        <w:ind w:firstLineChars="245" w:firstLine="541"/>
        <w:rPr>
          <w:rFonts w:ascii="宋体" w:hAnsi="宋体" w:hint="eastAsia"/>
          <w:b/>
          <w:bCs/>
          <w:sz w:val="22"/>
          <w:szCs w:val="22"/>
        </w:rPr>
      </w:pPr>
      <w:r>
        <w:rPr>
          <w:rFonts w:ascii="宋体" w:hAnsi="宋体" w:hint="eastAsia"/>
          <w:b/>
          <w:bCs/>
          <w:sz w:val="22"/>
          <w:szCs w:val="22"/>
        </w:rPr>
        <w:t>二、采购内容</w:t>
      </w:r>
    </w:p>
    <w:p w:rsidR="00574739" w:rsidRDefault="00574739" w:rsidP="00574739">
      <w:pPr>
        <w:tabs>
          <w:tab w:val="left" w:pos="9135"/>
        </w:tabs>
        <w:spacing w:line="440" w:lineRule="exact"/>
        <w:rPr>
          <w:rFonts w:ascii="新宋体" w:eastAsia="新宋体" w:hAnsi="新宋体" w:hint="eastAsia"/>
          <w:b/>
          <w:color w:val="000000"/>
          <w:sz w:val="22"/>
          <w:szCs w:val="22"/>
        </w:rPr>
      </w:pPr>
      <w:r>
        <w:rPr>
          <w:rFonts w:ascii="新宋体" w:eastAsia="新宋体" w:hAnsi="新宋体" w:hint="eastAsia"/>
          <w:b/>
          <w:color w:val="000000"/>
          <w:sz w:val="22"/>
          <w:szCs w:val="22"/>
        </w:rPr>
        <w:t>（一）运营服务机构职责</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1.协助做好场地装修及前期筹备工作：协助办理施工审批、备案等行政许可和竣工验收等手续；协助温州市科技局协调施工方与场地业主及物业服务单位；协助温州市科技局做好固定资产登记工作；</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2.负责协调场地业主及物业服务单位，做好园区日常运营和管理工作；</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3.负责在媒体发布招引公告等宣传信息，走访发动符合招引条件的单位，严格遵守温州（嘉定）科技创新园入驻机构管理细则开展对拟入驻单位实地考察及评估推荐，对入驻单位考核管理等工作；</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4.为入驻单位提供工商注册、税务咨询、科技政策、技术及人才推介、投融资联系等创新创业“一站式”服务，建立多种柔性引才模式，开展各类高层次科技合作交流活动；</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5. 负责定期对外进行宣传推广，建立</w:t>
      </w:r>
      <w:proofErr w:type="gramStart"/>
      <w:r>
        <w:rPr>
          <w:rFonts w:ascii="新宋体" w:eastAsia="新宋体" w:hAnsi="新宋体" w:hint="eastAsia"/>
          <w:bCs/>
          <w:color w:val="000000"/>
          <w:sz w:val="22"/>
          <w:szCs w:val="22"/>
        </w:rPr>
        <w:t>微信公众号</w:t>
      </w:r>
      <w:proofErr w:type="gramEnd"/>
      <w:r>
        <w:rPr>
          <w:rFonts w:ascii="新宋体" w:eastAsia="新宋体" w:hAnsi="新宋体" w:hint="eastAsia"/>
          <w:bCs/>
          <w:color w:val="000000"/>
          <w:sz w:val="22"/>
          <w:szCs w:val="22"/>
        </w:rPr>
        <w:t>，做好线上线</w:t>
      </w:r>
      <w:proofErr w:type="gramStart"/>
      <w:r>
        <w:rPr>
          <w:rFonts w:ascii="新宋体" w:eastAsia="新宋体" w:hAnsi="新宋体" w:hint="eastAsia"/>
          <w:bCs/>
          <w:color w:val="000000"/>
          <w:sz w:val="22"/>
          <w:szCs w:val="22"/>
        </w:rPr>
        <w:t>下信息</w:t>
      </w:r>
      <w:proofErr w:type="gramEnd"/>
      <w:r>
        <w:rPr>
          <w:rFonts w:ascii="新宋体" w:eastAsia="新宋体" w:hAnsi="新宋体" w:hint="eastAsia"/>
          <w:bCs/>
          <w:color w:val="000000"/>
          <w:sz w:val="22"/>
          <w:szCs w:val="22"/>
        </w:rPr>
        <w:t>报送、宣传及品牌打造等工作；创新性举办活动，营造良好的创业创新生态；</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6.完成温州市科技局交办的其他有关事项。</w:t>
      </w:r>
    </w:p>
    <w:p w:rsidR="00574739" w:rsidRDefault="00574739" w:rsidP="00574739">
      <w:pPr>
        <w:tabs>
          <w:tab w:val="left" w:pos="9135"/>
        </w:tabs>
        <w:spacing w:line="440" w:lineRule="exact"/>
        <w:rPr>
          <w:rFonts w:ascii="新宋体" w:eastAsia="新宋体" w:hAnsi="新宋体" w:hint="eastAsia"/>
          <w:b/>
          <w:color w:val="000000"/>
          <w:sz w:val="22"/>
          <w:szCs w:val="22"/>
        </w:rPr>
      </w:pPr>
      <w:r>
        <w:rPr>
          <w:rFonts w:ascii="新宋体" w:eastAsia="新宋体" w:hAnsi="新宋体" w:hint="eastAsia"/>
          <w:b/>
          <w:color w:val="000000"/>
          <w:sz w:val="22"/>
          <w:szCs w:val="22"/>
        </w:rPr>
        <w:t>（二）、考核方式和经费补助</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1.考核方式：协议期内，由市科技局委托第三方对运营服务机构实行年度绩效目标考核（考核指标详见附件1）。考核内容分别为“基础服务”、“工作实绩”和“争先创优”，考核总分为300分，考核总得分180分以上（含180分）且“基础服务”得分90分以上（含90分）为合格；总得分180分以下或“基础服务”得分90分以下为不合格。考核不合格的，予以解除运营协议，并要求其限期无条件退出。</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2.经费支付：协议期内，经考核合格，根据考核实际得分予以补助，最高不超过中标总金额，考核得分280分以上（含280分）给予全额合同款，考核得分低于280分且高于</w:t>
      </w:r>
      <w:r>
        <w:rPr>
          <w:rFonts w:ascii="新宋体" w:eastAsia="新宋体" w:hAnsi="新宋体" w:hint="eastAsia"/>
          <w:bCs/>
          <w:color w:val="000000"/>
          <w:sz w:val="22"/>
          <w:szCs w:val="22"/>
        </w:rPr>
        <w:lastRenderedPageBreak/>
        <w:t>180分（含180分）的，在合同款总额基础上扣款，扣款金额=（合同款÷总分）×（280-考核得分）。其中，第一年，自协议签订之日起前3个月为试用期，按“基础服务”考核（考核指标详见附件2），考核总分100分，得分80分以上（含80分）的，予以通过试用，支付合同款的35%；得分80分以下的为不合格，解除运营服务协议，不予支付经费，并要求其限期无条件退出。通过试用后，按运营服务机构考核指标（见附件1）进行年度考核，考核合格的，于考核结果公布之日起7个工作日内支付剩余经费。第二年，自上一年度考核结束后1个月内预支</w:t>
      </w:r>
      <w:proofErr w:type="gramStart"/>
      <w:r>
        <w:rPr>
          <w:rFonts w:ascii="新宋体" w:eastAsia="新宋体" w:hAnsi="新宋体" w:hint="eastAsia"/>
          <w:bCs/>
          <w:color w:val="000000"/>
          <w:sz w:val="22"/>
          <w:szCs w:val="22"/>
        </w:rPr>
        <w:t>付合同</w:t>
      </w:r>
      <w:proofErr w:type="gramEnd"/>
      <w:r>
        <w:rPr>
          <w:rFonts w:ascii="新宋体" w:eastAsia="新宋体" w:hAnsi="新宋体" w:hint="eastAsia"/>
          <w:bCs/>
          <w:color w:val="000000"/>
          <w:sz w:val="22"/>
          <w:szCs w:val="22"/>
        </w:rPr>
        <w:t>款的35%，年度考核合格后，根据考核结果，在7个工作日内支付剩余经费，考核不合格的，予以解除运营协议，并要求其退回预支付的35%合同款。之后年度以此类推。自协议签订之日开始计算，每一周年为一个考核周期。</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3.场地使用</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为运营服务机构提供不超过100平方米的场地空间作为办公服务场地，委托运营</w:t>
      </w:r>
      <w:proofErr w:type="gramStart"/>
      <w:r>
        <w:rPr>
          <w:rFonts w:ascii="新宋体" w:eastAsia="新宋体" w:hAnsi="新宋体" w:hint="eastAsia"/>
          <w:bCs/>
          <w:color w:val="000000"/>
          <w:sz w:val="22"/>
          <w:szCs w:val="22"/>
        </w:rPr>
        <w:t>期内免场地</w:t>
      </w:r>
      <w:proofErr w:type="gramEnd"/>
      <w:r>
        <w:rPr>
          <w:rFonts w:ascii="新宋体" w:eastAsia="新宋体" w:hAnsi="新宋体" w:hint="eastAsia"/>
          <w:bCs/>
          <w:color w:val="000000"/>
          <w:sz w:val="22"/>
          <w:szCs w:val="22"/>
        </w:rPr>
        <w:t>租金及物业费（水电费自理）。</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4.运营服务机构退出</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出现下列情况之一的，由市科技局及时解除运营协议，并要求其限期无条件退出：</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（一）试用期，考核不合格的；</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（二）协议期内，由市科技局委托第三方对运营服务机构实行年度绩效目标考核，考核不合格的；</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（三）违反国家有关法律法规和政策规定；</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（四）隐瞒真实情况，弄虚作假，损害国家、集体或他人合法权益的；</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（五）不符合安全生产有关规定，没有按时整改到位或出现安全生产责任事故的；</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（六）被依法宣告破产的或被法院列入失信人黑名单的；</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（七）被吊销营业执照、责令关闭、撤销或者自行决定提前解散的；</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（八）其他情节严重的情形。</w:t>
      </w:r>
    </w:p>
    <w:p w:rsidR="00574739" w:rsidRDefault="00574739" w:rsidP="00574739">
      <w:pPr>
        <w:tabs>
          <w:tab w:val="left" w:pos="9135"/>
        </w:tabs>
        <w:spacing w:line="440" w:lineRule="exact"/>
        <w:rPr>
          <w:rFonts w:ascii="新宋体" w:eastAsia="新宋体" w:hAnsi="新宋体" w:hint="eastAsia"/>
          <w:bCs/>
          <w:color w:val="000000"/>
          <w:sz w:val="22"/>
          <w:szCs w:val="22"/>
        </w:rPr>
      </w:pP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附件：1. 运营服务机构考核指标；</w:t>
      </w:r>
    </w:p>
    <w:p w:rsidR="00574739" w:rsidRDefault="00574739" w:rsidP="00574739">
      <w:pPr>
        <w:tabs>
          <w:tab w:val="left" w:pos="9135"/>
        </w:tabs>
        <w:spacing w:line="440" w:lineRule="exact"/>
        <w:ind w:firstLineChars="300" w:firstLine="660"/>
        <w:rPr>
          <w:rFonts w:ascii="新宋体" w:eastAsia="新宋体" w:hAnsi="新宋体" w:hint="eastAsia"/>
          <w:bCs/>
          <w:color w:val="000000"/>
          <w:sz w:val="22"/>
          <w:szCs w:val="22"/>
        </w:rPr>
      </w:pPr>
      <w:r>
        <w:rPr>
          <w:rFonts w:ascii="新宋体" w:eastAsia="新宋体" w:hAnsi="新宋体" w:hint="eastAsia"/>
          <w:bCs/>
          <w:color w:val="000000"/>
          <w:sz w:val="22"/>
          <w:szCs w:val="22"/>
        </w:rPr>
        <w:t>2. 运营服务机构试用期考核指标。</w:t>
      </w:r>
    </w:p>
    <w:p w:rsidR="00574739" w:rsidRDefault="00574739" w:rsidP="00574739">
      <w:pPr>
        <w:tabs>
          <w:tab w:val="left" w:pos="9135"/>
        </w:tabs>
        <w:spacing w:line="440" w:lineRule="exact"/>
        <w:rPr>
          <w:rFonts w:ascii="新宋体" w:eastAsia="新宋体" w:hAnsi="新宋体" w:hint="eastAsia"/>
          <w:bCs/>
          <w:color w:val="000000"/>
          <w:sz w:val="22"/>
          <w:szCs w:val="22"/>
        </w:rPr>
      </w:pPr>
    </w:p>
    <w:p w:rsidR="00574739" w:rsidRDefault="00574739" w:rsidP="00574739">
      <w:pPr>
        <w:tabs>
          <w:tab w:val="left" w:pos="9135"/>
        </w:tabs>
        <w:spacing w:line="440" w:lineRule="exact"/>
        <w:rPr>
          <w:rFonts w:ascii="新宋体" w:eastAsia="新宋体" w:hAnsi="新宋体" w:hint="eastAsia"/>
          <w:bCs/>
          <w:color w:val="000000"/>
          <w:sz w:val="22"/>
          <w:szCs w:val="22"/>
        </w:rPr>
        <w:sectPr w:rsidR="00574739">
          <w:headerReference w:type="even" r:id="rId7"/>
          <w:headerReference w:type="default" r:id="rId8"/>
          <w:footerReference w:type="even" r:id="rId9"/>
          <w:footerReference w:type="default" r:id="rId10"/>
          <w:headerReference w:type="first" r:id="rId11"/>
          <w:footerReference w:type="first" r:id="rId12"/>
          <w:pgSz w:w="11906" w:h="16838"/>
          <w:pgMar w:top="1440" w:right="1706" w:bottom="1440" w:left="1800" w:header="851" w:footer="992" w:gutter="0"/>
          <w:cols w:space="720"/>
          <w:docGrid w:type="lines" w:linePitch="312"/>
        </w:sectPr>
      </w:pP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lastRenderedPageBreak/>
        <w:t>附件1</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运营服务机构考核指标</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55"/>
        <w:gridCol w:w="3347"/>
        <w:gridCol w:w="1095"/>
        <w:gridCol w:w="4963"/>
      </w:tblGrid>
      <w:tr w:rsidR="00574739" w:rsidTr="0012320F">
        <w:trPr>
          <w:cantSplit/>
          <w:trHeight w:val="502"/>
          <w:jc w:val="center"/>
        </w:trPr>
        <w:tc>
          <w:tcPr>
            <w:tcW w:w="115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一级指标</w:t>
            </w: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二级指标</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分值</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评分标准</w:t>
            </w:r>
          </w:p>
        </w:tc>
      </w:tr>
      <w:tr w:rsidR="00574739" w:rsidTr="0012320F">
        <w:trPr>
          <w:cantSplit/>
          <w:trHeight w:val="540"/>
          <w:jc w:val="center"/>
        </w:trPr>
        <w:tc>
          <w:tcPr>
            <w:tcW w:w="1155" w:type="dxa"/>
            <w:vMerge w:val="restart"/>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基础服务（120分）</w:t>
            </w: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机构入驻率（单位：%）</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≤40分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园区机构</w:t>
            </w:r>
            <w:proofErr w:type="gramStart"/>
            <w:r>
              <w:rPr>
                <w:rFonts w:ascii="新宋体" w:eastAsia="新宋体" w:hAnsi="新宋体" w:hint="eastAsia"/>
                <w:bCs/>
                <w:color w:val="000000"/>
                <w:sz w:val="22"/>
                <w:szCs w:val="22"/>
              </w:rPr>
              <w:t>入驻率</w:t>
            </w:r>
            <w:proofErr w:type="gramEnd"/>
            <w:r>
              <w:rPr>
                <w:rFonts w:ascii="新宋体" w:eastAsia="新宋体" w:hAnsi="新宋体" w:hint="eastAsia"/>
                <w:bCs/>
                <w:color w:val="000000"/>
                <w:sz w:val="22"/>
                <w:szCs w:val="22"/>
              </w:rPr>
              <w:t>达90%（第一年75%）得40分，</w:t>
            </w:r>
            <w:proofErr w:type="gramStart"/>
            <w:r>
              <w:rPr>
                <w:rFonts w:ascii="新宋体" w:eastAsia="新宋体" w:hAnsi="新宋体" w:hint="eastAsia"/>
                <w:bCs/>
                <w:color w:val="000000"/>
                <w:sz w:val="22"/>
                <w:szCs w:val="22"/>
              </w:rPr>
              <w:t>入驻率</w:t>
            </w:r>
            <w:proofErr w:type="gramEnd"/>
            <w:r>
              <w:rPr>
                <w:rFonts w:ascii="新宋体" w:eastAsia="新宋体" w:hAnsi="新宋体" w:hint="eastAsia"/>
                <w:bCs/>
                <w:color w:val="000000"/>
                <w:sz w:val="22"/>
                <w:szCs w:val="22"/>
              </w:rPr>
              <w:t>低于90%（第一年75%）不得分。本项最高40分。</w:t>
            </w:r>
          </w:p>
        </w:tc>
      </w:tr>
      <w:tr w:rsidR="00574739" w:rsidTr="0012320F">
        <w:trPr>
          <w:cantSplit/>
          <w:trHeight w:val="540"/>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人员到位情况（单位：人）</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≤30分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入驻园区专职人员达6人得30分，低于6人不得分。本项最高分为30分。</w:t>
            </w:r>
          </w:p>
        </w:tc>
      </w:tr>
      <w:tr w:rsidR="00574739" w:rsidTr="0012320F">
        <w:trPr>
          <w:cantSplit/>
          <w:trHeight w:val="540"/>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组织各类科技合作交流与创新创业活动（单位：次）</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≤20分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当年组织活动达10次得10分，每减少1次扣1分，每增加1次加1分。本项最高分为20分。</w:t>
            </w:r>
          </w:p>
        </w:tc>
      </w:tr>
      <w:tr w:rsidR="00574739" w:rsidTr="0012320F">
        <w:trPr>
          <w:cantSplit/>
          <w:trHeight w:val="1065"/>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宣传报道情况</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≤15分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建立</w:t>
            </w:r>
            <w:proofErr w:type="gramStart"/>
            <w:r>
              <w:rPr>
                <w:rFonts w:ascii="新宋体" w:eastAsia="新宋体" w:hAnsi="新宋体" w:hint="eastAsia"/>
                <w:bCs/>
                <w:color w:val="000000"/>
                <w:sz w:val="22"/>
                <w:szCs w:val="22"/>
              </w:rPr>
              <w:t>微信公众号</w:t>
            </w:r>
            <w:proofErr w:type="gramEnd"/>
            <w:r>
              <w:rPr>
                <w:rFonts w:ascii="新宋体" w:eastAsia="新宋体" w:hAnsi="新宋体" w:hint="eastAsia"/>
                <w:bCs/>
                <w:color w:val="000000"/>
                <w:sz w:val="22"/>
                <w:szCs w:val="22"/>
              </w:rPr>
              <w:t>，全年累计编发信息300条，未建立</w:t>
            </w:r>
            <w:proofErr w:type="gramStart"/>
            <w:r>
              <w:rPr>
                <w:rFonts w:ascii="新宋体" w:eastAsia="新宋体" w:hAnsi="新宋体" w:hint="eastAsia"/>
                <w:bCs/>
                <w:color w:val="000000"/>
                <w:sz w:val="22"/>
                <w:szCs w:val="22"/>
              </w:rPr>
              <w:t>微信公众号扣</w:t>
            </w:r>
            <w:proofErr w:type="gramEnd"/>
            <w:r>
              <w:rPr>
                <w:rFonts w:ascii="新宋体" w:eastAsia="新宋体" w:hAnsi="新宋体" w:hint="eastAsia"/>
                <w:bCs/>
                <w:color w:val="000000"/>
                <w:sz w:val="22"/>
                <w:szCs w:val="22"/>
              </w:rPr>
              <w:t>5分，编发信息每少10条扣2分；全年在</w:t>
            </w:r>
            <w:proofErr w:type="gramStart"/>
            <w:r>
              <w:rPr>
                <w:rFonts w:ascii="新宋体" w:eastAsia="新宋体" w:hAnsi="新宋体" w:hint="eastAsia"/>
                <w:bCs/>
                <w:color w:val="000000"/>
                <w:sz w:val="22"/>
                <w:szCs w:val="22"/>
              </w:rPr>
              <w:t>温州市级</w:t>
            </w:r>
            <w:proofErr w:type="gramEnd"/>
            <w:r>
              <w:rPr>
                <w:rFonts w:ascii="新宋体" w:eastAsia="新宋体" w:hAnsi="新宋体" w:hint="eastAsia"/>
                <w:bCs/>
                <w:color w:val="000000"/>
                <w:sz w:val="22"/>
                <w:szCs w:val="22"/>
              </w:rPr>
              <w:t>或嘉定区级及以上媒体刊登文章20篇，每少1篇扣2分。本项15分扣完为止。</w:t>
            </w:r>
          </w:p>
        </w:tc>
      </w:tr>
      <w:tr w:rsidR="00574739" w:rsidTr="0012320F">
        <w:trPr>
          <w:cantSplit/>
          <w:trHeight w:val="540"/>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服务满意率（单位：%）</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≤5分</w:t>
            </w:r>
          </w:p>
        </w:tc>
        <w:tc>
          <w:tcPr>
            <w:tcW w:w="4963" w:type="dxa"/>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满意率达80%得4分，每下降2个百分点扣0.5分，每上升2个百分点加0.2分。本项最高分为5分。</w:t>
            </w:r>
          </w:p>
        </w:tc>
      </w:tr>
      <w:tr w:rsidR="00574739" w:rsidTr="0012320F">
        <w:trPr>
          <w:cantSplit/>
          <w:trHeight w:val="540"/>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园区管理维护情况</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≤5分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按园区日常管理维护情况酌情给分，每发生1起违反园区物业管理服务协议事件扣5分。本项5分扣完为止。</w:t>
            </w:r>
          </w:p>
        </w:tc>
      </w:tr>
      <w:tr w:rsidR="00574739" w:rsidTr="0012320F">
        <w:trPr>
          <w:cantSplit/>
          <w:trHeight w:val="527"/>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运营机构其他职责履行情况</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≤5分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每发生1次未履行职责扣1分，本项5分扣完为止。</w:t>
            </w:r>
          </w:p>
        </w:tc>
      </w:tr>
      <w:tr w:rsidR="00574739" w:rsidTr="0012320F">
        <w:trPr>
          <w:cantSplit/>
          <w:trHeight w:val="540"/>
          <w:jc w:val="center"/>
        </w:trPr>
        <w:tc>
          <w:tcPr>
            <w:tcW w:w="1155" w:type="dxa"/>
            <w:vMerge w:val="restart"/>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工作实绩（120分）</w:t>
            </w: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研发机构依托企业的研究开发经费投入年度增幅（单位：%）</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≤40分</w:t>
            </w:r>
          </w:p>
        </w:tc>
        <w:tc>
          <w:tcPr>
            <w:tcW w:w="4963" w:type="dxa"/>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增幅达10%得25分，每下降1个百分点扣2分，每上升1个百分点加1.5分。本项最高分为40分。</w:t>
            </w:r>
          </w:p>
        </w:tc>
      </w:tr>
      <w:tr w:rsidR="00574739" w:rsidTr="0012320F">
        <w:trPr>
          <w:cantSplit/>
          <w:trHeight w:val="540"/>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研发机构依托企业当年引进研发人才数（单位：人）</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≤20分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当年每引进1名具有硕士学位以上学历或副高以上职称的研发人才得1分。本项最高分为20分。</w:t>
            </w:r>
          </w:p>
        </w:tc>
      </w:tr>
      <w:tr w:rsidR="00574739" w:rsidTr="0012320F">
        <w:trPr>
          <w:cantSplit/>
          <w:trHeight w:val="540"/>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入驻单位年度销售收入增幅（单位：%）</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≤40分</w:t>
            </w:r>
          </w:p>
        </w:tc>
        <w:tc>
          <w:tcPr>
            <w:tcW w:w="4963" w:type="dxa"/>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增幅达10%得25分，每下降1个百分点扣2分，每上升1个百分点加1.5分。本项最高分为40分。</w:t>
            </w:r>
          </w:p>
        </w:tc>
      </w:tr>
      <w:tr w:rsidR="00574739" w:rsidTr="0012320F">
        <w:trPr>
          <w:cantSplit/>
          <w:trHeight w:val="540"/>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入驻单位年度地方贡献增幅（单位：%）</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≤20分</w:t>
            </w:r>
          </w:p>
        </w:tc>
        <w:tc>
          <w:tcPr>
            <w:tcW w:w="4963" w:type="dxa"/>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增幅达10%得10分，每下降1个百分点扣1分，每上升1个百分点加1分。本项最高分为20分。</w:t>
            </w:r>
          </w:p>
        </w:tc>
      </w:tr>
      <w:tr w:rsidR="00574739" w:rsidTr="0012320F">
        <w:trPr>
          <w:cantSplit/>
          <w:trHeight w:val="1590"/>
          <w:jc w:val="center"/>
        </w:trPr>
        <w:tc>
          <w:tcPr>
            <w:tcW w:w="1155" w:type="dxa"/>
            <w:vMerge w:val="restart"/>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lastRenderedPageBreak/>
              <w:t>争先创优</w:t>
            </w:r>
          </w:p>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（60分）</w:t>
            </w: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建设经验成绩</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≤30分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工作经验在省级及以上工作会议上发言交流得10分，书面交流得5分；承办省级及以上现场会的得10分（民间团体或组织召开的会议除外）；承办高端论坛（主讲嘉宾须符合温州市高层次人才目录C类以上）得5分；</w:t>
            </w:r>
            <w:proofErr w:type="gramStart"/>
            <w:r>
              <w:rPr>
                <w:rFonts w:ascii="新宋体" w:eastAsia="新宋体" w:hAnsi="新宋体" w:hint="eastAsia"/>
                <w:bCs/>
                <w:color w:val="000000"/>
                <w:sz w:val="22"/>
                <w:szCs w:val="22"/>
              </w:rPr>
              <w:t>科创园</w:t>
            </w:r>
            <w:proofErr w:type="gramEnd"/>
            <w:r>
              <w:rPr>
                <w:rFonts w:ascii="新宋体" w:eastAsia="新宋体" w:hAnsi="新宋体" w:hint="eastAsia"/>
                <w:bCs/>
                <w:color w:val="000000"/>
                <w:sz w:val="22"/>
                <w:szCs w:val="22"/>
              </w:rPr>
              <w:t xml:space="preserve">发展成效或改革创新在省级及以上党报党刊报道得5分。本项最高分为30分。 </w:t>
            </w:r>
          </w:p>
        </w:tc>
      </w:tr>
      <w:tr w:rsidR="00574739" w:rsidTr="0012320F">
        <w:trPr>
          <w:cantSplit/>
          <w:trHeight w:val="2387"/>
          <w:jc w:val="center"/>
        </w:trPr>
        <w:tc>
          <w:tcPr>
            <w:tcW w:w="115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334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服务企业成效</w:t>
            </w:r>
          </w:p>
        </w:tc>
        <w:tc>
          <w:tcPr>
            <w:tcW w:w="109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≤30分</w:t>
            </w:r>
          </w:p>
        </w:tc>
        <w:tc>
          <w:tcPr>
            <w:tcW w:w="4963"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入驻单位及依托企业获国家科学技术奖励一、二、三等奖，分别得15、10、8分，获省科技进步奖励一、二、三等奖，分别得10、8、6分；入驻单位依托企业当年在境内首发上市（含主板、中小板、创业板及</w:t>
            </w:r>
            <w:proofErr w:type="gramStart"/>
            <w:r>
              <w:rPr>
                <w:rFonts w:ascii="新宋体" w:eastAsia="新宋体" w:hAnsi="新宋体" w:hint="eastAsia"/>
                <w:bCs/>
                <w:color w:val="000000"/>
                <w:sz w:val="22"/>
                <w:szCs w:val="22"/>
              </w:rPr>
              <w:t>科创板</w:t>
            </w:r>
            <w:proofErr w:type="gramEnd"/>
            <w:r>
              <w:rPr>
                <w:rFonts w:ascii="新宋体" w:eastAsia="新宋体" w:hAnsi="新宋体" w:hint="eastAsia"/>
                <w:bCs/>
                <w:color w:val="000000"/>
                <w:sz w:val="22"/>
                <w:szCs w:val="22"/>
              </w:rPr>
              <w:t>）得15分，在境外主要资本市场首发上市得10分；入驻单位当年获评高新技术企业得5分、省科技型中小企业得2分；当年获得创</w:t>
            </w:r>
            <w:proofErr w:type="gramStart"/>
            <w:r>
              <w:rPr>
                <w:rFonts w:ascii="新宋体" w:eastAsia="新宋体" w:hAnsi="新宋体" w:hint="eastAsia"/>
                <w:bCs/>
                <w:color w:val="000000"/>
                <w:sz w:val="22"/>
                <w:szCs w:val="22"/>
              </w:rPr>
              <w:t>投机构</w:t>
            </w:r>
            <w:proofErr w:type="gramEnd"/>
            <w:r>
              <w:rPr>
                <w:rFonts w:ascii="新宋体" w:eastAsia="新宋体" w:hAnsi="新宋体" w:hint="eastAsia"/>
                <w:bCs/>
                <w:color w:val="000000"/>
                <w:sz w:val="22"/>
                <w:szCs w:val="22"/>
              </w:rPr>
              <w:t xml:space="preserve">投资且实际到位资金100万元以上得5分；入驻产业孵化中心项目当年落地温州产业化每例得5分。本项最高分为30分。 </w:t>
            </w:r>
          </w:p>
        </w:tc>
      </w:tr>
    </w:tbl>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附件2</w:t>
      </w:r>
    </w:p>
    <w:p w:rsidR="00574739" w:rsidRDefault="00574739" w:rsidP="00574739">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运营服务机构试用期考核指标</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85"/>
        <w:gridCol w:w="2277"/>
        <w:gridCol w:w="960"/>
        <w:gridCol w:w="5238"/>
      </w:tblGrid>
      <w:tr w:rsidR="00574739" w:rsidTr="0012320F">
        <w:trPr>
          <w:cantSplit/>
          <w:trHeight w:val="896"/>
          <w:jc w:val="center"/>
        </w:trPr>
        <w:tc>
          <w:tcPr>
            <w:tcW w:w="1185"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一级指标</w:t>
            </w:r>
          </w:p>
        </w:tc>
        <w:tc>
          <w:tcPr>
            <w:tcW w:w="227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二级指标</w:t>
            </w:r>
          </w:p>
        </w:tc>
        <w:tc>
          <w:tcPr>
            <w:tcW w:w="960"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分值</w:t>
            </w:r>
          </w:p>
        </w:tc>
        <w:tc>
          <w:tcPr>
            <w:tcW w:w="5238"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评分标准</w:t>
            </w:r>
          </w:p>
        </w:tc>
      </w:tr>
      <w:tr w:rsidR="00574739" w:rsidTr="0012320F">
        <w:trPr>
          <w:cantSplit/>
          <w:trHeight w:val="1787"/>
          <w:jc w:val="center"/>
        </w:trPr>
        <w:tc>
          <w:tcPr>
            <w:tcW w:w="1185" w:type="dxa"/>
            <w:vMerge w:val="restart"/>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基础服务（100分）</w:t>
            </w:r>
          </w:p>
        </w:tc>
        <w:tc>
          <w:tcPr>
            <w:tcW w:w="227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前期筹备工作</w:t>
            </w:r>
          </w:p>
        </w:tc>
        <w:tc>
          <w:tcPr>
            <w:tcW w:w="960"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≤25分</w:t>
            </w:r>
          </w:p>
        </w:tc>
        <w:tc>
          <w:tcPr>
            <w:tcW w:w="5238"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roofErr w:type="gramStart"/>
            <w:r>
              <w:rPr>
                <w:rFonts w:ascii="新宋体" w:eastAsia="新宋体" w:hAnsi="新宋体" w:hint="eastAsia"/>
                <w:bCs/>
                <w:color w:val="000000"/>
                <w:sz w:val="22"/>
                <w:szCs w:val="22"/>
              </w:rPr>
              <w:t>按装</w:t>
            </w:r>
            <w:proofErr w:type="gramEnd"/>
            <w:r>
              <w:rPr>
                <w:rFonts w:ascii="新宋体" w:eastAsia="新宋体" w:hAnsi="新宋体" w:hint="eastAsia"/>
                <w:bCs/>
                <w:color w:val="000000"/>
                <w:sz w:val="22"/>
                <w:szCs w:val="22"/>
              </w:rPr>
              <w:t>修及筹备工作情况酌情给分：协助办理施工审批、备案等行政许可和竣工验收等手续；协助甲方协调施工方与场地业主及物业服务单位；协助甲方做好固定资产登记工作。本项25分扣完为止。</w:t>
            </w:r>
          </w:p>
        </w:tc>
      </w:tr>
      <w:tr w:rsidR="00574739" w:rsidTr="0012320F">
        <w:trPr>
          <w:cantSplit/>
          <w:trHeight w:val="2673"/>
          <w:jc w:val="center"/>
        </w:trPr>
        <w:tc>
          <w:tcPr>
            <w:tcW w:w="118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2277" w:type="dxa"/>
            <w:vMerge w:val="restart"/>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机构入驻服务</w:t>
            </w:r>
          </w:p>
        </w:tc>
        <w:tc>
          <w:tcPr>
            <w:tcW w:w="960" w:type="dxa"/>
            <w:vMerge w:val="restart"/>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≤45分</w:t>
            </w:r>
          </w:p>
        </w:tc>
        <w:tc>
          <w:tcPr>
            <w:tcW w:w="5238" w:type="dxa"/>
            <w:tcBorders>
              <w:bottom w:val="single" w:sz="4" w:space="0" w:color="auto"/>
            </w:tcBorders>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按入驻单位招引、评估推荐情况酌情给分：在媒体发布招引公告等宣传信息；走访发动符合招引条件的单位达60家得5分，每少1家扣0.1分；对拟入驻单位实地考察达30家得5分，每少1家扣0.2分；对拟入驻单位评估</w:t>
            </w:r>
            <w:proofErr w:type="gramStart"/>
            <w:r>
              <w:rPr>
                <w:rFonts w:ascii="新宋体" w:eastAsia="新宋体" w:hAnsi="新宋体" w:hint="eastAsia"/>
                <w:bCs/>
                <w:color w:val="000000"/>
                <w:sz w:val="22"/>
                <w:szCs w:val="22"/>
              </w:rPr>
              <w:t>推荐达</w:t>
            </w:r>
            <w:proofErr w:type="gramEnd"/>
            <w:r>
              <w:rPr>
                <w:rFonts w:ascii="新宋体" w:eastAsia="新宋体" w:hAnsi="新宋体" w:hint="eastAsia"/>
                <w:bCs/>
                <w:color w:val="000000"/>
                <w:sz w:val="22"/>
                <w:szCs w:val="22"/>
              </w:rPr>
              <w:t>15家得10分，每少1家扣1.5分。本项20分扣完为止。</w:t>
            </w:r>
          </w:p>
        </w:tc>
      </w:tr>
      <w:tr w:rsidR="00574739" w:rsidTr="0012320F">
        <w:trPr>
          <w:cantSplit/>
          <w:trHeight w:val="901"/>
          <w:jc w:val="center"/>
        </w:trPr>
        <w:tc>
          <w:tcPr>
            <w:tcW w:w="118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2277"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960"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5238" w:type="dxa"/>
            <w:tcBorders>
              <w:top w:val="single" w:sz="4" w:space="0" w:color="auto"/>
            </w:tcBorders>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园区</w:t>
            </w:r>
            <w:proofErr w:type="gramStart"/>
            <w:r>
              <w:rPr>
                <w:rFonts w:ascii="新宋体" w:eastAsia="新宋体" w:hAnsi="新宋体" w:hint="eastAsia"/>
                <w:bCs/>
                <w:color w:val="000000"/>
                <w:sz w:val="22"/>
                <w:szCs w:val="22"/>
              </w:rPr>
              <w:t>入驻率</w:t>
            </w:r>
            <w:proofErr w:type="gramEnd"/>
            <w:r>
              <w:rPr>
                <w:rFonts w:ascii="新宋体" w:eastAsia="新宋体" w:hAnsi="新宋体" w:hint="eastAsia"/>
                <w:bCs/>
                <w:color w:val="000000"/>
                <w:sz w:val="22"/>
                <w:szCs w:val="22"/>
              </w:rPr>
              <w:t>达30%得15分，每下降1个百分点扣1分，每上升1个百分点加0.5分。本项最高25分。</w:t>
            </w:r>
          </w:p>
        </w:tc>
      </w:tr>
      <w:tr w:rsidR="00574739" w:rsidTr="0012320F">
        <w:trPr>
          <w:cantSplit/>
          <w:trHeight w:val="901"/>
          <w:jc w:val="center"/>
        </w:trPr>
        <w:tc>
          <w:tcPr>
            <w:tcW w:w="118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227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人员到位情况（单位：人）</w:t>
            </w:r>
          </w:p>
        </w:tc>
        <w:tc>
          <w:tcPr>
            <w:tcW w:w="960"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≤20分</w:t>
            </w:r>
          </w:p>
        </w:tc>
        <w:tc>
          <w:tcPr>
            <w:tcW w:w="5238"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入驻园区专职人员达6人得20分，低于6人不得分。本项最高分为20分。</w:t>
            </w:r>
          </w:p>
        </w:tc>
      </w:tr>
      <w:tr w:rsidR="00574739" w:rsidTr="0012320F">
        <w:trPr>
          <w:cantSplit/>
          <w:trHeight w:val="1354"/>
          <w:jc w:val="center"/>
        </w:trPr>
        <w:tc>
          <w:tcPr>
            <w:tcW w:w="1185" w:type="dxa"/>
            <w:vMerge/>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p>
        </w:tc>
        <w:tc>
          <w:tcPr>
            <w:tcW w:w="2277"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其它职责履行情况</w:t>
            </w:r>
          </w:p>
        </w:tc>
        <w:tc>
          <w:tcPr>
            <w:tcW w:w="960"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≤10分</w:t>
            </w:r>
          </w:p>
        </w:tc>
        <w:tc>
          <w:tcPr>
            <w:tcW w:w="5238" w:type="dxa"/>
            <w:vAlign w:val="center"/>
          </w:tcPr>
          <w:p w:rsidR="00574739" w:rsidRDefault="00574739" w:rsidP="0012320F">
            <w:pPr>
              <w:tabs>
                <w:tab w:val="left" w:pos="9135"/>
              </w:tabs>
              <w:spacing w:line="440" w:lineRule="exact"/>
              <w:rPr>
                <w:rFonts w:ascii="新宋体" w:eastAsia="新宋体" w:hAnsi="新宋体" w:hint="eastAsia"/>
                <w:bCs/>
                <w:color w:val="000000"/>
                <w:sz w:val="22"/>
                <w:szCs w:val="22"/>
              </w:rPr>
            </w:pPr>
            <w:r>
              <w:rPr>
                <w:rFonts w:ascii="新宋体" w:eastAsia="新宋体" w:hAnsi="新宋体" w:hint="eastAsia"/>
                <w:bCs/>
                <w:color w:val="000000"/>
                <w:sz w:val="22"/>
                <w:szCs w:val="22"/>
              </w:rPr>
              <w:t>按园区日常管理维护情况酌情给分，每发生1起违反园区物业管理服务协议事件扣5分，每发生1次未履行职责扣1分。本项10分扣完为止。</w:t>
            </w:r>
          </w:p>
        </w:tc>
      </w:tr>
    </w:tbl>
    <w:p w:rsidR="00574739" w:rsidRDefault="00574739" w:rsidP="00574739">
      <w:pPr>
        <w:tabs>
          <w:tab w:val="left" w:pos="9135"/>
        </w:tabs>
        <w:spacing w:line="440" w:lineRule="exact"/>
        <w:rPr>
          <w:rFonts w:ascii="新宋体" w:eastAsia="新宋体" w:hAnsi="新宋体" w:hint="eastAsia"/>
          <w:bCs/>
          <w:color w:val="000000"/>
          <w:sz w:val="22"/>
          <w:szCs w:val="22"/>
        </w:rPr>
      </w:pPr>
    </w:p>
    <w:p w:rsidR="00574739" w:rsidRDefault="00574739" w:rsidP="00574739">
      <w:pPr>
        <w:tabs>
          <w:tab w:val="left" w:pos="9135"/>
        </w:tabs>
        <w:spacing w:line="440" w:lineRule="exact"/>
        <w:rPr>
          <w:rFonts w:ascii="新宋体" w:eastAsia="新宋体" w:hAnsi="新宋体" w:hint="eastAsia"/>
          <w:b/>
          <w:color w:val="000000"/>
          <w:sz w:val="22"/>
          <w:szCs w:val="22"/>
        </w:rPr>
      </w:pPr>
    </w:p>
    <w:p w:rsidR="00574739" w:rsidRDefault="00574739" w:rsidP="00574739">
      <w:pPr>
        <w:spacing w:line="420" w:lineRule="exact"/>
        <w:rPr>
          <w:rFonts w:ascii="新宋体" w:eastAsia="新宋体" w:hAnsi="新宋体" w:hint="eastAsia"/>
          <w:b/>
          <w:color w:val="000000"/>
          <w:sz w:val="22"/>
          <w:szCs w:val="22"/>
        </w:rPr>
      </w:pPr>
      <w:r>
        <w:rPr>
          <w:rFonts w:ascii="新宋体" w:eastAsia="新宋体" w:hAnsi="新宋体" w:hint="eastAsia"/>
          <w:b/>
          <w:color w:val="000000"/>
          <w:sz w:val="22"/>
          <w:szCs w:val="22"/>
        </w:rPr>
        <w:t>四、其他说明及要求</w:t>
      </w:r>
    </w:p>
    <w:p w:rsidR="00574739" w:rsidRDefault="00574739" w:rsidP="00574739">
      <w:pPr>
        <w:spacing w:line="300" w:lineRule="exact"/>
        <w:ind w:left="420" w:hangingChars="200" w:hanging="420"/>
        <w:rPr>
          <w:rFonts w:ascii="新宋体" w:eastAsia="新宋体" w:hAnsi="新宋体" w:hint="eastAsia"/>
          <w:color w:val="000000"/>
          <w:sz w:val="22"/>
          <w:szCs w:val="22"/>
          <w:u w:val="single"/>
        </w:rPr>
      </w:pPr>
      <w:r>
        <w:rPr>
          <w:rFonts w:ascii="宋体" w:hAnsi="宋体" w:cs="Tahoma" w:hint="eastAsia"/>
          <w:kern w:val="0"/>
          <w:szCs w:val="21"/>
        </w:rPr>
        <w:t>1、 采购人有权根据承包方所报人</w:t>
      </w:r>
      <w:proofErr w:type="gramStart"/>
      <w:r>
        <w:rPr>
          <w:rFonts w:ascii="宋体" w:hAnsi="宋体" w:cs="Tahoma" w:hint="eastAsia"/>
          <w:kern w:val="0"/>
          <w:szCs w:val="21"/>
        </w:rPr>
        <w:t>员综合</w:t>
      </w:r>
      <w:proofErr w:type="gramEnd"/>
      <w:r>
        <w:rPr>
          <w:rFonts w:ascii="宋体" w:hAnsi="宋体" w:cs="Tahoma" w:hint="eastAsia"/>
          <w:kern w:val="0"/>
          <w:szCs w:val="21"/>
        </w:rPr>
        <w:t>单价，直接要求增减服务人员，需要的话将另行签订补充合同。费用的增减将根据人员综合单价*所增减人数进行计算。</w:t>
      </w:r>
    </w:p>
    <w:p w:rsidR="00574739" w:rsidRDefault="00574739" w:rsidP="00574739">
      <w:pPr>
        <w:spacing w:line="300" w:lineRule="exact"/>
        <w:ind w:left="422" w:hangingChars="200" w:hanging="422"/>
        <w:rPr>
          <w:rFonts w:ascii="宋体" w:hAnsi="宋体" w:cs="Tahoma" w:hint="eastAsia"/>
          <w:b/>
          <w:kern w:val="0"/>
          <w:szCs w:val="21"/>
          <w:u w:val="single"/>
        </w:rPr>
      </w:pPr>
      <w:r>
        <w:rPr>
          <w:rFonts w:ascii="宋体" w:hAnsi="宋体" w:cs="Tahoma" w:hint="eastAsia"/>
          <w:b/>
          <w:kern w:val="0"/>
          <w:szCs w:val="21"/>
          <w:u w:val="single"/>
        </w:rPr>
        <w:t>▲2、 供应商必须充分了解当地薪资及物价水平，特别是政府规定的当年最低工资标准及社保福利等有关规定，员工工资不得低于当年最低工资标准，具体工资由供应商自行确定，拒绝恶性竞争。</w:t>
      </w:r>
    </w:p>
    <w:p w:rsidR="00574739" w:rsidRDefault="00574739" w:rsidP="00574739">
      <w:pPr>
        <w:spacing w:line="300" w:lineRule="exact"/>
        <w:ind w:left="422" w:hangingChars="200" w:hanging="422"/>
        <w:rPr>
          <w:rFonts w:ascii="宋体" w:hAnsi="宋体" w:cs="Tahoma" w:hint="eastAsia"/>
          <w:kern w:val="0"/>
          <w:szCs w:val="21"/>
        </w:rPr>
      </w:pPr>
      <w:r>
        <w:rPr>
          <w:rFonts w:ascii="宋体" w:hAnsi="宋体" w:cs="Tahoma" w:hint="eastAsia"/>
          <w:b/>
          <w:kern w:val="0"/>
          <w:szCs w:val="21"/>
          <w:u w:val="single"/>
        </w:rPr>
        <w:t>▲3、 中标供应商应在合同签订后安排人员进场全面正式开展业务，未能按照采购人的要求在规定的时间内完成，采购人有权单方终止合同。</w:t>
      </w:r>
    </w:p>
    <w:p w:rsidR="00574739" w:rsidRDefault="00574739" w:rsidP="00574739">
      <w:pPr>
        <w:spacing w:line="300" w:lineRule="exact"/>
        <w:ind w:left="420" w:hangingChars="200" w:hanging="420"/>
        <w:rPr>
          <w:rFonts w:ascii="宋体" w:hAnsi="宋体" w:cs="Tahoma" w:hint="eastAsia"/>
          <w:kern w:val="0"/>
          <w:szCs w:val="21"/>
        </w:rPr>
      </w:pPr>
      <w:r>
        <w:rPr>
          <w:rFonts w:ascii="宋体" w:hAnsi="宋体" w:cs="Tahoma" w:hint="eastAsia"/>
          <w:kern w:val="0"/>
          <w:szCs w:val="21"/>
        </w:rPr>
        <w:t>4、承包方负责人应全权代表承包方与采购人保持密切联系并保证承包服务工作保质保量地正常进行。</w:t>
      </w:r>
    </w:p>
    <w:p w:rsidR="00574739" w:rsidRDefault="00574739" w:rsidP="00574739">
      <w:pPr>
        <w:spacing w:line="300" w:lineRule="exact"/>
        <w:ind w:left="420" w:hangingChars="200" w:hanging="420"/>
        <w:rPr>
          <w:rFonts w:ascii="宋体" w:hAnsi="宋体" w:cs="Tahoma" w:hint="eastAsia"/>
          <w:kern w:val="0"/>
          <w:szCs w:val="21"/>
        </w:rPr>
      </w:pPr>
      <w:r>
        <w:rPr>
          <w:rFonts w:ascii="宋体" w:hAnsi="宋体" w:cs="Tahoma" w:hint="eastAsia"/>
          <w:kern w:val="0"/>
          <w:szCs w:val="21"/>
        </w:rPr>
        <w:t>5、为积极提高工作人员的服务业务素质，保障服务的质量和水平。采购人可以根据业务实际情况要求承包方增加对受理人员的业务培训或改进培训计划方案，承包方不得拒绝。</w:t>
      </w:r>
    </w:p>
    <w:p w:rsidR="00574739" w:rsidRDefault="00574739" w:rsidP="00574739">
      <w:pPr>
        <w:spacing w:line="300" w:lineRule="exact"/>
        <w:ind w:left="420" w:hangingChars="200" w:hanging="420"/>
        <w:rPr>
          <w:rFonts w:ascii="宋体" w:hAnsi="宋体" w:cs="Tahoma" w:hint="eastAsia"/>
          <w:kern w:val="0"/>
          <w:szCs w:val="21"/>
        </w:rPr>
      </w:pPr>
      <w:r>
        <w:rPr>
          <w:rFonts w:ascii="宋体" w:hAnsi="宋体" w:cs="Tahoma" w:hint="eastAsia"/>
          <w:kern w:val="0"/>
          <w:szCs w:val="21"/>
        </w:rPr>
        <w:t>6、所有人员</w:t>
      </w:r>
      <w:r>
        <w:rPr>
          <w:rFonts w:ascii="宋体" w:hAnsi="宋体" w:cs="Tahoma"/>
          <w:kern w:val="0"/>
          <w:szCs w:val="21"/>
        </w:rPr>
        <w:t>都要经过医院体检，患有不适合</w:t>
      </w:r>
      <w:r>
        <w:rPr>
          <w:rFonts w:ascii="宋体" w:hAnsi="宋体" w:cs="Tahoma" w:hint="eastAsia"/>
          <w:kern w:val="0"/>
          <w:szCs w:val="21"/>
        </w:rPr>
        <w:t>本工作的疾病</w:t>
      </w:r>
      <w:r>
        <w:rPr>
          <w:rFonts w:ascii="宋体" w:hAnsi="宋体" w:cs="Tahoma"/>
          <w:kern w:val="0"/>
          <w:szCs w:val="21"/>
        </w:rPr>
        <w:t>，不得录用</w:t>
      </w:r>
      <w:r>
        <w:rPr>
          <w:rFonts w:ascii="宋体" w:hAnsi="宋体" w:cs="Tahoma" w:hint="eastAsia"/>
          <w:kern w:val="0"/>
          <w:szCs w:val="21"/>
        </w:rPr>
        <w:t>。</w:t>
      </w:r>
    </w:p>
    <w:p w:rsidR="00574739" w:rsidRDefault="00574739" w:rsidP="00574739">
      <w:pPr>
        <w:spacing w:line="300" w:lineRule="exact"/>
        <w:ind w:left="420" w:hangingChars="200" w:hanging="420"/>
        <w:rPr>
          <w:rFonts w:ascii="宋体" w:hAnsi="宋体" w:cs="Tahoma" w:hint="eastAsia"/>
          <w:kern w:val="0"/>
          <w:szCs w:val="21"/>
        </w:rPr>
      </w:pPr>
      <w:r>
        <w:rPr>
          <w:rFonts w:ascii="宋体" w:hAnsi="宋体" w:cs="Tahoma" w:hint="eastAsia"/>
          <w:kern w:val="0"/>
          <w:szCs w:val="21"/>
        </w:rPr>
        <w:t>7、承包方任何更换或调整人员的行为应事先提前征求采购人意见，在征得采购人同意后方可更换、调整。</w:t>
      </w:r>
    </w:p>
    <w:p w:rsidR="00574739" w:rsidRDefault="00574739" w:rsidP="00574739">
      <w:pPr>
        <w:spacing w:line="300" w:lineRule="exact"/>
        <w:ind w:left="420" w:hangingChars="200" w:hanging="420"/>
        <w:rPr>
          <w:rFonts w:ascii="宋体" w:hAnsi="宋体" w:cs="Tahoma" w:hint="eastAsia"/>
          <w:kern w:val="0"/>
          <w:szCs w:val="21"/>
        </w:rPr>
      </w:pPr>
      <w:r>
        <w:rPr>
          <w:rFonts w:ascii="宋体" w:hAnsi="宋体" w:cs="Tahoma" w:hint="eastAsia"/>
          <w:kern w:val="0"/>
          <w:szCs w:val="21"/>
        </w:rPr>
        <w:t>8、承包方不得以任何理由拖欠工资，否则采购人有权单方终止合同。</w:t>
      </w:r>
    </w:p>
    <w:p w:rsidR="00574739" w:rsidRDefault="00574739" w:rsidP="00574739">
      <w:pPr>
        <w:spacing w:line="300" w:lineRule="exact"/>
        <w:ind w:left="422" w:hangingChars="200" w:hanging="422"/>
        <w:rPr>
          <w:rFonts w:ascii="宋体" w:hAnsi="宋体" w:cs="Tahoma" w:hint="eastAsia"/>
          <w:b/>
          <w:kern w:val="0"/>
          <w:szCs w:val="21"/>
          <w:u w:val="single"/>
        </w:rPr>
      </w:pPr>
      <w:r>
        <w:rPr>
          <w:rFonts w:ascii="宋体" w:hAnsi="宋体" w:cs="Tahoma" w:hint="eastAsia"/>
          <w:b/>
          <w:kern w:val="0"/>
          <w:szCs w:val="21"/>
          <w:u w:val="single"/>
        </w:rPr>
        <w:t>▲9、承包方应按国家有关规定为全体服务人员交纳所有相关的社会保险及相关费用。承包方应为其员工投保人身意外险，在承包期内，承包方所有人员发生的事故由承包方自行全权负责，采购人将不负任何责任。</w:t>
      </w:r>
    </w:p>
    <w:p w:rsidR="00146A9C" w:rsidRPr="00574739" w:rsidRDefault="00146A9C">
      <w:bookmarkStart w:id="1" w:name="_GoBack"/>
      <w:bookmarkEnd w:id="1"/>
    </w:p>
    <w:sectPr w:rsidR="00146A9C" w:rsidRPr="00574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6D" w:rsidRDefault="00421B6D" w:rsidP="00574739">
      <w:r>
        <w:separator/>
      </w:r>
    </w:p>
  </w:endnote>
  <w:endnote w:type="continuationSeparator" w:id="0">
    <w:p w:rsidR="00421B6D" w:rsidRDefault="00421B6D" w:rsidP="0057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39" w:rsidRDefault="0057473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39" w:rsidRDefault="00574739">
    <w:pPr>
      <w:pStyle w:val="a4"/>
      <w:ind w:firstLine="360"/>
      <w:jc w:val="center"/>
    </w:pPr>
    <w:r>
      <w:fldChar w:fldCharType="begin"/>
    </w:r>
    <w:r>
      <w:instrText xml:space="preserve"> PAGE   \* MERGEFORMAT </w:instrText>
    </w:r>
    <w:r>
      <w:fldChar w:fldCharType="separate"/>
    </w:r>
    <w:r w:rsidRPr="00574739">
      <w:rPr>
        <w:noProof/>
        <w:lang w:val="zh-CN" w:eastAsia="zh-CN"/>
      </w:rPr>
      <w:t>5</w:t>
    </w:r>
    <w:r>
      <w:fldChar w:fldCharType="end"/>
    </w:r>
  </w:p>
  <w:p w:rsidR="00574739" w:rsidRDefault="0057473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39" w:rsidRDefault="0057473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6D" w:rsidRDefault="00421B6D" w:rsidP="00574739">
      <w:r>
        <w:separator/>
      </w:r>
    </w:p>
  </w:footnote>
  <w:footnote w:type="continuationSeparator" w:id="0">
    <w:p w:rsidR="00421B6D" w:rsidRDefault="00421B6D" w:rsidP="0057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39" w:rsidRDefault="0057473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39" w:rsidRDefault="00574739">
    <w:pPr>
      <w:pStyle w:val="a3"/>
      <w:pBdr>
        <w:bottom w:val="none" w:sz="0"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39" w:rsidRDefault="0057473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D5"/>
    <w:rsid w:val="00146A9C"/>
    <w:rsid w:val="00421B6D"/>
    <w:rsid w:val="00574739"/>
    <w:rsid w:val="00A0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73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47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4739"/>
    <w:rPr>
      <w:sz w:val="18"/>
      <w:szCs w:val="18"/>
    </w:rPr>
  </w:style>
  <w:style w:type="paragraph" w:styleId="a4">
    <w:name w:val="footer"/>
    <w:basedOn w:val="a"/>
    <w:link w:val="Char0"/>
    <w:uiPriority w:val="99"/>
    <w:unhideWhenUsed/>
    <w:rsid w:val="005747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4739"/>
    <w:rPr>
      <w:sz w:val="18"/>
      <w:szCs w:val="18"/>
    </w:rPr>
  </w:style>
  <w:style w:type="character" w:customStyle="1" w:styleId="Char1">
    <w:name w:val="正文文本 Char"/>
    <w:link w:val="a5"/>
    <w:locked/>
    <w:rsid w:val="00574739"/>
    <w:rPr>
      <w:szCs w:val="24"/>
    </w:rPr>
  </w:style>
  <w:style w:type="paragraph" w:styleId="a5">
    <w:name w:val="Body Text"/>
    <w:basedOn w:val="a"/>
    <w:link w:val="Char1"/>
    <w:rsid w:val="00574739"/>
    <w:pPr>
      <w:spacing w:after="120"/>
    </w:pPr>
    <w:rPr>
      <w:rFonts w:asciiTheme="minorHAnsi" w:eastAsiaTheme="minorEastAsia" w:hAnsiTheme="minorHAnsi" w:cstheme="minorBidi"/>
    </w:rPr>
  </w:style>
  <w:style w:type="character" w:customStyle="1" w:styleId="Char10">
    <w:name w:val="正文文本 Char1"/>
    <w:basedOn w:val="a0"/>
    <w:uiPriority w:val="99"/>
    <w:semiHidden/>
    <w:rsid w:val="00574739"/>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73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47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4739"/>
    <w:rPr>
      <w:sz w:val="18"/>
      <w:szCs w:val="18"/>
    </w:rPr>
  </w:style>
  <w:style w:type="paragraph" w:styleId="a4">
    <w:name w:val="footer"/>
    <w:basedOn w:val="a"/>
    <w:link w:val="Char0"/>
    <w:uiPriority w:val="99"/>
    <w:unhideWhenUsed/>
    <w:rsid w:val="005747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4739"/>
    <w:rPr>
      <w:sz w:val="18"/>
      <w:szCs w:val="18"/>
    </w:rPr>
  </w:style>
  <w:style w:type="character" w:customStyle="1" w:styleId="Char1">
    <w:name w:val="正文文本 Char"/>
    <w:link w:val="a5"/>
    <w:locked/>
    <w:rsid w:val="00574739"/>
    <w:rPr>
      <w:szCs w:val="24"/>
    </w:rPr>
  </w:style>
  <w:style w:type="paragraph" w:styleId="a5">
    <w:name w:val="Body Text"/>
    <w:basedOn w:val="a"/>
    <w:link w:val="Char1"/>
    <w:rsid w:val="00574739"/>
    <w:pPr>
      <w:spacing w:after="120"/>
    </w:pPr>
    <w:rPr>
      <w:rFonts w:asciiTheme="minorHAnsi" w:eastAsiaTheme="minorEastAsia" w:hAnsiTheme="minorHAnsi" w:cstheme="minorBidi"/>
    </w:rPr>
  </w:style>
  <w:style w:type="character" w:customStyle="1" w:styleId="Char10">
    <w:name w:val="正文文本 Char1"/>
    <w:basedOn w:val="a0"/>
    <w:uiPriority w:val="99"/>
    <w:semiHidden/>
    <w:rsid w:val="00574739"/>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3318</Characters>
  <Application>Microsoft Office Word</Application>
  <DocSecurity>0</DocSecurity>
  <Lines>27</Lines>
  <Paragraphs>7</Paragraphs>
  <ScaleCrop>false</ScaleCrop>
  <Company>P R C</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2019-08-01T09:02:00Z</dcterms:created>
  <dcterms:modified xsi:type="dcterms:W3CDTF">2019-08-01T09:02:00Z</dcterms:modified>
</cp:coreProperties>
</file>